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90F2F" w14:textId="71A8B86C" w:rsidR="00AC42C9" w:rsidRPr="002809C9" w:rsidRDefault="00AC42C9" w:rsidP="0031415F">
      <w:pPr>
        <w:spacing w:before="40" w:afterLines="40" w:after="96"/>
        <w:rPr>
          <w:rFonts w:cs="Times New Roman"/>
          <w:color w:val="FF0000"/>
          <w:lang w:val="pt-PT"/>
        </w:rPr>
      </w:pPr>
    </w:p>
    <w:p w14:paraId="405683B2" w14:textId="77777777" w:rsidR="00236B9F" w:rsidRPr="003C0CD7" w:rsidRDefault="00236B9F" w:rsidP="2AFE0F07">
      <w:pPr>
        <w:rPr>
          <w:lang w:val="en-IE"/>
        </w:rPr>
      </w:pPr>
    </w:p>
    <w:p w14:paraId="764E6C2B" w14:textId="77777777" w:rsidR="00581A14" w:rsidRPr="00603F04" w:rsidRDefault="00581A14" w:rsidP="00581A14">
      <w:pPr>
        <w:tabs>
          <w:tab w:val="left" w:pos="3300"/>
          <w:tab w:val="center" w:pos="4536"/>
        </w:tabs>
        <w:ind w:left="993" w:firstLine="3942"/>
        <w:rPr>
          <w:rFonts w:cs="Times New Roman"/>
          <w:smallCaps/>
          <w:noProof/>
        </w:rPr>
      </w:pPr>
      <w:bookmarkStart w:id="0" w:name="_Toc73090729"/>
      <w:bookmarkStart w:id="1" w:name="_Toc47101939"/>
      <w:bookmarkStart w:id="2" w:name="_Toc51270433"/>
      <w:r w:rsidRPr="00603F04">
        <w:rPr>
          <w:rFonts w:cs="Times New Roman"/>
          <w:noProof/>
          <w:lang w:val="en-US"/>
        </w:rPr>
        <w:drawing>
          <wp:anchor distT="0" distB="0" distL="114300" distR="114300" simplePos="0" relativeHeight="251660288" behindDoc="1" locked="0" layoutInCell="1" allowOverlap="1" wp14:anchorId="7440069C" wp14:editId="574A8150">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04">
        <w:rPr>
          <w:rFonts w:cs="Times New Roman"/>
          <w:b/>
          <w:sz w:val="44"/>
          <w:szCs w:val="44"/>
        </w:rPr>
        <w:t>EN</w:t>
      </w:r>
    </w:p>
    <w:p w14:paraId="3998B551" w14:textId="77777777" w:rsidR="00581A14" w:rsidRPr="00761108" w:rsidRDefault="00581A14" w:rsidP="00581A14">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3270BC78" w14:textId="56C45792" w:rsidR="00581A14" w:rsidRDefault="00581A14" w:rsidP="00581A14">
      <w:pPr>
        <w:pStyle w:val="Fichedinformationtitre"/>
        <w:spacing w:after="240"/>
        <w:rPr>
          <w:smallCaps/>
        </w:rPr>
      </w:pPr>
      <w:r>
        <w:rPr>
          <w:smallCaps/>
        </w:rPr>
        <w:t xml:space="preserve">Annex </w:t>
      </w:r>
      <w:r w:rsidR="008858A5">
        <w:rPr>
          <w:smallCaps/>
        </w:rPr>
        <w:t>I</w:t>
      </w:r>
    </w:p>
    <w:p w14:paraId="29FB0B7B" w14:textId="7B187E4E" w:rsidR="00581A14" w:rsidRPr="003022B3" w:rsidRDefault="000B7060" w:rsidP="00581A14">
      <w:pPr>
        <w:jc w:val="center"/>
        <w:rPr>
          <w:szCs w:val="24"/>
        </w:rPr>
      </w:pPr>
      <w:r>
        <w:rPr>
          <w:szCs w:val="24"/>
        </w:rPr>
        <w:t>to</w:t>
      </w:r>
      <w:r w:rsidRPr="003022B3">
        <w:rPr>
          <w:szCs w:val="24"/>
        </w:rPr>
        <w:t xml:space="preserve"> </w:t>
      </w:r>
      <w:r w:rsidR="00581A14" w:rsidRPr="003022B3">
        <w:rPr>
          <w:szCs w:val="24"/>
        </w:rPr>
        <w:t xml:space="preserve">the Commission </w:t>
      </w:r>
      <w:r w:rsidR="00581A14" w:rsidRPr="00C7679D">
        <w:rPr>
          <w:szCs w:val="24"/>
        </w:rPr>
        <w:t>Implementing</w:t>
      </w:r>
      <w:r w:rsidR="00581A14" w:rsidRPr="003022B3">
        <w:rPr>
          <w:szCs w:val="24"/>
        </w:rPr>
        <w:t xml:space="preserve"> Decision on the </w:t>
      </w:r>
      <w:r w:rsidR="009C6991">
        <w:rPr>
          <w:szCs w:val="24"/>
        </w:rPr>
        <w:t xml:space="preserve">Annual action plan in favour of North Macedonia </w:t>
      </w:r>
      <w:r w:rsidR="00B42840">
        <w:rPr>
          <w:szCs w:val="24"/>
        </w:rPr>
        <w:t xml:space="preserve">for </w:t>
      </w:r>
      <w:r w:rsidR="009C6991">
        <w:rPr>
          <w:szCs w:val="24"/>
        </w:rPr>
        <w:t>2024</w:t>
      </w:r>
    </w:p>
    <w:p w14:paraId="1EF436E4" w14:textId="47164A5D" w:rsidR="00581A14" w:rsidRDefault="00581A14" w:rsidP="00581A14">
      <w:pPr>
        <w:pStyle w:val="Fichedinformationtitre"/>
      </w:pPr>
      <w:r w:rsidRPr="00042CDA">
        <w:t xml:space="preserve">Action </w:t>
      </w:r>
      <w:r>
        <w:t>Document</w:t>
      </w:r>
      <w:r w:rsidRPr="00042CDA">
        <w:t xml:space="preserve"> for </w:t>
      </w:r>
      <w:r w:rsidR="009C6991">
        <w:t xml:space="preserve">EU for Enhanced Security </w:t>
      </w:r>
    </w:p>
    <w:p w14:paraId="19EA8E11" w14:textId="77777777" w:rsidR="00193E63" w:rsidRPr="003C0CD7" w:rsidRDefault="00193E63" w:rsidP="003C0CD7">
      <w:pPr>
        <w:rPr>
          <w:lang w:val="en-IE"/>
        </w:rPr>
      </w:pPr>
    </w:p>
    <w:p w14:paraId="5658CF5B" w14:textId="1F0AE7AA" w:rsidR="00F54DD9" w:rsidRPr="003C0CD7" w:rsidRDefault="00F54DD9" w:rsidP="00DB5858">
      <w:pPr>
        <w:pBdr>
          <w:top w:val="single" w:sz="4" w:space="1" w:color="auto"/>
          <w:left w:val="single" w:sz="4" w:space="4" w:color="auto"/>
          <w:bottom w:val="single" w:sz="4" w:space="1" w:color="auto"/>
          <w:right w:val="single" w:sz="4" w:space="4" w:color="auto"/>
        </w:pBdr>
        <w:jc w:val="center"/>
        <w:rPr>
          <w:caps/>
          <w:lang w:val="en-IE"/>
        </w:rPr>
      </w:pPr>
      <w:bookmarkStart w:id="3" w:name="_Toc47101940"/>
      <w:bookmarkStart w:id="4" w:name="_Toc51270434"/>
      <w:bookmarkEnd w:id="0"/>
      <w:bookmarkEnd w:id="1"/>
      <w:bookmarkEnd w:id="2"/>
      <w:r w:rsidRPr="009C6991">
        <w:rPr>
          <w:rFonts w:eastAsia="Times New Roman" w:cs="Times New Roman"/>
          <w:b/>
          <w:bCs/>
          <w:caps/>
          <w:szCs w:val="24"/>
          <w:lang w:val="en-IE"/>
        </w:rPr>
        <w:t>Annual</w:t>
      </w:r>
      <w:r w:rsidR="009C6991" w:rsidRPr="009C6991">
        <w:rPr>
          <w:rFonts w:eastAsia="Times New Roman" w:cs="Times New Roman"/>
          <w:b/>
          <w:bCs/>
          <w:caps/>
          <w:szCs w:val="24"/>
          <w:lang w:val="en-IE"/>
        </w:rPr>
        <w:t xml:space="preserve"> </w:t>
      </w:r>
      <w:r w:rsidRPr="009C6991">
        <w:rPr>
          <w:rFonts w:eastAsia="Times New Roman" w:cs="Times New Roman"/>
          <w:b/>
          <w:bCs/>
          <w:caps/>
          <w:szCs w:val="24"/>
          <w:lang w:val="en-IE"/>
        </w:rPr>
        <w:t>Action plan</w:t>
      </w:r>
    </w:p>
    <w:p w14:paraId="2817C434" w14:textId="77777777" w:rsidR="007B5AD9" w:rsidRPr="003C0CD7" w:rsidRDefault="007B5AD9" w:rsidP="00DB5858">
      <w:pPr>
        <w:pBdr>
          <w:top w:val="single" w:sz="4" w:space="1" w:color="auto"/>
          <w:left w:val="single" w:sz="4" w:space="4" w:color="auto"/>
          <w:bottom w:val="single" w:sz="4" w:space="1" w:color="auto"/>
          <w:right w:val="single" w:sz="4" w:space="4" w:color="auto"/>
        </w:pBdr>
        <w:rPr>
          <w:lang w:val="en-IE"/>
        </w:rPr>
      </w:pPr>
    </w:p>
    <w:p w14:paraId="32CED92E" w14:textId="6E24E594" w:rsidR="00F54DD9" w:rsidRPr="003C0CD7" w:rsidRDefault="00F54DD9" w:rsidP="00DB5858">
      <w:pPr>
        <w:pBdr>
          <w:top w:val="single" w:sz="4" w:space="1" w:color="auto"/>
          <w:left w:val="single" w:sz="4" w:space="4" w:color="auto"/>
          <w:bottom w:val="single" w:sz="4" w:space="1" w:color="auto"/>
          <w:right w:val="single" w:sz="4" w:space="4" w:color="auto"/>
        </w:pBdr>
        <w:rPr>
          <w:lang w:val="en-IE"/>
        </w:rPr>
      </w:pPr>
      <w:r w:rsidRPr="003C0CD7">
        <w:rPr>
          <w:lang w:val="en-IE"/>
        </w:rPr>
        <w:t xml:space="preserve">This document constitutes the </w:t>
      </w:r>
      <w:r w:rsidRPr="009C6991">
        <w:rPr>
          <w:lang w:val="en-IE"/>
        </w:rPr>
        <w:t>annual</w:t>
      </w:r>
      <w:r w:rsidR="009C6991">
        <w:rPr>
          <w:lang w:val="en-IE"/>
        </w:rPr>
        <w:t xml:space="preserve"> </w:t>
      </w:r>
      <w:r w:rsidRPr="003C0CD7">
        <w:rPr>
          <w:lang w:val="en-IE"/>
        </w:rPr>
        <w:t xml:space="preserve">work programme in the sense of Article 110(2) of the Financial Regulation, and annual and multiannual action plans and measures in the sense of Article </w:t>
      </w:r>
      <w:r w:rsidR="00344EF1">
        <w:rPr>
          <w:lang w:val="en-IE"/>
        </w:rPr>
        <w:t>9</w:t>
      </w:r>
      <w:r w:rsidRPr="003C0CD7">
        <w:rPr>
          <w:lang w:val="en-IE"/>
        </w:rPr>
        <w:t xml:space="preserve"> of IPA III Regulation and Article </w:t>
      </w:r>
      <w:r w:rsidR="00D310C3" w:rsidRPr="009C6991">
        <w:rPr>
          <w:rFonts w:eastAsia="Times New Roman" w:cs="Times New Roman"/>
          <w:szCs w:val="24"/>
        </w:rPr>
        <w:t>23</w:t>
      </w:r>
      <w:r w:rsidR="009C6991">
        <w:rPr>
          <w:rFonts w:eastAsia="Times New Roman" w:cs="Times New Roman"/>
          <w:szCs w:val="24"/>
        </w:rPr>
        <w:t xml:space="preserve"> </w:t>
      </w:r>
      <w:r w:rsidRPr="003C0CD7">
        <w:rPr>
          <w:lang w:val="en-IE"/>
        </w:rPr>
        <w:t xml:space="preserve">of </w:t>
      </w:r>
      <w:r w:rsidR="00DB5705" w:rsidRPr="003C0CD7">
        <w:rPr>
          <w:lang w:val="en-IE"/>
        </w:rPr>
        <w:t xml:space="preserve">NDICI - </w:t>
      </w:r>
      <w:r w:rsidR="008640DB" w:rsidRPr="003C0CD7">
        <w:rPr>
          <w:rFonts w:cs="Times New Roman"/>
          <w:color w:val="000000" w:themeColor="text1"/>
          <w:lang w:val="en-IE"/>
        </w:rPr>
        <w:t xml:space="preserve">Global Europe </w:t>
      </w:r>
      <w:r w:rsidRPr="003C0CD7">
        <w:rPr>
          <w:lang w:val="en-IE"/>
        </w:rPr>
        <w:t>Regulation.</w:t>
      </w:r>
    </w:p>
    <w:p w14:paraId="446E8ED4" w14:textId="07AD6368" w:rsidR="007C3E5D" w:rsidRPr="00F720A7" w:rsidRDefault="00FD7FCD" w:rsidP="00F720A7">
      <w:pPr>
        <w:pStyle w:val="Heading1"/>
      </w:pPr>
      <w:bookmarkStart w:id="5" w:name="_Toc73090730"/>
      <w:r w:rsidRPr="00F720A7">
        <w:t>SYNOPSIS</w:t>
      </w:r>
      <w:bookmarkEnd w:id="3"/>
      <w:bookmarkEnd w:id="4"/>
      <w:bookmarkEnd w:id="5"/>
    </w:p>
    <w:p w14:paraId="792F3CD0" w14:textId="77777777" w:rsidR="00D04CC6" w:rsidRPr="003C0CD7" w:rsidRDefault="00FD7FCD" w:rsidP="003C0CD7">
      <w:pPr>
        <w:pStyle w:val="Heading1"/>
        <w:numPr>
          <w:ilvl w:val="1"/>
          <w:numId w:val="1"/>
        </w:numPr>
        <w:rPr>
          <w:lang w:val="en-IE"/>
        </w:rPr>
      </w:pPr>
      <w:bookmarkStart w:id="6" w:name="_Ref58358361"/>
      <w:bookmarkStart w:id="7" w:name="_Toc47101941"/>
      <w:bookmarkStart w:id="8" w:name="_Toc51270435"/>
      <w:bookmarkStart w:id="9" w:name="_Toc73090731"/>
      <w:r w:rsidRPr="003C0CD7">
        <w:rPr>
          <w:lang w:val="en-IE"/>
        </w:rPr>
        <w:t>Action Summary Table</w:t>
      </w:r>
      <w:bookmarkEnd w:id="6"/>
      <w:bookmarkEnd w:id="7"/>
      <w:bookmarkEnd w:id="8"/>
      <w:bookmarkEnd w:id="9"/>
      <w:r w:rsidR="00635A0A">
        <w:rPr>
          <w:rStyle w:val="FootnoteReference"/>
          <w:lang w:val="en-IE"/>
        </w:rPr>
        <w:footnoteReference w:id="2"/>
      </w:r>
    </w:p>
    <w:tbl>
      <w:tblPr>
        <w:tblW w:w="10632" w:type="dxa"/>
        <w:tblInd w:w="-5" w:type="dxa"/>
        <w:tblLayout w:type="fixed"/>
        <w:tblLook w:val="01E0" w:firstRow="1" w:lastRow="1" w:firstColumn="1" w:lastColumn="1" w:noHBand="0" w:noVBand="0"/>
      </w:tblPr>
      <w:tblGrid>
        <w:gridCol w:w="2330"/>
        <w:gridCol w:w="3482"/>
        <w:gridCol w:w="1559"/>
        <w:gridCol w:w="851"/>
        <w:gridCol w:w="709"/>
        <w:gridCol w:w="1701"/>
      </w:tblGrid>
      <w:tr w:rsidR="001E0154" w:rsidRPr="008704EA" w14:paraId="11FA176B"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243CFAEA" w14:textId="77777777" w:rsidR="003F31D4" w:rsidRPr="003C0CD7" w:rsidRDefault="003F31D4" w:rsidP="003F31D4">
            <w:pPr>
              <w:pStyle w:val="Text1"/>
              <w:spacing w:before="60" w:after="60"/>
              <w:ind w:left="0"/>
              <w:jc w:val="left"/>
              <w:rPr>
                <w:b/>
                <w:color w:val="0D0D0D" w:themeColor="text1" w:themeTint="F2"/>
                <w:lang w:val="en-IE"/>
              </w:rPr>
            </w:pPr>
            <w:r w:rsidRPr="003C0CD7">
              <w:rPr>
                <w:b/>
                <w:color w:val="0D0D0D" w:themeColor="text1" w:themeTint="F2"/>
                <w:lang w:val="en-IE"/>
              </w:rPr>
              <w:t>Title</w:t>
            </w:r>
          </w:p>
          <w:p w14:paraId="5272A684" w14:textId="77777777" w:rsidR="001E0154" w:rsidRPr="003C0CD7" w:rsidRDefault="001E0154" w:rsidP="003F31D4">
            <w:pPr>
              <w:pStyle w:val="Text1"/>
              <w:spacing w:before="60" w:after="60"/>
              <w:ind w:left="0"/>
              <w:jc w:val="left"/>
              <w:rPr>
                <w:b/>
                <w:color w:val="0D0D0D" w:themeColor="text1" w:themeTint="F2"/>
                <w:lang w:val="en-IE" w:eastAsia="de-D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27BD836" w14:textId="77777777" w:rsidR="0042413C" w:rsidRDefault="009C6991" w:rsidP="00497F73">
            <w:pPr>
              <w:pStyle w:val="Text1"/>
              <w:spacing w:before="60" w:after="60"/>
              <w:ind w:left="0" w:right="-25"/>
              <w:jc w:val="left"/>
              <w:rPr>
                <w:lang w:val="en-IE"/>
              </w:rPr>
            </w:pPr>
            <w:r>
              <w:rPr>
                <w:lang w:val="en-IE"/>
              </w:rPr>
              <w:t xml:space="preserve">EU for Enhanced Security </w:t>
            </w:r>
          </w:p>
          <w:p w14:paraId="0C46C4D7" w14:textId="1CE825A6" w:rsidR="001E0154" w:rsidRPr="003C0CD7" w:rsidRDefault="009C6991" w:rsidP="00497F73">
            <w:pPr>
              <w:pStyle w:val="Text1"/>
              <w:spacing w:before="60" w:after="60"/>
              <w:ind w:left="0" w:right="-25"/>
              <w:jc w:val="left"/>
              <w:rPr>
                <w:lang w:val="en-IE"/>
              </w:rPr>
            </w:pPr>
            <w:r>
              <w:rPr>
                <w:lang w:val="en-IE"/>
              </w:rPr>
              <w:t>Annual action plan in favour of North Macedonia 2024</w:t>
            </w:r>
          </w:p>
        </w:tc>
      </w:tr>
      <w:tr w:rsidR="004E5BC0" w:rsidRPr="008704EA" w14:paraId="350D1B69"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426116E6" w14:textId="77777777" w:rsidR="004E5BC0" w:rsidRPr="003C0CD7" w:rsidDel="00E20375" w:rsidRDefault="004E5BC0" w:rsidP="000C45F3">
            <w:pPr>
              <w:pStyle w:val="Text1"/>
              <w:spacing w:before="60" w:after="60"/>
              <w:ind w:left="0"/>
              <w:jc w:val="left"/>
              <w:rPr>
                <w:b/>
                <w:lang w:val="en-IE"/>
              </w:rPr>
            </w:pPr>
            <w:r w:rsidRPr="003C0CD7">
              <w:rPr>
                <w:b/>
                <w:lang w:val="en-IE"/>
              </w:rPr>
              <w:t xml:space="preserve">OPSYS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1B843C8" w14:textId="77777777" w:rsidR="00E647FF" w:rsidRPr="003C0CD7" w:rsidRDefault="00BF6D58" w:rsidP="00D310C3">
            <w:pPr>
              <w:pStyle w:val="Text1"/>
              <w:spacing w:before="60" w:after="60"/>
              <w:ind w:left="0" w:right="-25"/>
              <w:jc w:val="left"/>
              <w:rPr>
                <w:highlight w:val="yellow"/>
                <w:lang w:val="en-IE"/>
              </w:rPr>
            </w:pPr>
            <w:r w:rsidRPr="003C0CD7">
              <w:rPr>
                <w:highlight w:val="lightGray"/>
                <w:lang w:val="en-IE"/>
              </w:rPr>
              <w:t>[/O</w:t>
            </w:r>
            <w:r w:rsidR="000C45F3">
              <w:rPr>
                <w:highlight w:val="lightGray"/>
                <w:lang w:val="en-IE"/>
              </w:rPr>
              <w:t>P</w:t>
            </w:r>
            <w:r w:rsidRPr="003C0CD7">
              <w:rPr>
                <w:highlight w:val="lightGray"/>
                <w:lang w:val="en-IE"/>
              </w:rPr>
              <w:t>SYS business reference]</w:t>
            </w:r>
            <w:r w:rsidRPr="003C0CD7">
              <w:rPr>
                <w:rStyle w:val="FootnoteReference"/>
                <w:sz w:val="22"/>
                <w:szCs w:val="22"/>
                <w:highlight w:val="lightGray"/>
                <w:lang w:val="en-IE" w:eastAsia="de-DE"/>
              </w:rPr>
              <w:footnoteReference w:id="3"/>
            </w:r>
            <w:r w:rsidR="00701620">
              <w:rPr>
                <w:highlight w:val="lightGray"/>
                <w:lang w:val="en-IE"/>
              </w:rPr>
              <w:t>:</w:t>
            </w:r>
            <w:r w:rsidR="00701620" w:rsidRPr="001F110E">
              <w:rPr>
                <w:lang w:val="en-IE"/>
              </w:rPr>
              <w:t xml:space="preserve"> </w:t>
            </w:r>
            <w:r w:rsidR="00701620" w:rsidRPr="001F110E">
              <w:rPr>
                <w:highlight w:val="yellow"/>
                <w:lang w:val="en-IE"/>
              </w:rPr>
              <w:t>&lt;</w:t>
            </w:r>
            <w:r w:rsidR="00D76775">
              <w:rPr>
                <w:highlight w:val="yellow"/>
                <w:lang w:val="en-IE"/>
              </w:rPr>
              <w:t>reference</w:t>
            </w:r>
            <w:r w:rsidR="00701620" w:rsidRPr="001F110E">
              <w:rPr>
                <w:highlight w:val="yellow"/>
                <w:lang w:val="en-IE"/>
              </w:rPr>
              <w:t>&gt;</w:t>
            </w:r>
          </w:p>
        </w:tc>
      </w:tr>
      <w:tr w:rsidR="00D310C3" w:rsidRPr="008704EA" w14:paraId="637C5CF5" w14:textId="77777777" w:rsidTr="001F110E">
        <w:tc>
          <w:tcPr>
            <w:tcW w:w="2330" w:type="dxa"/>
            <w:tcBorders>
              <w:top w:val="single" w:sz="4" w:space="0" w:color="auto"/>
              <w:left w:val="single" w:sz="4" w:space="0" w:color="auto"/>
              <w:bottom w:val="single" w:sz="4" w:space="0" w:color="auto"/>
              <w:right w:val="single" w:sz="4" w:space="0" w:color="auto"/>
            </w:tcBorders>
            <w:shd w:val="clear" w:color="auto" w:fill="auto"/>
          </w:tcPr>
          <w:p w14:paraId="52E1571F" w14:textId="77777777" w:rsidR="00D310C3" w:rsidRPr="003C0CD7" w:rsidDel="000C45F3" w:rsidRDefault="00D310C3" w:rsidP="000C45F3">
            <w:pPr>
              <w:pStyle w:val="Text1"/>
              <w:spacing w:before="60" w:after="60"/>
              <w:ind w:left="0"/>
              <w:jc w:val="left"/>
              <w:rPr>
                <w:b/>
                <w:lang w:val="en-IE"/>
              </w:rPr>
            </w:pPr>
            <w:r>
              <w:rPr>
                <w:b/>
                <w:lang w:val="en-IE"/>
              </w:rPr>
              <w:t>ABAC</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9D82125" w14:textId="77777777" w:rsidR="00D310C3" w:rsidRPr="001F110E" w:rsidRDefault="00D310C3" w:rsidP="00D76775">
            <w:pPr>
              <w:pStyle w:val="Text1"/>
              <w:spacing w:before="60" w:after="60"/>
              <w:ind w:left="0" w:right="-25"/>
              <w:jc w:val="left"/>
              <w:rPr>
                <w:highlight w:val="lightGray"/>
              </w:rPr>
            </w:pPr>
            <w:r w:rsidRPr="00D310C3">
              <w:t xml:space="preserve">ABAC Commitment level 1 number: </w:t>
            </w:r>
            <w:r w:rsidRPr="001F110E">
              <w:rPr>
                <w:highlight w:val="yellow"/>
              </w:rPr>
              <w:t>&lt;reference&gt;</w:t>
            </w:r>
          </w:p>
        </w:tc>
      </w:tr>
      <w:tr w:rsidR="004E5BC0" w:rsidRPr="008704EA" w14:paraId="6B91289C"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35071F03" w14:textId="77777777" w:rsidR="004E5BC0" w:rsidRPr="003C0CD7" w:rsidDel="00E20375" w:rsidRDefault="004E5BC0" w:rsidP="003F31D4">
            <w:pPr>
              <w:pStyle w:val="Text1"/>
              <w:spacing w:before="60" w:after="60"/>
              <w:ind w:left="0"/>
              <w:jc w:val="left"/>
              <w:rPr>
                <w:b/>
                <w:color w:val="0D0D0D" w:themeColor="text1" w:themeTint="F2"/>
                <w:lang w:val="en-IE"/>
              </w:rPr>
            </w:pPr>
            <w:r w:rsidRPr="003C0CD7">
              <w:rPr>
                <w:b/>
                <w:color w:val="0D0D0D" w:themeColor="text1" w:themeTint="F2"/>
                <w:lang w:val="en-IE"/>
              </w:rPr>
              <w:t>Basic Act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D3D812A" w14:textId="77777777" w:rsidR="004E5BC0" w:rsidRPr="003C0CD7" w:rsidRDefault="004E5BC0" w:rsidP="00053C4A">
            <w:pPr>
              <w:pStyle w:val="Text1"/>
              <w:spacing w:before="60" w:after="60"/>
              <w:ind w:left="0" w:right="-25"/>
              <w:jc w:val="left"/>
              <w:rPr>
                <w:highlight w:val="yellow"/>
                <w:lang w:val="en-IE"/>
              </w:rPr>
            </w:pPr>
            <w:r w:rsidRPr="003C0CD7">
              <w:rPr>
                <w:lang w:val="en-IE"/>
              </w:rPr>
              <w:t>Financed under the Instrument for Pre-accession Assistance (IPA III)</w:t>
            </w:r>
          </w:p>
        </w:tc>
      </w:tr>
      <w:tr w:rsidR="00F54A1B" w:rsidRPr="008704EA" w14:paraId="705E765A" w14:textId="77777777" w:rsidTr="00833133">
        <w:trPr>
          <w:trHeight w:val="913"/>
        </w:trPr>
        <w:tc>
          <w:tcPr>
            <w:tcW w:w="2330" w:type="dxa"/>
            <w:tcBorders>
              <w:top w:val="single" w:sz="4" w:space="0" w:color="auto"/>
              <w:left w:val="single" w:sz="4" w:space="0" w:color="auto"/>
              <w:bottom w:val="single" w:sz="4" w:space="0" w:color="FFFFFF" w:themeColor="background1"/>
              <w:right w:val="single" w:sz="4" w:space="0" w:color="auto"/>
            </w:tcBorders>
            <w:shd w:val="clear" w:color="auto" w:fill="auto"/>
          </w:tcPr>
          <w:p w14:paraId="2DC32013" w14:textId="68CCFFBE" w:rsidR="00DA4A97" w:rsidRPr="003C0CD7" w:rsidRDefault="00F54A1B" w:rsidP="00990EC8">
            <w:pPr>
              <w:pStyle w:val="Text1"/>
              <w:spacing w:before="60" w:after="60"/>
              <w:ind w:left="0"/>
              <w:jc w:val="left"/>
              <w:rPr>
                <w:b/>
                <w:color w:val="0D0D0D" w:themeColor="text1" w:themeTint="F2"/>
                <w:lang w:val="en-IE"/>
              </w:rPr>
            </w:pPr>
            <w:r>
              <w:rPr>
                <w:b/>
                <w:color w:val="0D0D0D" w:themeColor="text1" w:themeTint="F2"/>
                <w:lang w:val="en-IE"/>
              </w:rPr>
              <w:t>Economic and Investment Plan</w:t>
            </w:r>
            <w:r w:rsidR="00CF7516">
              <w:rPr>
                <w:b/>
                <w:color w:val="0D0D0D" w:themeColor="text1" w:themeTint="F2"/>
                <w:lang w:val="en-IE"/>
              </w:rPr>
              <w:t xml:space="preserve"> (EIP)</w:t>
            </w:r>
          </w:p>
        </w:tc>
        <w:tc>
          <w:tcPr>
            <w:tcW w:w="8302" w:type="dxa"/>
            <w:gridSpan w:val="5"/>
            <w:tcBorders>
              <w:top w:val="single" w:sz="4" w:space="0" w:color="auto"/>
              <w:left w:val="single" w:sz="4" w:space="0" w:color="auto"/>
              <w:bottom w:val="single" w:sz="4" w:space="0" w:color="FFFFFF" w:themeColor="background1"/>
              <w:right w:val="single" w:sz="4" w:space="0" w:color="auto"/>
            </w:tcBorders>
            <w:shd w:val="clear" w:color="auto" w:fill="auto"/>
          </w:tcPr>
          <w:p w14:paraId="31B239DE" w14:textId="6B394F61" w:rsidR="00F54A1B" w:rsidRPr="009C6991" w:rsidRDefault="0045742A" w:rsidP="00FB5323">
            <w:pPr>
              <w:pStyle w:val="Text1"/>
              <w:spacing w:before="60" w:after="60"/>
              <w:ind w:left="0" w:right="-25"/>
              <w:jc w:val="left"/>
              <w:rPr>
                <w:lang w:val="en-IE" w:eastAsia="de-DE"/>
              </w:rPr>
            </w:pPr>
            <w:r>
              <w:rPr>
                <w:lang w:val="en-IE" w:eastAsia="de-DE"/>
              </w:rPr>
              <w:t>Yes</w:t>
            </w:r>
          </w:p>
          <w:p w14:paraId="1D62BFA2" w14:textId="7A7C7363" w:rsidR="00DA4A97" w:rsidRPr="00212B20" w:rsidRDefault="00DA4A97" w:rsidP="00212B20">
            <w:pPr>
              <w:jc w:val="left"/>
              <w:rPr>
                <w:lang w:val="en-IE" w:eastAsia="en-IE"/>
              </w:rPr>
            </w:pPr>
          </w:p>
        </w:tc>
      </w:tr>
      <w:tr w:rsidR="004D48FC" w:rsidRPr="008704EA" w14:paraId="580BC069" w14:textId="77777777" w:rsidTr="004D48FC">
        <w:tc>
          <w:tcPr>
            <w:tcW w:w="2330" w:type="dxa"/>
            <w:tcBorders>
              <w:top w:val="single" w:sz="4" w:space="0" w:color="FFFFFF" w:themeColor="background1"/>
              <w:left w:val="single" w:sz="4" w:space="0" w:color="auto"/>
              <w:bottom w:val="single" w:sz="4" w:space="0" w:color="auto"/>
              <w:right w:val="single" w:sz="4" w:space="0" w:color="auto"/>
            </w:tcBorders>
            <w:shd w:val="clear" w:color="auto" w:fill="auto"/>
          </w:tcPr>
          <w:p w14:paraId="72EF45FD" w14:textId="77777777" w:rsidR="004D48FC" w:rsidRDefault="004D48FC" w:rsidP="00990EC8">
            <w:pPr>
              <w:pStyle w:val="Text1"/>
              <w:spacing w:before="60" w:after="60"/>
              <w:ind w:left="0"/>
              <w:jc w:val="left"/>
              <w:rPr>
                <w:b/>
                <w:color w:val="0D0D0D" w:themeColor="text1" w:themeTint="F2"/>
                <w:lang w:val="en-IE"/>
              </w:rPr>
            </w:pPr>
            <w:r>
              <w:rPr>
                <w:b/>
                <w:color w:val="0D0D0D" w:themeColor="text1" w:themeTint="F2"/>
                <w:lang w:val="en-IE"/>
              </w:rPr>
              <w:t>EIP Flagship</w:t>
            </w:r>
          </w:p>
        </w:tc>
        <w:tc>
          <w:tcPr>
            <w:tcW w:w="8302" w:type="dxa"/>
            <w:gridSpan w:val="5"/>
            <w:tcBorders>
              <w:top w:val="single" w:sz="4" w:space="0" w:color="FFFFFF" w:themeColor="background1"/>
              <w:left w:val="single" w:sz="4" w:space="0" w:color="auto"/>
              <w:bottom w:val="single" w:sz="4" w:space="0" w:color="auto"/>
              <w:right w:val="single" w:sz="4" w:space="0" w:color="auto"/>
            </w:tcBorders>
            <w:shd w:val="clear" w:color="auto" w:fill="auto"/>
          </w:tcPr>
          <w:p w14:paraId="605CFF4F" w14:textId="36F313E3" w:rsidR="004D48FC" w:rsidRDefault="004D48FC" w:rsidP="004D48FC">
            <w:pPr>
              <w:jc w:val="left"/>
              <w:rPr>
                <w:lang w:val="en-IE" w:eastAsia="en-IE"/>
              </w:rPr>
            </w:pPr>
            <w:r w:rsidRPr="00CB5E8C">
              <w:rPr>
                <w:lang w:val="en-IE" w:eastAsia="de-DE"/>
              </w:rPr>
              <w:t>Yes</w:t>
            </w:r>
          </w:p>
          <w:p w14:paraId="2F472964" w14:textId="764300C9" w:rsidR="004D48FC" w:rsidRPr="003B1AD0" w:rsidRDefault="004D48FC" w:rsidP="003B1AD0">
            <w:pPr>
              <w:pStyle w:val="Text1"/>
              <w:spacing w:before="60" w:after="60"/>
              <w:ind w:left="0" w:right="-25"/>
              <w:rPr>
                <w:color w:val="0D0D0D" w:themeColor="text1" w:themeTint="F2"/>
                <w:lang w:val="en-IE" w:eastAsia="de-DE"/>
              </w:rPr>
            </w:pPr>
            <w:r w:rsidRPr="00CB5E8C">
              <w:rPr>
                <w:color w:val="0D0D0D" w:themeColor="text1" w:themeTint="F2"/>
                <w:lang w:val="en-IE" w:eastAsia="de-DE"/>
              </w:rPr>
              <w:t xml:space="preserve"> </w:t>
            </w:r>
            <w:r w:rsidR="003B1AD0" w:rsidRPr="00DC1621">
              <w:rPr>
                <w:color w:val="0D0D0D" w:themeColor="text1" w:themeTint="F2"/>
                <w:lang w:val="en-IE" w:eastAsia="de-DE"/>
              </w:rPr>
              <w:t>Priorit</w:t>
            </w:r>
            <w:r w:rsidR="003B1AD0">
              <w:rPr>
                <w:color w:val="0D0D0D" w:themeColor="text1" w:themeTint="F2"/>
                <w:lang w:val="en-IE" w:eastAsia="de-DE"/>
              </w:rPr>
              <w:t>y Area</w:t>
            </w:r>
            <w:r w:rsidR="003B1AD0" w:rsidRPr="00DC1621">
              <w:rPr>
                <w:color w:val="0D0D0D" w:themeColor="text1" w:themeTint="F2"/>
                <w:lang w:val="en-IE" w:eastAsia="de-DE"/>
              </w:rPr>
              <w:t xml:space="preserve">: </w:t>
            </w:r>
            <w:r w:rsidRPr="00CB5E8C">
              <w:rPr>
                <w:color w:val="0D0D0D" w:themeColor="text1" w:themeTint="F2"/>
                <w:lang w:val="en-IE" w:eastAsia="de-DE"/>
              </w:rPr>
              <w:t>“Rule of law, governance and Public administration reform”</w:t>
            </w:r>
            <w:r w:rsidR="00CF6FD5">
              <w:rPr>
                <w:color w:val="0D0D0D" w:themeColor="text1" w:themeTint="F2"/>
                <w:lang w:val="en-IE" w:eastAsia="de-DE"/>
              </w:rPr>
              <w:t xml:space="preserve"> – 100%</w:t>
            </w:r>
          </w:p>
        </w:tc>
      </w:tr>
      <w:tr w:rsidR="00FB5323" w:rsidRPr="008704EA" w14:paraId="0D114DA3"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55E1693D" w14:textId="77777777" w:rsidR="00FB5323" w:rsidRPr="003C0CD7" w:rsidRDefault="00FB5323" w:rsidP="00990EC8">
            <w:pPr>
              <w:pStyle w:val="Text1"/>
              <w:spacing w:before="60" w:after="60"/>
              <w:ind w:left="0"/>
              <w:jc w:val="left"/>
              <w:rPr>
                <w:b/>
                <w:color w:val="0D0D0D" w:themeColor="text1" w:themeTint="F2"/>
                <w:lang w:val="en-IE"/>
              </w:rPr>
            </w:pPr>
            <w:r w:rsidRPr="003C0CD7">
              <w:rPr>
                <w:b/>
                <w:color w:val="0D0D0D" w:themeColor="text1" w:themeTint="F2"/>
                <w:lang w:val="en-IE"/>
              </w:rPr>
              <w:t>Team Europe</w:t>
            </w:r>
            <w:r w:rsidR="00990EC8">
              <w:rPr>
                <w:rStyle w:val="FootnoteReference"/>
                <w:b/>
                <w:color w:val="0D0D0D" w:themeColor="text1" w:themeTint="F2"/>
                <w:lang w:val="en-IE"/>
              </w:rPr>
              <w:footnoteReference w:id="4"/>
            </w:r>
            <w:r w:rsidRPr="003C0CD7">
              <w:rPr>
                <w:b/>
                <w:color w:val="0D0D0D" w:themeColor="text1" w:themeTint="F2"/>
                <w:lang w:val="en-IE"/>
              </w:rPr>
              <w:t xml:space="preserve">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7F069A2" w14:textId="415DFE4A" w:rsidR="00FB5323" w:rsidRPr="003C0CD7" w:rsidRDefault="00FB5323" w:rsidP="003B1AD0">
            <w:pPr>
              <w:pStyle w:val="Text1"/>
              <w:spacing w:before="60" w:after="60"/>
              <w:ind w:left="0" w:right="-25"/>
              <w:jc w:val="left"/>
              <w:rPr>
                <w:lang w:val="en-IE" w:eastAsia="de-DE"/>
              </w:rPr>
            </w:pPr>
            <w:r w:rsidRPr="00E93835">
              <w:rPr>
                <w:lang w:val="en-IE" w:eastAsia="de-DE"/>
              </w:rPr>
              <w:t>No</w:t>
            </w:r>
          </w:p>
        </w:tc>
      </w:tr>
      <w:tr w:rsidR="001E0154" w:rsidRPr="008704EA" w14:paraId="23B47843"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BDC1B43" w14:textId="77777777" w:rsidR="001E0154" w:rsidRPr="003C0CD7" w:rsidRDefault="006030C3" w:rsidP="00EE2F85">
            <w:pPr>
              <w:pStyle w:val="Text1"/>
              <w:spacing w:before="60" w:after="60"/>
              <w:ind w:left="0"/>
              <w:jc w:val="left"/>
              <w:rPr>
                <w:b/>
                <w:color w:val="0D0D0D" w:themeColor="text1" w:themeTint="F2"/>
                <w:lang w:val="en-IE"/>
              </w:rPr>
            </w:pPr>
            <w:r>
              <w:rPr>
                <w:b/>
                <w:color w:val="0D0D0D" w:themeColor="text1" w:themeTint="F2"/>
                <w:lang w:val="en-IE"/>
              </w:rPr>
              <w:t>Beneficiar</w:t>
            </w:r>
            <w:r w:rsidR="00EE2F85">
              <w:rPr>
                <w:b/>
                <w:color w:val="0D0D0D" w:themeColor="text1" w:themeTint="F2"/>
                <w:lang w:val="en-IE"/>
              </w:rPr>
              <w:t>(</w:t>
            </w:r>
            <w:r w:rsidR="009D243C">
              <w:rPr>
                <w:b/>
                <w:color w:val="0D0D0D" w:themeColor="text1" w:themeTint="F2"/>
                <w:lang w:val="en-IE"/>
              </w:rPr>
              <w:t>y</w:t>
            </w:r>
            <w:r w:rsidR="00EE2F85">
              <w:rPr>
                <w:b/>
                <w:color w:val="0D0D0D" w:themeColor="text1" w:themeTint="F2"/>
                <w:lang w:val="en-IE"/>
              </w:rPr>
              <w:t>)</w:t>
            </w:r>
            <w:r w:rsidR="009D243C">
              <w:rPr>
                <w:b/>
                <w:color w:val="0D0D0D" w:themeColor="text1" w:themeTint="F2"/>
                <w:lang w:val="en-IE"/>
              </w:rPr>
              <w:t>/</w:t>
            </w:r>
            <w:r w:rsidR="00EE2F85">
              <w:rPr>
                <w:b/>
                <w:color w:val="0D0D0D" w:themeColor="text1" w:themeTint="F2"/>
                <w:lang w:val="en-IE"/>
              </w:rPr>
              <w:t>(</w:t>
            </w:r>
            <w:r w:rsidR="009D243C">
              <w:rPr>
                <w:b/>
                <w:color w:val="0D0D0D" w:themeColor="text1" w:themeTint="F2"/>
                <w:lang w:val="en-IE"/>
              </w:rPr>
              <w:t>ies</w:t>
            </w:r>
            <w:r w:rsidR="00EE2F85">
              <w:rPr>
                <w:b/>
                <w:color w:val="0D0D0D" w:themeColor="text1" w:themeTint="F2"/>
                <w:lang w:val="en-IE"/>
              </w:rPr>
              <w:t>)</w:t>
            </w:r>
            <w:r w:rsidR="001E0154" w:rsidRPr="003C0CD7">
              <w:rPr>
                <w:b/>
                <w:color w:val="0D0D0D" w:themeColor="text1" w:themeTint="F2"/>
                <w:lang w:val="en-IE"/>
              </w:rPr>
              <w:t xml:space="preserve"> </w:t>
            </w:r>
            <w:r w:rsidR="009D243C">
              <w:rPr>
                <w:b/>
                <w:color w:val="0D0D0D" w:themeColor="text1" w:themeTint="F2"/>
                <w:lang w:val="en-IE"/>
              </w:rPr>
              <w:t>of</w:t>
            </w:r>
            <w:r w:rsidR="009D243C" w:rsidRPr="003C0CD7">
              <w:rPr>
                <w:b/>
                <w:color w:val="0D0D0D" w:themeColor="text1" w:themeTint="F2"/>
                <w:lang w:val="en-IE"/>
              </w:rPr>
              <w:t xml:space="preserve"> </w:t>
            </w:r>
            <w:r w:rsidR="001E0154" w:rsidRPr="003C0CD7">
              <w:rPr>
                <w:b/>
                <w:color w:val="0D0D0D" w:themeColor="text1" w:themeTint="F2"/>
                <w:lang w:val="en-IE"/>
              </w:rPr>
              <w:t xml:space="preserve">the </w:t>
            </w:r>
            <w:r w:rsidR="0035261A" w:rsidRPr="003C0CD7">
              <w:rPr>
                <w:b/>
                <w:color w:val="0D0D0D" w:themeColor="text1" w:themeTint="F2"/>
                <w:lang w:val="en-IE"/>
              </w:rPr>
              <w:t>action</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307215A0" w14:textId="2938A120" w:rsidR="006E4F2E" w:rsidRPr="003C0CD7" w:rsidRDefault="00C146A2" w:rsidP="00E93835">
            <w:pPr>
              <w:spacing w:before="120" w:after="120"/>
              <w:ind w:right="-25"/>
              <w:rPr>
                <w:szCs w:val="24"/>
                <w:lang w:val="en-IE"/>
              </w:rPr>
            </w:pPr>
            <w:r w:rsidRPr="0082062A">
              <w:rPr>
                <w:szCs w:val="24"/>
                <w:lang w:val="en-IE"/>
              </w:rPr>
              <w:t xml:space="preserve">The action shall be carried out in </w:t>
            </w:r>
            <w:r w:rsidR="00E93835">
              <w:rPr>
                <w:szCs w:val="24"/>
                <w:lang w:val="en-IE"/>
              </w:rPr>
              <w:t>North Macedonia</w:t>
            </w:r>
          </w:p>
        </w:tc>
      </w:tr>
      <w:tr w:rsidR="001E0154" w:rsidRPr="008704EA" w14:paraId="10C74559"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5D7673B6" w14:textId="77777777" w:rsidR="001E0154" w:rsidRPr="003C0CD7" w:rsidRDefault="001E0154" w:rsidP="00E20375">
            <w:pPr>
              <w:pStyle w:val="Text1"/>
              <w:spacing w:before="60" w:after="60"/>
              <w:ind w:left="0"/>
              <w:jc w:val="left"/>
              <w:rPr>
                <w:b/>
                <w:color w:val="0D0D0D" w:themeColor="text1" w:themeTint="F2"/>
                <w:lang w:val="en-IE"/>
              </w:rPr>
            </w:pPr>
            <w:r w:rsidRPr="003C0CD7">
              <w:rPr>
                <w:b/>
                <w:color w:val="0D0D0D" w:themeColor="text1" w:themeTint="F2"/>
                <w:lang w:val="en-IE"/>
              </w:rPr>
              <w:lastRenderedPageBreak/>
              <w:t>Programming document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441F100" w14:textId="77777777" w:rsidR="001E0154" w:rsidRPr="003C0CD7" w:rsidRDefault="005C2C9B" w:rsidP="00C87704">
            <w:pPr>
              <w:spacing w:before="120" w:after="120"/>
              <w:ind w:right="-25"/>
              <w:rPr>
                <w:rFonts w:cs="Times New Roman"/>
                <w:color w:val="0D0D0D" w:themeColor="text1" w:themeTint="F2"/>
                <w:szCs w:val="24"/>
                <w:lang w:val="en-IE"/>
              </w:rPr>
            </w:pPr>
            <w:r w:rsidRPr="003C0CD7">
              <w:rPr>
                <w:szCs w:val="24"/>
                <w:lang w:val="en-IE"/>
              </w:rPr>
              <w:t>IPA III Programming Framework</w:t>
            </w:r>
          </w:p>
        </w:tc>
      </w:tr>
      <w:tr w:rsidR="00BF051C" w:rsidRPr="008704EA" w14:paraId="19C7218F"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47BC3196" w14:textId="77777777" w:rsidR="00BF051C" w:rsidRPr="003C0CD7" w:rsidRDefault="008B15AE" w:rsidP="00313272">
            <w:pPr>
              <w:jc w:val="center"/>
              <w:rPr>
                <w:b/>
                <w:szCs w:val="24"/>
                <w:lang w:val="en-IE" w:eastAsia="de-DE"/>
              </w:rPr>
            </w:pPr>
            <w:r w:rsidRPr="003C0CD7">
              <w:rPr>
                <w:b/>
                <w:szCs w:val="24"/>
                <w:lang w:val="en-IE"/>
              </w:rPr>
              <w:t xml:space="preserve">PRIORITY AREAS AND </w:t>
            </w:r>
            <w:r w:rsidR="00BF051C" w:rsidRPr="003C0CD7">
              <w:rPr>
                <w:b/>
                <w:szCs w:val="24"/>
                <w:lang w:val="en-IE"/>
              </w:rPr>
              <w:t>SECTOR INFORMATION</w:t>
            </w:r>
          </w:p>
        </w:tc>
      </w:tr>
      <w:tr w:rsidR="00433309" w:rsidRPr="008704EA" w14:paraId="0D29056B"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075F2B2B" w14:textId="77777777" w:rsidR="00433309" w:rsidRPr="003C0CD7" w:rsidRDefault="00F50118" w:rsidP="00B97C91">
            <w:pPr>
              <w:pStyle w:val="Text1"/>
              <w:spacing w:before="0" w:after="0"/>
              <w:ind w:left="0"/>
              <w:jc w:val="left"/>
              <w:rPr>
                <w:b/>
                <w:color w:val="0D0D0D" w:themeColor="text1" w:themeTint="F2"/>
                <w:lang w:val="en-IE"/>
              </w:rPr>
            </w:pPr>
            <w:r w:rsidRPr="003C0CD7">
              <w:rPr>
                <w:b/>
                <w:color w:val="0D0D0D" w:themeColor="text1" w:themeTint="F2"/>
                <w:lang w:val="en-IE"/>
              </w:rPr>
              <w:t>Window</w:t>
            </w:r>
            <w:r w:rsidR="00B97C91" w:rsidRPr="003C0CD7">
              <w:rPr>
                <w:b/>
                <w:color w:val="0D0D0D" w:themeColor="text1" w:themeTint="F2"/>
                <w:lang w:val="en-IE"/>
              </w:rPr>
              <w:t xml:space="preserve"> and</w:t>
            </w:r>
            <w:r w:rsidR="00D46E4D" w:rsidRPr="003C0CD7">
              <w:rPr>
                <w:b/>
                <w:color w:val="0D0D0D" w:themeColor="text1" w:themeTint="F2"/>
                <w:lang w:val="en-IE"/>
              </w:rPr>
              <w:t xml:space="preserve"> </w:t>
            </w:r>
            <w:r w:rsidR="00B97C91" w:rsidRPr="003C0CD7">
              <w:rPr>
                <w:b/>
                <w:color w:val="0D0D0D" w:themeColor="text1" w:themeTint="F2"/>
                <w:lang w:val="en-IE"/>
              </w:rPr>
              <w:t>thematic p</w:t>
            </w:r>
            <w:r w:rsidRPr="003C0CD7">
              <w:rPr>
                <w:b/>
                <w:color w:val="0D0D0D" w:themeColor="text1" w:themeTint="F2"/>
                <w:lang w:val="en-IE"/>
              </w:rPr>
              <w:t>riority</w:t>
            </w:r>
            <w:r w:rsidR="00635A0A">
              <w:rPr>
                <w:rStyle w:val="FootnoteReference"/>
                <w:b/>
                <w:color w:val="0D0D0D" w:themeColor="text1" w:themeTint="F2"/>
                <w:lang w:val="en-IE"/>
              </w:rPr>
              <w:footnoteReference w:id="5"/>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907B748" w14:textId="4D84EFF8" w:rsidR="00635A0A" w:rsidRDefault="00635A0A" w:rsidP="00635A0A">
            <w:pPr>
              <w:pStyle w:val="Text1"/>
              <w:spacing w:before="60" w:after="60"/>
              <w:ind w:left="0" w:right="-25"/>
              <w:jc w:val="left"/>
              <w:rPr>
                <w:lang w:val="en-IE"/>
              </w:rPr>
            </w:pPr>
            <w:r>
              <w:rPr>
                <w:lang w:val="en-IE"/>
              </w:rPr>
              <w:t>Window</w:t>
            </w:r>
            <w:r w:rsidR="00E93835">
              <w:rPr>
                <w:lang w:val="en-IE"/>
              </w:rPr>
              <w:t xml:space="preserve"> 1: </w:t>
            </w:r>
            <w:r>
              <w:rPr>
                <w:lang w:val="en-IE"/>
              </w:rPr>
              <w:t xml:space="preserve"> </w:t>
            </w:r>
            <w:r w:rsidR="00E93835">
              <w:rPr>
                <w:lang w:val="en-IE"/>
              </w:rPr>
              <w:t>Rule of law, fundamental rights and democracy</w:t>
            </w:r>
          </w:p>
          <w:p w14:paraId="2B523E33" w14:textId="64A60FBB" w:rsidR="00DC0AC4" w:rsidRPr="003C0CD7" w:rsidRDefault="00635A0A" w:rsidP="003B1AD0">
            <w:pPr>
              <w:pStyle w:val="Text1"/>
              <w:spacing w:before="60" w:after="60"/>
              <w:ind w:left="0" w:right="-25"/>
              <w:jc w:val="left"/>
              <w:rPr>
                <w:lang w:val="en-IE"/>
              </w:rPr>
            </w:pPr>
            <w:r>
              <w:rPr>
                <w:lang w:val="en-IE"/>
              </w:rPr>
              <w:t>Thematic Priority</w:t>
            </w:r>
            <w:r w:rsidR="00E93835">
              <w:rPr>
                <w:lang w:val="en-IE"/>
              </w:rPr>
              <w:t xml:space="preserve"> 3 Fight against organised crime/security </w:t>
            </w:r>
            <w:r w:rsidR="003B1AD0">
              <w:rPr>
                <w:lang w:val="en-IE"/>
              </w:rPr>
              <w:t>(100</w:t>
            </w:r>
            <w:r w:rsidRPr="003775F2">
              <w:rPr>
                <w:lang w:val="en-IE"/>
              </w:rPr>
              <w:t xml:space="preserve"> %</w:t>
            </w:r>
            <w:r w:rsidR="00037227">
              <w:rPr>
                <w:lang w:val="en-IE"/>
              </w:rPr>
              <w:t>)</w:t>
            </w:r>
          </w:p>
        </w:tc>
      </w:tr>
      <w:tr w:rsidR="00433309" w:rsidRPr="008704EA" w14:paraId="4721587A"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79C19A02" w14:textId="77777777" w:rsidR="00433309" w:rsidRPr="003C0CD7" w:rsidRDefault="00433309" w:rsidP="00433309">
            <w:pPr>
              <w:pStyle w:val="Text1"/>
              <w:spacing w:before="0" w:after="0"/>
              <w:ind w:left="0"/>
              <w:jc w:val="left"/>
              <w:rPr>
                <w:b/>
                <w:color w:val="0D0D0D" w:themeColor="text1" w:themeTint="F2"/>
                <w:lang w:val="en-IE"/>
              </w:rPr>
            </w:pPr>
            <w:r w:rsidRPr="003C0CD7">
              <w:rPr>
                <w:b/>
                <w:color w:val="0D0D0D" w:themeColor="text1" w:themeTint="F2"/>
                <w:lang w:val="en-IE"/>
              </w:rPr>
              <w:t>Sustainable Development Goals (SDGs)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33E2B27" w14:textId="5671CEEC" w:rsidR="00433309" w:rsidRPr="003C0CD7" w:rsidRDefault="00433309" w:rsidP="00433309">
            <w:pPr>
              <w:pStyle w:val="Text1"/>
              <w:spacing w:before="60" w:after="60"/>
              <w:ind w:left="0" w:right="-25"/>
              <w:jc w:val="left"/>
              <w:rPr>
                <w:lang w:val="en-IE"/>
              </w:rPr>
            </w:pPr>
            <w:r w:rsidRPr="003C0CD7">
              <w:rPr>
                <w:lang w:val="en-IE"/>
              </w:rPr>
              <w:t xml:space="preserve">Main SDG </w:t>
            </w:r>
            <w:r w:rsidR="00E93835">
              <w:rPr>
                <w:lang w:val="en-IE"/>
              </w:rPr>
              <w:t>16: Peace, Justice and Strong Institutions</w:t>
            </w:r>
            <w:r w:rsidRPr="003C0CD7">
              <w:rPr>
                <w:lang w:val="en-IE"/>
              </w:rPr>
              <w:t xml:space="preserve"> </w:t>
            </w:r>
          </w:p>
          <w:p w14:paraId="530A2459" w14:textId="671C1896" w:rsidR="00433309" w:rsidRPr="003C0CD7" w:rsidRDefault="00433309" w:rsidP="00433309">
            <w:pPr>
              <w:pStyle w:val="Text1"/>
              <w:spacing w:before="60" w:after="60"/>
              <w:ind w:left="0" w:right="-25"/>
              <w:jc w:val="left"/>
              <w:rPr>
                <w:highlight w:val="yellow"/>
                <w:lang w:val="en-IE"/>
              </w:rPr>
            </w:pPr>
          </w:p>
        </w:tc>
      </w:tr>
      <w:tr w:rsidR="00433309" w:rsidRPr="003B1AD0" w14:paraId="4B613589"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54C1A9B" w14:textId="77777777" w:rsidR="00433309" w:rsidRPr="003C0CD7" w:rsidRDefault="00433309" w:rsidP="00E16935">
            <w:pPr>
              <w:pStyle w:val="Text1"/>
              <w:spacing w:before="0" w:after="0"/>
              <w:ind w:left="0"/>
              <w:jc w:val="left"/>
              <w:rPr>
                <w:b/>
                <w:bCs/>
                <w:lang w:val="en-IE"/>
              </w:rPr>
            </w:pPr>
            <w:r w:rsidRPr="003C0CD7">
              <w:rPr>
                <w:b/>
                <w:bCs/>
                <w:lang w:val="en-IE"/>
              </w:rPr>
              <w:t>DAC code(s)</w:t>
            </w:r>
            <w:r w:rsidRPr="003C0CD7">
              <w:rPr>
                <w:rStyle w:val="FootnoteReference"/>
                <w:lang w:val="en-IE"/>
              </w:rPr>
              <w:footnoteReference w:id="6"/>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4AEA79E" w14:textId="06405CE5" w:rsidR="00433309" w:rsidRPr="003B1AD0" w:rsidRDefault="003B1AD0" w:rsidP="00433309">
            <w:pPr>
              <w:pStyle w:val="Text1"/>
              <w:spacing w:before="60" w:after="60"/>
              <w:ind w:left="0" w:right="-25"/>
              <w:jc w:val="left"/>
              <w:rPr>
                <w:rStyle w:val="FootnoteReference"/>
              </w:rPr>
            </w:pPr>
            <w:r w:rsidRPr="003B1AD0">
              <w:t xml:space="preserve">15210 - </w:t>
            </w:r>
            <w:r>
              <w:rPr>
                <w:rStyle w:val="ng-star-inserted"/>
              </w:rPr>
              <w:t>Security system management and reform</w:t>
            </w:r>
          </w:p>
        </w:tc>
      </w:tr>
      <w:tr w:rsidR="00433309" w:rsidRPr="008704EA" w14:paraId="07ACC19C"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B4F9A24" w14:textId="19C645E6" w:rsidR="00433309" w:rsidRPr="003C0CD7" w:rsidRDefault="00433309" w:rsidP="00433309">
            <w:pPr>
              <w:pStyle w:val="Text1"/>
              <w:spacing w:before="0" w:after="0"/>
              <w:ind w:left="0"/>
              <w:jc w:val="left"/>
              <w:rPr>
                <w:b/>
                <w:bCs/>
                <w:lang w:val="en-IE"/>
              </w:rPr>
            </w:pPr>
            <w:r w:rsidRPr="003C0CD7">
              <w:rPr>
                <w:b/>
                <w:bCs/>
                <w:lang w:val="en-IE"/>
              </w:rPr>
              <w:t xml:space="preserve">Main Delivery   Channel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7D93AF5" w14:textId="2D7C6F4A" w:rsidR="00433309" w:rsidRPr="00EE66E0" w:rsidRDefault="00EE66E0" w:rsidP="00433309">
            <w:pPr>
              <w:pStyle w:val="Text1"/>
              <w:spacing w:before="60" w:after="60"/>
              <w:ind w:left="0" w:right="-25"/>
              <w:jc w:val="left"/>
              <w:rPr>
                <w:lang w:val="en-IE" w:eastAsia="de-DE"/>
              </w:rPr>
            </w:pPr>
            <w:r w:rsidRPr="00EE66E0">
              <w:rPr>
                <w:lang w:val="en-IE" w:eastAsia="de-DE"/>
              </w:rPr>
              <w:t>12000-Recipient Government</w:t>
            </w:r>
            <w:r w:rsidR="00433309" w:rsidRPr="00EE66E0">
              <w:rPr>
                <w:lang w:val="en-IE" w:eastAsia="de-DE"/>
              </w:rPr>
              <w:t xml:space="preserve"> </w:t>
            </w:r>
          </w:p>
          <w:p w14:paraId="13B7A7CB" w14:textId="65EDF329" w:rsidR="00433309" w:rsidRPr="003C0CD7" w:rsidRDefault="00433309" w:rsidP="00433309">
            <w:pPr>
              <w:pStyle w:val="Text1"/>
              <w:spacing w:before="60" w:after="60"/>
              <w:ind w:left="0" w:right="-25"/>
              <w:jc w:val="left"/>
              <w:rPr>
                <w:i/>
                <w:highlight w:val="yellow"/>
                <w:lang w:val="en-IE" w:eastAsia="de-DE"/>
              </w:rPr>
            </w:pPr>
          </w:p>
        </w:tc>
      </w:tr>
      <w:tr w:rsidR="00D10305" w:rsidRPr="00C85643" w14:paraId="014BC60E" w14:textId="77777777" w:rsidTr="001F110E">
        <w:tc>
          <w:tcPr>
            <w:tcW w:w="2330" w:type="dxa"/>
            <w:tcBorders>
              <w:top w:val="single" w:sz="4" w:space="0" w:color="auto"/>
              <w:left w:val="single" w:sz="4" w:space="0" w:color="auto"/>
              <w:bottom w:val="single" w:sz="4" w:space="0" w:color="auto"/>
              <w:right w:val="single" w:sz="4" w:space="0" w:color="auto"/>
            </w:tcBorders>
            <w:shd w:val="clear" w:color="auto" w:fill="auto"/>
          </w:tcPr>
          <w:p w14:paraId="098C2D41" w14:textId="77777777" w:rsidR="00D10305" w:rsidRPr="003C0CD7" w:rsidRDefault="00D10305" w:rsidP="00433309">
            <w:pPr>
              <w:pStyle w:val="Text1"/>
              <w:spacing w:before="0" w:after="0"/>
              <w:ind w:left="0"/>
              <w:jc w:val="left"/>
              <w:rPr>
                <w:b/>
                <w:bCs/>
                <w:lang w:val="en-IE"/>
              </w:rPr>
            </w:pPr>
            <w:r>
              <w:rPr>
                <w:b/>
                <w:bCs/>
                <w:lang w:val="en-IE"/>
              </w:rPr>
              <w:t>Targets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83CAF65" w14:textId="77777777" w:rsidR="00D10305" w:rsidRPr="00D10305" w:rsidRDefault="00A86B61"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1095621497"/>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w:t>
            </w:r>
            <w:r w:rsidR="00D10305" w:rsidRPr="00D10305">
              <w:rPr>
                <w:rFonts w:eastAsia="MS Gothic"/>
                <w:color w:val="0D0D0D" w:themeColor="text1" w:themeTint="F2"/>
                <w:lang w:val="en-IE"/>
              </w:rPr>
              <w:t>Climate</w:t>
            </w:r>
          </w:p>
          <w:p w14:paraId="2B2196CD" w14:textId="03D95390" w:rsidR="00D10305" w:rsidRPr="00D10305" w:rsidRDefault="00A86B61"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461931768"/>
                <w14:checkbox>
                  <w14:checked w14:val="1"/>
                  <w14:checkedState w14:val="2612" w14:font="MS Gothic"/>
                  <w14:uncheckedState w14:val="2610" w14:font="MS Gothic"/>
                </w14:checkbox>
              </w:sdtPr>
              <w:sdtEndPr/>
              <w:sdtContent>
                <w:r w:rsidR="003B1AD0">
                  <w:rPr>
                    <w:rFonts w:ascii="MS Gothic" w:eastAsia="MS Gothic" w:hAnsi="MS Gothic" w:hint="eastAsia"/>
                    <w:color w:val="0D0D0D" w:themeColor="text1" w:themeTint="F2"/>
                    <w:lang w:val="en-IE"/>
                  </w:rPr>
                  <w:t>☒</w:t>
                </w:r>
              </w:sdtContent>
            </w:sdt>
            <w:r w:rsidR="00D10305" w:rsidRPr="00C85643">
              <w:rPr>
                <w:rFonts w:eastAsia="MS Gothic"/>
                <w:color w:val="0D0D0D" w:themeColor="text1" w:themeTint="F2"/>
                <w:lang w:val="en-IE"/>
              </w:rPr>
              <w:t xml:space="preserve"> Gender</w:t>
            </w:r>
          </w:p>
          <w:p w14:paraId="42A2F989" w14:textId="1F270C8B" w:rsidR="00D10305" w:rsidRPr="00D10305" w:rsidRDefault="00A86B61" w:rsidP="00433309">
            <w:pPr>
              <w:pStyle w:val="Text1"/>
              <w:spacing w:before="60" w:after="60"/>
              <w:ind w:left="0" w:right="-25"/>
              <w:jc w:val="left"/>
              <w:rPr>
                <w:highlight w:val="yellow"/>
                <w:lang w:val="en-IE" w:eastAsia="de-DE"/>
              </w:rPr>
            </w:pPr>
            <w:sdt>
              <w:sdtPr>
                <w:rPr>
                  <w:rFonts w:eastAsia="MS Gothic"/>
                  <w:color w:val="0D0D0D" w:themeColor="text1" w:themeTint="F2"/>
                  <w:lang w:val="en-IE"/>
                </w:rPr>
                <w:id w:val="345524675"/>
                <w14:checkbox>
                  <w14:checked w14:val="0"/>
                  <w14:checkedState w14:val="2612" w14:font="MS Gothic"/>
                  <w14:uncheckedState w14:val="2610" w14:font="MS Gothic"/>
                </w14:checkbox>
              </w:sdtPr>
              <w:sdtEndPr/>
              <w:sdtContent>
                <w:r w:rsidR="003B1AD0">
                  <w:rPr>
                    <w:rFonts w:ascii="MS Gothic" w:eastAsia="MS Gothic" w:hAnsi="MS Gothic" w:hint="eastAsia"/>
                    <w:color w:val="0D0D0D" w:themeColor="text1" w:themeTint="F2"/>
                    <w:lang w:val="en-IE"/>
                  </w:rPr>
                  <w:t>☐</w:t>
                </w:r>
              </w:sdtContent>
            </w:sdt>
            <w:r w:rsidR="00D10305" w:rsidRPr="00C85643">
              <w:rPr>
                <w:rFonts w:eastAsia="MS Gothic"/>
                <w:color w:val="0D0D0D" w:themeColor="text1" w:themeTint="F2"/>
                <w:lang w:val="en-IE"/>
              </w:rPr>
              <w:t xml:space="preserve"> Biodiversity</w:t>
            </w:r>
          </w:p>
        </w:tc>
      </w:tr>
      <w:tr w:rsidR="00433309" w:rsidRPr="008704EA" w14:paraId="3E41C58B" w14:textId="77777777" w:rsidTr="00C85643">
        <w:trPr>
          <w:trHeight w:val="45"/>
        </w:trPr>
        <w:tc>
          <w:tcPr>
            <w:tcW w:w="2330" w:type="dxa"/>
            <w:vMerge w:val="restart"/>
            <w:tcBorders>
              <w:top w:val="single" w:sz="4" w:space="0" w:color="auto"/>
              <w:left w:val="single" w:sz="4" w:space="0" w:color="auto"/>
              <w:right w:val="single" w:sz="4" w:space="0" w:color="auto"/>
            </w:tcBorders>
            <w:shd w:val="clear" w:color="auto" w:fill="auto"/>
          </w:tcPr>
          <w:p w14:paraId="52F9ACED" w14:textId="77777777" w:rsidR="00433309" w:rsidRPr="003C0CD7" w:rsidRDefault="00433309" w:rsidP="00433309">
            <w:pPr>
              <w:rPr>
                <w:rFonts w:cs="Times New Roman"/>
                <w:color w:val="0D0D0D" w:themeColor="text1" w:themeTint="F2"/>
                <w:szCs w:val="24"/>
                <w:lang w:val="en-IE"/>
              </w:rPr>
            </w:pPr>
            <w:r w:rsidRPr="003C0CD7">
              <w:rPr>
                <w:rFonts w:cs="Times New Roman"/>
                <w:b/>
                <w:bCs/>
                <w:color w:val="0D0D0D" w:themeColor="text1" w:themeTint="F2"/>
                <w:szCs w:val="24"/>
                <w:lang w:val="en-IE"/>
              </w:rPr>
              <w:t>Markers</w:t>
            </w:r>
            <w:r w:rsidRPr="003C0CD7">
              <w:rPr>
                <w:rStyle w:val="FootnoteReference"/>
                <w:rFonts w:eastAsia="Times New Roman" w:cs="Times New Roman"/>
                <w:b/>
                <w:bCs/>
                <w:color w:val="0D0D0D" w:themeColor="text1" w:themeTint="F2"/>
                <w:szCs w:val="24"/>
                <w:lang w:val="en-IE"/>
              </w:rPr>
              <w:footnoteReference w:id="7"/>
            </w:r>
          </w:p>
          <w:p w14:paraId="4F6BCF86" w14:textId="77777777" w:rsidR="00433309" w:rsidRPr="003C0CD7" w:rsidRDefault="00433309" w:rsidP="00433309">
            <w:pPr>
              <w:pStyle w:val="Text1"/>
              <w:spacing w:before="0" w:after="0"/>
              <w:ind w:left="0"/>
              <w:jc w:val="left"/>
              <w:rPr>
                <w:b/>
                <w:bCs/>
                <w:lang w:val="en-IE"/>
              </w:rPr>
            </w:pPr>
            <w:r w:rsidRPr="003C0CD7">
              <w:rPr>
                <w:b/>
                <w:color w:val="0D0D0D" w:themeColor="text1" w:themeTint="F2"/>
                <w:lang w:val="en-IE"/>
              </w:rPr>
              <w:t>(from DAC form)</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6051B4C" w14:textId="66743E20"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General policy objective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527B9"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401BA7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5AAA3C"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48A49695" w14:textId="77777777" w:rsidTr="00C85643">
        <w:trPr>
          <w:trHeight w:val="40"/>
        </w:trPr>
        <w:tc>
          <w:tcPr>
            <w:tcW w:w="2330" w:type="dxa"/>
            <w:vMerge/>
            <w:tcBorders>
              <w:left w:val="single" w:sz="4" w:space="0" w:color="auto"/>
              <w:right w:val="single" w:sz="4" w:space="0" w:color="auto"/>
            </w:tcBorders>
            <w:shd w:val="clear" w:color="auto" w:fill="auto"/>
          </w:tcPr>
          <w:p w14:paraId="7C44482C"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291C8A7"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Participation development/good governance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B9480" w14:textId="58B00D45"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889742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0CA035" w14:textId="4DE17298"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984583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AE373" w14:textId="2251832D"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96832528"/>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r>
      <w:tr w:rsidR="00433309" w:rsidRPr="008704EA" w14:paraId="649B989F" w14:textId="77777777" w:rsidTr="00C85643">
        <w:trPr>
          <w:trHeight w:val="40"/>
        </w:trPr>
        <w:tc>
          <w:tcPr>
            <w:tcW w:w="2330" w:type="dxa"/>
            <w:vMerge/>
            <w:tcBorders>
              <w:left w:val="single" w:sz="4" w:space="0" w:color="auto"/>
              <w:right w:val="single" w:sz="4" w:space="0" w:color="auto"/>
            </w:tcBorders>
            <w:shd w:val="clear" w:color="auto" w:fill="auto"/>
          </w:tcPr>
          <w:p w14:paraId="6D31A9DE"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4E9E64" w14:textId="5C496D6F"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Aid to environment</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F15CE" w14:textId="18816C15"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46379216"/>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7945182" w14:textId="528AEE46"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3663744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07C19E" w14:textId="0B688B6B"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99548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D310C3" w:rsidRPr="008704EA" w14:paraId="5E984A43" w14:textId="77777777" w:rsidTr="00C85643">
        <w:trPr>
          <w:trHeight w:val="638"/>
        </w:trPr>
        <w:tc>
          <w:tcPr>
            <w:tcW w:w="2330" w:type="dxa"/>
            <w:vMerge/>
            <w:tcBorders>
              <w:left w:val="single" w:sz="4" w:space="0" w:color="auto"/>
              <w:right w:val="single" w:sz="4" w:space="0" w:color="auto"/>
            </w:tcBorders>
            <w:shd w:val="clear" w:color="auto" w:fill="auto"/>
          </w:tcPr>
          <w:p w14:paraId="403AFDE1" w14:textId="77777777" w:rsidR="00D310C3" w:rsidRPr="003C0CD7" w:rsidRDefault="00D310C3" w:rsidP="00433309">
            <w:pPr>
              <w:rPr>
                <w:rFonts w:cs="Times New Roman"/>
                <w:b/>
                <w:bCs/>
                <w:color w:val="0D0D0D" w:themeColor="text1" w:themeTint="F2"/>
                <w:szCs w:val="24"/>
                <w:lang w:val="en-IE"/>
              </w:rPr>
            </w:pPr>
          </w:p>
        </w:tc>
        <w:tc>
          <w:tcPr>
            <w:tcW w:w="3482" w:type="dxa"/>
            <w:tcBorders>
              <w:top w:val="single" w:sz="4" w:space="0" w:color="auto"/>
              <w:left w:val="single" w:sz="4" w:space="0" w:color="auto"/>
              <w:right w:val="single" w:sz="4" w:space="0" w:color="auto"/>
            </w:tcBorders>
            <w:shd w:val="clear" w:color="auto" w:fill="auto"/>
          </w:tcPr>
          <w:p w14:paraId="322A6CB7" w14:textId="77777777" w:rsidR="00D310C3" w:rsidRPr="003C0CD7" w:rsidRDefault="00D310C3" w:rsidP="00433309">
            <w:pPr>
              <w:pStyle w:val="Text1"/>
              <w:spacing w:before="60" w:after="60"/>
              <w:ind w:left="0" w:right="-25"/>
              <w:jc w:val="left"/>
              <w:rPr>
                <w:highlight w:val="yellow"/>
                <w:lang w:val="en-IE" w:eastAsia="de-DE"/>
              </w:rPr>
            </w:pPr>
            <w:r w:rsidRPr="003C0CD7">
              <w:rPr>
                <w:color w:val="0D0D0D" w:themeColor="text1" w:themeTint="F2"/>
                <w:lang w:val="en-IE"/>
              </w:rPr>
              <w:t>Gender equality and women’s and girl’s empowerment</w:t>
            </w:r>
          </w:p>
        </w:tc>
        <w:tc>
          <w:tcPr>
            <w:tcW w:w="1559" w:type="dxa"/>
            <w:tcBorders>
              <w:top w:val="single" w:sz="4" w:space="0" w:color="auto"/>
              <w:left w:val="single" w:sz="4" w:space="0" w:color="auto"/>
              <w:right w:val="single" w:sz="4" w:space="0" w:color="auto"/>
            </w:tcBorders>
            <w:shd w:val="clear" w:color="auto" w:fill="auto"/>
          </w:tcPr>
          <w:p w14:paraId="2099895D" w14:textId="477403F6" w:rsidR="00D310C3"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6649658"/>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right w:val="single" w:sz="4" w:space="0" w:color="auto"/>
            </w:tcBorders>
            <w:shd w:val="clear" w:color="auto" w:fill="auto"/>
          </w:tcPr>
          <w:p w14:paraId="3D37894E" w14:textId="68B0A5BA" w:rsidR="00D310C3"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351844034"/>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right w:val="single" w:sz="4" w:space="0" w:color="auto"/>
            </w:tcBorders>
            <w:shd w:val="clear" w:color="auto" w:fill="auto"/>
          </w:tcPr>
          <w:p w14:paraId="169B4AFB" w14:textId="1BD1BF5B" w:rsidR="00D310C3"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00831899"/>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r>
      <w:tr w:rsidR="00433309" w:rsidRPr="008704EA" w14:paraId="022EBB68" w14:textId="77777777" w:rsidTr="00C85643">
        <w:trPr>
          <w:trHeight w:val="40"/>
        </w:trPr>
        <w:tc>
          <w:tcPr>
            <w:tcW w:w="2330" w:type="dxa"/>
            <w:vMerge/>
            <w:tcBorders>
              <w:left w:val="single" w:sz="4" w:space="0" w:color="auto"/>
              <w:right w:val="single" w:sz="4" w:space="0" w:color="auto"/>
            </w:tcBorders>
            <w:shd w:val="clear" w:color="auto" w:fill="auto"/>
          </w:tcPr>
          <w:p w14:paraId="1365C655"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2766420"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Reproductive, maternal, new-born and child health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BF0C6" w14:textId="1DD262EE"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09768690"/>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80AAE8" w14:textId="13B0FFE4"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8938036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94AFE" w14:textId="1376E095"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13145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4CBE52E2" w14:textId="77777777" w:rsidTr="00C85643">
        <w:trPr>
          <w:trHeight w:val="40"/>
        </w:trPr>
        <w:tc>
          <w:tcPr>
            <w:tcW w:w="2330" w:type="dxa"/>
            <w:vMerge/>
            <w:tcBorders>
              <w:left w:val="single" w:sz="4" w:space="0" w:color="auto"/>
              <w:right w:val="single" w:sz="4" w:space="0" w:color="auto"/>
            </w:tcBorders>
            <w:shd w:val="clear" w:color="auto" w:fill="auto"/>
          </w:tcPr>
          <w:p w14:paraId="55D8430C"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490FB07" w14:textId="5DA93E70"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Disaster Risk Reduction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B19F4" w14:textId="0C8C270F"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35281165"/>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41F7A62" w14:textId="17FB3CF3"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0136224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A6EC27" w14:textId="563AD8AD"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2785065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132178E" w14:textId="77777777" w:rsidTr="00C85643">
        <w:trPr>
          <w:trHeight w:val="40"/>
        </w:trPr>
        <w:tc>
          <w:tcPr>
            <w:tcW w:w="2330" w:type="dxa"/>
            <w:vMerge/>
            <w:tcBorders>
              <w:left w:val="single" w:sz="4" w:space="0" w:color="auto"/>
              <w:right w:val="single" w:sz="4" w:space="0" w:color="auto"/>
            </w:tcBorders>
            <w:shd w:val="clear" w:color="auto" w:fill="auto"/>
          </w:tcPr>
          <w:p w14:paraId="3C7E8337"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8704EA" w14:paraId="77DE60C0" w14:textId="77777777" w:rsidTr="00A73AD0">
              <w:trPr>
                <w:tblCellSpacing w:w="0" w:type="dxa"/>
              </w:trPr>
              <w:tc>
                <w:tcPr>
                  <w:tcW w:w="5000" w:type="pct"/>
                  <w:vAlign w:val="center"/>
                </w:tcPr>
                <w:p w14:paraId="5C7CAA06"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 xml:space="preserve">Inclusion of persons with </w:t>
                  </w:r>
                </w:p>
                <w:p w14:paraId="3593883D"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Disabilities</w:t>
                  </w:r>
                </w:p>
              </w:tc>
            </w:tr>
          </w:tbl>
          <w:p w14:paraId="2932A8BA" w14:textId="77777777" w:rsidR="00433309" w:rsidRPr="003C0CD7" w:rsidRDefault="00433309" w:rsidP="00433309">
            <w:pPr>
              <w:pStyle w:val="Text1"/>
              <w:spacing w:before="60" w:after="60"/>
              <w:ind w:left="0" w:right="-25"/>
              <w:jc w:val="left"/>
              <w:rPr>
                <w:highlight w:val="yellow"/>
                <w:lang w:val="en-IE" w:eastAsia="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FAE88" w14:textId="21953ACF"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9283529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8574B69" w14:textId="02AEC2E0"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968540613"/>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F4B0DE" w14:textId="5FB78203"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22557655"/>
                <w14:checkbox>
                  <w14:checked w14:val="0"/>
                  <w14:checkedState w14:val="2612" w14:font="MS Gothic"/>
                  <w14:uncheckedState w14:val="2610" w14:font="MS Gothic"/>
                </w14:checkbox>
              </w:sdtPr>
              <w:sdtEndPr/>
              <w:sdtContent>
                <w:r w:rsidR="00A7344E">
                  <w:rPr>
                    <w:rFonts w:ascii="MS Gothic" w:eastAsia="MS Gothic" w:hAnsi="MS Gothic" w:cs="Segoe UI Symbol" w:hint="eastAsia"/>
                    <w:color w:val="0D0D0D" w:themeColor="text1" w:themeTint="F2"/>
                    <w:lang w:val="en-IE"/>
                  </w:rPr>
                  <w:t>☐</w:t>
                </w:r>
              </w:sdtContent>
            </w:sdt>
          </w:p>
        </w:tc>
      </w:tr>
      <w:tr w:rsidR="00433309" w:rsidRPr="008704EA" w14:paraId="753BD524" w14:textId="77777777" w:rsidTr="00C85643">
        <w:trPr>
          <w:trHeight w:val="40"/>
        </w:trPr>
        <w:tc>
          <w:tcPr>
            <w:tcW w:w="2330" w:type="dxa"/>
            <w:vMerge/>
            <w:tcBorders>
              <w:left w:val="single" w:sz="4" w:space="0" w:color="auto"/>
              <w:right w:val="single" w:sz="4" w:space="0" w:color="auto"/>
            </w:tcBorders>
            <w:shd w:val="clear" w:color="auto" w:fill="auto"/>
          </w:tcPr>
          <w:p w14:paraId="69BE736E"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A5F42CA" w14:textId="2E481064"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Nutrition</w:t>
            </w:r>
            <w:r w:rsidRPr="003C0CD7">
              <w:rPr>
                <w:rStyle w:val="FootnoteReference"/>
                <w:color w:val="0D0D0D" w:themeColor="text1" w:themeTint="F2"/>
                <w:lang w:val="en-IE"/>
              </w:rPr>
              <w:footnoteReference w:id="8"/>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21494" w14:textId="67F03182"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655291242"/>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2C3965" w14:textId="2AF0F23D"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63648397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2CA67" w14:textId="7E200746"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510444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4D35538" w14:textId="77777777" w:rsidTr="00C85643">
        <w:trPr>
          <w:trHeight w:val="40"/>
        </w:trPr>
        <w:tc>
          <w:tcPr>
            <w:tcW w:w="2330" w:type="dxa"/>
            <w:vMerge/>
            <w:tcBorders>
              <w:left w:val="single" w:sz="4" w:space="0" w:color="auto"/>
              <w:right w:val="single" w:sz="4" w:space="0" w:color="auto"/>
            </w:tcBorders>
            <w:shd w:val="clear" w:color="auto" w:fill="auto"/>
          </w:tcPr>
          <w:p w14:paraId="136CAC82"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B22B664" w14:textId="598131FA"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RIO Convention markers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BF8E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F47FF2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1410C0"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000E67C7" w14:textId="77777777" w:rsidTr="00C85643">
        <w:trPr>
          <w:trHeight w:val="40"/>
        </w:trPr>
        <w:tc>
          <w:tcPr>
            <w:tcW w:w="2330" w:type="dxa"/>
            <w:vMerge/>
            <w:tcBorders>
              <w:left w:val="single" w:sz="4" w:space="0" w:color="auto"/>
              <w:right w:val="single" w:sz="4" w:space="0" w:color="auto"/>
            </w:tcBorders>
            <w:shd w:val="clear" w:color="auto" w:fill="auto"/>
          </w:tcPr>
          <w:p w14:paraId="3A78F30D"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D110BEB" w14:textId="3D0DE7C4"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Biological diversity</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31A2D" w14:textId="4BB64BD3"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12595753"/>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C100816" w14:textId="4ECE8516"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4562628"/>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1328BB" w14:textId="3933B46C"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56648555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6BAB0F7C" w14:textId="77777777" w:rsidTr="00C85643">
        <w:trPr>
          <w:trHeight w:val="40"/>
        </w:trPr>
        <w:tc>
          <w:tcPr>
            <w:tcW w:w="2330" w:type="dxa"/>
            <w:vMerge/>
            <w:tcBorders>
              <w:left w:val="single" w:sz="4" w:space="0" w:color="auto"/>
              <w:right w:val="single" w:sz="4" w:space="0" w:color="auto"/>
            </w:tcBorders>
            <w:shd w:val="clear" w:color="auto" w:fill="auto"/>
          </w:tcPr>
          <w:p w14:paraId="43AFE89A"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E7B3556" w14:textId="4C67339D"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Combat desertification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A001A" w14:textId="14513E57"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240904991"/>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5A2D9CF" w14:textId="40415A07"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1598222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8AB769" w14:textId="5E9C85BC"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4179901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FE31C81" w14:textId="77777777" w:rsidTr="00C85643">
        <w:trPr>
          <w:trHeight w:val="40"/>
        </w:trPr>
        <w:tc>
          <w:tcPr>
            <w:tcW w:w="2330" w:type="dxa"/>
            <w:vMerge/>
            <w:tcBorders>
              <w:left w:val="single" w:sz="4" w:space="0" w:color="auto"/>
              <w:right w:val="single" w:sz="4" w:space="0" w:color="auto"/>
            </w:tcBorders>
            <w:shd w:val="clear" w:color="auto" w:fill="auto"/>
          </w:tcPr>
          <w:p w14:paraId="1C7DE7CF"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32A912" w14:textId="2E33E82D"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mitigation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CEC36" w14:textId="645CD582"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82174767"/>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04E90D5" w14:textId="38E54207"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32678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172495" w14:textId="721B9185"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37390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FEEAC3D" w14:textId="77777777" w:rsidTr="00C85643">
        <w:trPr>
          <w:trHeight w:val="40"/>
        </w:trPr>
        <w:tc>
          <w:tcPr>
            <w:tcW w:w="2330" w:type="dxa"/>
            <w:vMerge/>
            <w:tcBorders>
              <w:left w:val="single" w:sz="4" w:space="0" w:color="auto"/>
              <w:bottom w:val="single" w:sz="4" w:space="0" w:color="auto"/>
              <w:right w:val="single" w:sz="4" w:space="0" w:color="auto"/>
            </w:tcBorders>
            <w:shd w:val="clear" w:color="auto" w:fill="auto"/>
          </w:tcPr>
          <w:p w14:paraId="06C9596F" w14:textId="77777777" w:rsidR="00433309" w:rsidRPr="003C0CD7" w:rsidRDefault="00433309" w:rsidP="00433309">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5789F42" w14:textId="185ECD88"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adaptation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82A010" w14:textId="2B171436"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291880"/>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1434DAB" w14:textId="188CAE8F"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055775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77A61" w14:textId="42CE922D" w:rsidR="00433309" w:rsidRPr="003C0CD7" w:rsidRDefault="00A86B61"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32463279"/>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3A426F" w:rsidRPr="008704EA" w14:paraId="751664F8" w14:textId="77777777" w:rsidTr="00C85643">
        <w:trPr>
          <w:trHeight w:val="40"/>
        </w:trPr>
        <w:tc>
          <w:tcPr>
            <w:tcW w:w="2330" w:type="dxa"/>
            <w:vMerge w:val="restart"/>
            <w:tcBorders>
              <w:left w:val="single" w:sz="4" w:space="0" w:color="auto"/>
              <w:right w:val="single" w:sz="4" w:space="0" w:color="auto"/>
            </w:tcBorders>
            <w:shd w:val="clear" w:color="auto" w:fill="auto"/>
          </w:tcPr>
          <w:p w14:paraId="52526132" w14:textId="77777777" w:rsidR="003A426F" w:rsidRPr="003C0CD7" w:rsidRDefault="003A426F" w:rsidP="002548F3">
            <w:pPr>
              <w:jc w:val="left"/>
              <w:rPr>
                <w:rFonts w:cs="Times New Roman"/>
                <w:b/>
                <w:bCs/>
                <w:color w:val="0D0D0D" w:themeColor="text1" w:themeTint="F2"/>
                <w:szCs w:val="24"/>
                <w:lang w:val="en-IE"/>
              </w:rPr>
            </w:pPr>
            <w:r w:rsidRPr="003C0CD7">
              <w:rPr>
                <w:b/>
                <w:bCs/>
                <w:color w:val="0D0D0D" w:themeColor="text1" w:themeTint="F2"/>
                <w:szCs w:val="24"/>
                <w:lang w:val="en-IE"/>
              </w:rPr>
              <w:t>Internal markers</w:t>
            </w:r>
            <w:r w:rsidRPr="003C0CD7">
              <w:rPr>
                <w:rStyle w:val="FootnoteReference"/>
                <w:b/>
                <w:bCs/>
                <w:color w:val="0D0D0D" w:themeColor="text1" w:themeTint="F2"/>
                <w:szCs w:val="24"/>
                <w:lang w:val="en-IE"/>
              </w:rPr>
              <w:footnoteReference w:id="9"/>
            </w:r>
            <w:r w:rsidR="007230DA">
              <w:rPr>
                <w:b/>
                <w:bCs/>
                <w:color w:val="0D0D0D" w:themeColor="text1" w:themeTint="F2"/>
                <w:szCs w:val="24"/>
                <w:lang w:val="en-IE"/>
              </w:rPr>
              <w:t xml:space="preserve"> </w:t>
            </w:r>
            <w:r w:rsidR="007230DA">
              <w:rPr>
                <w:b/>
                <w:bCs/>
                <w:color w:val="0D0D0D" w:themeColor="text1" w:themeTint="F2"/>
                <w:szCs w:val="24"/>
              </w:rPr>
              <w:t>and Tags</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3D67AE7B" w14:textId="77777777" w:rsidR="003A426F" w:rsidRPr="003C0CD7" w:rsidRDefault="003A426F" w:rsidP="003A426F">
            <w:pPr>
              <w:pStyle w:val="Text1"/>
              <w:spacing w:before="60" w:after="60"/>
              <w:ind w:left="0" w:right="-25"/>
              <w:jc w:val="left"/>
              <w:rPr>
                <w:color w:val="0D0D0D" w:themeColor="text1" w:themeTint="F2"/>
                <w:lang w:val="en-IE"/>
              </w:rPr>
            </w:pPr>
            <w:r w:rsidRPr="003C0CD7">
              <w:rPr>
                <w:b/>
                <w:color w:val="0D0D0D" w:themeColor="text1" w:themeTint="F2"/>
                <w:lang w:val="en-IE"/>
              </w:rPr>
              <w:t>Policy objectives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D6D1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B6DEA7C"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C9719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Principal objective</w:t>
            </w:r>
          </w:p>
        </w:tc>
      </w:tr>
      <w:tr w:rsidR="00091845" w:rsidRPr="008704EA" w14:paraId="30A0CC6D" w14:textId="77777777" w:rsidTr="006266C0">
        <w:trPr>
          <w:trHeight w:val="40"/>
        </w:trPr>
        <w:tc>
          <w:tcPr>
            <w:tcW w:w="2330" w:type="dxa"/>
            <w:vMerge/>
            <w:tcBorders>
              <w:left w:val="single" w:sz="4" w:space="0" w:color="auto"/>
              <w:right w:val="single" w:sz="4" w:space="0" w:color="auto"/>
            </w:tcBorders>
            <w:shd w:val="clear" w:color="auto" w:fill="auto"/>
          </w:tcPr>
          <w:p w14:paraId="772C7F1E" w14:textId="77777777" w:rsidR="00091845" w:rsidRPr="003C0CD7" w:rsidRDefault="00091845" w:rsidP="00091845">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1159A03" w14:textId="77777777" w:rsidR="00091845" w:rsidRPr="005D6559" w:rsidRDefault="00091845" w:rsidP="00091845">
            <w:pPr>
              <w:pStyle w:val="Text1"/>
              <w:spacing w:before="60" w:after="60"/>
              <w:ind w:left="0" w:right="-25"/>
              <w:jc w:val="left"/>
              <w:rPr>
                <w:color w:val="0D0D0D" w:themeColor="text1" w:themeTint="F2"/>
              </w:rPr>
            </w:pPr>
            <w:r>
              <w:rPr>
                <w:color w:val="0D0D0D" w:themeColor="text1" w:themeTint="F2"/>
              </w:rPr>
              <w:t>EIP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21F29" w14:textId="57972346" w:rsidR="00091845" w:rsidRDefault="00A86B61"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47557220"/>
                <w14:checkbox>
                  <w14:checked w14:val="1"/>
                  <w14:checkedState w14:val="2612" w14:font="MS Gothic"/>
                  <w14:uncheckedState w14:val="2610" w14:font="MS Gothic"/>
                </w14:checkbox>
              </w:sdtPr>
              <w:sdtEndPr/>
              <w:sdtContent>
                <w:r w:rsidR="003B1AD0">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63238F9" w14:textId="2C61DCCD" w:rsidR="00091845" w:rsidRDefault="00A86B61"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69583294"/>
                <w14:checkbox>
                  <w14:checked w14:val="0"/>
                  <w14:checkedState w14:val="2612" w14:font="MS Gothic"/>
                  <w14:uncheckedState w14:val="2610" w14:font="MS Gothic"/>
                </w14:checkbox>
              </w:sdtPr>
              <w:sdtEndPr/>
              <w:sdtContent>
                <w:r w:rsidR="00091845">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C0559B" w14:textId="0AA5BC1F" w:rsidR="00091845" w:rsidRDefault="00A86B61"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486904560"/>
                <w14:checkbox>
                  <w14:checked w14:val="0"/>
                  <w14:checkedState w14:val="2612" w14:font="MS Gothic"/>
                  <w14:uncheckedState w14:val="2610" w14:font="MS Gothic"/>
                </w14:checkbox>
              </w:sdtPr>
              <w:sdtEndPr/>
              <w:sdtContent>
                <w:r w:rsidR="00B8664E">
                  <w:rPr>
                    <w:rFonts w:ascii="MS Gothic" w:eastAsia="MS Gothic" w:hAnsi="MS Gothic" w:cs="Segoe UI Symbol" w:hint="eastAsia"/>
                    <w:color w:val="0D0D0D" w:themeColor="text1" w:themeTint="F2"/>
                    <w:lang w:val="en-IE"/>
                  </w:rPr>
                  <w:t>☐</w:t>
                </w:r>
              </w:sdtContent>
            </w:sdt>
          </w:p>
        </w:tc>
      </w:tr>
      <w:tr w:rsidR="00091845" w:rsidRPr="008704EA" w14:paraId="51A98BEB" w14:textId="77777777" w:rsidTr="00CF7516">
        <w:trPr>
          <w:trHeight w:val="40"/>
        </w:trPr>
        <w:tc>
          <w:tcPr>
            <w:tcW w:w="2330" w:type="dxa"/>
            <w:vMerge/>
            <w:tcBorders>
              <w:left w:val="single" w:sz="4" w:space="0" w:color="auto"/>
              <w:right w:val="single" w:sz="4" w:space="0" w:color="auto"/>
            </w:tcBorders>
            <w:shd w:val="clear" w:color="auto" w:fill="auto"/>
          </w:tcPr>
          <w:p w14:paraId="23CF3AC4" w14:textId="77777777" w:rsidR="00091845" w:rsidRPr="003C0CD7" w:rsidRDefault="00091845" w:rsidP="00C85643">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00E4622" w14:textId="77777777" w:rsidR="00091845" w:rsidRPr="005D6559" w:rsidRDefault="00091845" w:rsidP="007230DA">
            <w:pPr>
              <w:pStyle w:val="Text1"/>
              <w:spacing w:before="60" w:after="60"/>
              <w:ind w:left="0" w:right="-25"/>
              <w:jc w:val="left"/>
              <w:rPr>
                <w:color w:val="0D0D0D" w:themeColor="text1" w:themeTint="F2"/>
              </w:rPr>
            </w:pPr>
            <w:r>
              <w:rPr>
                <w:color w:val="0D0D0D" w:themeColor="text1" w:themeTint="F2"/>
              </w:rPr>
              <w:t>EIP Flagship</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1EA56F24"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p w14:paraId="4BA57FB6" w14:textId="2F5A7A79" w:rsidR="00091845" w:rsidRDefault="00091845" w:rsidP="0082062A">
            <w:pPr>
              <w:pStyle w:val="Text1"/>
              <w:spacing w:before="60" w:after="60"/>
              <w:ind w:left="0" w:right="-25"/>
              <w:jc w:val="center"/>
              <w:rPr>
                <w:rFonts w:eastAsia="MS Gothic"/>
                <w:color w:val="0D0D0D" w:themeColor="text1" w:themeTint="F2"/>
                <w:sz w:val="22"/>
              </w:rPr>
            </w:pPr>
            <w:r w:rsidRPr="003C0CD7">
              <w:rPr>
                <w:rFonts w:ascii="MS Gothic" w:eastAsia="MS Gothic" w:hAnsi="MS Gothic" w:cs="Segoe UI Symbol"/>
                <w:color w:val="0D0D0D" w:themeColor="text1" w:themeTint="F2"/>
                <w:lang w:val="en-IE"/>
              </w:rPr>
              <w:t>☐</w:t>
            </w:r>
          </w:p>
        </w:tc>
        <w:tc>
          <w:tcPr>
            <w:tcW w:w="2410"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27213579"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p w14:paraId="400D19F4" w14:textId="192B56B2" w:rsidR="00091845" w:rsidRDefault="00A86B61" w:rsidP="0082062A">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426883864"/>
                <w14:checkbox>
                  <w14:checked w14:val="1"/>
                  <w14:checkedState w14:val="2612" w14:font="MS Gothic"/>
                  <w14:uncheckedState w14:val="2610" w14:font="MS Gothic"/>
                </w14:checkbox>
              </w:sdtPr>
              <w:sdtEndPr/>
              <w:sdtContent>
                <w:r w:rsidR="003B1AD0">
                  <w:rPr>
                    <w:rFonts w:ascii="MS Gothic" w:eastAsia="MS Gothic" w:hAnsi="MS Gothic" w:cs="Segoe UI Symbol" w:hint="eastAsia"/>
                    <w:color w:val="0D0D0D" w:themeColor="text1" w:themeTint="F2"/>
                    <w:lang w:val="en-IE"/>
                  </w:rPr>
                  <w:t>☒</w:t>
                </w:r>
              </w:sdtContent>
            </w:sdt>
          </w:p>
        </w:tc>
      </w:tr>
      <w:tr w:rsidR="00091845" w:rsidRPr="008704EA" w14:paraId="32151A3D" w14:textId="77777777" w:rsidTr="00CF7516">
        <w:trPr>
          <w:trHeight w:val="40"/>
        </w:trPr>
        <w:tc>
          <w:tcPr>
            <w:tcW w:w="2330" w:type="dxa"/>
            <w:vMerge/>
            <w:tcBorders>
              <w:left w:val="single" w:sz="4" w:space="0" w:color="auto"/>
              <w:right w:val="single" w:sz="4" w:space="0" w:color="auto"/>
            </w:tcBorders>
            <w:shd w:val="clear" w:color="auto" w:fill="auto"/>
          </w:tcPr>
          <w:p w14:paraId="70698DE2" w14:textId="77777777" w:rsidR="00091845" w:rsidRPr="003C0CD7" w:rsidRDefault="00091845" w:rsidP="00091845">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FFFFFF" w:themeColor="background1"/>
              <w:right w:val="single" w:sz="4" w:space="0" w:color="auto"/>
            </w:tcBorders>
            <w:shd w:val="clear" w:color="auto" w:fill="auto"/>
          </w:tcPr>
          <w:p w14:paraId="1C751D4D" w14:textId="77777777" w:rsidR="00091845" w:rsidRPr="0082062A" w:rsidRDefault="00091845" w:rsidP="00091845">
            <w:pPr>
              <w:pStyle w:val="Text1"/>
              <w:spacing w:before="60" w:after="60"/>
              <w:ind w:left="0" w:right="-25"/>
              <w:jc w:val="left"/>
              <w:rPr>
                <w:color w:val="0D0D0D" w:themeColor="text1" w:themeTint="F2"/>
                <w:lang w:val="en-IE"/>
              </w:rPr>
            </w:pPr>
            <w:r w:rsidRPr="0082062A">
              <w:rPr>
                <w:color w:val="0D0D0D" w:themeColor="text1" w:themeTint="F2"/>
                <w:lang w:val="en-IE"/>
              </w:rPr>
              <w:t>Tags</w:t>
            </w:r>
            <w:r>
              <w:rPr>
                <w:rStyle w:val="FootnoteReference"/>
                <w:color w:val="0D0D0D" w:themeColor="text1" w:themeTint="F2"/>
              </w:rPr>
              <w:footnoteReference w:id="10"/>
            </w:r>
            <w:r>
              <w:rPr>
                <w:color w:val="0D0D0D" w:themeColor="text1" w:themeTint="F2"/>
                <w:lang w:val="en-IE"/>
              </w:rPr>
              <w:t>:</w:t>
            </w:r>
          </w:p>
        </w:tc>
        <w:tc>
          <w:tcPr>
            <w:tcW w:w="2410"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14:paraId="53F1D2B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tc>
        <w:tc>
          <w:tcPr>
            <w:tcW w:w="241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auto"/>
          </w:tcPr>
          <w:p w14:paraId="7F2E663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tc>
      </w:tr>
      <w:tr w:rsidR="00DA4A97" w:rsidRPr="008704EA" w14:paraId="1A317078" w14:textId="77777777" w:rsidTr="00CF7516">
        <w:trPr>
          <w:trHeight w:val="40"/>
        </w:trPr>
        <w:tc>
          <w:tcPr>
            <w:tcW w:w="2330" w:type="dxa"/>
            <w:vMerge/>
            <w:tcBorders>
              <w:left w:val="single" w:sz="4" w:space="0" w:color="auto"/>
              <w:right w:val="single" w:sz="4" w:space="0" w:color="auto"/>
            </w:tcBorders>
            <w:shd w:val="clear" w:color="auto" w:fill="auto"/>
          </w:tcPr>
          <w:p w14:paraId="6E9C552C" w14:textId="77777777" w:rsidR="00DA4A97" w:rsidRPr="003C0CD7" w:rsidRDefault="00DA4A97" w:rsidP="00091845">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7C6FF8" w14:textId="77777777" w:rsidR="00DA4A97" w:rsidRPr="00DA4A97" w:rsidRDefault="00DA4A97" w:rsidP="00091845">
            <w:pPr>
              <w:pStyle w:val="Text1"/>
              <w:spacing w:before="60" w:after="60"/>
              <w:ind w:left="0" w:right="-25"/>
              <w:jc w:val="left"/>
              <w:rPr>
                <w:color w:val="0D0D0D" w:themeColor="text1" w:themeTint="F2"/>
                <w:lang w:val="en-IE"/>
              </w:rPr>
            </w:pPr>
            <w:r>
              <w:rPr>
                <w:color w:val="0D0D0D" w:themeColor="text1" w:themeTint="F2"/>
              </w:rPr>
              <w:t>T</w:t>
            </w:r>
            <w:r w:rsidRPr="00091845">
              <w:rPr>
                <w:color w:val="0D0D0D" w:themeColor="text1" w:themeTint="F2"/>
              </w:rPr>
              <w:t>ransport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6E06805" w14:textId="23F05669" w:rsidR="00DA4A97" w:rsidRDefault="00A86B61"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22717393"/>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A034315" w14:textId="4FEE6349" w:rsidR="00DA4A97" w:rsidRDefault="00A86B61"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38359991"/>
                <w14:checkbox>
                  <w14:checked w14:val="1"/>
                  <w14:checkedState w14:val="2612" w14:font="MS Gothic"/>
                  <w14:uncheckedState w14:val="2610" w14:font="MS Gothic"/>
                </w14:checkbox>
              </w:sdtPr>
              <w:sdtEndPr/>
              <w:sdtContent>
                <w:r w:rsidR="003B1AD0">
                  <w:rPr>
                    <w:rFonts w:ascii="MS Gothic" w:eastAsia="MS Gothic" w:hAnsi="MS Gothic" w:cs="Segoe UI Symbol" w:hint="eastAsia"/>
                    <w:color w:val="0D0D0D" w:themeColor="text1" w:themeTint="F2"/>
                    <w:lang w:val="en-IE"/>
                  </w:rPr>
                  <w:t>☒</w:t>
                </w:r>
              </w:sdtContent>
            </w:sdt>
          </w:p>
        </w:tc>
      </w:tr>
      <w:tr w:rsidR="00DA4A97" w:rsidRPr="008704EA" w14:paraId="38B5D2A2" w14:textId="77777777" w:rsidTr="00CF7516">
        <w:trPr>
          <w:trHeight w:val="40"/>
        </w:trPr>
        <w:tc>
          <w:tcPr>
            <w:tcW w:w="2330" w:type="dxa"/>
            <w:vMerge/>
            <w:tcBorders>
              <w:left w:val="single" w:sz="4" w:space="0" w:color="auto"/>
              <w:right w:val="single" w:sz="4" w:space="0" w:color="auto"/>
            </w:tcBorders>
            <w:shd w:val="clear" w:color="auto" w:fill="auto"/>
          </w:tcPr>
          <w:p w14:paraId="75B47E63"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8619128"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rPr>
              <w:t>Energy</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20A624E" w14:textId="2BC36D78"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4087527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36A1BB6" w14:textId="2E64F4C5"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075731545"/>
                <w14:checkbox>
                  <w14:checked w14:val="1"/>
                  <w14:checkedState w14:val="2612" w14:font="MS Gothic"/>
                  <w14:uncheckedState w14:val="2610" w14:font="MS Gothic"/>
                </w14:checkbox>
              </w:sdtPr>
              <w:sdtEndPr/>
              <w:sdtContent>
                <w:r w:rsidR="003B1AD0">
                  <w:rPr>
                    <w:rFonts w:ascii="MS Gothic" w:eastAsia="MS Gothic" w:hAnsi="MS Gothic" w:cs="Segoe UI Symbol" w:hint="eastAsia"/>
                    <w:color w:val="0D0D0D" w:themeColor="text1" w:themeTint="F2"/>
                    <w:lang w:val="en-IE"/>
                  </w:rPr>
                  <w:t>☒</w:t>
                </w:r>
              </w:sdtContent>
            </w:sdt>
          </w:p>
        </w:tc>
      </w:tr>
      <w:tr w:rsidR="00DA4A97" w:rsidRPr="008704EA" w14:paraId="31D30EEE" w14:textId="77777777" w:rsidTr="00CF7516">
        <w:trPr>
          <w:trHeight w:val="40"/>
        </w:trPr>
        <w:tc>
          <w:tcPr>
            <w:tcW w:w="2330" w:type="dxa"/>
            <w:vMerge/>
            <w:tcBorders>
              <w:left w:val="single" w:sz="4" w:space="0" w:color="auto"/>
              <w:right w:val="single" w:sz="4" w:space="0" w:color="auto"/>
            </w:tcBorders>
            <w:shd w:val="clear" w:color="auto" w:fill="auto"/>
          </w:tcPr>
          <w:p w14:paraId="325E6F90"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BEAB190"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rPr>
              <w:t>Environment and climate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25AAE1BE" w14:textId="562D4299"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95616155"/>
                <w14:checkbox>
                  <w14:checked w14:val="0"/>
                  <w14:checkedState w14:val="2612" w14:font="MS Gothic"/>
                  <w14:uncheckedState w14:val="2610" w14:font="MS Gothic"/>
                </w14:checkbox>
              </w:sdtPr>
              <w:sdtEndPr/>
              <w:sdtContent>
                <w:r w:rsidR="00DA4A97">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7A2F663" w14:textId="4F797A11"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031331279"/>
                <w14:checkbox>
                  <w14:checked w14:val="1"/>
                  <w14:checkedState w14:val="2612" w14:font="MS Gothic"/>
                  <w14:uncheckedState w14:val="2610" w14:font="MS Gothic"/>
                </w14:checkbox>
              </w:sdtPr>
              <w:sdtEndPr/>
              <w:sdtContent>
                <w:r w:rsidR="003B1AD0">
                  <w:rPr>
                    <w:rFonts w:ascii="MS Gothic" w:eastAsia="MS Gothic" w:hAnsi="MS Gothic" w:cs="Segoe UI Symbol" w:hint="eastAsia"/>
                    <w:color w:val="0D0D0D" w:themeColor="text1" w:themeTint="F2"/>
                    <w:lang w:val="en-IE"/>
                  </w:rPr>
                  <w:t>☒</w:t>
                </w:r>
              </w:sdtContent>
            </w:sdt>
          </w:p>
        </w:tc>
      </w:tr>
      <w:tr w:rsidR="00DA4A97" w:rsidRPr="008704EA" w14:paraId="69E4F076" w14:textId="77777777" w:rsidTr="00CF7516">
        <w:trPr>
          <w:trHeight w:val="40"/>
        </w:trPr>
        <w:tc>
          <w:tcPr>
            <w:tcW w:w="2330" w:type="dxa"/>
            <w:vMerge/>
            <w:tcBorders>
              <w:left w:val="single" w:sz="4" w:space="0" w:color="auto"/>
              <w:right w:val="single" w:sz="4" w:space="0" w:color="auto"/>
            </w:tcBorders>
            <w:shd w:val="clear" w:color="auto" w:fill="auto"/>
          </w:tcPr>
          <w:p w14:paraId="08F08792"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E8DADFB" w14:textId="77777777" w:rsidR="00DA4A97" w:rsidRPr="00DA4A97" w:rsidRDefault="00DA4A97" w:rsidP="00DA4A97">
            <w:pPr>
              <w:pStyle w:val="Text1"/>
              <w:spacing w:before="60" w:after="60"/>
              <w:ind w:left="0" w:right="-25"/>
              <w:jc w:val="left"/>
              <w:rPr>
                <w:color w:val="0D0D0D" w:themeColor="text1" w:themeTint="F2"/>
                <w:lang w:val="en-IE"/>
              </w:rPr>
            </w:pPr>
            <w:r w:rsidRPr="00091845">
              <w:rPr>
                <w:color w:val="0D0D0D" w:themeColor="text1" w:themeTint="F2"/>
              </w:rPr>
              <w:t>Digital</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6C5823AA" w14:textId="0B54B8FA"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8237298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C5D146A" w14:textId="23356A0A"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54128697"/>
                <w14:checkbox>
                  <w14:checked w14:val="1"/>
                  <w14:checkedState w14:val="2612" w14:font="MS Gothic"/>
                  <w14:uncheckedState w14:val="2610" w14:font="MS Gothic"/>
                </w14:checkbox>
              </w:sdtPr>
              <w:sdtEndPr/>
              <w:sdtContent>
                <w:r w:rsidR="003B1AD0">
                  <w:rPr>
                    <w:rFonts w:ascii="MS Gothic" w:eastAsia="MS Gothic" w:hAnsi="MS Gothic" w:cs="Segoe UI Symbol" w:hint="eastAsia"/>
                    <w:color w:val="0D0D0D" w:themeColor="text1" w:themeTint="F2"/>
                    <w:lang w:val="en-IE"/>
                  </w:rPr>
                  <w:t>☒</w:t>
                </w:r>
              </w:sdtContent>
            </w:sdt>
          </w:p>
        </w:tc>
      </w:tr>
      <w:tr w:rsidR="00DA4A97" w:rsidRPr="008704EA" w14:paraId="736D3B3B" w14:textId="77777777" w:rsidTr="00CF7516">
        <w:trPr>
          <w:trHeight w:val="40"/>
        </w:trPr>
        <w:tc>
          <w:tcPr>
            <w:tcW w:w="2330" w:type="dxa"/>
            <w:vMerge/>
            <w:tcBorders>
              <w:left w:val="single" w:sz="4" w:space="0" w:color="auto"/>
              <w:right w:val="single" w:sz="4" w:space="0" w:color="auto"/>
            </w:tcBorders>
            <w:shd w:val="clear" w:color="auto" w:fill="auto"/>
          </w:tcPr>
          <w:p w14:paraId="0EE9C36D"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FAD6EF"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Economic development (incl. private sector, trade and macroeconomic support)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A145A5B" w14:textId="19E49B55"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779062486"/>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9DB0C21" w14:textId="37BEA921"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49108532"/>
                <w14:checkbox>
                  <w14:checked w14:val="1"/>
                  <w14:checkedState w14:val="2612" w14:font="MS Gothic"/>
                  <w14:uncheckedState w14:val="2610" w14:font="MS Gothic"/>
                </w14:checkbox>
              </w:sdtPr>
              <w:sdtEndPr/>
              <w:sdtContent>
                <w:r w:rsidR="003B1AD0">
                  <w:rPr>
                    <w:rFonts w:ascii="MS Gothic" w:eastAsia="MS Gothic" w:hAnsi="MS Gothic" w:cs="Segoe UI Symbol" w:hint="eastAsia"/>
                    <w:color w:val="0D0D0D" w:themeColor="text1" w:themeTint="F2"/>
                    <w:lang w:val="en-IE"/>
                  </w:rPr>
                  <w:t>☒</w:t>
                </w:r>
              </w:sdtContent>
            </w:sdt>
          </w:p>
        </w:tc>
      </w:tr>
      <w:tr w:rsidR="00DA4A97" w:rsidRPr="008704EA" w14:paraId="0B838552" w14:textId="77777777" w:rsidTr="00CF7516">
        <w:trPr>
          <w:trHeight w:val="40"/>
        </w:trPr>
        <w:tc>
          <w:tcPr>
            <w:tcW w:w="2330" w:type="dxa"/>
            <w:vMerge/>
            <w:tcBorders>
              <w:left w:val="single" w:sz="4" w:space="0" w:color="auto"/>
              <w:right w:val="single" w:sz="4" w:space="0" w:color="auto"/>
            </w:tcBorders>
            <w:shd w:val="clear" w:color="auto" w:fill="auto"/>
          </w:tcPr>
          <w:p w14:paraId="40864031"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9597815"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Human Development (incl. human capital and youth)</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7860A720" w14:textId="170073E3"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08183453"/>
                <w14:checkbox>
                  <w14:checked w14:val="1"/>
                  <w14:checkedState w14:val="2612" w14:font="MS Gothic"/>
                  <w14:uncheckedState w14:val="2610" w14:font="MS Gothic"/>
                </w14:checkbox>
              </w:sdtPr>
              <w:sdtEndPr/>
              <w:sdtContent>
                <w:r w:rsidR="003B1AD0">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EF86D3D" w14:textId="4C69DF85"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1699122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0CCD1217" w14:textId="77777777" w:rsidTr="00CF7516">
        <w:trPr>
          <w:trHeight w:val="40"/>
        </w:trPr>
        <w:tc>
          <w:tcPr>
            <w:tcW w:w="2330" w:type="dxa"/>
            <w:vMerge/>
            <w:tcBorders>
              <w:left w:val="single" w:sz="4" w:space="0" w:color="auto"/>
              <w:right w:val="single" w:sz="4" w:space="0" w:color="auto"/>
            </w:tcBorders>
            <w:shd w:val="clear" w:color="auto" w:fill="auto"/>
          </w:tcPr>
          <w:p w14:paraId="4F9E4B31"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6B77DAE"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Health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85D3EBF" w14:textId="7D5295F3"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69253138"/>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C3D0A9E" w14:textId="2235802E"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8379268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029B2C64" w14:textId="77777777" w:rsidTr="006266C0">
        <w:trPr>
          <w:trHeight w:val="40"/>
        </w:trPr>
        <w:tc>
          <w:tcPr>
            <w:tcW w:w="2330" w:type="dxa"/>
            <w:vMerge/>
            <w:tcBorders>
              <w:left w:val="single" w:sz="4" w:space="0" w:color="auto"/>
              <w:right w:val="single" w:sz="4" w:space="0" w:color="auto"/>
            </w:tcBorders>
            <w:shd w:val="clear" w:color="auto" w:fill="auto"/>
          </w:tcPr>
          <w:p w14:paraId="323BA2CB"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4E1268E"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Migration and mobility</w:t>
            </w:r>
          </w:p>
        </w:tc>
        <w:tc>
          <w:tcPr>
            <w:tcW w:w="2410" w:type="dxa"/>
            <w:gridSpan w:val="2"/>
            <w:tcBorders>
              <w:top w:val="single" w:sz="4" w:space="0" w:color="FFFFFF" w:themeColor="background1"/>
              <w:left w:val="single" w:sz="4" w:space="0" w:color="auto"/>
              <w:right w:val="single" w:sz="4" w:space="0" w:color="FFFFFF" w:themeColor="background1"/>
            </w:tcBorders>
            <w:shd w:val="clear" w:color="auto" w:fill="auto"/>
          </w:tcPr>
          <w:p w14:paraId="3C90E323" w14:textId="16A50182"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925776598"/>
                <w14:checkbox>
                  <w14:checked w14:val="0"/>
                  <w14:checkedState w14:val="2612" w14:font="MS Gothic"/>
                  <w14:uncheckedState w14:val="2610" w14:font="MS Gothic"/>
                </w14:checkbox>
              </w:sdtPr>
              <w:sdtEndPr/>
              <w:sdtContent>
                <w:r w:rsidR="00C32C5C">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right w:val="single" w:sz="4" w:space="0" w:color="auto"/>
            </w:tcBorders>
            <w:shd w:val="clear" w:color="auto" w:fill="auto"/>
          </w:tcPr>
          <w:p w14:paraId="1D668F7B" w14:textId="5D445A8F"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72081147"/>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5F9CB707" w14:textId="77777777" w:rsidTr="006266C0">
        <w:trPr>
          <w:trHeight w:val="40"/>
        </w:trPr>
        <w:tc>
          <w:tcPr>
            <w:tcW w:w="2330" w:type="dxa"/>
            <w:vMerge/>
            <w:tcBorders>
              <w:left w:val="single" w:sz="4" w:space="0" w:color="auto"/>
              <w:right w:val="single" w:sz="4" w:space="0" w:color="auto"/>
            </w:tcBorders>
            <w:shd w:val="clear" w:color="auto" w:fill="auto"/>
          </w:tcPr>
          <w:p w14:paraId="1602AF7A"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012A92D"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lang w:val="en-IE"/>
              </w:rPr>
              <w:t>Agriculture, food security and rural development</w:t>
            </w:r>
          </w:p>
        </w:tc>
        <w:tc>
          <w:tcPr>
            <w:tcW w:w="2410" w:type="dxa"/>
            <w:gridSpan w:val="2"/>
            <w:tcBorders>
              <w:left w:val="single" w:sz="4" w:space="0" w:color="auto"/>
              <w:bottom w:val="single" w:sz="4" w:space="0" w:color="FFFFFF" w:themeColor="background1"/>
              <w:right w:val="single" w:sz="4" w:space="0" w:color="FFFFFF" w:themeColor="background1"/>
            </w:tcBorders>
            <w:shd w:val="clear" w:color="auto" w:fill="auto"/>
          </w:tcPr>
          <w:p w14:paraId="66F0E342" w14:textId="56246A04"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8430585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left w:val="single" w:sz="4" w:space="0" w:color="FFFFFF" w:themeColor="background1"/>
              <w:bottom w:val="single" w:sz="4" w:space="0" w:color="FFFFFF" w:themeColor="background1"/>
              <w:right w:val="single" w:sz="4" w:space="0" w:color="auto"/>
            </w:tcBorders>
            <w:shd w:val="clear" w:color="auto" w:fill="auto"/>
          </w:tcPr>
          <w:p w14:paraId="424B58DC" w14:textId="3CFCAA09"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88753098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775A9BEB" w14:textId="77777777" w:rsidTr="00CF7516">
        <w:trPr>
          <w:trHeight w:val="40"/>
        </w:trPr>
        <w:tc>
          <w:tcPr>
            <w:tcW w:w="2330" w:type="dxa"/>
            <w:vMerge/>
            <w:tcBorders>
              <w:left w:val="single" w:sz="4" w:space="0" w:color="auto"/>
              <w:right w:val="single" w:sz="4" w:space="0" w:color="auto"/>
            </w:tcBorders>
            <w:shd w:val="clear" w:color="auto" w:fill="auto"/>
          </w:tcPr>
          <w:p w14:paraId="1A266FD9"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auto"/>
          </w:tcPr>
          <w:p w14:paraId="4F9D8550"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lang w:val="en-IE"/>
              </w:rPr>
              <w:t>Rule of law, governance and Public Administration reform</w:t>
            </w:r>
          </w:p>
        </w:tc>
        <w:tc>
          <w:tcPr>
            <w:tcW w:w="241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14:paraId="691031B7" w14:textId="45D18FE1"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76315249"/>
                <w14:checkbox>
                  <w14:checked w14:val="1"/>
                  <w14:checkedState w14:val="2612" w14:font="MS Gothic"/>
                  <w14:uncheckedState w14:val="2610" w14:font="MS Gothic"/>
                </w14:checkbox>
              </w:sdtPr>
              <w:sdtEndPr/>
              <w:sdtContent>
                <w:r w:rsidR="00EE66E0">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D5029A6" w14:textId="08A6221D"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3329947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5365897C" w14:textId="77777777" w:rsidTr="00CF7516">
        <w:trPr>
          <w:trHeight w:val="40"/>
        </w:trPr>
        <w:tc>
          <w:tcPr>
            <w:tcW w:w="2330" w:type="dxa"/>
            <w:vMerge/>
            <w:tcBorders>
              <w:top w:val="single" w:sz="4" w:space="0" w:color="000000" w:themeColor="text1"/>
              <w:left w:val="single" w:sz="4" w:space="0" w:color="auto"/>
              <w:right w:val="single" w:sz="4" w:space="0" w:color="auto"/>
            </w:tcBorders>
            <w:shd w:val="clear" w:color="auto" w:fill="auto"/>
          </w:tcPr>
          <w:p w14:paraId="6A1C85AC" w14:textId="77777777" w:rsidR="00DA4A97" w:rsidRPr="003C0CD7" w:rsidRDefault="00DA4A97" w:rsidP="00DA4A97">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auto"/>
              <w:right w:val="single" w:sz="4" w:space="0" w:color="000000" w:themeColor="text1"/>
            </w:tcBorders>
            <w:shd w:val="clear" w:color="auto" w:fill="auto"/>
          </w:tcPr>
          <w:p w14:paraId="634108B3"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lang w:val="en-IE"/>
              </w:rPr>
              <w:t>Other</w:t>
            </w:r>
          </w:p>
        </w:tc>
        <w:tc>
          <w:tcPr>
            <w:tcW w:w="2410" w:type="dxa"/>
            <w:gridSpan w:val="2"/>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Pr>
          <w:p w14:paraId="50F7A679" w14:textId="3C741303"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66075610"/>
                <w14:checkbox>
                  <w14:checked w14:val="1"/>
                  <w14:checkedState w14:val="2612" w14:font="MS Gothic"/>
                  <w14:uncheckedState w14:val="2610" w14:font="MS Gothic"/>
                </w14:checkbox>
              </w:sdtPr>
              <w:sdtEndPr/>
              <w:sdtContent>
                <w:r w:rsidR="00051F07">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BA5BEE" w14:textId="100DBE20" w:rsidR="00DA4A97" w:rsidRDefault="00A86B61"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47559416"/>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7230DA" w:rsidRPr="008704EA" w14:paraId="46684703" w14:textId="77777777" w:rsidTr="00C85643">
        <w:trPr>
          <w:trHeight w:val="40"/>
        </w:trPr>
        <w:tc>
          <w:tcPr>
            <w:tcW w:w="2330" w:type="dxa"/>
            <w:vMerge/>
            <w:tcBorders>
              <w:left w:val="single" w:sz="4" w:space="0" w:color="auto"/>
              <w:right w:val="single" w:sz="4" w:space="0" w:color="auto"/>
            </w:tcBorders>
            <w:shd w:val="clear" w:color="auto" w:fill="auto"/>
          </w:tcPr>
          <w:p w14:paraId="79583395" w14:textId="77777777" w:rsidR="007230DA" w:rsidRPr="003C0CD7" w:rsidRDefault="007230DA" w:rsidP="00C85643">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7BFDDA7" w14:textId="1ABF1F37" w:rsidR="007230DA" w:rsidRPr="00C85643" w:rsidRDefault="007230DA" w:rsidP="007230DA">
            <w:pPr>
              <w:pStyle w:val="Text1"/>
              <w:spacing w:before="60" w:after="60"/>
              <w:ind w:left="0" w:right="-25"/>
              <w:jc w:val="left"/>
              <w:rPr>
                <w:b/>
                <w:color w:val="0D0D0D" w:themeColor="text1" w:themeTint="F2"/>
                <w:lang w:val="en-IE"/>
              </w:rPr>
            </w:pPr>
            <w:r w:rsidRPr="005D6559">
              <w:rPr>
                <w:color w:val="0D0D0D" w:themeColor="text1" w:themeTint="F2"/>
              </w:rPr>
              <w:t>Digitalisation</w:t>
            </w:r>
            <w:r w:rsidR="00411D72">
              <w:rPr>
                <w:rStyle w:val="FootnoteReference"/>
                <w:color w:val="0D0D0D" w:themeColor="text1" w:themeTint="F2"/>
              </w:rPr>
              <w:footnoteReference w:id="11"/>
            </w:r>
            <w:r w:rsidRPr="005D6559">
              <w:rPr>
                <w:color w:val="0D0D0D" w:themeColor="text1" w:themeTint="F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A739B2" w14:textId="136276B5" w:rsidR="007230DA" w:rsidRPr="00C85643" w:rsidRDefault="00A86B61"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838426788"/>
                <w14:checkbox>
                  <w14:checked w14:val="1"/>
                  <w14:checkedState w14:val="2612" w14:font="MS Gothic"/>
                  <w14:uncheckedState w14:val="2610" w14:font="MS Gothic"/>
                </w14:checkbox>
              </w:sdtPr>
              <w:sdtEndPr/>
              <w:sdtContent>
                <w:r w:rsidR="00051F07">
                  <w:rPr>
                    <w:rFonts w:ascii="MS Gothic" w:eastAsia="MS Gothic" w:hAnsi="MS Gothic" w:hint="eastAsia"/>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85D15F6" w14:textId="7B8035EA" w:rsidR="007230DA" w:rsidRPr="00C85643" w:rsidRDefault="00A86B61"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631311115"/>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207654" w14:textId="47E79822" w:rsidR="007230DA" w:rsidRPr="00C85643" w:rsidRDefault="00A86B61"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EndPr/>
              <w:sdtContent>
                <w:r w:rsidR="00051F07">
                  <w:rPr>
                    <w:rFonts w:ascii="MS Gothic" w:eastAsia="MS Gothic" w:hAnsi="MS Gothic" w:hint="eastAsia"/>
                    <w:color w:val="0D0D0D" w:themeColor="text1" w:themeTint="F2"/>
                    <w:sz w:val="22"/>
                  </w:rPr>
                  <w:t>☐</w:t>
                </w:r>
              </w:sdtContent>
            </w:sdt>
          </w:p>
        </w:tc>
      </w:tr>
      <w:tr w:rsidR="00613AD4" w:rsidRPr="008704EA" w14:paraId="051D42E6" w14:textId="77777777" w:rsidTr="00613AD4">
        <w:trPr>
          <w:trHeight w:val="2329"/>
        </w:trPr>
        <w:tc>
          <w:tcPr>
            <w:tcW w:w="2330" w:type="dxa"/>
            <w:vMerge/>
            <w:tcBorders>
              <w:left w:val="single" w:sz="4" w:space="0" w:color="auto"/>
              <w:right w:val="single" w:sz="4" w:space="0" w:color="auto"/>
            </w:tcBorders>
            <w:shd w:val="clear" w:color="auto" w:fill="auto"/>
          </w:tcPr>
          <w:p w14:paraId="29791768" w14:textId="77777777" w:rsidR="00613AD4" w:rsidRPr="003C0CD7" w:rsidRDefault="00613AD4" w:rsidP="007230DA">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83B80A" w14:textId="77777777" w:rsidR="00613AD4" w:rsidRDefault="00613AD4" w:rsidP="007230DA">
            <w:pPr>
              <w:pStyle w:val="Text1"/>
              <w:spacing w:before="60" w:after="60"/>
              <w:ind w:left="0" w:right="-25"/>
              <w:jc w:val="left"/>
              <w:rPr>
                <w:color w:val="0D0D0D" w:themeColor="text1" w:themeTint="F2"/>
              </w:rPr>
            </w:pPr>
            <w:r>
              <w:rPr>
                <w:color w:val="0D0D0D" w:themeColor="text1" w:themeTint="F2"/>
              </w:rPr>
              <w:t>Tags</w:t>
            </w:r>
            <w:r>
              <w:rPr>
                <w:rStyle w:val="FootnoteReference"/>
                <w:color w:val="0D0D0D" w:themeColor="text1" w:themeTint="F2"/>
              </w:rPr>
              <w:footnoteReference w:id="12"/>
            </w:r>
          </w:p>
          <w:p w14:paraId="49382782"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connectivity </w:t>
            </w:r>
          </w:p>
          <w:p w14:paraId="0A5071D5"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governance </w:t>
            </w:r>
          </w:p>
          <w:p w14:paraId="4B2BB66B"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entrepreneurship</w:t>
            </w:r>
          </w:p>
          <w:p w14:paraId="67020FFE"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skills/literacy</w:t>
            </w:r>
          </w:p>
          <w:p w14:paraId="552C7D68" w14:textId="77777777" w:rsidR="00613AD4" w:rsidRPr="003C0CD7" w:rsidRDefault="00613AD4" w:rsidP="00C85643">
            <w:pPr>
              <w:pStyle w:val="Text1"/>
              <w:spacing w:before="60" w:after="60" w:line="276" w:lineRule="auto"/>
              <w:ind w:left="720" w:right="-25"/>
              <w:jc w:val="left"/>
              <w:rPr>
                <w:color w:val="0D0D0D" w:themeColor="text1" w:themeTint="F2"/>
                <w:lang w:val="en-IE"/>
              </w:rPr>
            </w:pPr>
            <w:r w:rsidRPr="00EE373C">
              <w:rPr>
                <w:rFonts w:eastAsiaTheme="minorHAnsi"/>
                <w:lang w:val="en-IE"/>
              </w:rPr>
              <w:t>digital services</w:t>
            </w:r>
            <w:r w:rsidRPr="005D6559">
              <w:rPr>
                <w:color w:val="0D0D0D" w:themeColor="text1" w:themeTint="F2"/>
              </w:rPr>
              <w:t xml:space="preserve"> </w:t>
            </w:r>
          </w:p>
        </w:tc>
        <w:tc>
          <w:tcPr>
            <w:tcW w:w="2410" w:type="dxa"/>
            <w:gridSpan w:val="2"/>
            <w:tcBorders>
              <w:top w:val="single" w:sz="4" w:space="0" w:color="auto"/>
              <w:left w:val="single" w:sz="4" w:space="0" w:color="auto"/>
              <w:bottom w:val="single" w:sz="4" w:space="0" w:color="auto"/>
              <w:right w:val="single" w:sz="4" w:space="0" w:color="FFFFFF"/>
            </w:tcBorders>
            <w:shd w:val="clear" w:color="auto" w:fill="auto"/>
          </w:tcPr>
          <w:p w14:paraId="26D3DB78" w14:textId="77777777" w:rsidR="00613AD4" w:rsidRPr="00C85643" w:rsidRDefault="00613AD4" w:rsidP="00613AD4">
            <w:pPr>
              <w:pStyle w:val="Text1"/>
              <w:spacing w:before="60" w:after="60"/>
              <w:ind w:left="0" w:right="-25"/>
              <w:jc w:val="center"/>
              <w:rPr>
                <w:rFonts w:eastAsia="MS Gothic"/>
              </w:rPr>
            </w:pPr>
            <w:r w:rsidRPr="00C85643">
              <w:rPr>
                <w:rFonts w:eastAsia="MS Gothic"/>
              </w:rPr>
              <w:t>YES</w:t>
            </w:r>
          </w:p>
          <w:p w14:paraId="28975885" w14:textId="0BC56209"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12BBC8F" w14:textId="1B0C3AFA"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14:checkbox>
                  <w14:checked w14:val="1"/>
                  <w14:checkedState w14:val="2612" w14:font="MS Gothic"/>
                  <w14:uncheckedState w14:val="2610" w14:font="MS Gothic"/>
                </w14:checkbox>
              </w:sdtPr>
              <w:sdtEndPr/>
              <w:sdtContent>
                <w:r w:rsidR="00051F07">
                  <w:rPr>
                    <w:rFonts w:ascii="MS Gothic" w:eastAsia="MS Gothic" w:hAnsi="MS Gothic" w:cs="Segoe UI Symbol" w:hint="eastAsia"/>
                    <w:sz w:val="22"/>
                    <w:szCs w:val="22"/>
                  </w:rPr>
                  <w:t>☒</w:t>
                </w:r>
              </w:sdtContent>
            </w:sdt>
          </w:p>
          <w:p w14:paraId="15ED966A" w14:textId="6FD7B0E3"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6B01987" w14:textId="7ED2E28D" w:rsidR="00613AD4"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3CD032A6" w14:textId="4DE8A55D" w:rsidR="00613AD4" w:rsidRDefault="00A86B61" w:rsidP="00613AD4">
            <w:pPr>
              <w:pStyle w:val="Text1"/>
              <w:spacing w:before="60" w:after="60"/>
              <w:ind w:left="0" w:right="-25"/>
              <w:jc w:val="center"/>
              <w:rPr>
                <w:rFonts w:ascii="Segoe UI Symbol" w:eastAsia="MS Gothic" w:hAnsi="Segoe UI Symbol"/>
              </w:rPr>
            </w:pPr>
            <w:sdt>
              <w:sdtPr>
                <w:rPr>
                  <w:rFonts w:ascii="Segoe UI Symbol" w:eastAsia="MS Gothic" w:hAnsi="Segoe UI Symbol"/>
                </w:rPr>
                <w:id w:val="645477591"/>
                <w14:checkbox>
                  <w14:checked w14:val="0"/>
                  <w14:checkedState w14:val="2612" w14:font="MS Gothic"/>
                  <w14:uncheckedState w14:val="2610" w14:font="MS Gothic"/>
                </w14:checkbox>
              </w:sdtPr>
              <w:sdtEndPr/>
              <w:sdtContent>
                <w:r w:rsidR="00613AD4" w:rsidRPr="003775F2">
                  <w:rPr>
                    <w:rFonts w:ascii="MS Gothic" w:eastAsia="MS Gothic" w:hAnsi="MS Gothic" w:hint="eastAsia"/>
                    <w:sz w:val="22"/>
                  </w:rPr>
                  <w:t>☐</w:t>
                </w:r>
              </w:sdtContent>
            </w:sdt>
          </w:p>
        </w:tc>
        <w:tc>
          <w:tcPr>
            <w:tcW w:w="2410" w:type="dxa"/>
            <w:gridSpan w:val="2"/>
            <w:tcBorders>
              <w:top w:val="single" w:sz="4" w:space="0" w:color="auto"/>
              <w:left w:val="single" w:sz="4" w:space="0" w:color="FFFFFF"/>
              <w:bottom w:val="single" w:sz="4" w:space="0" w:color="auto"/>
              <w:right w:val="single" w:sz="4" w:space="0" w:color="auto"/>
            </w:tcBorders>
            <w:shd w:val="clear" w:color="auto" w:fill="auto"/>
          </w:tcPr>
          <w:p w14:paraId="1A33E5A5" w14:textId="77777777" w:rsidR="00613AD4" w:rsidRPr="00C85643" w:rsidRDefault="00613AD4" w:rsidP="00613AD4">
            <w:pPr>
              <w:pStyle w:val="Text1"/>
              <w:spacing w:before="60" w:after="60"/>
              <w:ind w:left="0" w:right="-25"/>
              <w:jc w:val="center"/>
              <w:rPr>
                <w:rFonts w:eastAsia="MS Gothic"/>
                <w:color w:val="0D0D0D" w:themeColor="text1" w:themeTint="F2"/>
              </w:rPr>
            </w:pPr>
            <w:r w:rsidRPr="00C85643">
              <w:rPr>
                <w:rFonts w:eastAsia="MS Gothic"/>
                <w:color w:val="0D0D0D" w:themeColor="text1" w:themeTint="F2"/>
              </w:rPr>
              <w:t>NO</w:t>
            </w:r>
          </w:p>
          <w:p w14:paraId="53FDAE87" w14:textId="2F3D52E6" w:rsidR="00613AD4" w:rsidRPr="005D6559" w:rsidRDefault="00A86B61"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1"/>
                  <w14:checkedState w14:val="2612" w14:font="MS Gothic"/>
                  <w14:uncheckedState w14:val="2610" w14:font="MS Gothic"/>
                </w14:checkbox>
              </w:sdtPr>
              <w:sdtEndPr/>
              <w:sdtContent>
                <w:r w:rsidR="00051F07">
                  <w:rPr>
                    <w:rFonts w:ascii="MS Gothic" w:eastAsia="MS Gothic" w:hAnsi="MS Gothic" w:hint="eastAsia"/>
                    <w:color w:val="0D0D0D" w:themeColor="text1" w:themeTint="F2"/>
                    <w:sz w:val="22"/>
                  </w:rPr>
                  <w:t>☒</w:t>
                </w:r>
              </w:sdtContent>
            </w:sdt>
          </w:p>
          <w:p w14:paraId="461D44BD" w14:textId="0C955A1B" w:rsidR="00613AD4" w:rsidRPr="005D6559" w:rsidRDefault="00A86B61"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849610438"/>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6BE2DC60" w14:textId="6F83ECE0" w:rsidR="00613AD4" w:rsidRPr="005D6559" w:rsidRDefault="00A86B61"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62783868"/>
                <w14:checkbox>
                  <w14:checked w14:val="1"/>
                  <w14:checkedState w14:val="2612" w14:font="MS Gothic"/>
                  <w14:uncheckedState w14:val="2610" w14:font="MS Gothic"/>
                </w14:checkbox>
              </w:sdtPr>
              <w:sdtEndPr/>
              <w:sdtContent>
                <w:r w:rsidR="00051F07">
                  <w:rPr>
                    <w:rFonts w:ascii="MS Gothic" w:eastAsia="MS Gothic" w:hAnsi="MS Gothic" w:hint="eastAsia"/>
                    <w:color w:val="0D0D0D" w:themeColor="text1" w:themeTint="F2"/>
                    <w:sz w:val="22"/>
                  </w:rPr>
                  <w:t>☒</w:t>
                </w:r>
              </w:sdtContent>
            </w:sdt>
          </w:p>
          <w:p w14:paraId="792D4748" w14:textId="6DD41491" w:rsidR="00613AD4" w:rsidRPr="005D6559" w:rsidRDefault="00A86B61"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910540456"/>
                <w14:checkbox>
                  <w14:checked w14:val="1"/>
                  <w14:checkedState w14:val="2612" w14:font="MS Gothic"/>
                  <w14:uncheckedState w14:val="2610" w14:font="MS Gothic"/>
                </w14:checkbox>
              </w:sdtPr>
              <w:sdtEndPr/>
              <w:sdtContent>
                <w:r w:rsidR="00051F07">
                  <w:rPr>
                    <w:rFonts w:ascii="MS Gothic" w:eastAsia="MS Gothic" w:hAnsi="MS Gothic" w:hint="eastAsia"/>
                    <w:color w:val="0D0D0D" w:themeColor="text1" w:themeTint="F2"/>
                    <w:sz w:val="22"/>
                  </w:rPr>
                  <w:t>☒</w:t>
                </w:r>
              </w:sdtContent>
            </w:sdt>
          </w:p>
          <w:p w14:paraId="59149176" w14:textId="14197B0C" w:rsidR="00613AD4" w:rsidRPr="00613AD4" w:rsidRDefault="00A86B61" w:rsidP="00613AD4">
            <w:pPr>
              <w:pStyle w:val="Text1"/>
              <w:spacing w:before="60" w:after="60"/>
              <w:ind w:left="0" w:right="-25"/>
              <w:jc w:val="center"/>
              <w:rPr>
                <w:rFonts w:eastAsia="MS Gothic"/>
                <w:color w:val="0D0D0D" w:themeColor="text1" w:themeTint="F2"/>
                <w:lang w:val="en-IE"/>
              </w:rPr>
            </w:pPr>
            <w:sdt>
              <w:sdtPr>
                <w:rPr>
                  <w:rFonts w:eastAsia="MS Gothic"/>
                  <w:color w:val="0D0D0D" w:themeColor="text1" w:themeTint="F2"/>
                </w:rPr>
                <w:id w:val="-1196846098"/>
                <w14:checkbox>
                  <w14:checked w14:val="1"/>
                  <w14:checkedState w14:val="2612" w14:font="MS Gothic"/>
                  <w14:uncheckedState w14:val="2610" w14:font="MS Gothic"/>
                </w14:checkbox>
              </w:sdtPr>
              <w:sdtEndPr/>
              <w:sdtContent>
                <w:r w:rsidR="00051F07">
                  <w:rPr>
                    <w:rFonts w:ascii="MS Gothic" w:eastAsia="MS Gothic" w:hAnsi="MS Gothic" w:hint="eastAsia"/>
                    <w:color w:val="0D0D0D" w:themeColor="text1" w:themeTint="F2"/>
                  </w:rPr>
                  <w:t>☒</w:t>
                </w:r>
              </w:sdtContent>
            </w:sdt>
          </w:p>
        </w:tc>
      </w:tr>
      <w:tr w:rsidR="001A2578" w:rsidRPr="008704EA" w14:paraId="289D721C" w14:textId="77777777" w:rsidTr="001F110E">
        <w:trPr>
          <w:trHeight w:val="40"/>
        </w:trPr>
        <w:tc>
          <w:tcPr>
            <w:tcW w:w="2330" w:type="dxa"/>
            <w:vMerge/>
            <w:tcBorders>
              <w:left w:val="single" w:sz="4" w:space="0" w:color="auto"/>
              <w:right w:val="single" w:sz="4" w:space="0" w:color="auto"/>
            </w:tcBorders>
            <w:shd w:val="clear" w:color="auto" w:fill="auto"/>
          </w:tcPr>
          <w:p w14:paraId="4E9C1BAA"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5DE25BE" w14:textId="311D398D" w:rsidR="001A2578" w:rsidRPr="003C0CD7" w:rsidRDefault="001A2578" w:rsidP="00F915B9">
            <w:pPr>
              <w:pStyle w:val="Text1"/>
              <w:spacing w:before="60" w:after="60"/>
              <w:ind w:left="0" w:right="-25"/>
              <w:jc w:val="left"/>
              <w:rPr>
                <w:color w:val="0D0D0D" w:themeColor="text1" w:themeTint="F2"/>
                <w:lang w:val="en-IE"/>
              </w:rPr>
            </w:pPr>
            <w:r w:rsidRPr="00F915B9">
              <w:t xml:space="preserve">Connectivity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AD3D2" w14:textId="307317DD" w:rsidR="001A2578" w:rsidRPr="003775F2" w:rsidRDefault="00A86B61" w:rsidP="001A2578">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sz w:val="22"/>
                </w:rPr>
                <w:id w:val="1075093998"/>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57D0B6A" w14:textId="0A177510" w:rsidR="001A2578" w:rsidRPr="003775F2" w:rsidRDefault="00A86B61"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795551659"/>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B991B" w14:textId="2BD2578E" w:rsidR="001A2578" w:rsidRPr="003775F2" w:rsidRDefault="00A86B61"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EndPr/>
              <w:sdtContent>
                <w:r w:rsidR="000B3212">
                  <w:rPr>
                    <w:rFonts w:ascii="MS Gothic" w:eastAsia="MS Gothic" w:hAnsi="MS Gothic" w:hint="eastAsia"/>
                    <w:color w:val="0D0D0D" w:themeColor="text1" w:themeTint="F2"/>
                    <w:sz w:val="22"/>
                  </w:rPr>
                  <w:t>☐</w:t>
                </w:r>
              </w:sdtContent>
            </w:sdt>
          </w:p>
        </w:tc>
      </w:tr>
      <w:tr w:rsidR="00613AD4" w:rsidRPr="008704EA" w14:paraId="36BE91AE" w14:textId="77777777" w:rsidTr="00613AD4">
        <w:trPr>
          <w:trHeight w:val="40"/>
        </w:trPr>
        <w:tc>
          <w:tcPr>
            <w:tcW w:w="2330" w:type="dxa"/>
            <w:vMerge/>
            <w:tcBorders>
              <w:left w:val="single" w:sz="4" w:space="0" w:color="auto"/>
              <w:right w:val="single" w:sz="4" w:space="0" w:color="auto"/>
            </w:tcBorders>
            <w:shd w:val="clear" w:color="auto" w:fill="auto"/>
          </w:tcPr>
          <w:p w14:paraId="3B2F52B8" w14:textId="77777777" w:rsidR="00613AD4" w:rsidRPr="003C0CD7" w:rsidRDefault="00613AD4"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1853FAD" w14:textId="77777777" w:rsidR="00613AD4" w:rsidRDefault="00613AD4" w:rsidP="001A2578">
            <w:pPr>
              <w:pStyle w:val="Text1"/>
              <w:spacing w:before="60" w:after="60"/>
              <w:ind w:left="0" w:right="-25"/>
              <w:jc w:val="left"/>
            </w:pPr>
            <w:r>
              <w:t>Tags</w:t>
            </w:r>
          </w:p>
          <w:p w14:paraId="0FE899BB" w14:textId="77777777" w:rsidR="00613AD4" w:rsidRPr="005D6559" w:rsidRDefault="00613AD4" w:rsidP="001A2578">
            <w:pPr>
              <w:pStyle w:val="Text1"/>
              <w:spacing w:before="60" w:after="60"/>
              <w:ind w:left="720" w:right="-25"/>
              <w:jc w:val="left"/>
            </w:pPr>
            <w:r>
              <w:t>digital connectivity</w:t>
            </w:r>
          </w:p>
          <w:p w14:paraId="695E5227" w14:textId="77777777" w:rsidR="00613AD4" w:rsidRPr="005D6559" w:rsidRDefault="00613AD4" w:rsidP="001A2578">
            <w:pPr>
              <w:pStyle w:val="Text1"/>
              <w:spacing w:before="60" w:after="60"/>
              <w:ind w:left="720" w:right="-25"/>
              <w:jc w:val="left"/>
            </w:pPr>
            <w:r w:rsidRPr="005D6559">
              <w:t>energy</w:t>
            </w:r>
          </w:p>
          <w:p w14:paraId="62829D59" w14:textId="77777777" w:rsidR="00613AD4" w:rsidRDefault="00613AD4" w:rsidP="001A2578">
            <w:pPr>
              <w:pStyle w:val="Text1"/>
              <w:spacing w:before="60" w:after="60"/>
              <w:ind w:left="720" w:right="-25"/>
              <w:jc w:val="left"/>
            </w:pPr>
            <w:r>
              <w:t>transport</w:t>
            </w:r>
          </w:p>
          <w:p w14:paraId="47DB50D9" w14:textId="77777777" w:rsidR="00613AD4" w:rsidRDefault="00613AD4" w:rsidP="003775F2">
            <w:pPr>
              <w:pStyle w:val="Text1"/>
              <w:spacing w:before="60" w:after="60"/>
              <w:ind w:left="720" w:right="-25"/>
              <w:jc w:val="left"/>
            </w:pPr>
            <w:r>
              <w:t>health</w:t>
            </w:r>
          </w:p>
          <w:p w14:paraId="43B975CA" w14:textId="77777777" w:rsidR="00613AD4" w:rsidRPr="003775F2" w:rsidRDefault="00613AD4" w:rsidP="003775F2">
            <w:pPr>
              <w:pStyle w:val="Text1"/>
              <w:spacing w:before="60" w:after="60"/>
              <w:ind w:left="720" w:right="-25"/>
              <w:jc w:val="left"/>
            </w:pPr>
            <w:r>
              <w:t>education and research</w:t>
            </w:r>
          </w:p>
        </w:tc>
        <w:tc>
          <w:tcPr>
            <w:tcW w:w="2410" w:type="dxa"/>
            <w:gridSpan w:val="2"/>
            <w:tcBorders>
              <w:top w:val="single" w:sz="4" w:space="0" w:color="auto"/>
              <w:left w:val="single" w:sz="4" w:space="0" w:color="auto"/>
              <w:bottom w:val="single" w:sz="4" w:space="0" w:color="auto"/>
              <w:right w:val="single" w:sz="4" w:space="0" w:color="FFFFFF"/>
            </w:tcBorders>
            <w:shd w:val="clear" w:color="auto" w:fill="auto"/>
          </w:tcPr>
          <w:p w14:paraId="3CE8A1DF" w14:textId="77777777" w:rsidR="00613AD4" w:rsidRPr="0082062A" w:rsidRDefault="00613AD4" w:rsidP="00613AD4">
            <w:pPr>
              <w:pStyle w:val="Text1"/>
              <w:spacing w:before="60" w:after="60"/>
              <w:ind w:left="0" w:right="-25"/>
              <w:jc w:val="center"/>
              <w:rPr>
                <w:rFonts w:eastAsia="MS Gothic"/>
              </w:rPr>
            </w:pPr>
            <w:r w:rsidRPr="0082062A">
              <w:rPr>
                <w:rFonts w:eastAsia="MS Gothic"/>
              </w:rPr>
              <w:t>YES</w:t>
            </w:r>
          </w:p>
          <w:p w14:paraId="4396B989" w14:textId="7D5E7DC8"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0858883A" w14:textId="2A0C55AA"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476EC92D" w14:textId="304E0109"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00288E5B" w14:textId="76988CC9" w:rsidR="00613AD4"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2EE9E5B8" w14:textId="1F835641" w:rsidR="00613AD4"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c>
          <w:tcPr>
            <w:tcW w:w="2410" w:type="dxa"/>
            <w:gridSpan w:val="2"/>
            <w:tcBorders>
              <w:top w:val="single" w:sz="4" w:space="0" w:color="auto"/>
              <w:left w:val="single" w:sz="4" w:space="0" w:color="FFFFFF"/>
              <w:bottom w:val="single" w:sz="4" w:space="0" w:color="auto"/>
              <w:right w:val="single" w:sz="4" w:space="0" w:color="auto"/>
            </w:tcBorders>
            <w:shd w:val="clear" w:color="auto" w:fill="auto"/>
          </w:tcPr>
          <w:p w14:paraId="5E1E8136" w14:textId="77777777" w:rsidR="00613AD4" w:rsidRPr="0082062A" w:rsidRDefault="00613AD4" w:rsidP="00613AD4">
            <w:pPr>
              <w:pStyle w:val="Text1"/>
              <w:spacing w:before="60" w:after="60"/>
              <w:ind w:left="0" w:right="-25"/>
              <w:jc w:val="center"/>
              <w:rPr>
                <w:rFonts w:eastAsia="MS Gothic"/>
              </w:rPr>
            </w:pPr>
            <w:r w:rsidRPr="0082062A">
              <w:rPr>
                <w:rFonts w:eastAsia="MS Gothic"/>
              </w:rPr>
              <w:t>NO</w:t>
            </w:r>
          </w:p>
          <w:p w14:paraId="534FD3C6" w14:textId="57FD29BB"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14:checkbox>
                  <w14:checked w14:val="1"/>
                  <w14:checkedState w14:val="2612" w14:font="MS Gothic"/>
                  <w14:uncheckedState w14:val="2610" w14:font="MS Gothic"/>
                </w14:checkbox>
              </w:sdtPr>
              <w:sdtEndPr/>
              <w:sdtContent>
                <w:r w:rsidR="00051F07">
                  <w:rPr>
                    <w:rFonts w:ascii="MS Gothic" w:eastAsia="MS Gothic" w:hAnsi="MS Gothic" w:cs="Segoe UI Symbol" w:hint="eastAsia"/>
                    <w:sz w:val="22"/>
                    <w:szCs w:val="22"/>
                  </w:rPr>
                  <w:t>☒</w:t>
                </w:r>
              </w:sdtContent>
            </w:sdt>
          </w:p>
          <w:p w14:paraId="387C46FF" w14:textId="60F050EB"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14:checkbox>
                  <w14:checked w14:val="1"/>
                  <w14:checkedState w14:val="2612" w14:font="MS Gothic"/>
                  <w14:uncheckedState w14:val="2610" w14:font="MS Gothic"/>
                </w14:checkbox>
              </w:sdtPr>
              <w:sdtEndPr/>
              <w:sdtContent>
                <w:r w:rsidR="00051F07">
                  <w:rPr>
                    <w:rFonts w:ascii="MS Gothic" w:eastAsia="MS Gothic" w:hAnsi="MS Gothic" w:cs="Segoe UI Symbol" w:hint="eastAsia"/>
                    <w:sz w:val="22"/>
                    <w:szCs w:val="22"/>
                  </w:rPr>
                  <w:t>☒</w:t>
                </w:r>
              </w:sdtContent>
            </w:sdt>
          </w:p>
          <w:p w14:paraId="12BC65FA" w14:textId="52BB6CE9"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14:checkbox>
                  <w14:checked w14:val="1"/>
                  <w14:checkedState w14:val="2612" w14:font="MS Gothic"/>
                  <w14:uncheckedState w14:val="2610" w14:font="MS Gothic"/>
                </w14:checkbox>
              </w:sdtPr>
              <w:sdtEndPr/>
              <w:sdtContent>
                <w:r w:rsidR="00051F07">
                  <w:rPr>
                    <w:rFonts w:ascii="MS Gothic" w:eastAsia="MS Gothic" w:hAnsi="MS Gothic" w:cs="Segoe UI Symbol" w:hint="eastAsia"/>
                    <w:sz w:val="22"/>
                    <w:szCs w:val="22"/>
                  </w:rPr>
                  <w:t>☒</w:t>
                </w:r>
              </w:sdtContent>
            </w:sdt>
          </w:p>
          <w:p w14:paraId="60A0EA48" w14:textId="12FFA356" w:rsidR="00613AD4" w:rsidRPr="002719BB"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1"/>
                  <w14:checkedState w14:val="2612" w14:font="MS Gothic"/>
                  <w14:uncheckedState w14:val="2610" w14:font="MS Gothic"/>
                </w14:checkbox>
              </w:sdtPr>
              <w:sdtEndPr/>
              <w:sdtContent>
                <w:r w:rsidR="00051F07">
                  <w:rPr>
                    <w:rFonts w:ascii="MS Gothic" w:eastAsia="MS Gothic" w:hAnsi="MS Gothic" w:cs="Segoe UI Symbol" w:hint="eastAsia"/>
                    <w:sz w:val="22"/>
                    <w:szCs w:val="22"/>
                  </w:rPr>
                  <w:t>☒</w:t>
                </w:r>
              </w:sdtContent>
            </w:sdt>
          </w:p>
          <w:p w14:paraId="1848AA6B" w14:textId="26176917" w:rsidR="00613AD4" w:rsidRDefault="00A86B61"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14:checkbox>
                  <w14:checked w14:val="1"/>
                  <w14:checkedState w14:val="2612" w14:font="MS Gothic"/>
                  <w14:uncheckedState w14:val="2610" w14:font="MS Gothic"/>
                </w14:checkbox>
              </w:sdtPr>
              <w:sdtEndPr/>
              <w:sdtContent>
                <w:r w:rsidR="00051F07">
                  <w:rPr>
                    <w:rFonts w:ascii="MS Gothic" w:eastAsia="MS Gothic" w:hAnsi="MS Gothic" w:cs="Segoe UI Symbol" w:hint="eastAsia"/>
                    <w:sz w:val="22"/>
                    <w:szCs w:val="22"/>
                  </w:rPr>
                  <w:t>☒</w:t>
                </w:r>
              </w:sdtContent>
            </w:sdt>
          </w:p>
        </w:tc>
      </w:tr>
      <w:tr w:rsidR="001A2578" w:rsidRPr="008704EA" w14:paraId="663C56C9" w14:textId="77777777" w:rsidTr="001F110E">
        <w:trPr>
          <w:trHeight w:val="40"/>
        </w:trPr>
        <w:tc>
          <w:tcPr>
            <w:tcW w:w="2330" w:type="dxa"/>
            <w:vMerge/>
            <w:tcBorders>
              <w:left w:val="single" w:sz="4" w:space="0" w:color="auto"/>
              <w:right w:val="single" w:sz="4" w:space="0" w:color="auto"/>
            </w:tcBorders>
            <w:shd w:val="clear" w:color="auto" w:fill="auto"/>
          </w:tcPr>
          <w:p w14:paraId="47E78CA3"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190B2D8C" w14:textId="4935B562" w:rsidR="001A2578" w:rsidRPr="0082062A" w:rsidRDefault="001A2578" w:rsidP="0082062A">
            <w:pPr>
              <w:jc w:val="left"/>
              <w:rPr>
                <w:lang w:val="en-IE" w:eastAsia="en-IE"/>
              </w:rPr>
            </w:pPr>
            <w:r w:rsidRPr="005D6559">
              <w:t>Migration</w:t>
            </w:r>
            <w:r w:rsidR="00091845" w:rsidRPr="00FD71E4">
              <w:rPr>
                <w:rStyle w:val="FootnoteReference"/>
              </w:rPr>
              <w:footnoteReference w:id="13"/>
            </w:r>
            <w:r w:rsidR="00091845" w:rsidRPr="00FD71E4">
              <w:rPr>
                <w:rStyle w:val="Hyperlink"/>
                <w:u w:val="none"/>
              </w:rPr>
              <w:t xml:space="preserve"> </w:t>
            </w:r>
            <w:r w:rsidRPr="001C3485">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DF0FA7" w14:textId="6B358308" w:rsidR="001A2578" w:rsidRPr="003C0CD7"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9093535"/>
                <w14:checkbox>
                  <w14:checked w14:val="1"/>
                  <w14:checkedState w14:val="2612" w14:font="MS Gothic"/>
                  <w14:uncheckedState w14:val="2610" w14:font="MS Gothic"/>
                </w14:checkbox>
              </w:sdtPr>
              <w:sdtEndPr/>
              <w:sdtContent>
                <w:r w:rsidR="00051F0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468518E" w14:textId="798E8C6D" w:rsidR="001A2578" w:rsidRPr="003C0CD7"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67423059"/>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DB742" w14:textId="0D51E278" w:rsidR="001A2578" w:rsidRPr="003C0CD7"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688097734"/>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76DFA26F" w14:textId="77777777" w:rsidTr="00DF3146">
        <w:trPr>
          <w:trHeight w:val="40"/>
        </w:trPr>
        <w:tc>
          <w:tcPr>
            <w:tcW w:w="2330" w:type="dxa"/>
            <w:vMerge/>
            <w:tcBorders>
              <w:left w:val="single" w:sz="4" w:space="0" w:color="auto"/>
              <w:right w:val="single" w:sz="4" w:space="0" w:color="auto"/>
            </w:tcBorders>
            <w:shd w:val="clear" w:color="auto" w:fill="auto"/>
          </w:tcPr>
          <w:p w14:paraId="33DA47DE"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803EA3C" w14:textId="2C7C3E4E" w:rsidR="001A2578" w:rsidRPr="003C0CD7" w:rsidRDefault="001A2578" w:rsidP="001A2578">
            <w:pPr>
              <w:pStyle w:val="Text1"/>
              <w:spacing w:before="60" w:after="60"/>
              <w:ind w:left="0" w:right="-25"/>
              <w:jc w:val="left"/>
              <w:rPr>
                <w:color w:val="0D0D0D" w:themeColor="text1" w:themeTint="F2"/>
                <w:lang w:val="en-IE"/>
              </w:rPr>
            </w:pPr>
            <w:r>
              <w:t>Reduction of</w:t>
            </w:r>
            <w:r w:rsidRPr="005D6559">
              <w:t xml:space="preserve"> Inequalities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3DF0CA" w14:textId="4024CAAD" w:rsidR="001A2578"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302380195"/>
                <w14:checkbox>
                  <w14:checked w14:val="1"/>
                  <w14:checkedState w14:val="2612" w14:font="MS Gothic"/>
                  <w14:uncheckedState w14:val="2610" w14:font="MS Gothic"/>
                </w14:checkbox>
              </w:sdtPr>
              <w:sdtEndPr/>
              <w:sdtContent>
                <w:r w:rsidR="00051F07">
                  <w:rPr>
                    <w:rFonts w:ascii="MS Gothic" w:eastAsia="MS Gothic" w:hAnsi="MS Gothic" w:cs="Segoe UI Symbol" w:hint="eastAsia"/>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84B4BED" w14:textId="10AB403D" w:rsidR="001A2578"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293833487"/>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C9513" w14:textId="13BA7462" w:rsidR="001A2578"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926022322"/>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r>
      <w:tr w:rsidR="001A2578" w:rsidRPr="008704EA" w14:paraId="356B401D" w14:textId="77777777" w:rsidTr="00C85643">
        <w:trPr>
          <w:trHeight w:val="40"/>
        </w:trPr>
        <w:tc>
          <w:tcPr>
            <w:tcW w:w="2330" w:type="dxa"/>
            <w:vMerge/>
            <w:tcBorders>
              <w:left w:val="single" w:sz="4" w:space="0" w:color="auto"/>
              <w:bottom w:val="single" w:sz="4" w:space="0" w:color="auto"/>
              <w:right w:val="single" w:sz="4" w:space="0" w:color="auto"/>
            </w:tcBorders>
            <w:shd w:val="clear" w:color="auto" w:fill="auto"/>
          </w:tcPr>
          <w:p w14:paraId="7C6786CA" w14:textId="77777777" w:rsidR="001A2578" w:rsidRPr="003C0CD7" w:rsidRDefault="001A2578" w:rsidP="001A257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AAAE700" w14:textId="77777777" w:rsidR="001A2578" w:rsidRPr="003C0CD7" w:rsidRDefault="001A2578" w:rsidP="001A2578">
            <w:pPr>
              <w:pStyle w:val="Text1"/>
              <w:spacing w:before="60" w:after="60"/>
              <w:ind w:left="0" w:right="-25"/>
              <w:jc w:val="left"/>
              <w:rPr>
                <w:color w:val="0D0D0D" w:themeColor="text1" w:themeTint="F2"/>
                <w:lang w:val="en-IE"/>
              </w:rPr>
            </w:pPr>
            <w:r>
              <w:rPr>
                <w:lang w:val="en-IE"/>
              </w:rPr>
              <w:t>COVID</w:t>
            </w:r>
            <w:r w:rsidRPr="003C0CD7">
              <w:rPr>
                <w:lang w:val="en-IE"/>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6CA8F6" w14:textId="477D8EF6" w:rsidR="001A2578" w:rsidRPr="003C0CD7"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806739341"/>
                <w14:checkbox>
                  <w14:checked w14:val="1"/>
                  <w14:checkedState w14:val="2612" w14:font="MS Gothic"/>
                  <w14:uncheckedState w14:val="2610" w14:font="MS Gothic"/>
                </w14:checkbox>
              </w:sdtPr>
              <w:sdtEndPr/>
              <w:sdtContent>
                <w:r w:rsidR="00051F0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89AEDE3" w14:textId="23996E45" w:rsidR="001A2578" w:rsidRPr="003C0CD7"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54420779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A4F581" w14:textId="2BAC4FCB" w:rsidR="001A2578" w:rsidRPr="003C0CD7" w:rsidRDefault="00A86B61"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761604646"/>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5ABD7B42"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6E8761BD" w14:textId="77777777" w:rsidR="001A2578" w:rsidRPr="003C0CD7" w:rsidRDefault="001A2578" w:rsidP="001A2578">
            <w:pPr>
              <w:jc w:val="center"/>
              <w:rPr>
                <w:b/>
                <w:szCs w:val="24"/>
                <w:lang w:val="en-IE"/>
              </w:rPr>
            </w:pPr>
            <w:r w:rsidRPr="003C0CD7">
              <w:rPr>
                <w:b/>
                <w:szCs w:val="24"/>
                <w:lang w:val="en-IE"/>
              </w:rPr>
              <w:t>BUDGET INFORMATION</w:t>
            </w:r>
          </w:p>
        </w:tc>
      </w:tr>
      <w:tr w:rsidR="001A2578" w:rsidRPr="008704EA" w14:paraId="57C6E4A1"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322E6686" w14:textId="77777777" w:rsidR="001A2578" w:rsidRPr="003C0CD7" w:rsidRDefault="001A2578" w:rsidP="001A2578">
            <w:pPr>
              <w:pStyle w:val="Text1"/>
              <w:spacing w:before="60" w:after="60"/>
              <w:ind w:left="0"/>
              <w:jc w:val="left"/>
              <w:rPr>
                <w:b/>
                <w:color w:val="0D0D0D" w:themeColor="text1" w:themeTint="F2"/>
                <w:lang w:val="en-IE"/>
              </w:rPr>
            </w:pPr>
            <w:r w:rsidRPr="003C0CD7">
              <w:rPr>
                <w:b/>
                <w:color w:val="0D0D0D" w:themeColor="text1" w:themeTint="F2"/>
                <w:lang w:val="en-IE"/>
              </w:rPr>
              <w:t>Amounts concerned</w:t>
            </w:r>
          </w:p>
          <w:p w14:paraId="391FEA76" w14:textId="77777777" w:rsidR="001A2578" w:rsidRPr="003C0CD7" w:rsidRDefault="001A2578" w:rsidP="001A2578">
            <w:pPr>
              <w:pStyle w:val="Text1"/>
              <w:spacing w:before="60" w:after="60"/>
              <w:ind w:left="0"/>
              <w:jc w:val="left"/>
              <w:rPr>
                <w:color w:val="0D0D0D" w:themeColor="text1" w:themeTint="F2"/>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8728B29" w14:textId="0EF762F9" w:rsidR="001A2578" w:rsidRPr="003C0CD7" w:rsidRDefault="001A2578" w:rsidP="001A2578">
            <w:pPr>
              <w:spacing w:before="120" w:after="120"/>
              <w:ind w:right="-25"/>
              <w:rPr>
                <w:szCs w:val="24"/>
                <w:lang w:val="en-IE"/>
              </w:rPr>
            </w:pPr>
            <w:r w:rsidRPr="003C0CD7">
              <w:rPr>
                <w:szCs w:val="24"/>
                <w:lang w:val="en-IE"/>
              </w:rPr>
              <w:t xml:space="preserve">Budget line: </w:t>
            </w:r>
            <w:r w:rsidR="00051F07" w:rsidRPr="004F51D5">
              <w:rPr>
                <w:lang w:val="en-IE"/>
              </w:rPr>
              <w:t>15.020101.01</w:t>
            </w:r>
          </w:p>
          <w:p w14:paraId="7D5152A5" w14:textId="380A43A6" w:rsidR="001A2578" w:rsidRPr="003C0CD7" w:rsidRDefault="001A2578" w:rsidP="001A2578">
            <w:pPr>
              <w:spacing w:before="120" w:after="120"/>
              <w:ind w:right="-25"/>
              <w:rPr>
                <w:szCs w:val="24"/>
                <w:lang w:val="en-IE"/>
              </w:rPr>
            </w:pPr>
            <w:r w:rsidRPr="003C0CD7">
              <w:rPr>
                <w:szCs w:val="24"/>
                <w:lang w:val="en-IE"/>
              </w:rPr>
              <w:t xml:space="preserve">Total estimated cost: EUR </w:t>
            </w:r>
            <w:r w:rsidR="00EE66E0">
              <w:rPr>
                <w:szCs w:val="24"/>
                <w:lang w:val="en-IE"/>
              </w:rPr>
              <w:t>5 200 000</w:t>
            </w:r>
          </w:p>
          <w:p w14:paraId="1D90D1A2" w14:textId="032FFABD" w:rsidR="00F5659C" w:rsidRPr="00EE66E0" w:rsidRDefault="001A2578" w:rsidP="00EE66E0">
            <w:pPr>
              <w:spacing w:before="120"/>
              <w:ind w:right="-25"/>
              <w:rPr>
                <w:szCs w:val="24"/>
                <w:lang w:val="en-IE"/>
              </w:rPr>
            </w:pPr>
            <w:r w:rsidRPr="003C0CD7">
              <w:rPr>
                <w:szCs w:val="24"/>
                <w:lang w:val="en-IE"/>
              </w:rPr>
              <w:t xml:space="preserve">Total amount of EU budget contribution EUR </w:t>
            </w:r>
            <w:r w:rsidR="00EE66E0">
              <w:rPr>
                <w:szCs w:val="24"/>
                <w:lang w:val="en-IE"/>
              </w:rPr>
              <w:t>5 000 000</w:t>
            </w:r>
          </w:p>
        </w:tc>
      </w:tr>
      <w:tr w:rsidR="001A2578" w:rsidRPr="008704EA" w14:paraId="538E4DC3"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043DD7D9" w14:textId="77777777" w:rsidR="001A2578" w:rsidRPr="003C0CD7" w:rsidRDefault="001A2578" w:rsidP="001A2578">
            <w:pPr>
              <w:jc w:val="center"/>
              <w:rPr>
                <w:b/>
                <w:szCs w:val="24"/>
                <w:lang w:val="en-IE"/>
              </w:rPr>
            </w:pPr>
            <w:r w:rsidRPr="003C0CD7">
              <w:rPr>
                <w:b/>
                <w:szCs w:val="24"/>
                <w:lang w:val="en-IE"/>
              </w:rPr>
              <w:t>MANAGEMENT AND IMPLEMENTATION</w:t>
            </w:r>
          </w:p>
        </w:tc>
      </w:tr>
      <w:tr w:rsidR="001A2578" w:rsidRPr="008704EA" w14:paraId="4291B723"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154A18F2" w14:textId="3E305DF4" w:rsidR="001A2578" w:rsidRPr="003C0CD7" w:rsidRDefault="001A2578" w:rsidP="001A2578">
            <w:pPr>
              <w:pStyle w:val="Text1"/>
              <w:spacing w:before="60" w:after="60"/>
              <w:ind w:left="0"/>
              <w:jc w:val="left"/>
              <w:rPr>
                <w:color w:val="0D0D0D" w:themeColor="text1" w:themeTint="F2"/>
                <w:lang w:val="en-IE"/>
              </w:rPr>
            </w:pPr>
            <w:r w:rsidRPr="003C0CD7">
              <w:rPr>
                <w:b/>
                <w:color w:val="0D0D0D" w:themeColor="text1" w:themeTint="F2"/>
                <w:lang w:val="en-IE"/>
              </w:rPr>
              <w:t>Implementation modalities (management mode</w:t>
            </w:r>
            <w:r w:rsidR="00091845">
              <w:rPr>
                <w:b/>
                <w:color w:val="0D0D0D" w:themeColor="text1" w:themeTint="F2"/>
                <w:lang w:val="en-IE"/>
              </w:rPr>
              <w:t xml:space="preserve"> and delivery methods</w:t>
            </w:r>
            <w:r w:rsidRPr="003C0CD7">
              <w:rPr>
                <w:b/>
                <w:color w:val="0D0D0D" w:themeColor="text1" w:themeTint="F2"/>
                <w:lang w:val="en-IE"/>
              </w:rPr>
              <w: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074CF88" w14:textId="477EFC5A" w:rsidR="001A2578" w:rsidRPr="003C0CD7" w:rsidRDefault="001A2578" w:rsidP="001A2578">
            <w:pPr>
              <w:pStyle w:val="Text1"/>
              <w:spacing w:before="60" w:after="60"/>
              <w:ind w:left="0" w:right="-25"/>
              <w:jc w:val="left"/>
              <w:rPr>
                <w:highlight w:val="lightGray"/>
                <w:lang w:val="en-IE"/>
              </w:rPr>
            </w:pPr>
            <w:r w:rsidRPr="00B8664E">
              <w:rPr>
                <w:b/>
                <w:lang w:val="en-IE"/>
              </w:rPr>
              <w:t>Direct management</w:t>
            </w:r>
            <w:r w:rsidRPr="00B8664E">
              <w:rPr>
                <w:lang w:val="en-IE"/>
              </w:rPr>
              <w:t xml:space="preserve"> through:</w:t>
            </w:r>
          </w:p>
          <w:p w14:paraId="337638F6" w14:textId="4BA452E7" w:rsidR="001A2578" w:rsidRPr="00B8664E" w:rsidRDefault="001A2578" w:rsidP="001A2578">
            <w:pPr>
              <w:pStyle w:val="Text1"/>
              <w:spacing w:before="60" w:after="60"/>
              <w:ind w:left="0" w:right="-25"/>
              <w:jc w:val="left"/>
              <w:rPr>
                <w:lang w:val="en-IE"/>
              </w:rPr>
            </w:pPr>
            <w:r w:rsidRPr="00B8664E">
              <w:rPr>
                <w:lang w:val="en-IE"/>
              </w:rPr>
              <w:t xml:space="preserve">- </w:t>
            </w:r>
            <w:r w:rsidR="00051F07" w:rsidRPr="00B8664E">
              <w:rPr>
                <w:lang w:val="en-IE"/>
              </w:rPr>
              <w:t>Grants</w:t>
            </w:r>
            <w:r w:rsidR="00B8664E">
              <w:rPr>
                <w:lang w:val="en-IE"/>
              </w:rPr>
              <w:t xml:space="preserve">, </w:t>
            </w:r>
            <w:r w:rsidR="00051F07">
              <w:rPr>
                <w:lang w:val="en-IE"/>
              </w:rPr>
              <w:t>and</w:t>
            </w:r>
          </w:p>
          <w:p w14:paraId="597408FC" w14:textId="45A9CD8A" w:rsidR="001A2578" w:rsidRPr="003C0CD7" w:rsidRDefault="001A2578" w:rsidP="001A2578">
            <w:pPr>
              <w:pStyle w:val="Text1"/>
              <w:spacing w:before="60" w:after="60"/>
              <w:ind w:left="0" w:right="-25"/>
              <w:jc w:val="left"/>
              <w:rPr>
                <w:lang w:val="en-IE"/>
              </w:rPr>
            </w:pPr>
            <w:r w:rsidRPr="00B8664E">
              <w:rPr>
                <w:lang w:val="en-IE"/>
              </w:rPr>
              <w:t>- Procurement</w:t>
            </w:r>
            <w:r w:rsidR="00B8664E">
              <w:rPr>
                <w:lang w:val="en-IE"/>
              </w:rPr>
              <w:t xml:space="preserve"> </w:t>
            </w:r>
          </w:p>
          <w:p w14:paraId="6F524799" w14:textId="6A4A6224" w:rsidR="00F5659C" w:rsidRPr="00C85643" w:rsidRDefault="00F5659C" w:rsidP="000B3212">
            <w:pPr>
              <w:autoSpaceDE w:val="0"/>
              <w:autoSpaceDN w:val="0"/>
              <w:rPr>
                <w:lang w:val="en-IE"/>
              </w:rPr>
            </w:pPr>
          </w:p>
        </w:tc>
      </w:tr>
      <w:tr w:rsidR="001A2578" w:rsidRPr="008704EA" w14:paraId="74F3EF98"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97CDF8" w14:textId="60908EA3" w:rsidR="001A2578" w:rsidRPr="003C0CD7" w:rsidRDefault="001A2578" w:rsidP="008360C8">
            <w:pPr>
              <w:pStyle w:val="Text1"/>
              <w:spacing w:before="60" w:after="60"/>
              <w:ind w:left="-10" w:right="-108"/>
              <w:jc w:val="left"/>
              <w:rPr>
                <w:b/>
                <w:bCs/>
                <w:color w:val="0D0D0D" w:themeColor="text1" w:themeTint="F2"/>
                <w:lang w:val="en-IE"/>
              </w:rPr>
            </w:pPr>
            <w:r w:rsidRPr="003C0CD7">
              <w:rPr>
                <w:b/>
                <w:bCs/>
                <w:color w:val="0D0D0D" w:themeColor="text1" w:themeTint="F2"/>
                <w:lang w:val="en-IE"/>
              </w:rPr>
              <w:t xml:space="preserve">Final Date for conclusion of Financing Agreement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AC564F4" w14:textId="77777777" w:rsidR="001A2578" w:rsidRPr="003C0CD7" w:rsidRDefault="001A2578" w:rsidP="001A2578">
            <w:pPr>
              <w:pStyle w:val="Text1"/>
              <w:spacing w:before="60" w:after="60"/>
              <w:ind w:left="0"/>
              <w:jc w:val="left"/>
              <w:rPr>
                <w:highlight w:val="lightGray"/>
                <w:lang w:val="en-IE" w:eastAsia="de-DE"/>
              </w:rPr>
            </w:pPr>
          </w:p>
          <w:p w14:paraId="61BED7E1" w14:textId="7E64E530" w:rsidR="001A2578" w:rsidRPr="008360C8" w:rsidRDefault="001A2578" w:rsidP="001A2578">
            <w:pPr>
              <w:pStyle w:val="Text1"/>
              <w:spacing w:before="60" w:after="60"/>
              <w:ind w:left="0"/>
              <w:jc w:val="left"/>
              <w:rPr>
                <w:lang w:val="en-IE" w:eastAsia="de-DE"/>
              </w:rPr>
            </w:pPr>
            <w:r w:rsidRPr="008360C8">
              <w:rPr>
                <w:lang w:val="en-IE" w:eastAsia="de-DE"/>
              </w:rPr>
              <w:t>At the latest by 31 December</w:t>
            </w:r>
            <w:r w:rsidR="008360C8">
              <w:rPr>
                <w:lang w:val="en-IE" w:eastAsia="de-DE"/>
              </w:rPr>
              <w:t xml:space="preserve"> 2025</w:t>
            </w:r>
          </w:p>
          <w:p w14:paraId="716CC5FA" w14:textId="77777777" w:rsidR="001A2578" w:rsidRPr="003C0CD7" w:rsidRDefault="001A2578" w:rsidP="001A2578">
            <w:pPr>
              <w:pStyle w:val="Text1"/>
              <w:spacing w:before="60" w:after="60"/>
              <w:ind w:left="0"/>
              <w:jc w:val="left"/>
              <w:rPr>
                <w:highlight w:val="yellow"/>
                <w:lang w:val="en-IE" w:eastAsia="de-DE"/>
              </w:rPr>
            </w:pPr>
          </w:p>
        </w:tc>
      </w:tr>
      <w:tr w:rsidR="001A2578" w:rsidRPr="008704EA" w14:paraId="1BC2E909"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4D3B8A16" w14:textId="77777777"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8360C8">
              <w:rPr>
                <w:b/>
                <w:bCs/>
                <w:color w:val="0D0D0D" w:themeColor="text1" w:themeTint="F2"/>
                <w:lang w:val="en-IE"/>
              </w:rPr>
              <w:t>Final date for concluding contribution / delegation agreements,  procurement and grant contracts</w:t>
            </w:r>
          </w:p>
          <w:p w14:paraId="002D4F2E" w14:textId="762DA940" w:rsidR="001A2578" w:rsidRPr="003C0CD7" w:rsidRDefault="001A2578" w:rsidP="007F5D34">
            <w:pPr>
              <w:pStyle w:val="Text1"/>
              <w:spacing w:before="60" w:after="60"/>
              <w:ind w:left="0" w:right="-108"/>
              <w:jc w:val="left"/>
              <w:rPr>
                <w:b/>
                <w:bCs/>
                <w:color w:val="0D0D0D" w:themeColor="text1" w:themeTint="F2"/>
                <w:highlight w:val="lightGray"/>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F49BD66" w14:textId="77777777" w:rsidR="001A2578" w:rsidRPr="003C0CD7" w:rsidRDefault="001A2578" w:rsidP="001A2578">
            <w:pPr>
              <w:pStyle w:val="Text1"/>
              <w:spacing w:before="60" w:after="60"/>
              <w:ind w:left="0"/>
              <w:jc w:val="left"/>
              <w:rPr>
                <w:highlight w:val="lightGray"/>
                <w:lang w:val="en-IE" w:eastAsia="de-DE"/>
              </w:rPr>
            </w:pPr>
          </w:p>
          <w:p w14:paraId="2AF3CD05" w14:textId="34B91F12" w:rsidR="001A2578" w:rsidRPr="008360C8" w:rsidRDefault="001A2578" w:rsidP="001A2578">
            <w:pPr>
              <w:pStyle w:val="Text1"/>
              <w:spacing w:before="60" w:after="60"/>
              <w:ind w:left="0"/>
              <w:jc w:val="left"/>
              <w:rPr>
                <w:lang w:val="en-IE" w:eastAsia="de-DE"/>
              </w:rPr>
            </w:pPr>
            <w:r w:rsidRPr="008360C8">
              <w:rPr>
                <w:lang w:val="en-IE" w:eastAsia="de-DE"/>
              </w:rPr>
              <w:t>3 years following the date of conclusion of the financing agreement, with the exception of cases listed under Article 114(2) of the Financial Regulation</w:t>
            </w:r>
          </w:p>
          <w:p w14:paraId="660CFFEC"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5A7791B3"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DB0D6A0" w14:textId="6E6CC8F0"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8360C8">
              <w:rPr>
                <w:b/>
                <w:bCs/>
                <w:color w:val="0D0D0D" w:themeColor="text1" w:themeTint="F2"/>
                <w:lang w:val="en-IE"/>
              </w:rPr>
              <w:lastRenderedPageBreak/>
              <w:t>Indicative operational implementation period</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04507E36" w14:textId="6F8D8E82" w:rsidR="001A2578" w:rsidRPr="003C0CD7" w:rsidRDefault="008360C8" w:rsidP="001A2578">
            <w:pPr>
              <w:pStyle w:val="Text1"/>
              <w:spacing w:before="60" w:after="60"/>
              <w:ind w:left="0"/>
              <w:jc w:val="left"/>
              <w:rPr>
                <w:highlight w:val="lightGray"/>
                <w:lang w:val="en-IE" w:eastAsia="de-DE"/>
              </w:rPr>
            </w:pPr>
            <w:r>
              <w:rPr>
                <w:lang w:val="en-IE" w:eastAsia="de-DE"/>
              </w:rPr>
              <w:t>72</w:t>
            </w:r>
            <w:r w:rsidR="001A2578" w:rsidRPr="003C0CD7">
              <w:rPr>
                <w:lang w:val="en-IE"/>
              </w:rPr>
              <w:t xml:space="preserve">months </w:t>
            </w:r>
            <w:r w:rsidR="001A2578" w:rsidRPr="008360C8">
              <w:rPr>
                <w:lang w:val="en-IE" w:eastAsia="de-DE"/>
              </w:rPr>
              <w:t>following the conclusion of the Financing Agreement</w:t>
            </w:r>
          </w:p>
          <w:p w14:paraId="1F069464"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10E1681C"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381D63E8" w14:textId="77777777" w:rsidR="001A2578" w:rsidRPr="003C0CD7" w:rsidRDefault="001A2578" w:rsidP="001A2578">
            <w:pPr>
              <w:pStyle w:val="Text1"/>
              <w:spacing w:before="60" w:after="60"/>
              <w:ind w:left="0" w:right="-108"/>
              <w:jc w:val="left"/>
              <w:rPr>
                <w:b/>
                <w:color w:val="000000"/>
                <w:lang w:val="en-IE"/>
              </w:rPr>
            </w:pPr>
            <w:r w:rsidRPr="003C0CD7">
              <w:rPr>
                <w:b/>
                <w:color w:val="000000"/>
                <w:lang w:val="en-IE"/>
              </w:rPr>
              <w:t>Final date for implementing the Financing Agreement</w:t>
            </w:r>
          </w:p>
          <w:p w14:paraId="5A8E99FD" w14:textId="24A0F82E" w:rsidR="001A2578" w:rsidRPr="003C0CD7" w:rsidRDefault="001A2578" w:rsidP="001A2578">
            <w:pPr>
              <w:pStyle w:val="Text1"/>
              <w:spacing w:before="60" w:after="60"/>
              <w:ind w:left="0" w:right="-108"/>
              <w:jc w:val="left"/>
              <w:rPr>
                <w:b/>
                <w:bCs/>
                <w:color w:val="0D0D0D" w:themeColor="text1" w:themeTint="F2"/>
                <w:highlight w:val="lightGray"/>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BB66F87" w14:textId="5773E8A1" w:rsidR="001A2578" w:rsidRPr="008360C8" w:rsidRDefault="001A2578" w:rsidP="001A2578">
            <w:pPr>
              <w:pStyle w:val="Text1"/>
              <w:spacing w:before="60" w:after="60"/>
              <w:ind w:left="0"/>
              <w:jc w:val="left"/>
              <w:rPr>
                <w:lang w:val="en-IE" w:eastAsia="de-DE"/>
              </w:rPr>
            </w:pPr>
            <w:r w:rsidRPr="008360C8">
              <w:rPr>
                <w:lang w:val="en-IE" w:eastAsia="de-DE"/>
              </w:rPr>
              <w:t xml:space="preserve">12 years following the conclusion of the </w:t>
            </w:r>
            <w:r w:rsidR="008360C8">
              <w:rPr>
                <w:lang w:val="en-IE" w:eastAsia="de-DE"/>
              </w:rPr>
              <w:t>F</w:t>
            </w:r>
            <w:r w:rsidRPr="008360C8">
              <w:rPr>
                <w:lang w:val="en-IE" w:eastAsia="de-DE"/>
              </w:rPr>
              <w:t xml:space="preserve">inancing </w:t>
            </w:r>
            <w:r w:rsidR="008360C8">
              <w:rPr>
                <w:lang w:val="en-IE" w:eastAsia="de-DE"/>
              </w:rPr>
              <w:t>A</w:t>
            </w:r>
            <w:r w:rsidRPr="008360C8">
              <w:rPr>
                <w:lang w:val="en-IE" w:eastAsia="de-DE"/>
              </w:rPr>
              <w:t>greement</w:t>
            </w:r>
          </w:p>
        </w:tc>
      </w:tr>
    </w:tbl>
    <w:p w14:paraId="3263BA63" w14:textId="77777777" w:rsidR="0020000F" w:rsidRPr="003C0CD7" w:rsidRDefault="00FD7FCD" w:rsidP="003C0CD7">
      <w:pPr>
        <w:pStyle w:val="Heading1"/>
        <w:numPr>
          <w:ilvl w:val="1"/>
          <w:numId w:val="1"/>
        </w:numPr>
        <w:rPr>
          <w:lang w:val="en-IE"/>
        </w:rPr>
      </w:pPr>
      <w:bookmarkStart w:id="12" w:name="_Ref58422630"/>
      <w:bookmarkStart w:id="13" w:name="_Ref58422632"/>
      <w:bookmarkStart w:id="14" w:name="_Toc73090732"/>
      <w:r w:rsidRPr="003C0CD7">
        <w:rPr>
          <w:lang w:val="en-IE"/>
        </w:rPr>
        <w:t>Summary of the Action</w:t>
      </w:r>
      <w:bookmarkEnd w:id="12"/>
      <w:bookmarkEnd w:id="13"/>
      <w:bookmarkEnd w:id="14"/>
      <w:r w:rsidR="00532695" w:rsidRPr="003C0CD7">
        <w:rPr>
          <w:lang w:val="en-IE"/>
        </w:rPr>
        <w:t xml:space="preserve"> </w:t>
      </w:r>
    </w:p>
    <w:p w14:paraId="4795C0D8" w14:textId="79FA9586" w:rsidR="00B52B8D" w:rsidRPr="00E52460" w:rsidRDefault="00693567" w:rsidP="00497F73">
      <w:pPr>
        <w:spacing w:before="120"/>
        <w:ind w:left="357"/>
        <w:rPr>
          <w:rFonts w:cs="Times New Roman"/>
          <w:color w:val="0D0D0D" w:themeColor="text1" w:themeTint="F2"/>
          <w:szCs w:val="24"/>
        </w:rPr>
      </w:pPr>
      <w:r w:rsidRPr="00E52460">
        <w:rPr>
          <w:lang w:val="en-IE"/>
        </w:rPr>
        <w:t xml:space="preserve">The </w:t>
      </w:r>
      <w:r w:rsidR="00497C0B" w:rsidRPr="00E52460">
        <w:rPr>
          <w:lang w:val="en-IE"/>
        </w:rPr>
        <w:t xml:space="preserve">Action </w:t>
      </w:r>
      <w:r w:rsidR="00CF6FD5" w:rsidRPr="00E52460">
        <w:rPr>
          <w:lang w:val="en-IE"/>
        </w:rPr>
        <w:t xml:space="preserve">aims at </w:t>
      </w:r>
      <w:r w:rsidRPr="00E52460">
        <w:rPr>
          <w:lang w:val="en-IE"/>
        </w:rPr>
        <w:t>enhanc</w:t>
      </w:r>
      <w:r w:rsidR="00CF6FD5" w:rsidRPr="00E52460">
        <w:rPr>
          <w:lang w:val="en-IE"/>
        </w:rPr>
        <w:t>ing</w:t>
      </w:r>
      <w:r w:rsidRPr="00E52460">
        <w:rPr>
          <w:lang w:val="en-IE"/>
        </w:rPr>
        <w:t xml:space="preserve"> the security architecture of North Macedonia by </w:t>
      </w:r>
      <w:r w:rsidR="00051F07" w:rsidRPr="00E52460">
        <w:rPr>
          <w:lang w:val="en-IE"/>
        </w:rPr>
        <w:t xml:space="preserve">strengthening the country’s response to </w:t>
      </w:r>
      <w:r w:rsidR="00E52460" w:rsidRPr="00497F73">
        <w:rPr>
          <w:rFonts w:cs="Times New Roman"/>
          <w:iCs/>
          <w:color w:val="0D0D0D" w:themeColor="text1" w:themeTint="F2"/>
          <w:lang w:val="en-IE"/>
        </w:rPr>
        <w:t xml:space="preserve">security threats and risks, posed by cyber-crime, organised crime, terrorism, </w:t>
      </w:r>
      <w:r w:rsidR="00E52460" w:rsidRPr="00497F73">
        <w:t xml:space="preserve">radicalisation and violent extremism. </w:t>
      </w:r>
      <w:r w:rsidRPr="00E52460">
        <w:rPr>
          <w:lang w:val="en-IE"/>
        </w:rPr>
        <w:t>T</w:t>
      </w:r>
      <w:r w:rsidR="004F2475" w:rsidRPr="00E52460">
        <w:rPr>
          <w:lang w:val="en-IE"/>
        </w:rPr>
        <w:t xml:space="preserve">his will be achieved through </w:t>
      </w:r>
      <w:r w:rsidR="00051F07" w:rsidRPr="00E52460">
        <w:rPr>
          <w:lang w:val="en-IE"/>
        </w:rPr>
        <w:t>modernis</w:t>
      </w:r>
      <w:r w:rsidR="004F2475" w:rsidRPr="00E52460">
        <w:rPr>
          <w:lang w:val="en-IE"/>
        </w:rPr>
        <w:t>ing</w:t>
      </w:r>
      <w:r w:rsidR="00051F07" w:rsidRPr="00E52460">
        <w:rPr>
          <w:lang w:val="en-IE"/>
        </w:rPr>
        <w:t xml:space="preserve"> the operational tools</w:t>
      </w:r>
      <w:r w:rsidR="00113846" w:rsidRPr="00E52460">
        <w:rPr>
          <w:lang w:val="en-IE"/>
        </w:rPr>
        <w:t>, practices and regulations, improving the coordination among the institutions,</w:t>
      </w:r>
      <w:r w:rsidR="00E52460" w:rsidRPr="00E52460">
        <w:rPr>
          <w:lang w:val="en-IE"/>
        </w:rPr>
        <w:t xml:space="preserve"> </w:t>
      </w:r>
      <w:r w:rsidR="002F520D">
        <w:rPr>
          <w:lang w:val="en-IE"/>
        </w:rPr>
        <w:t xml:space="preserve">upgrading the forensic capacities </w:t>
      </w:r>
      <w:r w:rsidR="00E52460" w:rsidRPr="00E52460">
        <w:rPr>
          <w:lang w:val="en-IE"/>
        </w:rPr>
        <w:t xml:space="preserve">and </w:t>
      </w:r>
      <w:r w:rsidR="00E52460" w:rsidRPr="00497F73">
        <w:rPr>
          <w:rFonts w:cs="Times New Roman"/>
          <w:color w:val="0D0D0D" w:themeColor="text1" w:themeTint="F2"/>
          <w:szCs w:val="24"/>
        </w:rPr>
        <w:t xml:space="preserve">the capabilities of the police and law enforcement agencies to anticipate, prevent and combat crime in all forms and manage security-related incidents, risks and crises. </w:t>
      </w:r>
    </w:p>
    <w:p w14:paraId="2A30BF17" w14:textId="1162EE7D" w:rsidR="00B52B8D" w:rsidRDefault="00113846" w:rsidP="00497F73">
      <w:pPr>
        <w:spacing w:before="120"/>
        <w:ind w:left="357"/>
        <w:rPr>
          <w:rFonts w:cs="Times New Roman"/>
        </w:rPr>
      </w:pPr>
      <w:r>
        <w:rPr>
          <w:lang w:val="en-IE"/>
        </w:rPr>
        <w:t>T</w:t>
      </w:r>
      <w:r w:rsidR="00693567" w:rsidRPr="00693567">
        <w:rPr>
          <w:lang w:val="en-IE"/>
        </w:rPr>
        <w:t xml:space="preserve">he Action will </w:t>
      </w:r>
      <w:r w:rsidR="009A5EDE">
        <w:rPr>
          <w:lang w:val="en-IE"/>
        </w:rPr>
        <w:t>address</w:t>
      </w:r>
      <w:r w:rsidR="00693567" w:rsidRPr="00693567">
        <w:rPr>
          <w:lang w:val="en-IE"/>
        </w:rPr>
        <w:t xml:space="preserve"> the increasing risks of cyber-attacks and the theft of sensitive information. This is </w:t>
      </w:r>
      <w:r w:rsidR="00DF319E">
        <w:rPr>
          <w:lang w:val="en-IE"/>
        </w:rPr>
        <w:t>vital</w:t>
      </w:r>
      <w:r w:rsidR="00693567" w:rsidRPr="00693567">
        <w:rPr>
          <w:lang w:val="en-IE"/>
        </w:rPr>
        <w:t xml:space="preserve"> in the context of the country's global connectivity and the potential for malicious users and criminal organisations to exploit </w:t>
      </w:r>
      <w:r w:rsidR="006F7658">
        <w:rPr>
          <w:lang w:val="en-IE"/>
        </w:rPr>
        <w:t xml:space="preserve">system </w:t>
      </w:r>
      <w:r w:rsidR="00693567" w:rsidRPr="00693567">
        <w:rPr>
          <w:lang w:val="en-IE"/>
        </w:rPr>
        <w:t xml:space="preserve">vulnerabilities. </w:t>
      </w:r>
      <w:r w:rsidR="00E1427B">
        <w:rPr>
          <w:lang w:val="en-IE"/>
        </w:rPr>
        <w:t xml:space="preserve">The </w:t>
      </w:r>
      <w:r w:rsidR="00B52B8D">
        <w:rPr>
          <w:lang w:val="en-IE"/>
        </w:rPr>
        <w:t>Action</w:t>
      </w:r>
      <w:r w:rsidR="00E1427B">
        <w:rPr>
          <w:lang w:val="en-IE"/>
        </w:rPr>
        <w:t xml:space="preserve"> will </w:t>
      </w:r>
      <w:r w:rsidR="00E1427B">
        <w:t>establish a National Operational Centre to coordinate all cyber security activities, will develop national procedures</w:t>
      </w:r>
      <w:r w:rsidR="00B52B8D">
        <w:t xml:space="preserve"> and methodology, will upgrade the cyber security infrastructure and </w:t>
      </w:r>
      <w:r w:rsidR="00B52B8D">
        <w:rPr>
          <w:rFonts w:cs="Times New Roman"/>
        </w:rPr>
        <w:t xml:space="preserve">the national capacities for identifying, investigating, and preventing cyber incidents and cybercrime, and will support the country’s collaboration </w:t>
      </w:r>
      <w:r w:rsidR="00B52B8D" w:rsidRPr="00AA717B">
        <w:rPr>
          <w:szCs w:val="24"/>
        </w:rPr>
        <w:t xml:space="preserve">with dedicated </w:t>
      </w:r>
      <w:r w:rsidR="00B52B8D">
        <w:rPr>
          <w:szCs w:val="24"/>
        </w:rPr>
        <w:t xml:space="preserve">regional, </w:t>
      </w:r>
      <w:r w:rsidR="00B52B8D" w:rsidRPr="00AA717B">
        <w:rPr>
          <w:szCs w:val="24"/>
        </w:rPr>
        <w:t>European and global</w:t>
      </w:r>
      <w:r w:rsidR="00B52B8D">
        <w:rPr>
          <w:szCs w:val="24"/>
        </w:rPr>
        <w:t xml:space="preserve"> cyber security</w:t>
      </w:r>
      <w:r w:rsidR="00B52B8D" w:rsidRPr="00AA717B">
        <w:rPr>
          <w:szCs w:val="24"/>
        </w:rPr>
        <w:t xml:space="preserve"> </w:t>
      </w:r>
      <w:r w:rsidR="00B52B8D">
        <w:rPr>
          <w:szCs w:val="24"/>
        </w:rPr>
        <w:t xml:space="preserve">networks. </w:t>
      </w:r>
    </w:p>
    <w:p w14:paraId="133C540B" w14:textId="61005944" w:rsidR="00E1427B" w:rsidRDefault="00B52B8D" w:rsidP="00497F73">
      <w:pPr>
        <w:spacing w:before="120"/>
        <w:ind w:left="357"/>
      </w:pPr>
      <w:r>
        <w:t xml:space="preserve">The EU assistance will also allow North Macedonia </w:t>
      </w:r>
      <w:r>
        <w:rPr>
          <w:lang w:val="en-IE"/>
        </w:rPr>
        <w:t xml:space="preserve">to </w:t>
      </w:r>
      <w:r w:rsidR="009A5EDE">
        <w:rPr>
          <w:lang w:val="en-IE"/>
        </w:rPr>
        <w:t xml:space="preserve">enhance the </w:t>
      </w:r>
      <w:r w:rsidR="00E1427B" w:rsidRPr="00497F73">
        <w:rPr>
          <w:rFonts w:cs="Times New Roman"/>
          <w:color w:val="0D0D0D" w:themeColor="text1" w:themeTint="F2"/>
          <w:szCs w:val="24"/>
        </w:rPr>
        <w:t>performance of the police and other law enforcement agencies to investigate and address crime in line with the international standards</w:t>
      </w:r>
      <w:r w:rsidR="00E1427B" w:rsidRPr="007E1958">
        <w:rPr>
          <w:rFonts w:cs="Times New Roman"/>
          <w:b/>
          <w:color w:val="0D0D0D" w:themeColor="text1" w:themeTint="F2"/>
          <w:szCs w:val="24"/>
        </w:rPr>
        <w:t>.</w:t>
      </w:r>
      <w:r w:rsidR="00E1427B" w:rsidRPr="00FD2CB4" w:rsidDel="002C51A9">
        <w:rPr>
          <w:rFonts w:cs="Times New Roman"/>
          <w:b/>
          <w:bCs/>
          <w:color w:val="0D0D0D" w:themeColor="text1" w:themeTint="F2"/>
          <w:lang w:val="en-IE"/>
        </w:rPr>
        <w:t xml:space="preserve"> </w:t>
      </w:r>
      <w:r w:rsidR="00E1427B" w:rsidRPr="002B72A1">
        <w:rPr>
          <w:bCs/>
        </w:rPr>
        <w:t xml:space="preserve">The action will </w:t>
      </w:r>
      <w:r w:rsidR="00E1427B">
        <w:rPr>
          <w:bCs/>
        </w:rPr>
        <w:t xml:space="preserve">transfer good practices from the </w:t>
      </w:r>
      <w:r w:rsidR="00E1427B">
        <w:rPr>
          <w:rFonts w:cs="Times New Roman"/>
        </w:rPr>
        <w:t xml:space="preserve">EU Member states </w:t>
      </w:r>
      <w:r w:rsidR="009A5EDE">
        <w:rPr>
          <w:rFonts w:cs="Times New Roman"/>
        </w:rPr>
        <w:t xml:space="preserve">to improve the institutional coordination, </w:t>
      </w:r>
      <w:r w:rsidR="00E1427B">
        <w:rPr>
          <w:rFonts w:cs="Times New Roman"/>
        </w:rPr>
        <w:t>assess complex crime</w:t>
      </w:r>
      <w:r w:rsidR="009A5EDE">
        <w:rPr>
          <w:rFonts w:cs="Times New Roman"/>
        </w:rPr>
        <w:t xml:space="preserve"> cases and factor the lessons learned in the national legislation and methodologies, </w:t>
      </w:r>
      <w:r w:rsidR="00E1427B">
        <w:rPr>
          <w:rFonts w:cs="Times New Roman"/>
        </w:rPr>
        <w:t>promote</w:t>
      </w:r>
      <w:r w:rsidR="009A5EDE">
        <w:rPr>
          <w:rFonts w:cs="Times New Roman"/>
        </w:rPr>
        <w:t xml:space="preserve"> pre-emptive, </w:t>
      </w:r>
      <w:r w:rsidR="00E1427B">
        <w:rPr>
          <w:rFonts w:cs="Times New Roman"/>
        </w:rPr>
        <w:t xml:space="preserve">preventive, strategic and tactical approaches, refine and modernise the </w:t>
      </w:r>
      <w:r w:rsidR="00E1427B" w:rsidRPr="007653D2">
        <w:rPr>
          <w:rFonts w:cs="Times New Roman"/>
        </w:rPr>
        <w:t>inves</w:t>
      </w:r>
      <w:r w:rsidR="009A5EDE">
        <w:rPr>
          <w:rFonts w:cs="Times New Roman"/>
        </w:rPr>
        <w:t xml:space="preserve">tigative methods and techniques, upgrade </w:t>
      </w:r>
      <w:r w:rsidR="00E1427B">
        <w:rPr>
          <w:rFonts w:cs="Times New Roman"/>
        </w:rPr>
        <w:t xml:space="preserve">the </w:t>
      </w:r>
      <w:r w:rsidR="00E1427B" w:rsidRPr="007E1958">
        <w:rPr>
          <w:rFonts w:cs="Times New Roman"/>
        </w:rPr>
        <w:t xml:space="preserve">forensic </w:t>
      </w:r>
      <w:r w:rsidR="009A5EDE">
        <w:rPr>
          <w:rFonts w:cs="Times New Roman"/>
        </w:rPr>
        <w:t xml:space="preserve">capacities, </w:t>
      </w:r>
      <w:r w:rsidR="009A5EDE" w:rsidRPr="007E1958">
        <w:rPr>
          <w:rFonts w:cs="Times New Roman"/>
          <w:bCs/>
        </w:rPr>
        <w:t xml:space="preserve">improve </w:t>
      </w:r>
      <w:r w:rsidR="00E1427B" w:rsidRPr="007E1958">
        <w:rPr>
          <w:rFonts w:cs="Times New Roman"/>
          <w:bCs/>
        </w:rPr>
        <w:t>th</w:t>
      </w:r>
      <w:r w:rsidR="00E1427B" w:rsidRPr="007653D2">
        <w:rPr>
          <w:rFonts w:cs="Times New Roman"/>
          <w:bCs/>
        </w:rPr>
        <w:t>e skills, knowledge of</w:t>
      </w:r>
      <w:r w:rsidR="009A5EDE">
        <w:rPr>
          <w:rFonts w:cs="Times New Roman"/>
          <w:bCs/>
        </w:rPr>
        <w:t xml:space="preserve"> </w:t>
      </w:r>
      <w:r w:rsidR="0098448A">
        <w:rPr>
          <w:rFonts w:cs="Times New Roman"/>
          <w:bCs/>
        </w:rPr>
        <w:t xml:space="preserve">anti-crime </w:t>
      </w:r>
      <w:r w:rsidR="009A5EDE">
        <w:rPr>
          <w:rFonts w:cs="Times New Roman"/>
          <w:bCs/>
        </w:rPr>
        <w:t>officers, i</w:t>
      </w:r>
      <w:r w:rsidR="00E1427B" w:rsidRPr="007E1958">
        <w:t xml:space="preserve">mprove </w:t>
      </w:r>
      <w:r w:rsidR="0098448A">
        <w:t xml:space="preserve">data collection. It will also upgrade the capacities of the </w:t>
      </w:r>
      <w:r w:rsidR="00E1427B">
        <w:rPr>
          <w:rFonts w:cs="Times New Roman"/>
        </w:rPr>
        <w:t xml:space="preserve">National </w:t>
      </w:r>
      <w:r w:rsidR="0098448A">
        <w:rPr>
          <w:rFonts w:cs="Times New Roman"/>
        </w:rPr>
        <w:t xml:space="preserve">Counter-Terrorism Action Team's and will apply innovative ways to cope with </w:t>
      </w:r>
      <w:r w:rsidR="00E1427B" w:rsidRPr="007E1958">
        <w:rPr>
          <w:rFonts w:cs="Times New Roman"/>
        </w:rPr>
        <w:t>violent extremism and radicalisation in prisons</w:t>
      </w:r>
      <w:r w:rsidR="0028370B">
        <w:rPr>
          <w:rFonts w:cs="Times New Roman"/>
        </w:rPr>
        <w:t>.</w:t>
      </w:r>
      <w:r w:rsidR="00E1427B" w:rsidRPr="007E1958">
        <w:rPr>
          <w:rFonts w:cs="Times New Roman"/>
        </w:rPr>
        <w:t xml:space="preserve"> </w:t>
      </w:r>
    </w:p>
    <w:p w14:paraId="5EC2E171" w14:textId="63327A6E" w:rsidR="003B6047" w:rsidRDefault="00693567" w:rsidP="00497F73">
      <w:pPr>
        <w:spacing w:before="120"/>
        <w:ind w:left="357"/>
        <w:rPr>
          <w:lang w:val="en-IE"/>
        </w:rPr>
      </w:pPr>
      <w:r w:rsidRPr="00693567">
        <w:rPr>
          <w:lang w:val="en-IE"/>
        </w:rPr>
        <w:t xml:space="preserve">By addressing these issues, North Macedonia will </w:t>
      </w:r>
      <w:r w:rsidR="002F520D">
        <w:rPr>
          <w:lang w:val="en-IE"/>
        </w:rPr>
        <w:t xml:space="preserve">improve the </w:t>
      </w:r>
      <w:r w:rsidRPr="00693567">
        <w:rPr>
          <w:lang w:val="en-IE"/>
        </w:rPr>
        <w:t>security</w:t>
      </w:r>
      <w:r w:rsidR="002F520D">
        <w:rPr>
          <w:lang w:val="en-IE"/>
        </w:rPr>
        <w:t xml:space="preserve"> architecture</w:t>
      </w:r>
      <w:r w:rsidRPr="00693567">
        <w:rPr>
          <w:lang w:val="en-IE"/>
        </w:rPr>
        <w:t xml:space="preserve"> and</w:t>
      </w:r>
      <w:r w:rsidR="002F520D">
        <w:rPr>
          <w:lang w:val="en-IE"/>
        </w:rPr>
        <w:t xml:space="preserve"> will</w:t>
      </w:r>
      <w:r w:rsidRPr="00693567">
        <w:rPr>
          <w:lang w:val="en-IE"/>
        </w:rPr>
        <w:t xml:space="preserve"> create a safer environment for its citizens.</w:t>
      </w:r>
    </w:p>
    <w:p w14:paraId="08431CD2" w14:textId="77777777" w:rsidR="006E4F2E" w:rsidRDefault="006E4F2E" w:rsidP="00083BC4">
      <w:pPr>
        <w:rPr>
          <w:rFonts w:cs="Times New Roman"/>
          <w:color w:val="0D0D0D" w:themeColor="text1" w:themeTint="F2"/>
          <w:lang w:val="en-IE"/>
        </w:rPr>
      </w:pPr>
      <w:bookmarkStart w:id="15" w:name="_Hlk115185082"/>
      <w:bookmarkStart w:id="16" w:name="_Ref58421925"/>
    </w:p>
    <w:p w14:paraId="11B55CDD" w14:textId="77777777" w:rsidR="006E4F2E" w:rsidRDefault="006E4F2E" w:rsidP="00E01FEF">
      <w:pPr>
        <w:pStyle w:val="Heading2"/>
        <w:numPr>
          <w:ilvl w:val="1"/>
          <w:numId w:val="10"/>
        </w:numPr>
        <w:ind w:left="788" w:hanging="431"/>
      </w:pPr>
      <w:r w:rsidRPr="00C03F96">
        <w:t xml:space="preserve">Beneficiar(y)/(ies) of the </w:t>
      </w:r>
      <w:r>
        <w:t>A</w:t>
      </w:r>
      <w:r w:rsidRPr="00C03F96">
        <w:t>ction</w:t>
      </w:r>
      <w:r w:rsidRPr="009258FE" w:rsidDel="00C03F96">
        <w:t xml:space="preserve"> </w:t>
      </w:r>
    </w:p>
    <w:p w14:paraId="75B84314" w14:textId="526BB6E1" w:rsidR="006E4F2E" w:rsidRDefault="006E4F2E" w:rsidP="004F2475">
      <w:pPr>
        <w:ind w:left="357"/>
        <w:rPr>
          <w:szCs w:val="24"/>
          <w:lang w:val="en-IE"/>
        </w:rPr>
      </w:pPr>
      <w:r w:rsidRPr="0082062A">
        <w:rPr>
          <w:szCs w:val="24"/>
          <w:lang w:val="en-IE"/>
        </w:rPr>
        <w:t xml:space="preserve">The </w:t>
      </w:r>
      <w:r w:rsidR="00581ACE">
        <w:rPr>
          <w:szCs w:val="24"/>
          <w:lang w:val="en-IE"/>
        </w:rPr>
        <w:t>A</w:t>
      </w:r>
      <w:r w:rsidRPr="0082062A">
        <w:rPr>
          <w:szCs w:val="24"/>
          <w:lang w:val="en-IE"/>
        </w:rPr>
        <w:t xml:space="preserve">ction shall be carried out in </w:t>
      </w:r>
      <w:r w:rsidR="008360C8">
        <w:rPr>
          <w:szCs w:val="24"/>
          <w:lang w:val="en-IE"/>
        </w:rPr>
        <w:t>North Macedonia</w:t>
      </w:r>
    </w:p>
    <w:p w14:paraId="38F24A55" w14:textId="77777777" w:rsidR="00796284" w:rsidRDefault="00796284" w:rsidP="00083BC4"/>
    <w:p w14:paraId="08ECE6AE" w14:textId="00366837" w:rsidR="00FD7FCD" w:rsidRPr="003C0CD7" w:rsidRDefault="00FD7FCD" w:rsidP="00C265A2">
      <w:pPr>
        <w:pStyle w:val="Heading1"/>
        <w:rPr>
          <w:lang w:val="en-IE"/>
        </w:rPr>
      </w:pPr>
      <w:bookmarkStart w:id="17" w:name="_Toc73090733"/>
      <w:bookmarkEnd w:id="15"/>
      <w:r w:rsidRPr="003C0CD7">
        <w:rPr>
          <w:lang w:val="en-IE"/>
        </w:rPr>
        <w:t>RATIONALE</w:t>
      </w:r>
      <w:bookmarkEnd w:id="16"/>
      <w:bookmarkEnd w:id="17"/>
    </w:p>
    <w:p w14:paraId="035A54FE" w14:textId="2C7E0A3C" w:rsidR="007C3E5D" w:rsidRPr="003C0CD7" w:rsidRDefault="00EE7957" w:rsidP="003C0CD7">
      <w:pPr>
        <w:pStyle w:val="Heading1"/>
        <w:numPr>
          <w:ilvl w:val="1"/>
          <w:numId w:val="1"/>
        </w:numPr>
        <w:rPr>
          <w:lang w:val="en-IE"/>
        </w:rPr>
      </w:pPr>
      <w:bookmarkStart w:id="18" w:name="_Toc58681324"/>
      <w:bookmarkStart w:id="19" w:name="_Toc58836454"/>
      <w:bookmarkStart w:id="20" w:name="_Toc58838072"/>
      <w:bookmarkStart w:id="21" w:name="_Toc58838127"/>
      <w:bookmarkStart w:id="22" w:name="_Toc58845970"/>
      <w:bookmarkStart w:id="23" w:name="_Toc58876979"/>
      <w:bookmarkStart w:id="24" w:name="_Toc58878014"/>
      <w:bookmarkStart w:id="25" w:name="_Toc59012327"/>
      <w:bookmarkStart w:id="26" w:name="_Toc59012903"/>
      <w:bookmarkStart w:id="27" w:name="_Toc59020751"/>
      <w:bookmarkStart w:id="28" w:name="_Toc59023350"/>
      <w:bookmarkStart w:id="29" w:name="_Toc59029519"/>
      <w:bookmarkStart w:id="30" w:name="_Toc59030335"/>
      <w:bookmarkStart w:id="31" w:name="_Toc59031652"/>
      <w:bookmarkStart w:id="32" w:name="_Toc62247152"/>
      <w:bookmarkStart w:id="33" w:name="_Toc62247209"/>
      <w:bookmarkStart w:id="34" w:name="_Toc62459251"/>
      <w:bookmarkStart w:id="35" w:name="_Toc62476915"/>
      <w:bookmarkStart w:id="36" w:name="_Toc63235823"/>
      <w:bookmarkStart w:id="37" w:name="_Toc63248929"/>
      <w:bookmarkStart w:id="38" w:name="_Toc63263258"/>
      <w:bookmarkStart w:id="39" w:name="_Toc64043035"/>
      <w:bookmarkStart w:id="40" w:name="_Toc65663746"/>
      <w:bookmarkStart w:id="41" w:name="_Toc65665561"/>
      <w:bookmarkStart w:id="42" w:name="_Toc65665923"/>
      <w:bookmarkStart w:id="43" w:name="_Toc65666102"/>
      <w:bookmarkStart w:id="44" w:name="_Toc65671179"/>
      <w:bookmarkStart w:id="45" w:name="_Toc65671238"/>
      <w:bookmarkStart w:id="46" w:name="_Toc65671895"/>
      <w:bookmarkStart w:id="47" w:name="_Toc65674751"/>
      <w:bookmarkStart w:id="48" w:name="_Toc65676401"/>
      <w:bookmarkStart w:id="49" w:name="_Toc65688238"/>
      <w:bookmarkStart w:id="50" w:name="_Toc66465127"/>
      <w:bookmarkStart w:id="51" w:name="_Toc66465580"/>
      <w:bookmarkStart w:id="52" w:name="_Toc66465639"/>
      <w:bookmarkStart w:id="53" w:name="_Toc66696365"/>
      <w:bookmarkStart w:id="54" w:name="_Toc67665914"/>
      <w:bookmarkStart w:id="55" w:name="_Toc69384673"/>
      <w:bookmarkStart w:id="56" w:name="_Toc69384804"/>
      <w:bookmarkStart w:id="57" w:name="_Toc69384933"/>
      <w:bookmarkStart w:id="58" w:name="_Toc69385061"/>
      <w:bookmarkStart w:id="59" w:name="_Toc69460809"/>
      <w:bookmarkStart w:id="60" w:name="_Toc69460936"/>
      <w:bookmarkStart w:id="61" w:name="_Toc69469897"/>
      <w:bookmarkStart w:id="62" w:name="_Toc69485760"/>
      <w:bookmarkStart w:id="63" w:name="_Toc69487635"/>
      <w:bookmarkStart w:id="64" w:name="_Toc72142225"/>
      <w:bookmarkStart w:id="65" w:name="_Toc72142311"/>
      <w:bookmarkStart w:id="66" w:name="_Toc73090651"/>
      <w:bookmarkStart w:id="67" w:name="_Toc73090734"/>
      <w:bookmarkStart w:id="68" w:name="_Toc59030336"/>
      <w:bookmarkStart w:id="69" w:name="_Toc59031653"/>
      <w:bookmarkStart w:id="70" w:name="_Toc62247153"/>
      <w:bookmarkStart w:id="71" w:name="_Toc62247210"/>
      <w:bookmarkStart w:id="72" w:name="_Toc62459252"/>
      <w:bookmarkStart w:id="73" w:name="_Toc62476916"/>
      <w:bookmarkStart w:id="74" w:name="_Toc63235824"/>
      <w:bookmarkStart w:id="75" w:name="_Toc63248930"/>
      <w:bookmarkStart w:id="76" w:name="_Toc63263259"/>
      <w:bookmarkStart w:id="77" w:name="_Toc64043036"/>
      <w:bookmarkStart w:id="78" w:name="_Toc65663747"/>
      <w:bookmarkStart w:id="79" w:name="_Toc65665562"/>
      <w:bookmarkStart w:id="80" w:name="_Toc65665924"/>
      <w:bookmarkStart w:id="81" w:name="_Toc65666103"/>
      <w:bookmarkStart w:id="82" w:name="_Toc65671180"/>
      <w:bookmarkStart w:id="83" w:name="_Toc65671239"/>
      <w:bookmarkStart w:id="84" w:name="_Toc65671896"/>
      <w:bookmarkStart w:id="85" w:name="_Toc65674752"/>
      <w:bookmarkStart w:id="86" w:name="_Toc65676402"/>
      <w:bookmarkStart w:id="87" w:name="_Toc65688239"/>
      <w:bookmarkStart w:id="88" w:name="_Toc66465128"/>
      <w:bookmarkStart w:id="89" w:name="_Toc66465581"/>
      <w:bookmarkStart w:id="90" w:name="_Toc66465640"/>
      <w:bookmarkStart w:id="91" w:name="_Toc66696366"/>
      <w:bookmarkStart w:id="92" w:name="_Toc67665915"/>
      <w:bookmarkStart w:id="93" w:name="_Toc69384674"/>
      <w:bookmarkStart w:id="94" w:name="_Toc69384805"/>
      <w:bookmarkStart w:id="95" w:name="_Toc69384934"/>
      <w:bookmarkStart w:id="96" w:name="_Toc69385062"/>
      <w:bookmarkStart w:id="97" w:name="_Toc69460810"/>
      <w:bookmarkStart w:id="98" w:name="_Toc69460937"/>
      <w:bookmarkStart w:id="99" w:name="_Toc69469898"/>
      <w:bookmarkStart w:id="100" w:name="_Toc69485761"/>
      <w:bookmarkStart w:id="101" w:name="_Toc69487636"/>
      <w:bookmarkStart w:id="102" w:name="_Toc72142226"/>
      <w:bookmarkStart w:id="103" w:name="_Toc72142312"/>
      <w:bookmarkStart w:id="104" w:name="_Toc73090652"/>
      <w:bookmarkStart w:id="105" w:name="_Toc73090735"/>
      <w:bookmarkStart w:id="106" w:name="_Toc47101944"/>
      <w:bookmarkStart w:id="107" w:name="_Toc51270439"/>
      <w:bookmarkStart w:id="108" w:name="_Ref58358139"/>
      <w:bookmarkStart w:id="109" w:name="_Ref58835173"/>
      <w:bookmarkStart w:id="110" w:name="_Ref58835175"/>
      <w:bookmarkStart w:id="111" w:name="_Ref58835182"/>
      <w:bookmarkStart w:id="112" w:name="_Toc73090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3C0CD7">
        <w:rPr>
          <w:lang w:val="en-IE"/>
        </w:rPr>
        <w:t>C</w:t>
      </w:r>
      <w:r w:rsidR="00FD7FCD" w:rsidRPr="003C0CD7">
        <w:rPr>
          <w:lang w:val="en-IE"/>
        </w:rPr>
        <w:t>ontext</w:t>
      </w:r>
      <w:bookmarkEnd w:id="106"/>
      <w:bookmarkEnd w:id="107"/>
      <w:bookmarkEnd w:id="108"/>
      <w:bookmarkEnd w:id="109"/>
      <w:bookmarkEnd w:id="110"/>
      <w:bookmarkEnd w:id="111"/>
      <w:bookmarkEnd w:id="112"/>
    </w:p>
    <w:p w14:paraId="11BB4B8F" w14:textId="3747006C" w:rsidR="00031831" w:rsidRPr="00497F73" w:rsidRDefault="00031831" w:rsidP="00497F73">
      <w:pPr>
        <w:pStyle w:val="Heading1"/>
        <w:numPr>
          <w:ilvl w:val="0"/>
          <w:numId w:val="0"/>
        </w:numPr>
        <w:spacing w:before="120" w:after="0"/>
        <w:ind w:left="720" w:hanging="360"/>
        <w:rPr>
          <w:szCs w:val="24"/>
          <w:lang w:val="en-IE"/>
        </w:rPr>
      </w:pPr>
      <w:r w:rsidRPr="00420318">
        <w:rPr>
          <w:szCs w:val="24"/>
          <w:lang w:val="en-IE"/>
        </w:rPr>
        <w:t xml:space="preserve">Cybersecurity </w:t>
      </w:r>
    </w:p>
    <w:p w14:paraId="32D55BE6" w14:textId="5AE11AF2" w:rsidR="003F4FE9" w:rsidRPr="00497F73" w:rsidRDefault="003F4FE9" w:rsidP="00497F73">
      <w:pPr>
        <w:spacing w:before="120"/>
        <w:ind w:left="360"/>
        <w:rPr>
          <w:rFonts w:cs="Times New Roman"/>
          <w:szCs w:val="24"/>
          <w:lang w:val="en-IE"/>
        </w:rPr>
      </w:pPr>
      <w:r w:rsidRPr="00497F73">
        <w:rPr>
          <w:rFonts w:cs="Times New Roman"/>
          <w:szCs w:val="24"/>
          <w:lang w:val="en-IE"/>
        </w:rPr>
        <w:t>According to the 2020 International Communication Union (ITU) Global Cybersecurity Index (GCI), North Macedonia ranks 24th in Europe and 38</w:t>
      </w:r>
      <w:r w:rsidRPr="00497F73">
        <w:rPr>
          <w:rFonts w:cs="Times New Roman"/>
          <w:szCs w:val="24"/>
          <w:vertAlign w:val="superscript"/>
          <w:lang w:val="en-IE"/>
        </w:rPr>
        <w:t>th</w:t>
      </w:r>
      <w:r w:rsidRPr="00497F73">
        <w:rPr>
          <w:rFonts w:cs="Times New Roman"/>
          <w:szCs w:val="24"/>
          <w:lang w:val="en-IE"/>
        </w:rPr>
        <w:t xml:space="preserve"> globally, scoring 89.92. This index measures the </w:t>
      </w:r>
      <w:r w:rsidRPr="00497F73">
        <w:rPr>
          <w:rFonts w:cs="Times New Roman"/>
          <w:szCs w:val="24"/>
          <w:lang w:val="en-IE"/>
        </w:rPr>
        <w:lastRenderedPageBreak/>
        <w:t xml:space="preserve">commitment of countries to cybersecurity at a global level to raise awareness of the importance and different dimensions of the issue and assess countries’ Information and Communication Technology (ICT) resilience and reliability. It highlighted the legal and cooperative measures as the </w:t>
      </w:r>
      <w:r w:rsidR="00031831" w:rsidRPr="00497F73">
        <w:rPr>
          <w:rFonts w:cs="Times New Roman"/>
          <w:szCs w:val="24"/>
          <w:lang w:val="en-IE"/>
        </w:rPr>
        <w:t>country’s</w:t>
      </w:r>
      <w:r w:rsidRPr="00497F73">
        <w:rPr>
          <w:rFonts w:cs="Times New Roman"/>
          <w:szCs w:val="24"/>
          <w:lang w:val="en-IE"/>
        </w:rPr>
        <w:t xml:space="preserve"> strength areas and the technical measures as an area of potential growth</w:t>
      </w:r>
      <w:r w:rsidRPr="00420318">
        <w:rPr>
          <w:rStyle w:val="FootnoteReference"/>
          <w:rFonts w:cs="Times New Roman"/>
          <w:szCs w:val="24"/>
          <w:lang w:val="en-IE"/>
        </w:rPr>
        <w:footnoteReference w:id="14"/>
      </w:r>
      <w:r w:rsidRPr="00420318">
        <w:rPr>
          <w:rFonts w:cs="Times New Roman"/>
          <w:szCs w:val="24"/>
          <w:lang w:val="en-IE"/>
        </w:rPr>
        <w:t xml:space="preserve">. </w:t>
      </w:r>
    </w:p>
    <w:p w14:paraId="170ED0D6" w14:textId="08D38C76" w:rsidR="003F4FE9" w:rsidRPr="00497F73" w:rsidRDefault="003F4FE9" w:rsidP="00497F73">
      <w:pPr>
        <w:spacing w:before="120"/>
        <w:ind w:left="360"/>
        <w:rPr>
          <w:rFonts w:cs="Times New Roman"/>
          <w:i/>
          <w:iCs/>
          <w:szCs w:val="24"/>
          <w:lang w:val="en-IE"/>
        </w:rPr>
      </w:pPr>
      <w:r w:rsidRPr="00497F73">
        <w:rPr>
          <w:rFonts w:cs="Times New Roman"/>
          <w:szCs w:val="24"/>
          <w:lang w:val="en-IE"/>
        </w:rPr>
        <w:t xml:space="preserve">North Macedonia is a member of the </w:t>
      </w:r>
      <w:r w:rsidRPr="00497F73">
        <w:rPr>
          <w:rFonts w:cs="Times New Roman"/>
          <w:i/>
          <w:iCs/>
          <w:szCs w:val="24"/>
          <w:lang w:val="en-IE"/>
        </w:rPr>
        <w:t>Budapest Convention on Cybercrime</w:t>
      </w:r>
      <w:r w:rsidRPr="00497F73">
        <w:rPr>
          <w:rFonts w:cs="Times New Roman"/>
          <w:szCs w:val="24"/>
          <w:lang w:val="en-IE"/>
        </w:rPr>
        <w:t xml:space="preserve"> and participated in </w:t>
      </w:r>
      <w:r w:rsidRPr="00497F73">
        <w:rPr>
          <w:rFonts w:cs="Times New Roman"/>
          <w:i/>
          <w:iCs/>
          <w:szCs w:val="24"/>
          <w:lang w:val="en-IE"/>
        </w:rPr>
        <w:t>Europol’s Analysis Projects in environmental crime and cybercrime</w:t>
      </w:r>
      <w:r w:rsidRPr="00497F73">
        <w:rPr>
          <w:rFonts w:cs="Times New Roman"/>
          <w:szCs w:val="24"/>
          <w:lang w:val="en-IE"/>
        </w:rPr>
        <w:t xml:space="preserve">. The country is also active in all elements of cooperation in which Europol includes its external partners, including cybercrime, migrant smuggling and counterterrorism. From a legal point of view, the country does not have an overarching law on cybersecurity. However, the related set legislation in this field is the following: - </w:t>
      </w:r>
      <w:r w:rsidRPr="00497F73">
        <w:rPr>
          <w:rFonts w:cs="Times New Roman"/>
          <w:i/>
          <w:iCs/>
          <w:szCs w:val="24"/>
          <w:lang w:val="en-IE"/>
        </w:rPr>
        <w:t>Law on Interception of Communication</w:t>
      </w:r>
      <w:r w:rsidRPr="00497F73">
        <w:rPr>
          <w:rFonts w:cs="Times New Roman"/>
          <w:szCs w:val="24"/>
          <w:lang w:val="en-IE"/>
        </w:rPr>
        <w:t xml:space="preserve">; - </w:t>
      </w:r>
      <w:r w:rsidRPr="00497F73">
        <w:rPr>
          <w:rFonts w:cs="Times New Roman"/>
          <w:i/>
          <w:iCs/>
          <w:szCs w:val="24"/>
          <w:lang w:val="en-IE"/>
        </w:rPr>
        <w:t>Law on Electronic Communications; - Law on e-Commerce; - Law on Electronic Management and Electronic Services; - Law on Data in Electronic Form and Electronic Signature; - Law on Personal Data Protection</w:t>
      </w:r>
      <w:r w:rsidRPr="00497F73">
        <w:rPr>
          <w:rFonts w:cs="Times New Roman"/>
          <w:szCs w:val="24"/>
          <w:lang w:val="en-IE"/>
        </w:rPr>
        <w:t xml:space="preserve">; - </w:t>
      </w:r>
      <w:r w:rsidRPr="00497F73">
        <w:rPr>
          <w:rFonts w:cs="Times New Roman"/>
          <w:i/>
          <w:iCs/>
          <w:szCs w:val="24"/>
          <w:lang w:val="en-IE"/>
        </w:rPr>
        <w:t xml:space="preserve">Law on the Security of Network and Information Systems; </w:t>
      </w:r>
      <w:r w:rsidRPr="00497F73">
        <w:rPr>
          <w:rFonts w:cs="Times New Roman"/>
          <w:szCs w:val="24"/>
          <w:lang w:val="en-IE"/>
        </w:rPr>
        <w:t xml:space="preserve">and – </w:t>
      </w:r>
      <w:r w:rsidRPr="00497F73">
        <w:rPr>
          <w:rFonts w:cs="Times New Roman"/>
          <w:i/>
          <w:iCs/>
          <w:szCs w:val="24"/>
          <w:lang w:val="en-IE"/>
        </w:rPr>
        <w:t>Law on Free Access to Public Information.</w:t>
      </w:r>
    </w:p>
    <w:p w14:paraId="0C3A01BD" w14:textId="6743C53E" w:rsidR="00A95D75" w:rsidRPr="00497F73" w:rsidRDefault="00725628" w:rsidP="00497F73">
      <w:pPr>
        <w:spacing w:before="120"/>
        <w:ind w:left="360"/>
        <w:rPr>
          <w:rFonts w:cs="Times New Roman"/>
          <w:szCs w:val="24"/>
        </w:rPr>
      </w:pPr>
      <w:r w:rsidRPr="002F152E">
        <w:rPr>
          <w:rFonts w:eastAsia="Times New Roman" w:cs="Times New Roman"/>
          <w:szCs w:val="24"/>
        </w:rPr>
        <w:t xml:space="preserve">North Macedonia adopted its Cybersecurity Strategy and a corresponding Action Plan 2018–2022 in 2018, with actions around five strategic objectives: cyber resilience; capacities and culture; combating cybercrime; cyber defence; and cooperation and information exchange. The strategy acknowledges alignment with the EU Cybersecurity Strategy and the NATO Cyber Defence Pledge. In substance, the strategy </w:t>
      </w:r>
      <w:r w:rsidR="002D282D" w:rsidRPr="002F152E">
        <w:rPr>
          <w:rFonts w:eastAsia="Times New Roman" w:cs="Times New Roman"/>
          <w:szCs w:val="24"/>
        </w:rPr>
        <w:t>is</w:t>
      </w:r>
      <w:r w:rsidRPr="002F152E">
        <w:rPr>
          <w:rFonts w:eastAsia="Times New Roman" w:cs="Times New Roman"/>
          <w:szCs w:val="24"/>
        </w:rPr>
        <w:t xml:space="preserve"> rather generic, and the action plan only sets forth strategic priorities and start and end dates for each activity. It misses some rather fundamental cybersecurity aspects (legislation, competent authorities, cooperation framework and Critical Information Infrastructures CIIs) and lacks performance indicators to measure success. Importantly, the two key implementing bodies – the National Cyber Security Council and the Operational Implementation Body (OBCS or the Digital Agency) – have never fully materialised. With the strategy reaching the end of its validity period, a new working group has recently been set up by the Ministry of Information Society and Administration (MISA) to prepare a new National Cybersecurity Strategy.</w:t>
      </w:r>
      <w:r w:rsidR="004829EC" w:rsidRPr="00420318">
        <w:rPr>
          <w:rFonts w:cs="Times New Roman"/>
          <w:szCs w:val="24"/>
        </w:rPr>
        <w:t xml:space="preserve"> </w:t>
      </w:r>
      <w:r w:rsidR="00A95D75" w:rsidRPr="00497F73">
        <w:rPr>
          <w:rFonts w:cs="Times New Roman"/>
          <w:szCs w:val="24"/>
        </w:rPr>
        <w:t>The working group consists of representatives from the Ministries of Defence, Interior, Information Society and Administration, Foreign Affairs, the Agency for Electronic Communications and the National Centre for Computer Incidents Response (MKD-CIRT).</w:t>
      </w:r>
    </w:p>
    <w:p w14:paraId="085A2CF6" w14:textId="77777777" w:rsidR="00934E16" w:rsidRPr="002F152E" w:rsidRDefault="00934E16" w:rsidP="00497F73">
      <w:pPr>
        <w:spacing w:before="120"/>
        <w:ind w:left="360"/>
        <w:rPr>
          <w:rFonts w:eastAsia="Times New Roman" w:cs="Times New Roman"/>
          <w:szCs w:val="24"/>
        </w:rPr>
      </w:pPr>
      <w:r w:rsidRPr="002F152E">
        <w:rPr>
          <w:rFonts w:eastAsia="Times New Roman" w:cs="Times New Roman"/>
          <w:szCs w:val="24"/>
        </w:rPr>
        <w:t xml:space="preserve">In addition to the National Cybersecurity Strategy and its supporting documents, the cybersecurity prevention of the country is given a special place in the National Strategy on Building Resilience and Confronting Hybrid Threats 2021-2025, adopted on 5 October 2021. This aspect is intertwined in almost all of the main areas identified in this document, which are the political sector, economy, defence sector, civil sector, infrastructure and the ICT domain. This strategy recognizes that North Macedonia as a NATO member country has its own obligations to work on building resilience of its society, and adds that the development of this strategy has been also initiated by the EEAS in 2019 and is in accordance with the common EU framework for hybrid threats prevention of 2016. </w:t>
      </w:r>
    </w:p>
    <w:p w14:paraId="067B9889" w14:textId="77777777" w:rsidR="00934E16" w:rsidRPr="002F152E" w:rsidRDefault="00934E16" w:rsidP="00497F73">
      <w:pPr>
        <w:spacing w:before="120"/>
        <w:ind w:left="360"/>
        <w:rPr>
          <w:rFonts w:eastAsia="Times New Roman" w:cs="Times New Roman"/>
          <w:szCs w:val="24"/>
        </w:rPr>
      </w:pPr>
      <w:r w:rsidRPr="002F152E">
        <w:rPr>
          <w:rFonts w:eastAsia="Times New Roman" w:cs="Times New Roman"/>
          <w:szCs w:val="24"/>
        </w:rPr>
        <w:t xml:space="preserve">The government is also recognising disinformation as a kind of cyber-threat and in 2019 it proposed a draft Action Plan against Disinformation. This plan has two main parts, security measures (which foresees a few actions of cyber protection and prevention in their nature) and pro-active measures. </w:t>
      </w:r>
    </w:p>
    <w:p w14:paraId="1B93710E" w14:textId="2DF2D1FD" w:rsidR="0024699B" w:rsidRPr="002F152E" w:rsidRDefault="009910E1" w:rsidP="00497F73">
      <w:pPr>
        <w:spacing w:before="120"/>
        <w:ind w:left="360"/>
        <w:rPr>
          <w:rFonts w:eastAsia="Times New Roman" w:cs="Times New Roman"/>
          <w:szCs w:val="24"/>
        </w:rPr>
      </w:pPr>
      <w:r w:rsidRPr="002F152E">
        <w:rPr>
          <w:rFonts w:eastAsia="Times New Roman" w:cs="Times New Roman"/>
          <w:szCs w:val="24"/>
        </w:rPr>
        <w:t xml:space="preserve">MKD-CIRT, which operates within the Agency for Electronic Communications, was established in 2016 and has been assigned, in accordance with the Law, as the official national point of contact and coordination in dealing with security incidents in networks and information systems. To date, though, it cannot perform all the necessary tasks, including those expected and required by the EU Network and Information Security Directive (NIS), due to both the lack of a comprehensive legal framework and capacity. MKD-CIRT is understaffed), while the needs are greater. The Agency for Electronic </w:t>
      </w:r>
      <w:r w:rsidRPr="002F152E">
        <w:rPr>
          <w:rFonts w:eastAsia="Times New Roman" w:cs="Times New Roman"/>
          <w:szCs w:val="24"/>
        </w:rPr>
        <w:lastRenderedPageBreak/>
        <w:t xml:space="preserve">Communications is in charge of security and integrity of public electronic communications networks and services in the country. </w:t>
      </w:r>
    </w:p>
    <w:p w14:paraId="5E55609A" w14:textId="0378C25D" w:rsidR="00725628" w:rsidRPr="00420318" w:rsidRDefault="009910E1" w:rsidP="00497F73">
      <w:pPr>
        <w:spacing w:before="120"/>
        <w:ind w:left="360"/>
        <w:rPr>
          <w:rFonts w:cs="Times New Roman"/>
          <w:szCs w:val="24"/>
          <w:lang w:val="en-IE"/>
        </w:rPr>
      </w:pPr>
      <w:r w:rsidRPr="002F152E">
        <w:rPr>
          <w:rFonts w:eastAsia="Times New Roman" w:cs="Times New Roman"/>
          <w:szCs w:val="24"/>
        </w:rPr>
        <w:t>MKD-CIRT organises awareness raising activities on cybersecurity with state institutions. However, most of the websites and databases of the state institutions remain poorly maintained and highly vulnerable to small-scale cyber-attacks. Several cases have been reported by the media in which the institutional websites have underperformed on safety and security tests. In the coming period they plan to create activities involving private companies. MKD-CIRT is also conducting general awareness raising campaigns on social networks and in the media.</w:t>
      </w:r>
    </w:p>
    <w:p w14:paraId="05898CF3" w14:textId="1D3B685C" w:rsidR="00625A82" w:rsidRPr="00497F73" w:rsidRDefault="0024699B" w:rsidP="00497F73">
      <w:pPr>
        <w:spacing w:before="120"/>
        <w:ind w:left="360"/>
        <w:rPr>
          <w:rFonts w:cs="Times New Roman"/>
          <w:szCs w:val="24"/>
          <w:lang w:val="en-IE"/>
        </w:rPr>
      </w:pPr>
      <w:r w:rsidRPr="00497F73">
        <w:rPr>
          <w:rFonts w:cs="Times New Roman"/>
          <w:szCs w:val="24"/>
          <w:lang w:val="en-IE"/>
        </w:rPr>
        <w:t>T</w:t>
      </w:r>
      <w:r w:rsidR="00625A82" w:rsidRPr="00497F73">
        <w:rPr>
          <w:rFonts w:cs="Times New Roman"/>
          <w:szCs w:val="24"/>
          <w:lang w:val="en-IE"/>
        </w:rPr>
        <w:t>he Government recognises that several measures were taken to ensure proper capacity building and raising awareness in cybersecurity. These included incorporating content on safe internet in the primary education curriculum and developing information security-focused programmes for certain bachelor’s and master’s degrees to meet the demand for cybersecurity professionals</w:t>
      </w:r>
      <w:r w:rsidR="00625A82" w:rsidRPr="00420318">
        <w:rPr>
          <w:rStyle w:val="FootnoteReference"/>
          <w:rFonts w:cs="Times New Roman"/>
          <w:szCs w:val="24"/>
          <w:lang w:val="en-IE"/>
        </w:rPr>
        <w:footnoteReference w:id="15"/>
      </w:r>
      <w:r w:rsidR="00625A82" w:rsidRPr="00420318">
        <w:rPr>
          <w:rFonts w:cs="Times New Roman"/>
          <w:szCs w:val="24"/>
          <w:lang w:val="en-IE"/>
        </w:rPr>
        <w:t>. Despite these efforts, 2020 was marked by massive c</w:t>
      </w:r>
      <w:r w:rsidR="00625A82" w:rsidRPr="00497F73">
        <w:rPr>
          <w:rFonts w:cs="Times New Roman"/>
          <w:szCs w:val="24"/>
          <w:lang w:val="en-IE"/>
        </w:rPr>
        <w:t xml:space="preserve">yber-attacks on governmental networks and entities, demonstrating a need for additional improvements in national cyber defence capacity, including relevant infrastructure. The European Commission also recognised in its Annual report 2021 that the implementation of the </w:t>
      </w:r>
      <w:r w:rsidRPr="00497F73">
        <w:rPr>
          <w:rFonts w:cs="Times New Roman"/>
          <w:szCs w:val="24"/>
          <w:lang w:val="en-IE"/>
        </w:rPr>
        <w:t>legal and strategic documents</w:t>
      </w:r>
      <w:r w:rsidR="00625A82" w:rsidRPr="00497F73">
        <w:rPr>
          <w:rFonts w:cs="Times New Roman"/>
          <w:szCs w:val="24"/>
          <w:lang w:val="en-IE"/>
        </w:rPr>
        <w:t xml:space="preserve">, requires additional efforts. </w:t>
      </w:r>
    </w:p>
    <w:p w14:paraId="686A17D5" w14:textId="77777777" w:rsidR="00A95D75" w:rsidRPr="002F152E" w:rsidRDefault="00A95D75" w:rsidP="00497F73">
      <w:pPr>
        <w:spacing w:before="120"/>
        <w:ind w:left="360"/>
        <w:rPr>
          <w:rFonts w:eastAsia="Times New Roman" w:cs="Times New Roman"/>
          <w:szCs w:val="24"/>
        </w:rPr>
      </w:pPr>
      <w:r w:rsidRPr="002F152E">
        <w:rPr>
          <w:rFonts w:eastAsia="Times New Roman" w:cs="Times New Roman"/>
          <w:szCs w:val="24"/>
        </w:rPr>
        <w:t>The very poor capacities of MISA, as the main ministry responsible for policy creation and coordination of cooperation between the institutions with regard to electronic communications (Chapter 10), represent a significant challenge.</w:t>
      </w:r>
    </w:p>
    <w:p w14:paraId="4921307A" w14:textId="4842F2A8" w:rsidR="00A95D75" w:rsidRPr="002F152E" w:rsidRDefault="00A95D75" w:rsidP="00497F73">
      <w:pPr>
        <w:spacing w:before="120"/>
        <w:ind w:left="360"/>
        <w:rPr>
          <w:rFonts w:eastAsia="Times New Roman" w:cs="Times New Roman"/>
          <w:szCs w:val="24"/>
        </w:rPr>
      </w:pPr>
      <w:r w:rsidRPr="002F152E">
        <w:rPr>
          <w:rFonts w:eastAsia="Times New Roman" w:cs="Times New Roman"/>
          <w:szCs w:val="24"/>
        </w:rPr>
        <w:t xml:space="preserve">There is a need of a more proactive participation of domestic institutions in the European networks, such as </w:t>
      </w:r>
      <w:hyperlink r:id="rId9" w:history="1">
        <w:r w:rsidRPr="002F152E">
          <w:rPr>
            <w:rFonts w:eastAsia="Times New Roman" w:cs="Times New Roman"/>
            <w:szCs w:val="24"/>
          </w:rPr>
          <w:t>ENISA</w:t>
        </w:r>
      </w:hyperlink>
      <w:r w:rsidR="0024699B" w:rsidRPr="002F152E">
        <w:rPr>
          <w:rFonts w:eastAsia="Times New Roman" w:cs="Times New Roman"/>
          <w:szCs w:val="24"/>
        </w:rPr>
        <w:t xml:space="preserve"> (</w:t>
      </w:r>
      <w:r w:rsidR="004829EC" w:rsidRPr="002F152E">
        <w:rPr>
          <w:rFonts w:eastAsia="Times New Roman" w:cs="Times New Roman"/>
          <w:szCs w:val="24"/>
        </w:rPr>
        <w:t>t</w:t>
      </w:r>
      <w:r w:rsidR="0024699B" w:rsidRPr="00420318">
        <w:rPr>
          <w:rFonts w:cs="Times New Roman"/>
          <w:szCs w:val="24"/>
        </w:rPr>
        <w:t>he European Union Agency for Cybersecurity)</w:t>
      </w:r>
      <w:r w:rsidRPr="002F152E">
        <w:rPr>
          <w:rFonts w:eastAsia="Times New Roman" w:cs="Times New Roman"/>
          <w:szCs w:val="24"/>
        </w:rPr>
        <w:t xml:space="preserve">, </w:t>
      </w:r>
      <w:hyperlink r:id="rId10" w:history="1">
        <w:r w:rsidRPr="002F152E">
          <w:rPr>
            <w:rFonts w:eastAsia="Times New Roman" w:cs="Times New Roman"/>
            <w:szCs w:val="24"/>
          </w:rPr>
          <w:t xml:space="preserve">the CSIRTs Network (Computer Security Incident Response Team network composed of EU Member States’ appointed CSIRTs and CERT-EU etc. </w:t>
        </w:r>
      </w:hyperlink>
    </w:p>
    <w:p w14:paraId="44778E69" w14:textId="14E1CFF1" w:rsidR="00EE529F" w:rsidRPr="002F152E" w:rsidRDefault="00EE529F" w:rsidP="00497F73">
      <w:pPr>
        <w:autoSpaceDE w:val="0"/>
        <w:autoSpaceDN w:val="0"/>
        <w:spacing w:before="120"/>
        <w:ind w:left="360"/>
        <w:rPr>
          <w:rFonts w:eastAsia="Times New Roman" w:cs="Times New Roman"/>
          <w:szCs w:val="24"/>
        </w:rPr>
      </w:pPr>
      <w:r w:rsidRPr="002F152E">
        <w:rPr>
          <w:rFonts w:eastAsia="Times New Roman" w:cs="Times New Roman"/>
          <w:szCs w:val="24"/>
        </w:rPr>
        <w:t xml:space="preserve">The Ministry of the Interior has cyber-related tasks mainly focused on internal security and the fight against cybercrime, but it also has a Sector for Computer Crime and Digital Forensics responsible for cybercrime investigations and matters related to electronic evidence, including digital forensics. The Ministry of Interior participates in the drafting of cybersecurity strategies and is additionally working with a complementing cybercrime strategy addressing the needs and objectives of law enforcement. </w:t>
      </w:r>
    </w:p>
    <w:p w14:paraId="399F1FFF" w14:textId="6AEC566D" w:rsidR="00EE529F" w:rsidRPr="002F152E" w:rsidRDefault="00EE529F" w:rsidP="00497F73">
      <w:pPr>
        <w:autoSpaceDE w:val="0"/>
        <w:autoSpaceDN w:val="0"/>
        <w:spacing w:before="120"/>
        <w:ind w:left="360"/>
        <w:rPr>
          <w:rFonts w:eastAsia="Times New Roman" w:cs="Times New Roman"/>
          <w:szCs w:val="24"/>
        </w:rPr>
      </w:pPr>
      <w:r w:rsidRPr="002F152E">
        <w:rPr>
          <w:rFonts w:eastAsia="Times New Roman" w:cs="Times New Roman"/>
          <w:szCs w:val="24"/>
        </w:rPr>
        <w:t xml:space="preserve">The Ministry of Defence is a key stakeholder in the cybersecurity strategy process and, together with the Military Academy, is also responsible for training and education. A very specific aim in the Action Plan of the National Strategy on Building Resilience and Confronting Hybrid Threat is establishing further cooperation with NATO and the EU on dealing with hybrid threats, for which the Army and the MD are in charge. </w:t>
      </w:r>
    </w:p>
    <w:p w14:paraId="48EA9DD1" w14:textId="289B48EA" w:rsidR="00A95D75" w:rsidRPr="00497F73" w:rsidRDefault="00EE529F" w:rsidP="00497F73">
      <w:pPr>
        <w:spacing w:before="120"/>
        <w:ind w:left="360"/>
        <w:rPr>
          <w:rFonts w:cs="Times New Roman"/>
          <w:szCs w:val="24"/>
        </w:rPr>
      </w:pPr>
      <w:r w:rsidRPr="002F152E">
        <w:rPr>
          <w:rFonts w:eastAsia="Times New Roman" w:cs="Times New Roman"/>
          <w:szCs w:val="24"/>
        </w:rPr>
        <w:t>North Macedonia lacks official cybersecurity cooperation formats with the private sector and/or civil society organisations. Existing informal public-private consultations tend to be unstructured, irregular in character and formed on an ad hoc basis.</w:t>
      </w:r>
    </w:p>
    <w:p w14:paraId="1FC30456" w14:textId="0341EA72" w:rsidR="00EE529F" w:rsidRPr="002F152E" w:rsidRDefault="00EE529F" w:rsidP="00497F73">
      <w:pPr>
        <w:spacing w:before="120"/>
        <w:ind w:left="360"/>
        <w:rPr>
          <w:rFonts w:eastAsia="Times New Roman" w:cs="Times New Roman"/>
          <w:szCs w:val="24"/>
        </w:rPr>
      </w:pPr>
      <w:r w:rsidRPr="002F152E">
        <w:rPr>
          <w:rFonts w:eastAsia="Times New Roman" w:cs="Times New Roman"/>
          <w:szCs w:val="24"/>
        </w:rPr>
        <w:t>Cybersecurity is one segment of the digital transformation and it is closely linked to critical infrastructure development, digital skills, e-government services, respect of personal data protection, etc. Therefore</w:t>
      </w:r>
      <w:r w:rsidR="0081434E" w:rsidRPr="002F152E">
        <w:rPr>
          <w:rFonts w:eastAsia="Times New Roman" w:cs="Times New Roman"/>
          <w:szCs w:val="24"/>
        </w:rPr>
        <w:t>, there</w:t>
      </w:r>
      <w:r w:rsidRPr="002F152E">
        <w:rPr>
          <w:rFonts w:eastAsia="Times New Roman" w:cs="Times New Roman"/>
          <w:szCs w:val="24"/>
        </w:rPr>
        <w:t xml:space="preserve"> is </w:t>
      </w:r>
      <w:r w:rsidR="0081434E" w:rsidRPr="002F152E">
        <w:rPr>
          <w:rFonts w:eastAsia="Times New Roman" w:cs="Times New Roman"/>
          <w:szCs w:val="24"/>
        </w:rPr>
        <w:t>a necessity</w:t>
      </w:r>
      <w:r w:rsidRPr="002F152E">
        <w:rPr>
          <w:rFonts w:eastAsia="Times New Roman" w:cs="Times New Roman"/>
          <w:szCs w:val="24"/>
        </w:rPr>
        <w:t xml:space="preserve"> of whole-of-government approach.</w:t>
      </w:r>
    </w:p>
    <w:p w14:paraId="3DC8282E" w14:textId="07BC75AF" w:rsidR="00625A82" w:rsidRPr="00497F73" w:rsidRDefault="00625A82" w:rsidP="00497F73">
      <w:pPr>
        <w:spacing w:before="120"/>
        <w:ind w:left="360"/>
        <w:rPr>
          <w:rFonts w:cs="Times New Roman"/>
          <w:b/>
          <w:bCs/>
          <w:szCs w:val="24"/>
          <w:lang w:val="en-IE"/>
        </w:rPr>
      </w:pPr>
      <w:r w:rsidRPr="00497F73">
        <w:rPr>
          <w:rFonts w:cs="Times New Roman"/>
          <w:b/>
          <w:bCs/>
          <w:szCs w:val="24"/>
          <w:lang w:val="en-IE"/>
        </w:rPr>
        <w:t xml:space="preserve">Crime and terrorism </w:t>
      </w:r>
    </w:p>
    <w:p w14:paraId="7E28ECCA" w14:textId="00EDE4BB" w:rsidR="00625A82" w:rsidRPr="00497F73" w:rsidRDefault="00625A82" w:rsidP="00497F73">
      <w:pPr>
        <w:spacing w:before="120"/>
        <w:ind w:left="360"/>
        <w:rPr>
          <w:rFonts w:cs="Times New Roman"/>
          <w:szCs w:val="24"/>
          <w:lang w:val="en-IE"/>
        </w:rPr>
      </w:pPr>
      <w:r w:rsidRPr="00497F73">
        <w:rPr>
          <w:rFonts w:cs="Times New Roman"/>
          <w:szCs w:val="24"/>
          <w:lang w:val="en-IE"/>
        </w:rPr>
        <w:t xml:space="preserve">Regarding the fight against organised crime and terrorism, the necessary legal framework has been put in place through the amendments of the 2016 Criminal Code and the adoption of over 30 different laws, which are in line with European standards and criminalises trafficking in human beings, online child pornography, computer crime and drug trafficking. On the strategic framework, the most recent strategies </w:t>
      </w:r>
      <w:r w:rsidRPr="00497F73">
        <w:rPr>
          <w:rFonts w:cs="Times New Roman"/>
          <w:szCs w:val="24"/>
          <w:lang w:val="en-IE"/>
        </w:rPr>
        <w:lastRenderedPageBreak/>
        <w:t xml:space="preserve">adopted by the Government are the </w:t>
      </w:r>
      <w:r w:rsidRPr="00497F73">
        <w:rPr>
          <w:rFonts w:cs="Times New Roman"/>
          <w:i/>
          <w:iCs/>
          <w:szCs w:val="24"/>
          <w:lang w:val="en-IE"/>
        </w:rPr>
        <w:t>National Strategy for the Prevention of Money Laundering and Financing Terrorism 2021-2024</w:t>
      </w:r>
      <w:r w:rsidRPr="00497F73">
        <w:rPr>
          <w:rFonts w:cs="Times New Roman"/>
          <w:szCs w:val="24"/>
          <w:lang w:val="en-IE"/>
        </w:rPr>
        <w:t xml:space="preserve">, the </w:t>
      </w:r>
      <w:r w:rsidRPr="00497F73">
        <w:rPr>
          <w:rFonts w:cs="Times New Roman"/>
          <w:i/>
          <w:iCs/>
          <w:szCs w:val="24"/>
          <w:lang w:val="en-IE"/>
        </w:rPr>
        <w:t>National Strategy for Capacity Building for Financial Investigations and Property Confiscation 2021-2023</w:t>
      </w:r>
      <w:r w:rsidRPr="00497F73">
        <w:rPr>
          <w:rFonts w:cs="Times New Roman"/>
          <w:szCs w:val="24"/>
          <w:lang w:val="en-IE"/>
        </w:rPr>
        <w:t xml:space="preserve">, and the </w:t>
      </w:r>
      <w:r w:rsidRPr="00497F73">
        <w:rPr>
          <w:rFonts w:cs="Times New Roman"/>
          <w:i/>
          <w:iCs/>
          <w:szCs w:val="24"/>
          <w:lang w:val="en-IE"/>
        </w:rPr>
        <w:t>National Strategy for Combatting Trafficking in Human Beings and Illegal Migration 2021-2025</w:t>
      </w:r>
      <w:r w:rsidRPr="00497F73">
        <w:rPr>
          <w:rFonts w:cs="Times New Roman"/>
          <w:szCs w:val="24"/>
          <w:lang w:val="en-IE"/>
        </w:rPr>
        <w:t xml:space="preserve">. North Macedonia also has a </w:t>
      </w:r>
      <w:r w:rsidRPr="00497F73">
        <w:rPr>
          <w:rFonts w:cs="Times New Roman"/>
          <w:i/>
          <w:iCs/>
          <w:szCs w:val="24"/>
          <w:lang w:val="en-IE"/>
        </w:rPr>
        <w:t>National Strategy for Countering Terrorism 2018-2022</w:t>
      </w:r>
      <w:r w:rsidRPr="00497F73">
        <w:rPr>
          <w:rFonts w:cs="Times New Roman"/>
          <w:szCs w:val="24"/>
          <w:lang w:val="en-IE"/>
        </w:rPr>
        <w:t xml:space="preserve"> and a </w:t>
      </w:r>
      <w:r w:rsidRPr="00497F73">
        <w:rPr>
          <w:rFonts w:cs="Times New Roman"/>
          <w:i/>
          <w:iCs/>
          <w:szCs w:val="24"/>
          <w:lang w:val="en-IE"/>
        </w:rPr>
        <w:t>Strategy for Countering Violent Extremism 2018-2022</w:t>
      </w:r>
      <w:r w:rsidRPr="00497F73">
        <w:rPr>
          <w:rFonts w:cs="Times New Roman"/>
          <w:szCs w:val="24"/>
          <w:lang w:val="en-IE"/>
        </w:rPr>
        <w:t>, both with related action plans. A National Plan for reintegration, resocialisation and rehabilitation of foreign fighters returnees and members of their families (women and children) was adopted in June 2020 to implement the identified priorities for preventing violent extremism and radicalisation.</w:t>
      </w:r>
    </w:p>
    <w:p w14:paraId="3A837C1F" w14:textId="60A5C3E8" w:rsidR="00851428" w:rsidRPr="00497F73" w:rsidRDefault="00851428" w:rsidP="00497F73">
      <w:pPr>
        <w:spacing w:before="120"/>
        <w:ind w:left="360"/>
        <w:rPr>
          <w:rFonts w:cs="Times New Roman"/>
          <w:szCs w:val="24"/>
          <w:lang w:val="en-IE"/>
        </w:rPr>
      </w:pPr>
      <w:r w:rsidRPr="00497F73">
        <w:rPr>
          <w:rFonts w:cs="Times New Roman"/>
          <w:szCs w:val="24"/>
          <w:lang w:val="en-IE"/>
        </w:rPr>
        <w:t>The process of preparing the two national strategies: the Strategy for the Prevention of Violent Extremism and the Strategy for the Fight against Terrorism for the period 2023-2027, with action plans for their implementation, is in its final stages.</w:t>
      </w:r>
    </w:p>
    <w:p w14:paraId="1ED33A66" w14:textId="017CD803" w:rsidR="00851428" w:rsidRPr="00497F73" w:rsidRDefault="00851428" w:rsidP="00497F73">
      <w:pPr>
        <w:spacing w:before="120"/>
        <w:ind w:left="360"/>
        <w:rPr>
          <w:rFonts w:cs="Times New Roman"/>
          <w:szCs w:val="24"/>
          <w:lang w:val="en-IE"/>
        </w:rPr>
      </w:pPr>
      <w:r w:rsidRPr="00497F73">
        <w:rPr>
          <w:rFonts w:cs="Times New Roman"/>
          <w:szCs w:val="24"/>
          <w:lang w:val="en-IE"/>
        </w:rPr>
        <w:t>The strategies are institutionally and organizationally linked, according to the four pillars of the global strategies of the United Nations and the European Union for the prevention of violent extremism and the fight against terrorism. The</w:t>
      </w:r>
      <w:r w:rsidR="00CB69C5" w:rsidRPr="00497F73">
        <w:rPr>
          <w:rFonts w:cs="Times New Roman"/>
          <w:szCs w:val="24"/>
          <w:lang w:val="en-IE"/>
        </w:rPr>
        <w:t xml:space="preserve"> four pillars</w:t>
      </w:r>
      <w:r w:rsidRPr="00497F73">
        <w:rPr>
          <w:rFonts w:cs="Times New Roman"/>
          <w:szCs w:val="24"/>
          <w:lang w:val="en-IE"/>
        </w:rPr>
        <w:t>: prevention, protection, prosecution/enforcement and response</w:t>
      </w:r>
      <w:r w:rsidR="00CB69C5" w:rsidRPr="00497F73">
        <w:rPr>
          <w:rFonts w:cs="Times New Roman"/>
          <w:szCs w:val="24"/>
          <w:lang w:val="en-IE"/>
        </w:rPr>
        <w:t xml:space="preserve"> are strategic priorities</w:t>
      </w:r>
      <w:r w:rsidRPr="00497F73">
        <w:rPr>
          <w:rFonts w:cs="Times New Roman"/>
          <w:szCs w:val="24"/>
          <w:lang w:val="en-IE"/>
        </w:rPr>
        <w:t>. The activities will be implemented by a large and diverse group of stakeholders, primarily ministries and other state institutions, and international organizations, civil society, religious communities, local self-government and the private sector will also be involved</w:t>
      </w:r>
      <w:r w:rsidR="00DE0996">
        <w:rPr>
          <w:rFonts w:cs="Times New Roman"/>
          <w:szCs w:val="24"/>
          <w:lang w:val="en-IE"/>
        </w:rPr>
        <w:t>.</w:t>
      </w:r>
    </w:p>
    <w:p w14:paraId="6696E116" w14:textId="0466D717" w:rsidR="00625A82" w:rsidRPr="00497F73" w:rsidRDefault="00625A82" w:rsidP="00497F73">
      <w:pPr>
        <w:spacing w:before="120"/>
        <w:ind w:left="360"/>
        <w:rPr>
          <w:rFonts w:cs="Times New Roman"/>
          <w:szCs w:val="24"/>
          <w:lang w:val="en-IE"/>
        </w:rPr>
      </w:pPr>
      <w:r w:rsidRPr="00497F73">
        <w:rPr>
          <w:rFonts w:cs="Times New Roman"/>
          <w:szCs w:val="24"/>
          <w:lang w:val="en-IE"/>
        </w:rPr>
        <w:t xml:space="preserve">Key institutions in the fight against </w:t>
      </w:r>
      <w:r w:rsidRPr="00497F73">
        <w:rPr>
          <w:rFonts w:cs="Times New Roman"/>
          <w:i/>
          <w:iCs/>
          <w:szCs w:val="24"/>
          <w:lang w:val="en-IE"/>
        </w:rPr>
        <w:t>organised crime</w:t>
      </w:r>
      <w:r w:rsidRPr="00497F73">
        <w:rPr>
          <w:rFonts w:cs="Times New Roman"/>
          <w:szCs w:val="24"/>
          <w:lang w:val="en-IE"/>
        </w:rPr>
        <w:t xml:space="preserve"> include specialised police units within the Ministry of Interior. In addition, there is a Financial Intelligence Unit under the Ministry of Finance that collects information and helps identify suspicious transactions. Financial Investigation units were also set up within the Customs Administration, the Financial Police and the Ministry of Interior. The institutional framework is completed with a comprehensive reform of the intelligence services. The National Security Agency (NSA) is designated as an independent state body without police powers. The technical conditions for the proper functioning of the system for the interception of communications have been improved. The new </w:t>
      </w:r>
      <w:r w:rsidRPr="00497F73">
        <w:rPr>
          <w:rFonts w:cs="Times New Roman"/>
          <w:i/>
          <w:iCs/>
          <w:szCs w:val="24"/>
          <w:lang w:val="en-IE"/>
        </w:rPr>
        <w:t>Law on the Intelligence Agency</w:t>
      </w:r>
      <w:r w:rsidRPr="00497F73">
        <w:rPr>
          <w:rFonts w:cs="Times New Roman"/>
          <w:szCs w:val="24"/>
          <w:lang w:val="en-IE"/>
        </w:rPr>
        <w:t xml:space="preserve"> was adopted in January 2021 in order to complete the new security set-up. The Basic Public Prosecutor’s Office for Prosecuting Organized Crime and Corruption is a specialised Basic Public Prosecutor Office under the direct supervision of the Public Prosecutors Office of North Macedonia, having the competence to investigate, prosecute and bring to justice cases of corruption and organised crime. The Agency for Management of Confiscated Assets is the key authority in </w:t>
      </w:r>
      <w:r w:rsidR="00031831" w:rsidRPr="00497F73">
        <w:rPr>
          <w:rFonts w:cs="Times New Roman"/>
          <w:szCs w:val="24"/>
          <w:lang w:val="en-IE"/>
        </w:rPr>
        <w:t>managing</w:t>
      </w:r>
      <w:r w:rsidRPr="00497F73">
        <w:rPr>
          <w:rFonts w:cs="Times New Roman"/>
          <w:szCs w:val="24"/>
          <w:lang w:val="en-IE"/>
        </w:rPr>
        <w:t xml:space="preserve"> confiscated property in cases of organised crime and terrorism.</w:t>
      </w:r>
    </w:p>
    <w:p w14:paraId="20804182" w14:textId="77777777" w:rsidR="001A6BD9" w:rsidRPr="00497F73" w:rsidRDefault="001A6BD9" w:rsidP="00497F73">
      <w:pPr>
        <w:spacing w:before="120"/>
        <w:ind w:left="360"/>
        <w:rPr>
          <w:rFonts w:cs="Times New Roman"/>
          <w:szCs w:val="24"/>
        </w:rPr>
      </w:pPr>
      <w:r w:rsidRPr="00497F73">
        <w:rPr>
          <w:rFonts w:cs="Times New Roman"/>
          <w:szCs w:val="24"/>
        </w:rPr>
        <w:t xml:space="preserve">The Republic of North Macedonia is a credible partner in the fight against terrorism and a member of the Global Coalition to Defeat ISIS. In this respect, there is strong support for the role of NATO in the fight of the international community against terrorism. </w:t>
      </w:r>
    </w:p>
    <w:p w14:paraId="735DE39A" w14:textId="0B1F414E" w:rsidR="001A6BD9" w:rsidRPr="00497F73" w:rsidRDefault="001A6BD9" w:rsidP="00497F73">
      <w:pPr>
        <w:spacing w:before="120"/>
        <w:ind w:left="360"/>
        <w:rPr>
          <w:rFonts w:cs="Times New Roman"/>
          <w:szCs w:val="24"/>
        </w:rPr>
      </w:pPr>
      <w:r w:rsidRPr="00497F73">
        <w:rPr>
          <w:rFonts w:cs="Times New Roman"/>
          <w:szCs w:val="24"/>
        </w:rPr>
        <w:t>The country signed and ratified all conventions for the fight against terrorism and terrorism-related protocols of the United Nations, including Resolution 2178 (2014) of the UN Security Council and the Council of Europe Convention on the Prevention of Terrorism.</w:t>
      </w:r>
    </w:p>
    <w:p w14:paraId="73F180CE" w14:textId="3F0C1A16" w:rsidR="001A6BD9" w:rsidRPr="00497F73" w:rsidRDefault="001A6BD9" w:rsidP="00497F73">
      <w:pPr>
        <w:spacing w:before="120"/>
        <w:ind w:left="360"/>
        <w:rPr>
          <w:rFonts w:cs="Times New Roman"/>
          <w:b/>
          <w:bCs/>
          <w:szCs w:val="24"/>
        </w:rPr>
      </w:pPr>
      <w:r w:rsidRPr="00497F73">
        <w:rPr>
          <w:rFonts w:cs="Times New Roman"/>
          <w:szCs w:val="24"/>
        </w:rPr>
        <w:t>In line with the commitments from the Joint Action Plan on Counter-Terrorism for the Western Balkan, the Government approved the National Plan on Reintegration, Resocialisation and Rehabilitation of returnees from foreign armies and their family members (women and children).</w:t>
      </w:r>
    </w:p>
    <w:p w14:paraId="365C12F8" w14:textId="2D779593" w:rsidR="001A6BD9" w:rsidRPr="00497F73" w:rsidRDefault="001A6BD9" w:rsidP="00497F73">
      <w:pPr>
        <w:spacing w:before="120"/>
        <w:ind w:left="360"/>
        <w:rPr>
          <w:rFonts w:cs="Times New Roman"/>
          <w:szCs w:val="24"/>
        </w:rPr>
      </w:pPr>
      <w:r w:rsidRPr="00497F73">
        <w:rPr>
          <w:rFonts w:cs="Times New Roman"/>
          <w:szCs w:val="24"/>
        </w:rPr>
        <w:t>The Standard Operating Procedures on reintegration, resocialisation and rehabilitation of foreign fighters and their family members are aimed at putting into effect the procedure which is based on the fundamental values for the protection of human rights and freedoms, a whole-of-government approach, individual approach and treatment, and the principle of confidentiality</w:t>
      </w:r>
      <w:r w:rsidR="00DE0996">
        <w:rPr>
          <w:rFonts w:cs="Times New Roman"/>
          <w:szCs w:val="24"/>
        </w:rPr>
        <w:t>.</w:t>
      </w:r>
    </w:p>
    <w:p w14:paraId="60357535" w14:textId="2780D43C" w:rsidR="008B0EE5" w:rsidRPr="00497F73" w:rsidRDefault="008B0EE5" w:rsidP="00497F73">
      <w:pPr>
        <w:spacing w:before="120"/>
        <w:ind w:left="360"/>
        <w:rPr>
          <w:rFonts w:cs="Times New Roman"/>
          <w:szCs w:val="24"/>
        </w:rPr>
      </w:pPr>
      <w:r w:rsidRPr="00497F73">
        <w:rPr>
          <w:rFonts w:cs="Times New Roman"/>
          <w:szCs w:val="24"/>
        </w:rPr>
        <w:t xml:space="preserve">Countering terrorism and violent extremism is a complex security issue that does not recognise borders, cultures, religious or ethnic groups. It is a phenomenon affecting all of us, and therefore an integrated response by all relevant institutions is required. </w:t>
      </w:r>
    </w:p>
    <w:p w14:paraId="7DDE5AB3" w14:textId="0B7E5853" w:rsidR="008B0EE5" w:rsidRPr="00497F73" w:rsidRDefault="008B0EE5" w:rsidP="00497F73">
      <w:pPr>
        <w:spacing w:before="120"/>
        <w:ind w:left="360"/>
        <w:rPr>
          <w:rFonts w:cs="Times New Roman"/>
          <w:szCs w:val="24"/>
        </w:rPr>
      </w:pPr>
      <w:r w:rsidRPr="00497F73">
        <w:rPr>
          <w:rFonts w:cs="Times New Roman"/>
          <w:szCs w:val="24"/>
        </w:rPr>
        <w:lastRenderedPageBreak/>
        <w:t xml:space="preserve">This phenomena is the foundation of the state's protection against terrorist acts, primarily because violent extremism and terrorism result from individual or collective processes of radicalisation that may be used as justification for violence used to achieve certain goals (political, ideological, social). </w:t>
      </w:r>
    </w:p>
    <w:p w14:paraId="564A8D2C" w14:textId="393378CC" w:rsidR="008B0EE5" w:rsidRPr="00497F73" w:rsidRDefault="008B0EE5" w:rsidP="00497F73">
      <w:pPr>
        <w:spacing w:before="120"/>
        <w:ind w:left="360"/>
        <w:rPr>
          <w:rFonts w:cs="Times New Roman"/>
          <w:szCs w:val="24"/>
        </w:rPr>
      </w:pPr>
      <w:r w:rsidRPr="00497F73">
        <w:rPr>
          <w:rFonts w:cs="Times New Roman"/>
          <w:szCs w:val="24"/>
        </w:rPr>
        <w:t>In Resolution 2178 (2014), the Security Council clearly explains the link between violent extremism and terrorism, highlighting the importance of taking measures in line with international norms, and recognises the need for prevention: "violent extremism, which may be conducive to terrorism," requires collective efforts, "including the prevention of radicalisation, recruitment and mobilisation of individuals into terrorist groups and their transformation into foreign terrorist fighters".</w:t>
      </w:r>
    </w:p>
    <w:p w14:paraId="0516AC7A" w14:textId="7F304B9A" w:rsidR="008B0EE5" w:rsidRPr="00497F73" w:rsidRDefault="008B0EE5" w:rsidP="00497F73">
      <w:pPr>
        <w:spacing w:before="120"/>
        <w:ind w:left="360"/>
        <w:rPr>
          <w:rFonts w:cs="Times New Roman"/>
          <w:szCs w:val="24"/>
        </w:rPr>
      </w:pPr>
      <w:r w:rsidRPr="00497F73">
        <w:rPr>
          <w:rFonts w:cs="Times New Roman"/>
          <w:szCs w:val="24"/>
        </w:rPr>
        <w:t xml:space="preserve">Therefore, strategic planning of measures and activities for countering terrorism leading to radicalisation and violent extremism is considered a top priority in building safe and resilient communities and ensuring fundamental values such as the rule of law, human rights and freedoms, citizen safety, cultural values and the inclusiveness of society.  </w:t>
      </w:r>
    </w:p>
    <w:p w14:paraId="1CBBAADF" w14:textId="7916FAAF" w:rsidR="00625A82" w:rsidRPr="00497F73" w:rsidRDefault="008B0EE5" w:rsidP="00497F73">
      <w:pPr>
        <w:spacing w:before="120"/>
        <w:ind w:left="360"/>
        <w:rPr>
          <w:rFonts w:cs="Times New Roman"/>
          <w:szCs w:val="24"/>
        </w:rPr>
      </w:pPr>
      <w:r w:rsidRPr="00497F73">
        <w:rPr>
          <w:rFonts w:cs="Times New Roman"/>
          <w:szCs w:val="24"/>
        </w:rPr>
        <w:t>Countering terrorism leading to radicalisation and violent extremism is one of the significant challenges requiring: knowledge, i.e., understanding of the phenomenon and recognising/identifying the risks and push and pull factors, knowledge of required action in the event of added risks that maximise the likelihood of radicalisation, and of the convenient measures for risk management</w:t>
      </w:r>
      <w:r w:rsidR="001A6BD9" w:rsidRPr="00497F73">
        <w:rPr>
          <w:rFonts w:cs="Times New Roman"/>
          <w:szCs w:val="24"/>
        </w:rPr>
        <w:t xml:space="preserve">. </w:t>
      </w:r>
    </w:p>
    <w:p w14:paraId="6F94920B" w14:textId="23B71A0E" w:rsidR="00625A82" w:rsidRPr="00497F73" w:rsidRDefault="00625A82" w:rsidP="00497F73">
      <w:pPr>
        <w:spacing w:before="120"/>
        <w:ind w:left="360"/>
        <w:rPr>
          <w:rFonts w:cs="Times New Roman"/>
          <w:szCs w:val="24"/>
          <w:lang w:val="en-IE"/>
        </w:rPr>
      </w:pPr>
      <w:r w:rsidRPr="00497F73">
        <w:rPr>
          <w:rFonts w:cs="Times New Roman"/>
          <w:szCs w:val="24"/>
          <w:lang w:val="en-IE"/>
        </w:rPr>
        <w:t xml:space="preserve">North Macedonia participates in international police cooperation. Cooperation with Europol </w:t>
      </w:r>
      <w:r w:rsidR="00031831" w:rsidRPr="00497F73">
        <w:rPr>
          <w:rFonts w:cs="Times New Roman"/>
          <w:szCs w:val="24"/>
          <w:lang w:val="en-IE"/>
        </w:rPr>
        <w:t>was established following the conclusion of a strategic agreement in 2007 and an operational agreement in 2011. There is operational cooperation in the fight against the trafficking of human beings, weapons, and drugs. A secure communication link for information exchange (SIENA) was established. North Macedonia participated in Europol’s Analysis Projects on environmental crime and cybercrime. The country is also</w:t>
      </w:r>
      <w:r w:rsidRPr="00497F73">
        <w:rPr>
          <w:rFonts w:cs="Times New Roman"/>
          <w:szCs w:val="24"/>
          <w:lang w:val="en-IE"/>
        </w:rPr>
        <w:t xml:space="preserve"> active in all elements of cooperation (incl. in EMPACT) in which Europol includes its external partners, including in the areas of cybercrime, migrant smuggling and counterterrorism, as well as Europol’s reporting and operations. Cooperation between the country and the EU Agency for Law Enforcement Training (CEPOL) is </w:t>
      </w:r>
      <w:r w:rsidR="00031831" w:rsidRPr="00497F73">
        <w:rPr>
          <w:rFonts w:cs="Times New Roman"/>
          <w:szCs w:val="24"/>
          <w:lang w:val="en-IE"/>
        </w:rPr>
        <w:t>well-established</w:t>
      </w:r>
      <w:r w:rsidRPr="00497F73">
        <w:rPr>
          <w:rFonts w:cs="Times New Roman"/>
          <w:szCs w:val="24"/>
          <w:lang w:val="en-IE"/>
        </w:rPr>
        <w:t xml:space="preserve"> and based on a working arrangement.</w:t>
      </w:r>
    </w:p>
    <w:p w14:paraId="1C5AEBD7" w14:textId="4DC1684A" w:rsidR="00031831" w:rsidRPr="00497F73" w:rsidRDefault="00031831" w:rsidP="00497F73">
      <w:pPr>
        <w:spacing w:before="120"/>
        <w:ind w:left="360"/>
        <w:rPr>
          <w:rFonts w:cs="Times New Roman"/>
          <w:szCs w:val="24"/>
          <w:lang w:val="en-IE"/>
        </w:rPr>
      </w:pPr>
      <w:r w:rsidRPr="00497F73">
        <w:rPr>
          <w:rFonts w:cs="Times New Roman"/>
          <w:szCs w:val="24"/>
          <w:lang w:val="en-IE"/>
        </w:rPr>
        <w:t xml:space="preserve">The country is committed to fully implementing the </w:t>
      </w:r>
      <w:r w:rsidR="009E0FFD" w:rsidRPr="00497F73">
        <w:rPr>
          <w:rFonts w:cs="Times New Roman"/>
          <w:szCs w:val="24"/>
          <w:lang w:val="en-IE"/>
        </w:rPr>
        <w:t xml:space="preserve">bilateral </w:t>
      </w:r>
      <w:r w:rsidRPr="00497F73">
        <w:rPr>
          <w:rFonts w:cs="Times New Roman"/>
          <w:szCs w:val="24"/>
          <w:lang w:val="en-IE"/>
        </w:rPr>
        <w:t>Western Balkans Joint Action Plan on Counterterrorism, putting a particular focus on (i) strengthening counter-terrorism structures and strategies, including an improved threat assessment; (ii) stepping up efforts to prevent and counter violent extremism, as well as addressing the challenges posed by returning Foreign Terrorist Fighters and their families; and (iii) establishing a national threat assessment of money laundering risks and improve the link between financial intelligence and prosecution.</w:t>
      </w:r>
    </w:p>
    <w:p w14:paraId="5DAB02A0" w14:textId="4919036F" w:rsidR="00031831" w:rsidRPr="00497F73" w:rsidRDefault="00497C0B" w:rsidP="00497F73">
      <w:pPr>
        <w:spacing w:before="120"/>
        <w:ind w:left="360"/>
        <w:rPr>
          <w:rFonts w:cs="Times New Roman"/>
          <w:szCs w:val="24"/>
          <w:lang w:val="en-IE"/>
        </w:rPr>
      </w:pPr>
      <w:r w:rsidRPr="00497F73">
        <w:rPr>
          <w:rFonts w:cs="Times New Roman"/>
          <w:szCs w:val="24"/>
          <w:lang w:val="en-IE"/>
        </w:rPr>
        <w:t xml:space="preserve">In the fight against </w:t>
      </w:r>
      <w:r w:rsidRPr="00497F73">
        <w:rPr>
          <w:rFonts w:cs="Times New Roman"/>
          <w:i/>
          <w:iCs/>
          <w:szCs w:val="24"/>
          <w:lang w:val="en-IE"/>
        </w:rPr>
        <w:t>terrorism</w:t>
      </w:r>
      <w:r w:rsidRPr="00497F73">
        <w:rPr>
          <w:rFonts w:cs="Times New Roman"/>
          <w:szCs w:val="24"/>
          <w:lang w:val="en-IE"/>
        </w:rPr>
        <w:t>, there is a national coordinator for counter-terrorism and countering violent extremism. The Office coordinates</w:t>
      </w:r>
      <w:r w:rsidR="00031831" w:rsidRPr="00497F73">
        <w:rPr>
          <w:rFonts w:cs="Times New Roman"/>
          <w:szCs w:val="24"/>
          <w:lang w:val="en-IE"/>
        </w:rPr>
        <w:t xml:space="preserve"> inter-institutional cooperation </w:t>
      </w:r>
      <w:r w:rsidRPr="00497F73">
        <w:rPr>
          <w:rFonts w:cs="Times New Roman"/>
          <w:szCs w:val="24"/>
          <w:lang w:val="en-IE"/>
        </w:rPr>
        <w:t>through</w:t>
      </w:r>
      <w:r w:rsidR="00031831" w:rsidRPr="00497F73">
        <w:rPr>
          <w:rFonts w:cs="Times New Roman"/>
          <w:szCs w:val="24"/>
          <w:lang w:val="en-IE"/>
        </w:rPr>
        <w:t xml:space="preserve"> the National Committee for the Prevention of Violent Extremism and the Fight </w:t>
      </w:r>
      <w:r w:rsidR="00DE0996">
        <w:rPr>
          <w:rFonts w:cs="Times New Roman"/>
          <w:szCs w:val="24"/>
          <w:lang w:val="en-IE"/>
        </w:rPr>
        <w:t>a</w:t>
      </w:r>
      <w:r w:rsidR="00031831" w:rsidRPr="00497F73">
        <w:rPr>
          <w:rFonts w:cs="Times New Roman"/>
          <w:szCs w:val="24"/>
          <w:lang w:val="en-IE"/>
        </w:rPr>
        <w:t xml:space="preserve">gainst Terrorism, chaired by the National Coordinator. The Committee includes representatives of the </w:t>
      </w:r>
      <w:r w:rsidR="00581ACE" w:rsidRPr="00497F73">
        <w:rPr>
          <w:rFonts w:cs="Times New Roman"/>
          <w:szCs w:val="24"/>
          <w:lang w:val="en-IE"/>
        </w:rPr>
        <w:t>critical</w:t>
      </w:r>
      <w:r w:rsidR="00031831" w:rsidRPr="00497F73">
        <w:rPr>
          <w:rFonts w:cs="Times New Roman"/>
          <w:szCs w:val="24"/>
          <w:lang w:val="en-IE"/>
        </w:rPr>
        <w:t xml:space="preserve"> institutions countering terrorism and violent extremisms. Responsibility for terrorism-related issues is with the Ministry of Interior’s Department </w:t>
      </w:r>
      <w:r w:rsidR="00581ACE" w:rsidRPr="00497F73">
        <w:rPr>
          <w:rFonts w:cs="Times New Roman"/>
          <w:szCs w:val="24"/>
          <w:lang w:val="en-IE"/>
        </w:rPr>
        <w:t>to suppress</w:t>
      </w:r>
      <w:r w:rsidR="00031831" w:rsidRPr="00497F73">
        <w:rPr>
          <w:rFonts w:cs="Times New Roman"/>
          <w:szCs w:val="24"/>
          <w:lang w:val="en-IE"/>
        </w:rPr>
        <w:t xml:space="preserve"> organised and serious crime. </w:t>
      </w:r>
    </w:p>
    <w:p w14:paraId="46A73F69" w14:textId="1F5100CE" w:rsidR="008349EE" w:rsidRPr="00497F73" w:rsidRDefault="008349EE" w:rsidP="00497F73">
      <w:pPr>
        <w:spacing w:before="120"/>
        <w:ind w:left="360"/>
        <w:rPr>
          <w:rFonts w:cs="Times New Roman"/>
          <w:szCs w:val="24"/>
        </w:rPr>
      </w:pPr>
      <w:r w:rsidRPr="00497F73">
        <w:rPr>
          <w:rFonts w:cs="Times New Roman"/>
          <w:szCs w:val="24"/>
        </w:rPr>
        <w:t xml:space="preserve">The Action </w:t>
      </w:r>
      <w:r w:rsidR="00287E16" w:rsidRPr="00420318">
        <w:rPr>
          <w:rFonts w:cs="Times New Roman"/>
          <w:szCs w:val="24"/>
        </w:rPr>
        <w:t>is designed to contribute to the achievement of the objectives of</w:t>
      </w:r>
      <w:r w:rsidRPr="00497F73">
        <w:rPr>
          <w:rFonts w:cs="Times New Roman"/>
          <w:szCs w:val="24"/>
        </w:rPr>
        <w:t xml:space="preserve"> the </w:t>
      </w:r>
      <w:r w:rsidRPr="00497F73">
        <w:rPr>
          <w:rFonts w:cs="Times New Roman"/>
          <w:b/>
          <w:bCs/>
          <w:szCs w:val="24"/>
        </w:rPr>
        <w:t>Joint Action Plan on Counterterrorism for the Western Balkans</w:t>
      </w:r>
      <w:r w:rsidRPr="00420318">
        <w:rPr>
          <w:rStyle w:val="FootnoteReference"/>
          <w:rFonts w:cs="Times New Roman"/>
          <w:bCs/>
          <w:szCs w:val="24"/>
        </w:rPr>
        <w:footnoteReference w:id="16"/>
      </w:r>
      <w:r w:rsidRPr="00420318">
        <w:rPr>
          <w:rFonts w:cs="Times New Roman"/>
          <w:b/>
          <w:bCs/>
          <w:szCs w:val="24"/>
        </w:rPr>
        <w:t xml:space="preserve">, </w:t>
      </w:r>
      <w:r w:rsidRPr="00497F73">
        <w:rPr>
          <w:rFonts w:cs="Times New Roman"/>
          <w:szCs w:val="24"/>
        </w:rPr>
        <w:t>which establishes five objectives to be supported by the EU: 1. A robust framework for countering terrorism and preventing/countering violent extremism: institutional set-up and legal alignment, implementation and enforcement capacities; 2. Effective prevention and countering of violent extremism; 3. Effective information exchange and operational cooperation; 4. Build capacity to combat money laundering and terrorism financing; 5. Strengthen the protection of citizens and infrastructure.</w:t>
      </w:r>
    </w:p>
    <w:p w14:paraId="193872FE" w14:textId="77777777" w:rsidR="008349EE" w:rsidRPr="00497F73" w:rsidRDefault="008349EE" w:rsidP="00497F73">
      <w:pPr>
        <w:spacing w:before="120"/>
        <w:ind w:left="360"/>
        <w:rPr>
          <w:rFonts w:cs="Times New Roman"/>
          <w:szCs w:val="24"/>
        </w:rPr>
      </w:pPr>
    </w:p>
    <w:p w14:paraId="25A03791" w14:textId="35348DF8" w:rsidR="008349EE" w:rsidRPr="00497F73" w:rsidRDefault="008349EE" w:rsidP="00497F73">
      <w:pPr>
        <w:spacing w:before="120"/>
        <w:ind w:left="360"/>
        <w:rPr>
          <w:rFonts w:cs="Times New Roman"/>
          <w:szCs w:val="24"/>
          <w:shd w:val="clear" w:color="auto" w:fill="FFFFFF"/>
        </w:rPr>
      </w:pPr>
      <w:r w:rsidRPr="00497F73">
        <w:rPr>
          <w:rFonts w:eastAsia="Arial Unicode MS" w:cs="Times New Roman"/>
          <w:szCs w:val="24"/>
          <w:lang w:eastAsia="de-DE"/>
        </w:rPr>
        <w:t xml:space="preserve">The Action </w:t>
      </w:r>
      <w:r w:rsidR="00287E16" w:rsidRPr="00497F73">
        <w:rPr>
          <w:rFonts w:eastAsia="Arial Unicode MS" w:cs="Times New Roman"/>
          <w:szCs w:val="24"/>
          <w:lang w:eastAsia="de-DE"/>
        </w:rPr>
        <w:t>also aligns</w:t>
      </w:r>
      <w:r w:rsidRPr="00497F73">
        <w:rPr>
          <w:rFonts w:eastAsia="Arial Unicode MS" w:cs="Times New Roman"/>
          <w:szCs w:val="24"/>
          <w:lang w:eastAsia="de-DE"/>
        </w:rPr>
        <w:t xml:space="preserve"> with the </w:t>
      </w:r>
      <w:r w:rsidRPr="00497F73">
        <w:rPr>
          <w:rFonts w:eastAsia="Arial Unicode MS" w:cs="Times New Roman"/>
          <w:b/>
          <w:szCs w:val="24"/>
          <w:lang w:eastAsia="de-DE"/>
        </w:rPr>
        <w:t>Agreement on Operational and Strategic Cooperation with EUROPOL</w:t>
      </w:r>
      <w:r w:rsidRPr="00497F73">
        <w:rPr>
          <w:rFonts w:eastAsia="Arial Unicode MS" w:cs="Times New Roman"/>
          <w:szCs w:val="24"/>
          <w:lang w:eastAsia="de-DE"/>
        </w:rPr>
        <w:t xml:space="preserve">, which </w:t>
      </w:r>
      <w:r w:rsidR="009C4AE0" w:rsidRPr="00497F73">
        <w:rPr>
          <w:rFonts w:eastAsia="Arial Unicode MS" w:cs="Times New Roman"/>
          <w:szCs w:val="24"/>
          <w:lang w:eastAsia="de-DE"/>
        </w:rPr>
        <w:t>aims to regulate the cooperation between Europol and North Macedonia in combating severe forms of international crime through exchanging</w:t>
      </w:r>
      <w:r w:rsidRPr="00497F73">
        <w:rPr>
          <w:rFonts w:cs="Times New Roman"/>
          <w:szCs w:val="24"/>
        </w:rPr>
        <w:t xml:space="preserve"> information and regular contacts. It also contributes to implementing North Macedonia's agreement with EUROJUST which</w:t>
      </w:r>
      <w:r w:rsidRPr="00497F73">
        <w:rPr>
          <w:rFonts w:cs="Times New Roman"/>
          <w:szCs w:val="24"/>
          <w:shd w:val="clear" w:color="auto" w:fill="FFFFFF"/>
        </w:rPr>
        <w:t xml:space="preserve"> establishes a framework for structural judicial cooperation in the fight against serious cross-border crime between the EU Member States and North Macedonia. The agreement allows the partner States to participate in all the practical cooperation tools offered through Eurojust to prosecute </w:t>
      </w:r>
      <w:r w:rsidR="009C4AE0" w:rsidRPr="00497F73">
        <w:rPr>
          <w:rFonts w:cs="Times New Roman"/>
          <w:szCs w:val="24"/>
          <w:shd w:val="clear" w:color="auto" w:fill="FFFFFF"/>
        </w:rPr>
        <w:t>severe</w:t>
      </w:r>
      <w:r w:rsidRPr="00497F73">
        <w:rPr>
          <w:rFonts w:cs="Times New Roman"/>
          <w:szCs w:val="24"/>
          <w:shd w:val="clear" w:color="auto" w:fill="FFFFFF"/>
        </w:rPr>
        <w:t>, transnational crime cases.</w:t>
      </w:r>
    </w:p>
    <w:p w14:paraId="0E807F7C" w14:textId="159A71C5" w:rsidR="008349EE" w:rsidRPr="00497F73" w:rsidRDefault="008349EE" w:rsidP="00497F73">
      <w:pPr>
        <w:spacing w:before="120"/>
        <w:ind w:left="360"/>
        <w:rPr>
          <w:rFonts w:cs="Times New Roman"/>
          <w:szCs w:val="24"/>
          <w:shd w:val="clear" w:color="auto" w:fill="FFFFFF"/>
        </w:rPr>
      </w:pPr>
      <w:r w:rsidRPr="00497F73">
        <w:rPr>
          <w:rFonts w:eastAsia="Arial Unicode MS" w:cs="Times New Roman"/>
          <w:szCs w:val="24"/>
          <w:lang w:eastAsia="de-DE"/>
        </w:rPr>
        <w:t xml:space="preserve">More broadly, the Action will contribute to the regional </w:t>
      </w:r>
      <w:r w:rsidRPr="00497F73">
        <w:rPr>
          <w:rFonts w:eastAsia="Arial Unicode MS" w:cs="Times New Roman"/>
          <w:b/>
          <w:szCs w:val="24"/>
          <w:lang w:eastAsia="de-DE"/>
        </w:rPr>
        <w:t xml:space="preserve">Southeast Europe 2020 Strategy, </w:t>
      </w:r>
      <w:r w:rsidR="009C4AE0" w:rsidRPr="00497F73">
        <w:rPr>
          <w:rFonts w:eastAsia="Arial Unicode MS" w:cs="Times New Roman"/>
          <w:b/>
          <w:szCs w:val="24"/>
          <w:lang w:eastAsia="de-DE"/>
        </w:rPr>
        <w:t>which aims</w:t>
      </w:r>
      <w:r w:rsidRPr="00497F73">
        <w:rPr>
          <w:rFonts w:cs="Times New Roman"/>
          <w:szCs w:val="24"/>
          <w:shd w:val="clear" w:color="auto" w:fill="FFFFFF"/>
        </w:rPr>
        <w:t xml:space="preserve"> to establish a cross-border working group of border security agencies from Albania, Kosovo, North Macedonia, and Montenegro to combat corruption, illicit cross-border trafficking, transnational crime, and terrorism.</w:t>
      </w:r>
    </w:p>
    <w:p w14:paraId="785A98DD" w14:textId="77777777" w:rsidR="008349EE" w:rsidRPr="00497F73" w:rsidRDefault="008349EE" w:rsidP="00497F73">
      <w:pPr>
        <w:spacing w:before="120"/>
        <w:rPr>
          <w:rFonts w:cs="Times New Roman"/>
          <w:szCs w:val="24"/>
        </w:rPr>
      </w:pPr>
    </w:p>
    <w:p w14:paraId="04FDE6AD" w14:textId="77777777" w:rsidR="007C3E5D" w:rsidRPr="00497F73" w:rsidRDefault="00174E00" w:rsidP="00497F73">
      <w:pPr>
        <w:pStyle w:val="Heading1"/>
        <w:numPr>
          <w:ilvl w:val="1"/>
          <w:numId w:val="1"/>
        </w:numPr>
        <w:spacing w:before="120" w:after="0"/>
        <w:rPr>
          <w:szCs w:val="24"/>
          <w:lang w:val="en-IE"/>
        </w:rPr>
      </w:pPr>
      <w:bookmarkStart w:id="113" w:name="_Toc69384691"/>
      <w:bookmarkStart w:id="114" w:name="_Toc69384822"/>
      <w:bookmarkStart w:id="115" w:name="_Toc69384951"/>
      <w:bookmarkStart w:id="116" w:name="_Toc69385079"/>
      <w:bookmarkStart w:id="117" w:name="_Toc69460827"/>
      <w:bookmarkStart w:id="118" w:name="_Toc69460954"/>
      <w:bookmarkStart w:id="119" w:name="_Toc73090738"/>
      <w:bookmarkStart w:id="120" w:name="_Toc47101945"/>
      <w:bookmarkStart w:id="121" w:name="_Toc51270440"/>
      <w:bookmarkStart w:id="122" w:name="_Ref58358106"/>
      <w:bookmarkEnd w:id="113"/>
      <w:bookmarkEnd w:id="114"/>
      <w:bookmarkEnd w:id="115"/>
      <w:bookmarkEnd w:id="116"/>
      <w:bookmarkEnd w:id="117"/>
      <w:bookmarkEnd w:id="118"/>
      <w:r w:rsidRPr="00497F73">
        <w:rPr>
          <w:szCs w:val="24"/>
          <w:lang w:val="en-IE"/>
        </w:rPr>
        <w:t>Problem A</w:t>
      </w:r>
      <w:r w:rsidR="00FD7FCD" w:rsidRPr="00497F73">
        <w:rPr>
          <w:szCs w:val="24"/>
          <w:lang w:val="en-IE"/>
        </w:rPr>
        <w:t>nalysis</w:t>
      </w:r>
      <w:bookmarkEnd w:id="119"/>
      <w:r w:rsidR="00FD7FCD" w:rsidRPr="00497F73">
        <w:rPr>
          <w:szCs w:val="24"/>
          <w:lang w:val="en-IE"/>
        </w:rPr>
        <w:t xml:space="preserve"> </w:t>
      </w:r>
      <w:bookmarkStart w:id="123" w:name="_Toc47101946"/>
      <w:bookmarkStart w:id="124" w:name="_Toc51270441"/>
      <w:bookmarkEnd w:id="120"/>
      <w:bookmarkEnd w:id="121"/>
      <w:bookmarkEnd w:id="122"/>
      <w:bookmarkEnd w:id="123"/>
      <w:bookmarkEnd w:id="124"/>
    </w:p>
    <w:p w14:paraId="5B2934D3" w14:textId="77777777" w:rsidR="00B723A4" w:rsidRPr="00497F73" w:rsidRDefault="00B723A4" w:rsidP="00497F73">
      <w:pPr>
        <w:spacing w:before="120"/>
        <w:ind w:left="360"/>
        <w:rPr>
          <w:rFonts w:cs="Times New Roman"/>
          <w:szCs w:val="24"/>
          <w:u w:val="single"/>
          <w:lang w:val="en-IE"/>
        </w:rPr>
      </w:pPr>
      <w:r w:rsidRPr="00497F73">
        <w:rPr>
          <w:rFonts w:cs="Times New Roman"/>
          <w:szCs w:val="24"/>
          <w:u w:val="single"/>
          <w:lang w:val="en-IE"/>
        </w:rPr>
        <w:t xml:space="preserve">Short problem analysis </w:t>
      </w:r>
    </w:p>
    <w:p w14:paraId="38087411" w14:textId="77777777" w:rsidR="00106C9D" w:rsidRPr="00497F73" w:rsidRDefault="00106C9D" w:rsidP="00497F73">
      <w:pPr>
        <w:spacing w:before="120"/>
        <w:ind w:left="360"/>
        <w:rPr>
          <w:rFonts w:cs="Times New Roman"/>
          <w:b/>
          <w:bCs/>
          <w:szCs w:val="24"/>
          <w:lang w:val="en-IE"/>
        </w:rPr>
      </w:pPr>
      <w:r w:rsidRPr="00497F73">
        <w:rPr>
          <w:rFonts w:cs="Times New Roman"/>
          <w:b/>
          <w:bCs/>
          <w:i/>
          <w:iCs/>
          <w:szCs w:val="24"/>
          <w:u w:val="single"/>
          <w:lang w:val="en-IE"/>
        </w:rPr>
        <w:t>Cybersecurity</w:t>
      </w:r>
    </w:p>
    <w:p w14:paraId="7E4A8D11" w14:textId="6C01A16B" w:rsidR="00106C9D" w:rsidRPr="00497F73" w:rsidRDefault="00497C0B" w:rsidP="00497F73">
      <w:pPr>
        <w:spacing w:before="120"/>
        <w:ind w:left="360"/>
        <w:rPr>
          <w:rFonts w:cs="Times New Roman"/>
          <w:szCs w:val="24"/>
          <w:lang w:val="en-IE"/>
        </w:rPr>
      </w:pPr>
      <w:r w:rsidRPr="00497F73">
        <w:rPr>
          <w:rFonts w:cs="Times New Roman"/>
          <w:szCs w:val="24"/>
          <w:lang w:val="en-IE"/>
        </w:rPr>
        <w:t>Information and communication technologies (ICT) in North Macedonia have continuously increased in recent years. At the same time, this expansion is a primary driver of globalisation and contributes significantly to the development of the economy, living standards and the well-being of society. However, the increasing dependence on services provided in cyberspace means dysfunctional ICT systems and severe cyber-attacks can significantly negatively impact the functioning of the public and private sectors and society. Dependence on new technologies and the need for greater availability of services in cyberspace is a reason for users and institutions to increase awareness of the importance of data integrity, authenticity and confidentiality</w:t>
      </w:r>
      <w:r w:rsidR="00106C9D" w:rsidRPr="00497F73">
        <w:rPr>
          <w:rFonts w:cs="Times New Roman"/>
          <w:szCs w:val="24"/>
          <w:lang w:val="en-IE"/>
        </w:rPr>
        <w:t xml:space="preserve">. Macedonian communication networks are part of the global communication networks, which means that cyber security incidents elsewhere can affect North Macedonian cyberspace and services, and </w:t>
      </w:r>
      <w:r w:rsidR="00106C9D" w:rsidRPr="00497F73">
        <w:rPr>
          <w:rFonts w:cs="Times New Roman"/>
          <w:i/>
          <w:iCs/>
          <w:szCs w:val="24"/>
          <w:lang w:val="en-IE"/>
        </w:rPr>
        <w:t>vice versa</w:t>
      </w:r>
      <w:r w:rsidR="00106C9D" w:rsidRPr="00497F73">
        <w:rPr>
          <w:rFonts w:cs="Times New Roman"/>
          <w:szCs w:val="24"/>
          <w:lang w:val="en-IE"/>
        </w:rPr>
        <w:t>.</w:t>
      </w:r>
    </w:p>
    <w:p w14:paraId="216AABBF" w14:textId="0BC6C06D" w:rsidR="00106C9D" w:rsidRPr="00497F73" w:rsidRDefault="00106C9D" w:rsidP="00497F73">
      <w:pPr>
        <w:spacing w:before="120"/>
        <w:ind w:left="360"/>
        <w:rPr>
          <w:rFonts w:cs="Times New Roman"/>
          <w:szCs w:val="24"/>
          <w:lang w:val="en-IE"/>
        </w:rPr>
      </w:pPr>
      <w:r w:rsidRPr="00497F73">
        <w:rPr>
          <w:rFonts w:cs="Times New Roman"/>
          <w:szCs w:val="24"/>
          <w:lang w:val="en-IE"/>
        </w:rPr>
        <w:t xml:space="preserve">Global connectivity can provide complete anonymity, increasing malicious users' ability to access, steal and misuse sensitive information. Globalisation and anonymity enable malicious users to carry out easier attacks on pre-defined victims and much more extensive operations and attacks on a much larger scale. Strengthening national capacities for dealing with cyber threats and improving cyber security at the national level are </w:t>
      </w:r>
      <w:r w:rsidR="00497C0B" w:rsidRPr="00497F73">
        <w:rPr>
          <w:rFonts w:cs="Times New Roman"/>
          <w:szCs w:val="24"/>
          <w:lang w:val="en-IE"/>
        </w:rPr>
        <w:t>important</w:t>
      </w:r>
      <w:r w:rsidRPr="00497F73">
        <w:rPr>
          <w:rFonts w:cs="Times New Roman"/>
          <w:szCs w:val="24"/>
          <w:lang w:val="en-IE"/>
        </w:rPr>
        <w:t xml:space="preserve"> for North Macedonia.</w:t>
      </w:r>
    </w:p>
    <w:p w14:paraId="3135F099" w14:textId="77777777" w:rsidR="00106C9D" w:rsidRPr="00497F73" w:rsidRDefault="00106C9D" w:rsidP="00497F73">
      <w:pPr>
        <w:spacing w:before="120"/>
        <w:ind w:left="360"/>
        <w:rPr>
          <w:rFonts w:cs="Times New Roman"/>
          <w:szCs w:val="24"/>
          <w:lang w:val="en-IE"/>
        </w:rPr>
      </w:pPr>
      <w:r w:rsidRPr="00497F73">
        <w:rPr>
          <w:rFonts w:cs="Times New Roman"/>
          <w:szCs w:val="24"/>
          <w:lang w:val="en-IE"/>
        </w:rPr>
        <w:t>Cybercrime can appear as abuse and scams on the Internet and attacks on more sophisticated and complex systems. In this way, cybercrime can be motivated by different causes and carried out by various agents. Given the wide range of cybercrimes and the scope of the institutions and organisations in charge of the management and handling of cybercrime, this objective requires establishing a detailed and specialised national plan for the management of cybercrime, including crime enabled in cyberspace. This plan should define the cybercrime problem and the challenges it creates. It requires defining prevention activities and ensuring vital functions for society. The most efficient way of prevention is to provide proper instructions and solutions so that cyber hygiene can become an integral part of the culture and mentality of Macedonian society. Inter-agency and multi-disciplinary approaches are essential to address cybercrime efficiently.</w:t>
      </w:r>
    </w:p>
    <w:p w14:paraId="4D019277" w14:textId="66F10186" w:rsidR="00106C9D" w:rsidRPr="00497F73" w:rsidRDefault="00106C9D" w:rsidP="00497F73">
      <w:pPr>
        <w:spacing w:before="120"/>
        <w:ind w:left="360"/>
        <w:rPr>
          <w:rFonts w:cs="Times New Roman"/>
          <w:szCs w:val="24"/>
          <w:lang w:val="en-IE"/>
        </w:rPr>
      </w:pPr>
      <w:r w:rsidRPr="00497F73">
        <w:rPr>
          <w:rFonts w:cs="Times New Roman"/>
          <w:szCs w:val="24"/>
          <w:lang w:val="en-IE"/>
        </w:rPr>
        <w:t xml:space="preserve">The public and private sectors need to employ timely and accurate information and suggestions for cyber security and also to be able to cooperate in case of cyber incidents. In this manner, it is necessary to identify all relevant capacities for cyber security across all relevant stakeholders and define specific </w:t>
      </w:r>
      <w:r w:rsidR="009C4AE0" w:rsidRPr="00497F73">
        <w:rPr>
          <w:rFonts w:cs="Times New Roman"/>
          <w:szCs w:val="24"/>
          <w:lang w:val="en-IE"/>
        </w:rPr>
        <w:t>jurisdictions</w:t>
      </w:r>
      <w:r w:rsidRPr="00497F73">
        <w:rPr>
          <w:rFonts w:cs="Times New Roman"/>
          <w:szCs w:val="24"/>
          <w:lang w:val="en-IE"/>
        </w:rPr>
        <w:t xml:space="preserve"> and activities to improve cyber safety and manage cyber incidents. The end goal is to secure the protection of an integral part of the infrastructure in the country and for relevant institutions to use adequate solutions in defending the state interests, thereby demonstrating readiness for severe, complex cyber threats.</w:t>
      </w:r>
    </w:p>
    <w:p w14:paraId="110F2F63" w14:textId="346BD601" w:rsidR="00106C9D" w:rsidRPr="00497F73" w:rsidRDefault="00106C9D" w:rsidP="00497F73">
      <w:pPr>
        <w:spacing w:before="120"/>
        <w:ind w:left="360"/>
        <w:rPr>
          <w:rFonts w:cs="Times New Roman"/>
          <w:szCs w:val="24"/>
          <w:lang w:val="en-IE"/>
        </w:rPr>
      </w:pPr>
      <w:r w:rsidRPr="00497F73">
        <w:rPr>
          <w:rFonts w:cs="Times New Roman"/>
          <w:szCs w:val="24"/>
          <w:lang w:val="en-IE"/>
        </w:rPr>
        <w:lastRenderedPageBreak/>
        <w:t xml:space="preserve">The present Action will strengthen the capacities of law enforcement agencies to counter cybercrime and </w:t>
      </w:r>
      <w:r w:rsidR="009C4AE0" w:rsidRPr="00497F73">
        <w:rPr>
          <w:rFonts w:cs="Times New Roman"/>
          <w:szCs w:val="24"/>
          <w:lang w:val="en-IE"/>
        </w:rPr>
        <w:t>improve</w:t>
      </w:r>
      <w:r w:rsidRPr="00497F73">
        <w:rPr>
          <w:rFonts w:cs="Times New Roman"/>
          <w:szCs w:val="24"/>
          <w:lang w:val="en-IE"/>
        </w:rPr>
        <w:t xml:space="preserve"> national cybersecurity.</w:t>
      </w:r>
    </w:p>
    <w:p w14:paraId="71BA4C83" w14:textId="77777777" w:rsidR="00B723A4" w:rsidRPr="00497F73" w:rsidRDefault="00B723A4" w:rsidP="00497F73">
      <w:pPr>
        <w:spacing w:before="120"/>
        <w:ind w:left="360"/>
        <w:rPr>
          <w:rFonts w:cs="Times New Roman"/>
          <w:szCs w:val="24"/>
          <w:lang w:val="en-IE"/>
        </w:rPr>
      </w:pPr>
    </w:p>
    <w:p w14:paraId="15F28DF9" w14:textId="77777777" w:rsidR="00106C9D" w:rsidRPr="00497F73" w:rsidRDefault="00106C9D" w:rsidP="00497F73">
      <w:pPr>
        <w:spacing w:before="120"/>
        <w:ind w:left="360"/>
        <w:rPr>
          <w:rFonts w:cs="Times New Roman"/>
          <w:b/>
          <w:bCs/>
          <w:i/>
          <w:iCs/>
          <w:szCs w:val="24"/>
          <w:u w:val="single"/>
          <w:lang w:val="en-IE"/>
        </w:rPr>
      </w:pPr>
      <w:r w:rsidRPr="00497F73">
        <w:rPr>
          <w:rFonts w:cs="Times New Roman"/>
          <w:b/>
          <w:bCs/>
          <w:i/>
          <w:iCs/>
          <w:szCs w:val="24"/>
          <w:u w:val="single"/>
          <w:lang w:val="en-IE"/>
        </w:rPr>
        <w:t>Crime and terrorism</w:t>
      </w:r>
    </w:p>
    <w:p w14:paraId="6893F74A" w14:textId="6EF10A15" w:rsidR="00106C9D" w:rsidRPr="00497F73" w:rsidRDefault="00106C9D" w:rsidP="00497F73">
      <w:pPr>
        <w:spacing w:before="120"/>
        <w:ind w:left="360"/>
        <w:rPr>
          <w:rFonts w:cs="Times New Roman"/>
          <w:szCs w:val="24"/>
          <w:lang w:val="en-IE"/>
        </w:rPr>
      </w:pPr>
      <w:r w:rsidRPr="00497F73">
        <w:rPr>
          <w:rFonts w:cs="Times New Roman"/>
          <w:szCs w:val="24"/>
          <w:lang w:val="en-IE"/>
        </w:rPr>
        <w:t xml:space="preserve">North Macedonia is investing significant efforts and resources in fighting organised crime, which threatens the security of the people, economic development, the rule of law and democracy. Both in the field of organised crime and the fight against terrorism, the country has experienced improvements in the track record of investigations, prosecutions and convictions and the exchange of information with the relevant institutions, including Europol. Likewise, local mechanisms for preventing and countering violent extremism are in place. However, despite these </w:t>
      </w:r>
      <w:r w:rsidR="009C4AE0" w:rsidRPr="00497F73">
        <w:rPr>
          <w:rFonts w:cs="Times New Roman"/>
          <w:szCs w:val="24"/>
          <w:lang w:val="en-IE"/>
        </w:rPr>
        <w:t>apparent</w:t>
      </w:r>
      <w:r w:rsidRPr="00497F73">
        <w:rPr>
          <w:rFonts w:cs="Times New Roman"/>
          <w:szCs w:val="24"/>
          <w:lang w:val="en-IE"/>
        </w:rPr>
        <w:t xml:space="preserve"> improvements, police action and its investigative techniques need continuous updating. </w:t>
      </w:r>
    </w:p>
    <w:p w14:paraId="24B1D67B" w14:textId="77777777" w:rsidR="00106C9D" w:rsidRPr="00497F73" w:rsidRDefault="00106C9D" w:rsidP="00497F73">
      <w:pPr>
        <w:spacing w:before="120"/>
        <w:ind w:left="360"/>
        <w:rPr>
          <w:rFonts w:cs="Times New Roman"/>
          <w:szCs w:val="24"/>
          <w:lang w:val="en-IE"/>
        </w:rPr>
      </w:pPr>
      <w:r w:rsidRPr="00497F73">
        <w:rPr>
          <w:rFonts w:cs="Times New Roman"/>
          <w:szCs w:val="24"/>
          <w:lang w:val="en-IE"/>
        </w:rPr>
        <w:t xml:space="preserve">As </w:t>
      </w:r>
      <w:r w:rsidRPr="00497F73">
        <w:rPr>
          <w:rFonts w:cs="Times New Roman"/>
          <w:i/>
          <w:iCs/>
          <w:szCs w:val="24"/>
          <w:lang w:val="en-IE"/>
        </w:rPr>
        <w:t>organised crime</w:t>
      </w:r>
      <w:r w:rsidRPr="00497F73">
        <w:rPr>
          <w:rFonts w:cs="Times New Roman"/>
          <w:szCs w:val="24"/>
          <w:lang w:val="en-IE"/>
        </w:rPr>
        <w:t xml:space="preserve"> is dynamic, flexible, increasingly internationally connected, and mostly invisible, often related to legal structures, fighting it requires a solid strategic vision, political consensus, regional cooperation, and considerable state investments. Furthermore, successfully organised crime investigations require more training and perseverance than investigations of conventional crimes. Interviews, informants, searches, surveillance and other special investigative techniques are needed to determine an enterprise's precise nature and scope so it may be defeated successfully. </w:t>
      </w:r>
    </w:p>
    <w:p w14:paraId="5E151CA0" w14:textId="77777777" w:rsidR="00106C9D" w:rsidRPr="00497F73" w:rsidRDefault="00106C9D" w:rsidP="00497F73">
      <w:pPr>
        <w:spacing w:before="120"/>
        <w:ind w:left="360"/>
        <w:rPr>
          <w:rFonts w:cs="Times New Roman"/>
          <w:szCs w:val="24"/>
          <w:lang w:val="en-IE"/>
        </w:rPr>
      </w:pPr>
      <w:r w:rsidRPr="00497F73">
        <w:rPr>
          <w:rFonts w:cs="Times New Roman"/>
          <w:szCs w:val="24"/>
          <w:lang w:val="en-IE"/>
        </w:rPr>
        <w:t>Conventional policing is primarily reactive, meaning that police action generally responds to crimes after they have been committed and reported. The successful investigation of organised crime requires proactive approaches, typically based on criminal intelligence analysis. Organised criminal groups have committed many crimes that are not reported to authorities, so searches through financial records and interviews with informants, citizens, and surveillance activities are often required to determine whether a crime has occurred. The two general features of the proactive approach include gathering intelligence, followed by a criminal investigation. Intelligence gathering evaluates information, followed by analysis to support informed decision-making. In some jurisdictions, it is up to the law enforcement agencies to carry out intelligence gathering and analysis; in others, there are trained analysts who perform intelligence analysis, often involving financial and business records, individual background checks, reports from police surveillance or use of other special investigative techniques, interviews with informants, and related information. The investigation determines whether the intelligence gathering and analysis results can be connected to the criminal conduct of groups or networks.</w:t>
      </w:r>
    </w:p>
    <w:p w14:paraId="4C19FF3D" w14:textId="77777777" w:rsidR="00106C9D" w:rsidRPr="00497F73" w:rsidRDefault="00106C9D" w:rsidP="00497F73">
      <w:pPr>
        <w:spacing w:before="120"/>
        <w:ind w:left="360"/>
        <w:rPr>
          <w:rFonts w:cs="Times New Roman"/>
          <w:szCs w:val="24"/>
          <w:lang w:val="en-IE"/>
        </w:rPr>
      </w:pPr>
      <w:r w:rsidRPr="00497F73">
        <w:rPr>
          <w:rFonts w:cs="Times New Roman"/>
          <w:szCs w:val="24"/>
          <w:lang w:val="en-IE"/>
        </w:rPr>
        <w:t>The Action will strengthen the capacities of police and other law enforcement agencies, with a focus on upgrading the human resource management and retention policy and further developing the investigations capacities, particularly hybrid and organised crime investigations skills, with pre-emptive, preventive, strategic and tactical approaches.</w:t>
      </w:r>
    </w:p>
    <w:p w14:paraId="6B55AD0B" w14:textId="4324682F" w:rsidR="00106C9D" w:rsidRPr="00497F73" w:rsidRDefault="00106C9D" w:rsidP="00497F73">
      <w:pPr>
        <w:spacing w:before="120"/>
        <w:ind w:left="360"/>
        <w:rPr>
          <w:rFonts w:cs="Times New Roman"/>
          <w:szCs w:val="24"/>
          <w:lang w:val="en-IE"/>
        </w:rPr>
      </w:pPr>
      <w:r w:rsidRPr="00497F73">
        <w:rPr>
          <w:rFonts w:cs="Times New Roman"/>
          <w:szCs w:val="24"/>
          <w:lang w:val="en-IE"/>
        </w:rPr>
        <w:t xml:space="preserve">The fight against </w:t>
      </w:r>
      <w:r w:rsidRPr="00497F73">
        <w:rPr>
          <w:rFonts w:cs="Times New Roman"/>
          <w:i/>
          <w:iCs/>
          <w:szCs w:val="24"/>
          <w:lang w:val="en-IE"/>
        </w:rPr>
        <w:t>terrorism</w:t>
      </w:r>
      <w:r w:rsidRPr="00497F73">
        <w:rPr>
          <w:rFonts w:cs="Times New Roman"/>
          <w:szCs w:val="24"/>
          <w:lang w:val="en-IE"/>
        </w:rPr>
        <w:t xml:space="preserve"> and radicalisation is another major threat to security and democracy. In the current context of globalisation, further progress </w:t>
      </w:r>
      <w:r w:rsidR="009C4AE0" w:rsidRPr="00497F73">
        <w:rPr>
          <w:rFonts w:cs="Times New Roman"/>
          <w:szCs w:val="24"/>
          <w:lang w:val="en-IE"/>
        </w:rPr>
        <w:t>can only be achieved in this thematic priority with</w:t>
      </w:r>
      <w:r w:rsidRPr="00497F73">
        <w:rPr>
          <w:rFonts w:cs="Times New Roman"/>
          <w:szCs w:val="24"/>
          <w:lang w:val="en-IE"/>
        </w:rPr>
        <w:t xml:space="preserve"> sustainable and well-developed regional/international cooperation. North Macedonia </w:t>
      </w:r>
      <w:r w:rsidR="009C4AE0" w:rsidRPr="00497F73">
        <w:rPr>
          <w:rFonts w:cs="Times New Roman"/>
          <w:szCs w:val="24"/>
          <w:lang w:val="en-IE"/>
        </w:rPr>
        <w:t>invests</w:t>
      </w:r>
      <w:r w:rsidRPr="00497F73">
        <w:rPr>
          <w:rFonts w:cs="Times New Roman"/>
          <w:szCs w:val="24"/>
          <w:lang w:val="en-IE"/>
        </w:rPr>
        <w:t xml:space="preserve"> in this vital effort to improve its capacities and coordination at the state and international levels through specific strategies and specialised bodies such as the National Committee for Countering Violent Extremism and Countering Terrorism.   </w:t>
      </w:r>
    </w:p>
    <w:p w14:paraId="5E003DDC" w14:textId="3A6A8DC7" w:rsidR="002C5B6E" w:rsidRDefault="00106C9D" w:rsidP="00497F73">
      <w:pPr>
        <w:spacing w:before="120"/>
        <w:ind w:left="360"/>
        <w:rPr>
          <w:rFonts w:cs="Times New Roman"/>
          <w:szCs w:val="24"/>
        </w:rPr>
      </w:pPr>
      <w:r w:rsidRPr="00497F73">
        <w:rPr>
          <w:rFonts w:cs="Times New Roman"/>
          <w:szCs w:val="24"/>
          <w:lang w:val="en-IE"/>
        </w:rPr>
        <w:t xml:space="preserve">The proposed Action will improve the capacities of law enforcement agencies to counter transnational organised crime and terrorism threats through enhancing </w:t>
      </w:r>
      <w:r w:rsidR="009C4AE0" w:rsidRPr="00497F73">
        <w:rPr>
          <w:rFonts w:cs="Times New Roman"/>
          <w:szCs w:val="24"/>
          <w:lang w:val="en-IE"/>
        </w:rPr>
        <w:t>abilities</w:t>
      </w:r>
      <w:r w:rsidRPr="00497F73">
        <w:rPr>
          <w:rFonts w:cs="Times New Roman"/>
          <w:szCs w:val="24"/>
          <w:lang w:val="en-IE"/>
        </w:rPr>
        <w:t xml:space="preserve"> and cooperation in anti-terrorisms, implementation of national counter-terrorism and counter hybrid threat exercises to assess the functionality, proactiveness and efficiency of the National Counter Terrorism Action Team to coordinate all the institutional agencies and non-governmental bodies in tackling national and transnational terrorism threats and addressing the issue of violent extremism and radicalisation in prisons, (also involving reintegration and resocialisation of former prisoners).</w:t>
      </w:r>
      <w:r w:rsidR="002C5B6E" w:rsidRPr="00497F73">
        <w:rPr>
          <w:rFonts w:cs="Times New Roman"/>
          <w:szCs w:val="24"/>
        </w:rPr>
        <w:t xml:space="preserve"> </w:t>
      </w:r>
      <w:r w:rsidR="00734D77" w:rsidRPr="00497F73">
        <w:rPr>
          <w:rFonts w:cs="Times New Roman"/>
          <w:szCs w:val="24"/>
        </w:rPr>
        <w:t xml:space="preserve"> </w:t>
      </w:r>
    </w:p>
    <w:p w14:paraId="24CDE62F" w14:textId="7BC32E13" w:rsidR="002F152E" w:rsidRDefault="002F152E" w:rsidP="00497F73">
      <w:pPr>
        <w:spacing w:before="120"/>
        <w:ind w:left="360"/>
        <w:rPr>
          <w:rFonts w:cs="Times New Roman"/>
          <w:szCs w:val="24"/>
        </w:rPr>
      </w:pPr>
    </w:p>
    <w:p w14:paraId="13163541" w14:textId="0940CC36" w:rsidR="00B723A4" w:rsidRPr="00497F73" w:rsidRDefault="00C265A2" w:rsidP="00497F73">
      <w:pPr>
        <w:spacing w:before="120"/>
        <w:ind w:left="360"/>
        <w:rPr>
          <w:rFonts w:cs="Times New Roman"/>
          <w:szCs w:val="24"/>
          <w:u w:val="single"/>
          <w:lang w:val="en-IE"/>
        </w:rPr>
      </w:pPr>
      <w:r w:rsidRPr="00497F73">
        <w:rPr>
          <w:rFonts w:cs="Times New Roman"/>
          <w:szCs w:val="24"/>
          <w:u w:val="single"/>
          <w:lang w:val="en-IE"/>
        </w:rPr>
        <w:t>Main stakeholders</w:t>
      </w:r>
    </w:p>
    <w:p w14:paraId="4A9C18C8" w14:textId="66902C8A" w:rsidR="00106C9D" w:rsidRPr="00497F73" w:rsidRDefault="00106C9D">
      <w:pPr>
        <w:pStyle w:val="ListParagraph"/>
        <w:numPr>
          <w:ilvl w:val="0"/>
          <w:numId w:val="14"/>
        </w:numPr>
        <w:spacing w:before="120"/>
        <w:ind w:left="1080"/>
        <w:contextualSpacing w:val="0"/>
        <w:rPr>
          <w:rFonts w:cs="Times New Roman"/>
          <w:b/>
          <w:bCs/>
          <w:szCs w:val="24"/>
          <w:lang w:val="en-IE"/>
        </w:rPr>
      </w:pPr>
      <w:r w:rsidRPr="00497F73">
        <w:rPr>
          <w:rFonts w:cs="Times New Roman"/>
          <w:szCs w:val="24"/>
          <w:lang w:val="en-IE"/>
        </w:rPr>
        <w:t>The</w:t>
      </w:r>
      <w:r w:rsidRPr="00497F73">
        <w:rPr>
          <w:rFonts w:cs="Times New Roman"/>
          <w:b/>
          <w:bCs/>
          <w:szCs w:val="24"/>
          <w:lang w:val="en-IE"/>
        </w:rPr>
        <w:t xml:space="preserve"> Ministry of Defence</w:t>
      </w:r>
      <w:r w:rsidRPr="00497F73">
        <w:rPr>
          <w:rFonts w:cs="Times New Roman"/>
          <w:szCs w:val="24"/>
          <w:lang w:val="en-IE"/>
        </w:rPr>
        <w:t xml:space="preserve"> </w:t>
      </w:r>
      <w:r w:rsidR="00DE0996">
        <w:rPr>
          <w:rFonts w:cs="Times New Roman"/>
          <w:szCs w:val="24"/>
          <w:lang w:val="en-IE"/>
        </w:rPr>
        <w:t xml:space="preserve">(MD) </w:t>
      </w:r>
      <w:r w:rsidRPr="00497F73">
        <w:rPr>
          <w:rFonts w:cs="Times New Roman"/>
          <w:szCs w:val="24"/>
          <w:lang w:val="en-IE"/>
        </w:rPr>
        <w:t>is</w:t>
      </w:r>
      <w:r w:rsidRPr="00497F73">
        <w:rPr>
          <w:rFonts w:cs="Times New Roman"/>
          <w:b/>
          <w:bCs/>
          <w:szCs w:val="24"/>
          <w:lang w:val="en-IE"/>
        </w:rPr>
        <w:t xml:space="preserve"> </w:t>
      </w:r>
      <w:r w:rsidRPr="00497F73">
        <w:rPr>
          <w:rFonts w:cs="Times New Roman"/>
          <w:szCs w:val="24"/>
          <w:lang w:val="en-IE"/>
        </w:rPr>
        <w:t xml:space="preserve">responsible </w:t>
      </w:r>
      <w:r w:rsidR="00C83A3A" w:rsidRPr="00497F73">
        <w:rPr>
          <w:rFonts w:cs="Times New Roman"/>
          <w:szCs w:val="24"/>
          <w:lang w:val="en-IE"/>
        </w:rPr>
        <w:t>for</w:t>
      </w:r>
      <w:r w:rsidRPr="00497F73">
        <w:rPr>
          <w:rFonts w:cs="Times New Roman"/>
          <w:szCs w:val="24"/>
          <w:lang w:val="en-IE"/>
        </w:rPr>
        <w:t xml:space="preserve"> </w:t>
      </w:r>
      <w:r w:rsidR="00C83A3A" w:rsidRPr="00497F73">
        <w:rPr>
          <w:rFonts w:cs="Times New Roman"/>
          <w:szCs w:val="24"/>
          <w:lang w:val="en-IE"/>
        </w:rPr>
        <w:t>implementing</w:t>
      </w:r>
      <w:r w:rsidRPr="00497F73">
        <w:rPr>
          <w:rFonts w:cs="Times New Roman"/>
          <w:szCs w:val="24"/>
          <w:lang w:val="en-IE"/>
        </w:rPr>
        <w:t xml:space="preserve"> the Cyber Defence Strategy</w:t>
      </w:r>
      <w:r w:rsidRPr="00497F73">
        <w:rPr>
          <w:rFonts w:cs="Times New Roman"/>
          <w:b/>
          <w:bCs/>
          <w:szCs w:val="24"/>
          <w:lang w:val="en-IE"/>
        </w:rPr>
        <w:t xml:space="preserve"> </w:t>
      </w:r>
      <w:r w:rsidRPr="00497F73">
        <w:rPr>
          <w:rFonts w:cs="Times New Roman"/>
          <w:szCs w:val="24"/>
          <w:lang w:val="en-IE"/>
        </w:rPr>
        <w:t>that differs from cybersecurity mainly in the nature and severity of cyber-attacks, with no opportunity to define precise criteria.</w:t>
      </w:r>
    </w:p>
    <w:p w14:paraId="0FB39537" w14:textId="37A29F70" w:rsidR="00106C9D" w:rsidRPr="00497F73" w:rsidRDefault="00106C9D">
      <w:pPr>
        <w:pStyle w:val="ListParagraph"/>
        <w:numPr>
          <w:ilvl w:val="0"/>
          <w:numId w:val="14"/>
        </w:numPr>
        <w:spacing w:before="120"/>
        <w:ind w:left="1080"/>
        <w:contextualSpacing w:val="0"/>
        <w:rPr>
          <w:rFonts w:cs="Times New Roman"/>
          <w:b/>
          <w:bCs/>
          <w:szCs w:val="24"/>
          <w:lang w:val="en-IE"/>
        </w:rPr>
      </w:pPr>
      <w:r w:rsidRPr="00497F73">
        <w:rPr>
          <w:rFonts w:cs="Times New Roman"/>
          <w:szCs w:val="24"/>
          <w:lang w:val="en-IE"/>
        </w:rPr>
        <w:t>The</w:t>
      </w:r>
      <w:r w:rsidRPr="00497F73">
        <w:rPr>
          <w:rFonts w:cs="Times New Roman"/>
          <w:b/>
          <w:bCs/>
          <w:szCs w:val="24"/>
          <w:lang w:val="en-IE"/>
        </w:rPr>
        <w:t xml:space="preserve"> Ministry of Interior (MoI) </w:t>
      </w:r>
      <w:r w:rsidRPr="00497F73">
        <w:rPr>
          <w:rFonts w:cs="Times New Roman"/>
          <w:szCs w:val="24"/>
          <w:lang w:val="en-IE"/>
        </w:rPr>
        <w:t xml:space="preserve">is the </w:t>
      </w:r>
      <w:r w:rsidR="009C4AE0" w:rsidRPr="00497F73">
        <w:rPr>
          <w:rFonts w:cs="Times New Roman"/>
          <w:szCs w:val="24"/>
          <w:lang w:val="en-IE"/>
        </w:rPr>
        <w:t>leading</w:t>
      </w:r>
      <w:r w:rsidRPr="00497F73">
        <w:rPr>
          <w:rFonts w:cs="Times New Roman"/>
          <w:szCs w:val="24"/>
          <w:lang w:val="en-IE"/>
        </w:rPr>
        <w:t xml:space="preserve"> </w:t>
      </w:r>
      <w:r w:rsidR="009C43AF" w:rsidRPr="00497F73">
        <w:rPr>
          <w:rFonts w:cs="Times New Roman"/>
          <w:szCs w:val="24"/>
          <w:lang w:val="en-IE"/>
        </w:rPr>
        <w:t>policymaker</w:t>
      </w:r>
      <w:r w:rsidRPr="00497F73">
        <w:rPr>
          <w:rFonts w:cs="Times New Roman"/>
          <w:szCs w:val="24"/>
          <w:lang w:val="en-IE"/>
        </w:rPr>
        <w:t xml:space="preserve"> in the home affairs sector, also responsible </w:t>
      </w:r>
      <w:r w:rsidR="00C83A3A" w:rsidRPr="00497F73">
        <w:rPr>
          <w:rFonts w:cs="Times New Roman"/>
          <w:szCs w:val="24"/>
          <w:lang w:val="en-IE"/>
        </w:rPr>
        <w:t xml:space="preserve">for coordinating and supervising the implementation and reporting of the sector reforms. Overall, the MoI plays a crucial role in ensuring the safety and security of citizens. Its </w:t>
      </w:r>
      <w:r w:rsidR="009C43AF" w:rsidRPr="00497F73">
        <w:rPr>
          <w:rFonts w:cs="Times New Roman"/>
          <w:szCs w:val="24"/>
          <w:lang w:val="en-IE"/>
        </w:rPr>
        <w:t>diverse competencies</w:t>
      </w:r>
      <w:r w:rsidR="00C83A3A" w:rsidRPr="00497F73">
        <w:rPr>
          <w:rFonts w:cs="Times New Roman"/>
          <w:szCs w:val="24"/>
          <w:lang w:val="en-IE"/>
        </w:rPr>
        <w:t xml:space="preserve"> cover a wide range of public safety and security areas.</w:t>
      </w:r>
    </w:p>
    <w:p w14:paraId="246F226C" w14:textId="3AA883FB" w:rsidR="00106C9D" w:rsidRPr="00497F73" w:rsidRDefault="00106C9D">
      <w:pPr>
        <w:pStyle w:val="ListParagraph"/>
        <w:numPr>
          <w:ilvl w:val="0"/>
          <w:numId w:val="14"/>
        </w:numPr>
        <w:spacing w:before="120"/>
        <w:ind w:left="1080"/>
        <w:contextualSpacing w:val="0"/>
        <w:rPr>
          <w:rFonts w:cs="Times New Roman"/>
          <w:b/>
          <w:bCs/>
          <w:szCs w:val="24"/>
          <w:lang w:val="en-IE"/>
        </w:rPr>
      </w:pPr>
      <w:r w:rsidRPr="00497F73">
        <w:rPr>
          <w:rFonts w:cs="Times New Roman"/>
          <w:szCs w:val="24"/>
          <w:lang w:val="en-IE"/>
        </w:rPr>
        <w:t>The</w:t>
      </w:r>
      <w:r w:rsidRPr="00497F73">
        <w:rPr>
          <w:rFonts w:cs="Times New Roman"/>
          <w:b/>
          <w:bCs/>
          <w:szCs w:val="24"/>
          <w:lang w:val="en-IE"/>
        </w:rPr>
        <w:t xml:space="preserve"> Cybercrime and Digital Forensic Sector of the Ministry of Interior.</w:t>
      </w:r>
      <w:r w:rsidRPr="00497F73">
        <w:rPr>
          <w:rFonts w:cs="Times New Roman"/>
          <w:szCs w:val="24"/>
          <w:lang w:val="en-IE"/>
        </w:rPr>
        <w:t xml:space="preserve"> This Unit investigates with the support of the CIRT. This Unit resulted from </w:t>
      </w:r>
      <w:r w:rsidR="00C83A3A" w:rsidRPr="00497F73">
        <w:rPr>
          <w:rFonts w:cs="Times New Roman"/>
          <w:szCs w:val="24"/>
          <w:lang w:val="en-IE"/>
        </w:rPr>
        <w:t xml:space="preserve">merging </w:t>
      </w:r>
      <w:r w:rsidRPr="00497F73">
        <w:rPr>
          <w:rFonts w:cs="Times New Roman"/>
          <w:szCs w:val="24"/>
          <w:lang w:val="en-IE"/>
        </w:rPr>
        <w:t xml:space="preserve">the Cybercrime Unit within the Department for Suppression of Organised and Serious Crime with the Forensic Department of the Ministry of Interior, </w:t>
      </w:r>
      <w:r w:rsidR="00C83A3A" w:rsidRPr="00497F73">
        <w:rPr>
          <w:rFonts w:cs="Times New Roman"/>
          <w:szCs w:val="24"/>
          <w:lang w:val="en-IE"/>
        </w:rPr>
        <w:t>intending to improve</w:t>
      </w:r>
      <w:r w:rsidRPr="00497F73">
        <w:rPr>
          <w:rFonts w:cs="Times New Roman"/>
          <w:szCs w:val="24"/>
          <w:lang w:val="en-IE"/>
        </w:rPr>
        <w:t xml:space="preserve"> efficiency and effectiveness.</w:t>
      </w:r>
    </w:p>
    <w:p w14:paraId="4908A4AE" w14:textId="2DFBCEE3" w:rsidR="00106C9D" w:rsidRPr="00497F73" w:rsidRDefault="00106C9D">
      <w:pPr>
        <w:pStyle w:val="ListParagraph"/>
        <w:numPr>
          <w:ilvl w:val="0"/>
          <w:numId w:val="14"/>
        </w:numPr>
        <w:spacing w:before="120"/>
        <w:ind w:left="1080"/>
        <w:contextualSpacing w:val="0"/>
        <w:rPr>
          <w:rFonts w:cs="Times New Roman"/>
          <w:b/>
          <w:bCs/>
          <w:szCs w:val="24"/>
          <w:lang w:val="en-IE"/>
        </w:rPr>
      </w:pPr>
      <w:r w:rsidRPr="00497F73">
        <w:rPr>
          <w:rFonts w:cs="Times New Roman"/>
          <w:szCs w:val="24"/>
          <w:lang w:val="en-IE"/>
        </w:rPr>
        <w:t>The</w:t>
      </w:r>
      <w:r w:rsidRPr="00497F73">
        <w:rPr>
          <w:rFonts w:cs="Times New Roman"/>
          <w:b/>
          <w:bCs/>
          <w:szCs w:val="24"/>
          <w:lang w:val="en-IE"/>
        </w:rPr>
        <w:t xml:space="preserve"> Ministry of Information Society and Administration (MISA) </w:t>
      </w:r>
      <w:r w:rsidRPr="00497F73">
        <w:rPr>
          <w:rFonts w:cs="Times New Roman"/>
          <w:szCs w:val="24"/>
          <w:lang w:val="en-IE"/>
        </w:rPr>
        <w:t xml:space="preserve">is the specialised government body for </w:t>
      </w:r>
      <w:r w:rsidR="00C83A3A" w:rsidRPr="00497F73">
        <w:rPr>
          <w:rFonts w:cs="Times New Roman"/>
          <w:szCs w:val="24"/>
          <w:lang w:val="en-IE"/>
        </w:rPr>
        <w:t>coordinating</w:t>
      </w:r>
      <w:r w:rsidRPr="00497F73">
        <w:rPr>
          <w:rFonts w:cs="Times New Roman"/>
          <w:szCs w:val="24"/>
          <w:lang w:val="en-IE"/>
        </w:rPr>
        <w:t xml:space="preserve"> the activities for </w:t>
      </w:r>
      <w:r w:rsidR="00C83A3A" w:rsidRPr="00497F73">
        <w:rPr>
          <w:rFonts w:cs="Times New Roman"/>
          <w:szCs w:val="24"/>
          <w:lang w:val="en-IE"/>
        </w:rPr>
        <w:t>developing</w:t>
      </w:r>
      <w:r w:rsidRPr="00497F73">
        <w:rPr>
          <w:rFonts w:cs="Times New Roman"/>
          <w:szCs w:val="24"/>
          <w:lang w:val="en-IE"/>
        </w:rPr>
        <w:t xml:space="preserve"> information society as listed mainly in the Strategic Plan of MISA and the Public Administration Reform Strategy and Action Plan 2018-2022.</w:t>
      </w:r>
    </w:p>
    <w:p w14:paraId="51BF7E1B" w14:textId="7E9FD811" w:rsidR="00106C9D" w:rsidRPr="00497F73" w:rsidRDefault="00106C9D">
      <w:pPr>
        <w:pStyle w:val="ListParagraph"/>
        <w:numPr>
          <w:ilvl w:val="0"/>
          <w:numId w:val="14"/>
        </w:numPr>
        <w:spacing w:before="120"/>
        <w:ind w:left="1080"/>
        <w:contextualSpacing w:val="0"/>
        <w:rPr>
          <w:rFonts w:cs="Times New Roman"/>
          <w:szCs w:val="24"/>
          <w:lang w:val="en-IE"/>
        </w:rPr>
      </w:pPr>
      <w:r w:rsidRPr="00497F73">
        <w:rPr>
          <w:rFonts w:cs="Times New Roman"/>
          <w:bCs/>
          <w:szCs w:val="24"/>
          <w:lang w:val="en-IE"/>
        </w:rPr>
        <w:t>The</w:t>
      </w:r>
      <w:r w:rsidRPr="00497F73">
        <w:rPr>
          <w:rFonts w:cs="Times New Roman"/>
          <w:b/>
          <w:szCs w:val="24"/>
          <w:lang w:val="en-IE"/>
        </w:rPr>
        <w:t xml:space="preserve"> National Cyber Security Council</w:t>
      </w:r>
      <w:r w:rsidRPr="00497F73">
        <w:rPr>
          <w:rFonts w:cs="Times New Roman"/>
          <w:bCs/>
          <w:szCs w:val="24"/>
          <w:lang w:val="en-IE"/>
        </w:rPr>
        <w:t xml:space="preserve"> was established in July 2020 by the National Computer Security Strategy 2018-2022. This Council comprises the ministries of defence, interior and information society and administration. Its main functions are the following: -monitoring and coordinating the implementation of the National Cyber Security Strategy; -identifying the challenges of managing cyber crises and suggesting adequate measures for greater efficiency; -developing programmes and </w:t>
      </w:r>
      <w:r w:rsidR="00C83A3A" w:rsidRPr="00497F73">
        <w:rPr>
          <w:rFonts w:cs="Times New Roman"/>
          <w:bCs/>
          <w:szCs w:val="24"/>
          <w:lang w:val="en-IE"/>
        </w:rPr>
        <w:t>action</w:t>
      </w:r>
      <w:r w:rsidRPr="00497F73">
        <w:rPr>
          <w:rFonts w:cs="Times New Roman"/>
          <w:bCs/>
          <w:szCs w:val="24"/>
          <w:lang w:val="en-IE"/>
        </w:rPr>
        <w:t xml:space="preserve"> plans for activities in the field of cyber security to be implemented by the Body with operation cyber security capacities</w:t>
      </w:r>
      <w:r w:rsidRPr="00497F73">
        <w:rPr>
          <w:rFonts w:cs="Times New Roman"/>
          <w:b/>
          <w:szCs w:val="24"/>
          <w:lang w:val="en-IE"/>
        </w:rPr>
        <w:t>.</w:t>
      </w:r>
    </w:p>
    <w:p w14:paraId="02B55BD8" w14:textId="77777777" w:rsidR="00106C9D" w:rsidRPr="00497F73" w:rsidRDefault="00106C9D">
      <w:pPr>
        <w:pStyle w:val="ListParagraph"/>
        <w:numPr>
          <w:ilvl w:val="0"/>
          <w:numId w:val="14"/>
        </w:numPr>
        <w:spacing w:before="120"/>
        <w:ind w:left="1080"/>
        <w:contextualSpacing w:val="0"/>
        <w:rPr>
          <w:rFonts w:cs="Times New Roman"/>
          <w:bCs/>
          <w:szCs w:val="24"/>
          <w:lang w:val="en-IE"/>
        </w:rPr>
      </w:pPr>
      <w:r w:rsidRPr="00497F73">
        <w:rPr>
          <w:rFonts w:cs="Times New Roman"/>
          <w:b/>
          <w:szCs w:val="24"/>
          <w:lang w:val="en-IE"/>
        </w:rPr>
        <w:t xml:space="preserve">The National Centre for Computer Incidents Response (MKD-CIRT). </w:t>
      </w:r>
      <w:r w:rsidRPr="00497F73">
        <w:rPr>
          <w:rFonts w:cs="Times New Roman"/>
          <w:bCs/>
          <w:szCs w:val="24"/>
          <w:lang w:val="en-IE"/>
        </w:rPr>
        <w:t xml:space="preserve">According to Article 26 of the </w:t>
      </w:r>
      <w:r w:rsidRPr="00497F73">
        <w:rPr>
          <w:rFonts w:cs="Times New Roman"/>
          <w:bCs/>
          <w:i/>
          <w:iCs/>
          <w:szCs w:val="24"/>
          <w:lang w:val="en-IE"/>
        </w:rPr>
        <w:t>Law on Electronic Communications</w:t>
      </w:r>
      <w:r w:rsidRPr="00497F73">
        <w:rPr>
          <w:rFonts w:cs="Times New Roman"/>
          <w:bCs/>
          <w:szCs w:val="24"/>
          <w:lang w:val="en-IE"/>
        </w:rPr>
        <w:t>, the National Centre (MKD-CIRT) is set up within the Agency for Electronic Communications as a separate organisational unit, as the official national point of contact and coordination in dealing with security incidents in networks and information systems, and that will identify and provide a response to security incidents and risks.</w:t>
      </w:r>
    </w:p>
    <w:p w14:paraId="14BAF4D1" w14:textId="3C374194" w:rsidR="00106C9D" w:rsidRPr="00497F73" w:rsidRDefault="00106C9D">
      <w:pPr>
        <w:pStyle w:val="ListParagraph"/>
        <w:numPr>
          <w:ilvl w:val="0"/>
          <w:numId w:val="14"/>
        </w:numPr>
        <w:spacing w:before="120"/>
        <w:ind w:left="1080"/>
        <w:contextualSpacing w:val="0"/>
        <w:rPr>
          <w:rFonts w:cs="Times New Roman"/>
          <w:bCs/>
          <w:szCs w:val="24"/>
          <w:lang w:val="en-IE"/>
        </w:rPr>
      </w:pPr>
      <w:r w:rsidRPr="00497F73">
        <w:rPr>
          <w:rFonts w:cs="Times New Roman"/>
          <w:bCs/>
          <w:szCs w:val="24"/>
          <w:lang w:val="en-IE"/>
        </w:rPr>
        <w:t xml:space="preserve">The </w:t>
      </w:r>
      <w:r w:rsidRPr="00497F73">
        <w:rPr>
          <w:rFonts w:cs="Times New Roman"/>
          <w:b/>
          <w:szCs w:val="24"/>
          <w:lang w:val="en-IE"/>
        </w:rPr>
        <w:t>Public Security Bureau (PSB)</w:t>
      </w:r>
      <w:r w:rsidRPr="00497F73">
        <w:rPr>
          <w:rFonts w:cs="Times New Roman"/>
          <w:bCs/>
          <w:szCs w:val="24"/>
          <w:lang w:val="en-IE"/>
        </w:rPr>
        <w:t xml:space="preserve"> within the MoI comprises a set of structures responsible for ensuring public order and security, including combating organised crime, financial crimes, trafficking in human beings, drugs, weapons, terrorism cases and criminal intelligence and analysis.</w:t>
      </w:r>
    </w:p>
    <w:p w14:paraId="5B721BDA" w14:textId="2347AFE4" w:rsidR="00106C9D" w:rsidRPr="002F152E" w:rsidRDefault="00106C9D">
      <w:pPr>
        <w:pStyle w:val="ListParagraph"/>
        <w:numPr>
          <w:ilvl w:val="0"/>
          <w:numId w:val="14"/>
        </w:numPr>
        <w:spacing w:before="120"/>
        <w:ind w:left="1080"/>
        <w:contextualSpacing w:val="0"/>
        <w:rPr>
          <w:rFonts w:eastAsia="Times New Roman" w:cs="Times New Roman"/>
          <w:szCs w:val="24"/>
          <w:lang w:eastAsia="es-ES_tradnl"/>
        </w:rPr>
      </w:pPr>
      <w:r w:rsidRPr="002F152E">
        <w:rPr>
          <w:rFonts w:eastAsia="Times New Roman" w:cs="Times New Roman"/>
          <w:szCs w:val="24"/>
          <w:lang w:eastAsia="es-ES_tradnl"/>
        </w:rPr>
        <w:t xml:space="preserve">Concerning the fight against organised crime, the institutional framework </w:t>
      </w:r>
      <w:r w:rsidR="009C4AE0" w:rsidRPr="002F152E">
        <w:rPr>
          <w:rFonts w:eastAsia="Times New Roman" w:cs="Times New Roman"/>
          <w:szCs w:val="24"/>
          <w:lang w:eastAsia="es-ES_tradnl"/>
        </w:rPr>
        <w:t>has been under optimisation since 2018, when a major functional reform was launched. Three</w:t>
      </w:r>
      <w:r w:rsidRPr="002F152E">
        <w:rPr>
          <w:rFonts w:eastAsia="Times New Roman" w:cs="Times New Roman"/>
          <w:szCs w:val="24"/>
          <w:lang w:eastAsia="es-ES_tradnl"/>
        </w:rPr>
        <w:t xml:space="preserve"> new bodies were established: </w:t>
      </w:r>
      <w:r w:rsidRPr="002F152E">
        <w:rPr>
          <w:rFonts w:eastAsia="Times New Roman" w:cs="Times New Roman"/>
          <w:b/>
          <w:bCs/>
          <w:szCs w:val="24"/>
          <w:lang w:eastAsia="es-ES_tradnl"/>
        </w:rPr>
        <w:t>National Security Agency, Intelligence Agency and Military Agency</w:t>
      </w:r>
      <w:r w:rsidRPr="002F152E">
        <w:rPr>
          <w:rFonts w:eastAsia="Times New Roman" w:cs="Times New Roman"/>
          <w:szCs w:val="24"/>
          <w:lang w:eastAsia="es-ES_tradnl"/>
        </w:rPr>
        <w:t>.</w:t>
      </w:r>
    </w:p>
    <w:p w14:paraId="6DFDD65E" w14:textId="1B455FB3" w:rsidR="00106C9D" w:rsidRPr="002F152E" w:rsidRDefault="00106C9D">
      <w:pPr>
        <w:pStyle w:val="ListParagraph"/>
        <w:numPr>
          <w:ilvl w:val="0"/>
          <w:numId w:val="14"/>
        </w:numPr>
        <w:spacing w:before="120"/>
        <w:ind w:left="1080"/>
        <w:contextualSpacing w:val="0"/>
        <w:rPr>
          <w:rFonts w:eastAsia="Times New Roman" w:cs="Times New Roman"/>
          <w:b/>
          <w:bCs/>
          <w:szCs w:val="24"/>
          <w:lang w:eastAsia="es-ES_tradnl"/>
        </w:rPr>
      </w:pPr>
      <w:r w:rsidRPr="002F152E">
        <w:rPr>
          <w:rFonts w:eastAsia="Times New Roman" w:cs="Times New Roman"/>
          <w:szCs w:val="24"/>
          <w:lang w:eastAsia="es-ES_tradnl"/>
        </w:rPr>
        <w:t xml:space="preserve"> An important vector of further development implies strengthening the national capacities for conducting financial and complex investigations and property confiscation. The PPO uses existing investigative capacities of the law enforcement agencies: </w:t>
      </w:r>
      <w:r w:rsidRPr="002F152E">
        <w:rPr>
          <w:rFonts w:eastAsia="Times New Roman" w:cs="Times New Roman"/>
          <w:b/>
          <w:bCs/>
          <w:szCs w:val="24"/>
          <w:lang w:eastAsia="es-ES_tradnl"/>
        </w:rPr>
        <w:t>Financial Police</w:t>
      </w:r>
      <w:r w:rsidR="009C4AE0" w:rsidRPr="002F152E">
        <w:rPr>
          <w:rFonts w:eastAsia="Times New Roman" w:cs="Times New Roman"/>
          <w:b/>
          <w:bCs/>
          <w:szCs w:val="24"/>
          <w:lang w:eastAsia="es-ES_tradnl"/>
        </w:rPr>
        <w:t>,</w:t>
      </w:r>
      <w:r w:rsidRPr="002F152E">
        <w:rPr>
          <w:rFonts w:eastAsia="Times New Roman" w:cs="Times New Roman"/>
          <w:b/>
          <w:bCs/>
          <w:szCs w:val="24"/>
          <w:lang w:eastAsia="es-ES_tradnl"/>
        </w:rPr>
        <w:t xml:space="preserve"> </w:t>
      </w:r>
      <w:r w:rsidR="00287E16" w:rsidRPr="002F152E">
        <w:rPr>
          <w:rFonts w:eastAsia="Times New Roman" w:cs="Times New Roman"/>
          <w:b/>
          <w:bCs/>
          <w:szCs w:val="24"/>
          <w:lang w:eastAsia="es-ES_tradnl"/>
        </w:rPr>
        <w:t xml:space="preserve">the </w:t>
      </w:r>
      <w:r w:rsidRPr="002F152E">
        <w:rPr>
          <w:rFonts w:eastAsia="Times New Roman" w:cs="Times New Roman"/>
          <w:b/>
          <w:bCs/>
          <w:szCs w:val="24"/>
          <w:lang w:eastAsia="es-ES_tradnl"/>
        </w:rPr>
        <w:t>Department for the Suppression of Organised and Serious Crime within MoI and Department for Criminal Police within MoI.</w:t>
      </w:r>
    </w:p>
    <w:p w14:paraId="64136E60" w14:textId="5231BC71" w:rsidR="00106C9D" w:rsidRPr="002F152E" w:rsidRDefault="00106C9D">
      <w:pPr>
        <w:pStyle w:val="ListParagraph"/>
        <w:numPr>
          <w:ilvl w:val="0"/>
          <w:numId w:val="14"/>
        </w:numPr>
        <w:spacing w:before="120"/>
        <w:ind w:left="1080"/>
        <w:contextualSpacing w:val="0"/>
        <w:rPr>
          <w:rFonts w:eastAsia="Times New Roman" w:cs="Times New Roman"/>
          <w:szCs w:val="24"/>
          <w:lang w:eastAsia="es-ES_tradnl"/>
        </w:rPr>
      </w:pPr>
      <w:r w:rsidRPr="002F152E">
        <w:rPr>
          <w:rFonts w:eastAsia="Times New Roman" w:cs="Times New Roman"/>
          <w:szCs w:val="24"/>
          <w:lang w:eastAsia="es-ES_tradnl"/>
        </w:rPr>
        <w:t xml:space="preserve">The </w:t>
      </w:r>
      <w:r w:rsidRPr="002F152E">
        <w:rPr>
          <w:rFonts w:eastAsia="Times New Roman" w:cs="Times New Roman"/>
          <w:b/>
          <w:bCs/>
          <w:szCs w:val="24"/>
          <w:lang w:eastAsia="es-ES_tradnl"/>
        </w:rPr>
        <w:t>Institute of Forensic Medicine, Criminalistics and Medical Deontology, Medical Faculty</w:t>
      </w:r>
      <w:r w:rsidRPr="002F152E">
        <w:rPr>
          <w:rFonts w:eastAsia="Times New Roman" w:cs="Times New Roman"/>
          <w:szCs w:val="24"/>
          <w:lang w:eastAsia="es-ES_tradnl"/>
        </w:rPr>
        <w:t xml:space="preserve">, within the University of St. Cyril and Methodius, is </w:t>
      </w:r>
      <w:r w:rsidR="009C4AE0" w:rsidRPr="002F152E">
        <w:rPr>
          <w:rFonts w:eastAsia="Times New Roman" w:cs="Times New Roman"/>
          <w:szCs w:val="24"/>
          <w:lang w:eastAsia="es-ES_tradnl"/>
        </w:rPr>
        <w:t>the</w:t>
      </w:r>
      <w:r w:rsidRPr="002F152E">
        <w:rPr>
          <w:rFonts w:eastAsia="Times New Roman" w:cs="Times New Roman"/>
          <w:szCs w:val="24"/>
          <w:lang w:eastAsia="es-ES_tradnl"/>
        </w:rPr>
        <w:t xml:space="preserve"> highest-ranking institution in forensic expertise in North Macedonia. As a leading authority in this area of expertise, it is constantly upgrading its capacity and knowledge in the field of forensic sciences. Besides the scientific activities of the Institute, the core role of the Institute are the </w:t>
      </w:r>
      <w:r w:rsidR="009C4AE0" w:rsidRPr="002F152E">
        <w:rPr>
          <w:rFonts w:eastAsia="Times New Roman" w:cs="Times New Roman"/>
          <w:szCs w:val="24"/>
          <w:lang w:eastAsia="es-ES_tradnl"/>
        </w:rPr>
        <w:t>forensic</w:t>
      </w:r>
      <w:r w:rsidRPr="002F152E">
        <w:rPr>
          <w:rFonts w:eastAsia="Times New Roman" w:cs="Times New Roman"/>
          <w:szCs w:val="24"/>
          <w:lang w:eastAsia="es-ES_tradnl"/>
        </w:rPr>
        <w:t xml:space="preserve"> laboratories dealing with </w:t>
      </w:r>
      <w:r w:rsidR="009C4AE0" w:rsidRPr="002F152E">
        <w:rPr>
          <w:rFonts w:eastAsia="Times New Roman" w:cs="Times New Roman"/>
          <w:szCs w:val="24"/>
          <w:lang w:eastAsia="es-ES_tradnl"/>
        </w:rPr>
        <w:t xml:space="preserve">the </w:t>
      </w:r>
      <w:r w:rsidRPr="002F152E">
        <w:rPr>
          <w:rFonts w:eastAsia="Times New Roman" w:cs="Times New Roman"/>
          <w:szCs w:val="24"/>
          <w:lang w:eastAsia="es-ES_tradnl"/>
        </w:rPr>
        <w:lastRenderedPageBreak/>
        <w:t>examination of evidentiary material and reporting findings to a responsible requesting institution (court/police/private person).</w:t>
      </w:r>
    </w:p>
    <w:p w14:paraId="5EE5D690" w14:textId="77777777" w:rsidR="004E2D18" w:rsidRPr="003775F2" w:rsidRDefault="004E2D18" w:rsidP="00E01FEF">
      <w:pPr>
        <w:pStyle w:val="Heading1"/>
        <w:numPr>
          <w:ilvl w:val="1"/>
          <w:numId w:val="7"/>
        </w:numPr>
        <w:rPr>
          <w:lang w:val="en-IE"/>
        </w:rPr>
      </w:pPr>
      <w:r>
        <w:rPr>
          <w:lang w:val="en-IE"/>
        </w:rPr>
        <w:t>Lessons Learned</w:t>
      </w:r>
    </w:p>
    <w:p w14:paraId="26B26530" w14:textId="0A73DD73" w:rsidR="00C83A3A" w:rsidRPr="009B41A5" w:rsidRDefault="00C83A3A" w:rsidP="004F2475">
      <w:pPr>
        <w:ind w:left="720"/>
        <w:rPr>
          <w:rFonts w:eastAsia="Times New Roman" w:cs="Times New Roman"/>
          <w:szCs w:val="24"/>
          <w:lang w:eastAsia="es-ES_tradnl"/>
        </w:rPr>
      </w:pPr>
      <w:r w:rsidRPr="009B41A5">
        <w:rPr>
          <w:rFonts w:eastAsia="Times New Roman" w:cs="Times New Roman"/>
          <w:szCs w:val="24"/>
          <w:lang w:eastAsia="es-ES_tradnl"/>
        </w:rPr>
        <w:t xml:space="preserve">The total IPA II envelope for home affairs for North Macedonia under the bilateral pillar reached almost EUR 30 million and covers the fight against organised crime, terrorism and money laundering, and border management, including quality of customs controls. </w:t>
      </w:r>
      <w:r w:rsidR="00E059EF">
        <w:rPr>
          <w:rFonts w:eastAsia="Times New Roman" w:cs="Times New Roman"/>
          <w:szCs w:val="24"/>
          <w:lang w:eastAsia="es-ES_tradnl"/>
        </w:rPr>
        <w:t>The EU assistance in the area of</w:t>
      </w:r>
      <w:r>
        <w:rPr>
          <w:rFonts w:eastAsia="Times New Roman" w:cs="Times New Roman"/>
          <w:szCs w:val="24"/>
          <w:lang w:eastAsia="es-ES_tradnl"/>
        </w:rPr>
        <w:t xml:space="preserve"> cybersecurity</w:t>
      </w:r>
      <w:r w:rsidR="00E059EF">
        <w:rPr>
          <w:rFonts w:eastAsia="Times New Roman" w:cs="Times New Roman"/>
          <w:szCs w:val="24"/>
          <w:lang w:eastAsia="es-ES_tradnl"/>
        </w:rPr>
        <w:t xml:space="preserve"> has been channelled primarily through </w:t>
      </w:r>
      <w:r w:rsidRPr="002F152E">
        <w:rPr>
          <w:rFonts w:eastAsia="Times New Roman" w:cs="Times New Roman"/>
          <w:szCs w:val="24"/>
          <w:lang w:eastAsia="es-ES_tradnl"/>
        </w:rPr>
        <w:t xml:space="preserve">the multi-country 2019 </w:t>
      </w:r>
      <w:r w:rsidR="00E059EF" w:rsidRPr="002F152E">
        <w:rPr>
          <w:rFonts w:eastAsia="Times New Roman" w:cs="Times New Roman"/>
          <w:szCs w:val="24"/>
          <w:lang w:eastAsia="es-ES_tradnl"/>
        </w:rPr>
        <w:t xml:space="preserve">project </w:t>
      </w:r>
      <w:r w:rsidRPr="002F152E">
        <w:rPr>
          <w:rFonts w:eastAsia="Times New Roman" w:cs="Times New Roman"/>
          <w:szCs w:val="24"/>
          <w:lang w:eastAsia="es-ES_tradnl"/>
        </w:rPr>
        <w:t>“EU support to cybersecurity capacity building in the Western Balkans</w:t>
      </w:r>
      <w:r w:rsidRPr="00497F73">
        <w:rPr>
          <w:rFonts w:eastAsia="Times New Roman" w:cs="Times New Roman"/>
          <w:szCs w:val="24"/>
          <w:lang w:eastAsia="es-ES_tradnl"/>
        </w:rPr>
        <w:t>”,</w:t>
      </w:r>
      <w:r w:rsidR="00E059EF" w:rsidRPr="00497F73">
        <w:rPr>
          <w:rFonts w:eastAsia="Times New Roman" w:cs="Times New Roman"/>
          <w:szCs w:val="24"/>
          <w:lang w:eastAsia="es-ES_tradnl"/>
        </w:rPr>
        <w:t xml:space="preserve"> involving</w:t>
      </w:r>
      <w:r w:rsidRPr="00497F73">
        <w:rPr>
          <w:rFonts w:eastAsia="Times New Roman" w:cs="Times New Roman"/>
          <w:szCs w:val="24"/>
          <w:lang w:eastAsia="es-ES_tradnl"/>
        </w:rPr>
        <w:t xml:space="preserve"> Council of Europe, Member States, and the European Cybercrime Centre at Europol.</w:t>
      </w:r>
      <w:r w:rsidRPr="002F152E">
        <w:rPr>
          <w:rFonts w:eastAsia="Times New Roman" w:cs="Times New Roman"/>
          <w:szCs w:val="24"/>
          <w:lang w:eastAsia="es-ES_tradnl"/>
        </w:rPr>
        <w:t xml:space="preserve"> The implementation of this essential country assistance provides for the formulation of the following lessons</w:t>
      </w:r>
      <w:r w:rsidRPr="009B41A5">
        <w:rPr>
          <w:rFonts w:eastAsia="Times New Roman" w:cs="Times New Roman"/>
          <w:szCs w:val="24"/>
          <w:lang w:eastAsia="es-ES_tradnl"/>
        </w:rPr>
        <w:t xml:space="preserve">: </w:t>
      </w:r>
    </w:p>
    <w:p w14:paraId="6460EFBF" w14:textId="5FA598B5" w:rsidR="003445E3" w:rsidRDefault="00C83A3A" w:rsidP="00497F73">
      <w:pPr>
        <w:pStyle w:val="ListParagraph"/>
        <w:numPr>
          <w:ilvl w:val="0"/>
          <w:numId w:val="15"/>
        </w:numPr>
        <w:spacing w:before="120"/>
        <w:ind w:left="1434" w:hanging="357"/>
        <w:contextualSpacing w:val="0"/>
        <w:rPr>
          <w:rFonts w:eastAsia="Times New Roman" w:cs="Times New Roman"/>
          <w:szCs w:val="24"/>
          <w:lang w:eastAsia="es-ES_tradnl"/>
        </w:rPr>
      </w:pPr>
      <w:r w:rsidRPr="002C5920">
        <w:rPr>
          <w:rFonts w:eastAsia="Times New Roman" w:cs="Times New Roman"/>
          <w:szCs w:val="24"/>
          <w:lang w:eastAsia="es-ES_tradnl"/>
        </w:rPr>
        <w:t xml:space="preserve">The </w:t>
      </w:r>
      <w:r w:rsidR="00BB1EA0">
        <w:rPr>
          <w:rFonts w:eastAsia="Times New Roman" w:cs="Times New Roman"/>
          <w:szCs w:val="24"/>
          <w:lang w:eastAsia="es-ES_tradnl"/>
        </w:rPr>
        <w:t>administrative and institutional capacity is a challenge</w:t>
      </w:r>
      <w:r w:rsidR="00BC0CE5" w:rsidRPr="00BC0CE5">
        <w:rPr>
          <w:rFonts w:eastAsia="Times New Roman" w:cs="Times New Roman"/>
          <w:szCs w:val="24"/>
          <w:lang w:eastAsia="es-ES_tradnl"/>
        </w:rPr>
        <w:t xml:space="preserve"> </w:t>
      </w:r>
      <w:r w:rsidR="00BC0CE5">
        <w:rPr>
          <w:rFonts w:eastAsia="Times New Roman" w:cs="Times New Roman"/>
          <w:szCs w:val="24"/>
          <w:lang w:eastAsia="es-ES_tradnl"/>
        </w:rPr>
        <w:t>as t</w:t>
      </w:r>
      <w:r w:rsidR="00BC0CE5" w:rsidRPr="002C5920">
        <w:rPr>
          <w:rFonts w:eastAsia="Times New Roman" w:cs="Times New Roman"/>
          <w:szCs w:val="24"/>
          <w:lang w:eastAsia="es-ES_tradnl"/>
        </w:rPr>
        <w:t xml:space="preserve">he role of </w:t>
      </w:r>
      <w:r w:rsidR="00BC0CE5">
        <w:rPr>
          <w:rFonts w:eastAsia="Times New Roman" w:cs="Times New Roman"/>
          <w:szCs w:val="24"/>
          <w:lang w:eastAsia="es-ES_tradnl"/>
        </w:rPr>
        <w:t>national authorities</w:t>
      </w:r>
      <w:r w:rsidR="00BC0CE5" w:rsidRPr="002C5920">
        <w:rPr>
          <w:rFonts w:eastAsia="Times New Roman" w:cs="Times New Roman"/>
          <w:szCs w:val="24"/>
          <w:lang w:eastAsia="es-ES_tradnl"/>
        </w:rPr>
        <w:t xml:space="preserve"> </w:t>
      </w:r>
      <w:r w:rsidR="00BC0CE5">
        <w:rPr>
          <w:rFonts w:eastAsia="Times New Roman" w:cs="Times New Roman"/>
          <w:szCs w:val="24"/>
          <w:lang w:eastAsia="es-ES_tradnl"/>
        </w:rPr>
        <w:t>for</w:t>
      </w:r>
      <w:r w:rsidR="00BC0CE5" w:rsidRPr="002C5920">
        <w:rPr>
          <w:rFonts w:eastAsia="Times New Roman" w:cs="Times New Roman"/>
          <w:szCs w:val="24"/>
          <w:lang w:eastAsia="es-ES_tradnl"/>
        </w:rPr>
        <w:t xml:space="preserve"> planning </w:t>
      </w:r>
      <w:r w:rsidR="00BC0CE5">
        <w:rPr>
          <w:rFonts w:eastAsia="Times New Roman" w:cs="Times New Roman"/>
          <w:szCs w:val="24"/>
          <w:lang w:eastAsia="es-ES_tradnl"/>
        </w:rPr>
        <w:t>and implementing activities, and ensuring the effectiveness and sustainability of the EU assistance is vital</w:t>
      </w:r>
      <w:r w:rsidR="00BB1EA0">
        <w:rPr>
          <w:rFonts w:eastAsia="Times New Roman" w:cs="Times New Roman"/>
          <w:szCs w:val="24"/>
          <w:lang w:eastAsia="es-ES_tradnl"/>
        </w:rPr>
        <w:t>. The</w:t>
      </w:r>
      <w:r w:rsidR="009C4AE0">
        <w:rPr>
          <w:rFonts w:eastAsia="Times New Roman" w:cs="Times New Roman"/>
          <w:szCs w:val="24"/>
          <w:lang w:eastAsia="es-ES_tradnl"/>
        </w:rPr>
        <w:t xml:space="preserve"> massive staff </w:t>
      </w:r>
      <w:r w:rsidR="00BB1EA0">
        <w:rPr>
          <w:rFonts w:eastAsia="Times New Roman" w:cs="Times New Roman"/>
          <w:szCs w:val="24"/>
          <w:lang w:eastAsia="es-ES_tradnl"/>
        </w:rPr>
        <w:t xml:space="preserve">turnover due to lack of merit-based approach and retention policy </w:t>
      </w:r>
      <w:r w:rsidRPr="002C5920">
        <w:rPr>
          <w:rFonts w:eastAsia="Times New Roman" w:cs="Times New Roman"/>
          <w:szCs w:val="24"/>
          <w:lang w:eastAsia="es-ES_tradnl"/>
        </w:rPr>
        <w:t>can be</w:t>
      </w:r>
      <w:r w:rsidR="00BC0CE5">
        <w:rPr>
          <w:rFonts w:eastAsia="Times New Roman" w:cs="Times New Roman"/>
          <w:szCs w:val="24"/>
          <w:lang w:eastAsia="es-ES_tradnl"/>
        </w:rPr>
        <w:t xml:space="preserve"> an</w:t>
      </w:r>
      <w:r w:rsidRPr="002C5920">
        <w:rPr>
          <w:rFonts w:eastAsia="Times New Roman" w:cs="Times New Roman"/>
          <w:szCs w:val="24"/>
          <w:lang w:eastAsia="es-ES_tradnl"/>
        </w:rPr>
        <w:t xml:space="preserve"> obstacle in achieving progress or attaining </w:t>
      </w:r>
      <w:r w:rsidR="00BC0CE5">
        <w:rPr>
          <w:rFonts w:eastAsia="Times New Roman" w:cs="Times New Roman"/>
          <w:szCs w:val="24"/>
          <w:lang w:eastAsia="es-ES_tradnl"/>
        </w:rPr>
        <w:t>results</w:t>
      </w:r>
      <w:r w:rsidR="00BC0CE5" w:rsidRPr="002C5920">
        <w:rPr>
          <w:rFonts w:eastAsia="Times New Roman" w:cs="Times New Roman"/>
          <w:szCs w:val="24"/>
          <w:lang w:eastAsia="es-ES_tradnl"/>
        </w:rPr>
        <w:t xml:space="preserve"> </w:t>
      </w:r>
      <w:r w:rsidRPr="002C5920">
        <w:rPr>
          <w:rFonts w:eastAsia="Times New Roman" w:cs="Times New Roman"/>
          <w:szCs w:val="24"/>
          <w:lang w:eastAsia="es-ES_tradnl"/>
        </w:rPr>
        <w:t>consolidation.</w:t>
      </w:r>
      <w:r w:rsidR="003445E3">
        <w:rPr>
          <w:rFonts w:eastAsia="Times New Roman" w:cs="Times New Roman"/>
          <w:szCs w:val="24"/>
          <w:lang w:eastAsia="es-ES_tradnl"/>
        </w:rPr>
        <w:t xml:space="preserve"> To address this issue, North Macedonia is implementing a public administration</w:t>
      </w:r>
      <w:r w:rsidR="003445E3" w:rsidRPr="003445E3">
        <w:rPr>
          <w:rFonts w:eastAsia="Times New Roman" w:cs="Times New Roman"/>
          <w:szCs w:val="24"/>
          <w:lang w:eastAsia="es-ES_tradnl"/>
        </w:rPr>
        <w:t xml:space="preserve"> </w:t>
      </w:r>
      <w:r w:rsidR="003445E3">
        <w:rPr>
          <w:rFonts w:eastAsia="Times New Roman" w:cs="Times New Roman"/>
          <w:szCs w:val="24"/>
          <w:lang w:eastAsia="es-ES_tradnl"/>
        </w:rPr>
        <w:t xml:space="preserve">reform, which still needs to deliver results. </w:t>
      </w:r>
      <w:r w:rsidR="00537855">
        <w:rPr>
          <w:rFonts w:eastAsia="Times New Roman" w:cs="Times New Roman"/>
          <w:szCs w:val="24"/>
          <w:lang w:eastAsia="es-ES_tradnl"/>
        </w:rPr>
        <w:t xml:space="preserve">In parallel, mitigation measures such as strong capacity building at technical and managerial level and motivation building peer-to-peer are needed to ensure ownership and commitment. </w:t>
      </w:r>
    </w:p>
    <w:p w14:paraId="6953AE49" w14:textId="2B145024" w:rsidR="00581ACE" w:rsidRPr="002C5920" w:rsidRDefault="003445E3" w:rsidP="00497F73">
      <w:pPr>
        <w:pStyle w:val="ListParagraph"/>
        <w:numPr>
          <w:ilvl w:val="0"/>
          <w:numId w:val="15"/>
        </w:numPr>
        <w:spacing w:before="120"/>
        <w:ind w:left="1434" w:hanging="357"/>
        <w:contextualSpacing w:val="0"/>
        <w:rPr>
          <w:rFonts w:eastAsia="Times New Roman" w:cs="Times New Roman"/>
          <w:szCs w:val="24"/>
          <w:lang w:eastAsia="es-ES_tradnl"/>
        </w:rPr>
      </w:pPr>
      <w:r>
        <w:rPr>
          <w:rFonts w:eastAsia="Times New Roman" w:cs="Times New Roman"/>
          <w:szCs w:val="24"/>
          <w:lang w:eastAsia="es-ES_tradnl"/>
        </w:rPr>
        <w:t>The coordination and cooperation between the various actors in the security area as well as the support from the society for the enforcement bodies are also important factor</w:t>
      </w:r>
      <w:r w:rsidR="00537855">
        <w:rPr>
          <w:rFonts w:eastAsia="Times New Roman" w:cs="Times New Roman"/>
          <w:szCs w:val="24"/>
          <w:lang w:eastAsia="es-ES_tradnl"/>
        </w:rPr>
        <w:t>s</w:t>
      </w:r>
      <w:r>
        <w:rPr>
          <w:rFonts w:eastAsia="Times New Roman" w:cs="Times New Roman"/>
          <w:szCs w:val="24"/>
          <w:lang w:eastAsia="es-ES_tradnl"/>
        </w:rPr>
        <w:t xml:space="preserve"> for fight</w:t>
      </w:r>
      <w:r w:rsidR="00537855">
        <w:rPr>
          <w:rFonts w:eastAsia="Times New Roman" w:cs="Times New Roman"/>
          <w:szCs w:val="24"/>
          <w:lang w:eastAsia="es-ES_tradnl"/>
        </w:rPr>
        <w:t>ing</w:t>
      </w:r>
      <w:r>
        <w:rPr>
          <w:rFonts w:eastAsia="Times New Roman" w:cs="Times New Roman"/>
          <w:szCs w:val="24"/>
          <w:lang w:eastAsia="es-ES_tradnl"/>
        </w:rPr>
        <w:t xml:space="preserve"> organised crime. </w:t>
      </w:r>
      <w:r w:rsidR="00537855">
        <w:rPr>
          <w:rFonts w:eastAsia="Times New Roman" w:cs="Times New Roman"/>
          <w:szCs w:val="24"/>
          <w:lang w:eastAsia="es-ES_tradnl"/>
        </w:rPr>
        <w:t xml:space="preserve">Outreach approach to community needs to be paired with joint exercises involving the relevant beneficiaries to build trust and ensure </w:t>
      </w:r>
      <w:r w:rsidR="00161D98">
        <w:rPr>
          <w:rFonts w:eastAsia="Times New Roman" w:cs="Times New Roman"/>
          <w:szCs w:val="24"/>
          <w:lang w:eastAsia="es-ES_tradnl"/>
        </w:rPr>
        <w:t>supportive attitude.</w:t>
      </w:r>
    </w:p>
    <w:p w14:paraId="34D30707" w14:textId="77777777" w:rsidR="00BC0CE5" w:rsidRDefault="00BC0CE5" w:rsidP="00497F73">
      <w:pPr>
        <w:pStyle w:val="ListParagraph"/>
        <w:numPr>
          <w:ilvl w:val="0"/>
          <w:numId w:val="15"/>
        </w:numPr>
        <w:spacing w:before="120"/>
        <w:ind w:left="1440"/>
        <w:contextualSpacing w:val="0"/>
        <w:rPr>
          <w:rFonts w:eastAsia="Times New Roman" w:cs="Times New Roman"/>
          <w:szCs w:val="24"/>
          <w:lang w:eastAsia="es-ES_tradnl"/>
        </w:rPr>
      </w:pPr>
      <w:r w:rsidRPr="009B41A5">
        <w:rPr>
          <w:rFonts w:eastAsia="Times New Roman" w:cs="Times New Roman"/>
          <w:szCs w:val="24"/>
          <w:lang w:eastAsia="es-ES_tradnl"/>
        </w:rPr>
        <w:t xml:space="preserve">Organised crime is often cross-border, dynamic, </w:t>
      </w:r>
      <w:r>
        <w:rPr>
          <w:rFonts w:eastAsia="Times New Roman" w:cs="Times New Roman"/>
          <w:szCs w:val="24"/>
          <w:lang w:eastAsia="es-ES_tradnl"/>
        </w:rPr>
        <w:t>well-digitalised</w:t>
      </w:r>
      <w:r w:rsidRPr="009B41A5">
        <w:rPr>
          <w:rFonts w:eastAsia="Times New Roman" w:cs="Times New Roman"/>
          <w:szCs w:val="24"/>
          <w:lang w:eastAsia="es-ES_tradnl"/>
        </w:rPr>
        <w:t xml:space="preserve">, </w:t>
      </w:r>
      <w:r>
        <w:rPr>
          <w:rFonts w:eastAsia="Times New Roman" w:cs="Times New Roman"/>
          <w:szCs w:val="24"/>
          <w:lang w:eastAsia="es-ES_tradnl"/>
        </w:rPr>
        <w:t>well-organised</w:t>
      </w:r>
      <w:r w:rsidRPr="009B41A5">
        <w:rPr>
          <w:rFonts w:eastAsia="Times New Roman" w:cs="Times New Roman"/>
          <w:szCs w:val="24"/>
          <w:lang w:eastAsia="es-ES_tradnl"/>
        </w:rPr>
        <w:t xml:space="preserve">, and potentially infiltrating all decision-making systems. Therefore, </w:t>
      </w:r>
      <w:r>
        <w:rPr>
          <w:rFonts w:eastAsia="Times New Roman" w:cs="Times New Roman"/>
          <w:szCs w:val="24"/>
          <w:lang w:eastAsia="es-ES_tradnl"/>
        </w:rPr>
        <w:t>fighting it successfully at the national level is practically impossible</w:t>
      </w:r>
      <w:r w:rsidRPr="009B41A5">
        <w:rPr>
          <w:rFonts w:eastAsia="Times New Roman" w:cs="Times New Roman"/>
          <w:szCs w:val="24"/>
          <w:lang w:eastAsia="es-ES_tradnl"/>
        </w:rPr>
        <w:t xml:space="preserve">. Cooperation at </w:t>
      </w:r>
      <w:r>
        <w:rPr>
          <w:rFonts w:eastAsia="Times New Roman" w:cs="Times New Roman"/>
          <w:szCs w:val="24"/>
          <w:lang w:eastAsia="es-ES_tradnl"/>
        </w:rPr>
        <w:t xml:space="preserve">the </w:t>
      </w:r>
      <w:r w:rsidRPr="009B41A5">
        <w:rPr>
          <w:rFonts w:eastAsia="Times New Roman" w:cs="Times New Roman"/>
          <w:szCs w:val="24"/>
          <w:lang w:eastAsia="es-ES_tradnl"/>
        </w:rPr>
        <w:t>regional level, as well as with the EU structures</w:t>
      </w:r>
      <w:r>
        <w:rPr>
          <w:rFonts w:eastAsia="Times New Roman" w:cs="Times New Roman"/>
          <w:szCs w:val="24"/>
          <w:lang w:eastAsia="es-ES_tradnl"/>
        </w:rPr>
        <w:t>,</w:t>
      </w:r>
      <w:r w:rsidRPr="009B41A5">
        <w:rPr>
          <w:rFonts w:eastAsia="Times New Roman" w:cs="Times New Roman"/>
          <w:szCs w:val="24"/>
          <w:lang w:eastAsia="es-ES_tradnl"/>
        </w:rPr>
        <w:t xml:space="preserve"> is</w:t>
      </w:r>
      <w:r>
        <w:rPr>
          <w:rFonts w:eastAsia="Times New Roman" w:cs="Times New Roman"/>
          <w:szCs w:val="24"/>
          <w:lang w:eastAsia="es-ES_tradnl"/>
        </w:rPr>
        <w:t>, therefore,</w:t>
      </w:r>
      <w:r w:rsidRPr="009B41A5">
        <w:rPr>
          <w:rFonts w:eastAsia="Times New Roman" w:cs="Times New Roman"/>
          <w:szCs w:val="24"/>
          <w:lang w:eastAsia="es-ES_tradnl"/>
        </w:rPr>
        <w:t xml:space="preserve"> a must. National capacities </w:t>
      </w:r>
      <w:r>
        <w:rPr>
          <w:rFonts w:eastAsia="Times New Roman" w:cs="Times New Roman"/>
          <w:szCs w:val="24"/>
          <w:lang w:eastAsia="es-ES_tradnl"/>
        </w:rPr>
        <w:t>must</w:t>
      </w:r>
      <w:r w:rsidRPr="009B41A5">
        <w:rPr>
          <w:rFonts w:eastAsia="Times New Roman" w:cs="Times New Roman"/>
          <w:szCs w:val="24"/>
          <w:lang w:eastAsia="es-ES_tradnl"/>
        </w:rPr>
        <w:t xml:space="preserve"> be available to allow the countries </w:t>
      </w:r>
      <w:r>
        <w:rPr>
          <w:rFonts w:eastAsia="Times New Roman" w:cs="Times New Roman"/>
          <w:szCs w:val="24"/>
          <w:lang w:eastAsia="es-ES_tradnl"/>
        </w:rPr>
        <w:t xml:space="preserve">to </w:t>
      </w:r>
      <w:r w:rsidRPr="009B41A5">
        <w:rPr>
          <w:rFonts w:eastAsia="Times New Roman" w:cs="Times New Roman"/>
          <w:szCs w:val="24"/>
          <w:lang w:eastAsia="es-ES_tradnl"/>
        </w:rPr>
        <w:t xml:space="preserve">exchange data and information and participate in joint repressive actions against organised criminal groups. A mix of regional and national tools can be more effective. </w:t>
      </w:r>
    </w:p>
    <w:p w14:paraId="42C2C1A8" w14:textId="35B4A71D" w:rsidR="00C83A3A" w:rsidRPr="009B41A5" w:rsidRDefault="00C83A3A" w:rsidP="00497F73">
      <w:pPr>
        <w:pStyle w:val="ListParagraph"/>
        <w:numPr>
          <w:ilvl w:val="0"/>
          <w:numId w:val="15"/>
        </w:numPr>
        <w:spacing w:before="120"/>
        <w:ind w:left="1440"/>
        <w:contextualSpacing w:val="0"/>
        <w:rPr>
          <w:rFonts w:eastAsia="Times New Roman" w:cs="Times New Roman"/>
          <w:szCs w:val="24"/>
          <w:lang w:eastAsia="es-ES_tradnl"/>
        </w:rPr>
      </w:pPr>
      <w:r w:rsidRPr="009B41A5">
        <w:rPr>
          <w:rFonts w:eastAsia="Times New Roman" w:cs="Times New Roman"/>
          <w:szCs w:val="24"/>
          <w:lang w:eastAsia="es-ES_tradnl"/>
        </w:rPr>
        <w:t xml:space="preserve">The fight against organised and cross-border crime is </w:t>
      </w:r>
      <w:r w:rsidR="009C4AE0">
        <w:rPr>
          <w:rFonts w:eastAsia="Times New Roman" w:cs="Times New Roman"/>
          <w:szCs w:val="24"/>
          <w:lang w:eastAsia="es-ES_tradnl"/>
        </w:rPr>
        <w:t>a susceptible</w:t>
      </w:r>
      <w:r w:rsidRPr="009B41A5">
        <w:rPr>
          <w:rFonts w:eastAsia="Times New Roman" w:cs="Times New Roman"/>
          <w:szCs w:val="24"/>
          <w:lang w:eastAsia="es-ES_tradnl"/>
        </w:rPr>
        <w:t xml:space="preserve"> area which requires high-level political commitment. </w:t>
      </w:r>
      <w:r w:rsidR="00581ACE">
        <w:rPr>
          <w:rFonts w:eastAsia="Times New Roman" w:cs="Times New Roman"/>
          <w:szCs w:val="24"/>
          <w:lang w:eastAsia="es-ES_tradnl"/>
        </w:rPr>
        <w:t>An inclusive sector policy dialogue must support this commitment and ownership</w:t>
      </w:r>
      <w:r w:rsidRPr="009B41A5">
        <w:rPr>
          <w:rFonts w:eastAsia="Times New Roman" w:cs="Times New Roman"/>
          <w:szCs w:val="24"/>
          <w:lang w:eastAsia="es-ES_tradnl"/>
        </w:rPr>
        <w:t xml:space="preserve">. The low effectiveness of the governance and the institutions are also </w:t>
      </w:r>
      <w:r w:rsidR="009C4AE0">
        <w:rPr>
          <w:rFonts w:eastAsia="Times New Roman" w:cs="Times New Roman"/>
          <w:szCs w:val="24"/>
          <w:lang w:eastAsia="es-ES_tradnl"/>
        </w:rPr>
        <w:t>significant</w:t>
      </w:r>
      <w:r w:rsidRPr="009B41A5">
        <w:rPr>
          <w:rFonts w:eastAsia="Times New Roman" w:cs="Times New Roman"/>
          <w:szCs w:val="24"/>
          <w:lang w:eastAsia="es-ES_tradnl"/>
        </w:rPr>
        <w:t xml:space="preserve"> </w:t>
      </w:r>
      <w:r>
        <w:rPr>
          <w:rFonts w:eastAsia="Times New Roman" w:cs="Times New Roman"/>
          <w:szCs w:val="24"/>
          <w:lang w:eastAsia="es-ES_tradnl"/>
        </w:rPr>
        <w:t>factors</w:t>
      </w:r>
      <w:r w:rsidRPr="009B41A5">
        <w:rPr>
          <w:rFonts w:eastAsia="Times New Roman" w:cs="Times New Roman"/>
          <w:szCs w:val="24"/>
          <w:lang w:eastAsia="es-ES_tradnl"/>
        </w:rPr>
        <w:t xml:space="preserve"> contributing to the success of organised crime. Therefore, </w:t>
      </w:r>
      <w:r>
        <w:rPr>
          <w:rFonts w:eastAsia="Times New Roman" w:cs="Times New Roman"/>
          <w:szCs w:val="24"/>
          <w:lang w:eastAsia="es-ES_tradnl"/>
        </w:rPr>
        <w:t>well-working</w:t>
      </w:r>
      <w:r w:rsidRPr="009B41A5">
        <w:rPr>
          <w:rFonts w:eastAsia="Times New Roman" w:cs="Times New Roman"/>
          <w:szCs w:val="24"/>
          <w:lang w:eastAsia="es-ES_tradnl"/>
        </w:rPr>
        <w:t xml:space="preserve"> strategies involve a mix of tools. Capacity building will </w:t>
      </w:r>
      <w:r w:rsidR="009C4AE0">
        <w:rPr>
          <w:rFonts w:eastAsia="Times New Roman" w:cs="Times New Roman"/>
          <w:szCs w:val="24"/>
          <w:lang w:eastAsia="es-ES_tradnl"/>
        </w:rPr>
        <w:t>undoubtedly</w:t>
      </w:r>
      <w:r w:rsidRPr="009B41A5">
        <w:rPr>
          <w:rFonts w:eastAsia="Times New Roman" w:cs="Times New Roman"/>
          <w:szCs w:val="24"/>
          <w:lang w:eastAsia="es-ES_tradnl"/>
        </w:rPr>
        <w:t xml:space="preserve"> help a proactive approach from law enforcement; a combination of evidence from different sources will help the investigation processes decrease the pressure </w:t>
      </w:r>
      <w:r w:rsidR="00581ACE">
        <w:rPr>
          <w:rFonts w:eastAsia="Times New Roman" w:cs="Times New Roman"/>
          <w:szCs w:val="24"/>
          <w:lang w:eastAsia="es-ES_tradnl"/>
        </w:rPr>
        <w:t>on</w:t>
      </w:r>
      <w:r w:rsidRPr="009B41A5">
        <w:rPr>
          <w:rFonts w:eastAsia="Times New Roman" w:cs="Times New Roman"/>
          <w:szCs w:val="24"/>
          <w:lang w:eastAsia="es-ES_tradnl"/>
        </w:rPr>
        <w:t xml:space="preserve"> the criminal groups; </w:t>
      </w:r>
      <w:r w:rsidR="00581ACE">
        <w:rPr>
          <w:rFonts w:eastAsia="Times New Roman" w:cs="Times New Roman"/>
          <w:szCs w:val="24"/>
          <w:lang w:eastAsia="es-ES_tradnl"/>
        </w:rPr>
        <w:t>asset</w:t>
      </w:r>
      <w:r w:rsidRPr="009B41A5">
        <w:rPr>
          <w:rFonts w:eastAsia="Times New Roman" w:cs="Times New Roman"/>
          <w:szCs w:val="24"/>
          <w:lang w:eastAsia="es-ES_tradnl"/>
        </w:rPr>
        <w:t xml:space="preserve"> seizure is often more harmful </w:t>
      </w:r>
      <w:r w:rsidR="00581ACE">
        <w:rPr>
          <w:rFonts w:eastAsia="Times New Roman" w:cs="Times New Roman"/>
          <w:szCs w:val="24"/>
          <w:lang w:eastAsia="es-ES_tradnl"/>
        </w:rPr>
        <w:t>to</w:t>
      </w:r>
      <w:r w:rsidRPr="009B41A5">
        <w:rPr>
          <w:rFonts w:eastAsia="Times New Roman" w:cs="Times New Roman"/>
          <w:szCs w:val="24"/>
          <w:lang w:eastAsia="es-ES_tradnl"/>
        </w:rPr>
        <w:t xml:space="preserve"> criminal groups than imprisonment. While digitalisation cannot be a panacea in the fight against organised crime, the technology leapfrogging may considerably improve </w:t>
      </w:r>
      <w:r w:rsidR="00581ACE">
        <w:rPr>
          <w:rFonts w:eastAsia="Times New Roman" w:cs="Times New Roman"/>
          <w:szCs w:val="24"/>
          <w:lang w:eastAsia="es-ES_tradnl"/>
        </w:rPr>
        <w:t>how</w:t>
      </w:r>
      <w:r w:rsidRPr="009B41A5">
        <w:rPr>
          <w:rFonts w:eastAsia="Times New Roman" w:cs="Times New Roman"/>
          <w:szCs w:val="24"/>
          <w:lang w:eastAsia="es-ES_tradnl"/>
        </w:rPr>
        <w:t xml:space="preserve"> institutions operate and communicate, improve their performance, and reduce costs and delays in treating evidence. </w:t>
      </w:r>
    </w:p>
    <w:p w14:paraId="50DB6194" w14:textId="7686DFBD" w:rsidR="00C83A3A" w:rsidRPr="009B41A5" w:rsidRDefault="00C83A3A" w:rsidP="00497F73">
      <w:pPr>
        <w:pStyle w:val="ListParagraph"/>
        <w:numPr>
          <w:ilvl w:val="0"/>
          <w:numId w:val="15"/>
        </w:numPr>
        <w:spacing w:before="120"/>
        <w:ind w:left="1440"/>
        <w:contextualSpacing w:val="0"/>
        <w:rPr>
          <w:rFonts w:eastAsia="Times New Roman" w:cs="Times New Roman"/>
          <w:szCs w:val="24"/>
          <w:lang w:eastAsia="es-ES_tradnl"/>
        </w:rPr>
      </w:pPr>
      <w:r w:rsidRPr="009B41A5">
        <w:rPr>
          <w:rFonts w:eastAsia="Times New Roman" w:cs="Times New Roman"/>
          <w:szCs w:val="24"/>
          <w:lang w:eastAsia="es-ES_tradnl"/>
        </w:rPr>
        <w:t xml:space="preserve">The criminal-justice approach must be coupled with </w:t>
      </w:r>
      <w:r w:rsidR="009C4AE0">
        <w:rPr>
          <w:rFonts w:eastAsia="Times New Roman" w:cs="Times New Roman"/>
          <w:szCs w:val="24"/>
          <w:lang w:eastAsia="es-ES_tradnl"/>
        </w:rPr>
        <w:t>solid</w:t>
      </w:r>
      <w:r w:rsidRPr="009B41A5">
        <w:rPr>
          <w:rFonts w:eastAsia="Times New Roman" w:cs="Times New Roman"/>
          <w:szCs w:val="24"/>
          <w:lang w:eastAsia="es-ES_tradnl"/>
        </w:rPr>
        <w:t xml:space="preserve"> prevention and </w:t>
      </w:r>
      <w:r w:rsidR="00581ACE">
        <w:rPr>
          <w:rFonts w:eastAsia="Times New Roman" w:cs="Times New Roman"/>
          <w:szCs w:val="24"/>
          <w:lang w:eastAsia="es-ES_tradnl"/>
        </w:rPr>
        <w:t>awareness-raising</w:t>
      </w:r>
      <w:r w:rsidRPr="009B41A5">
        <w:rPr>
          <w:rFonts w:eastAsia="Times New Roman" w:cs="Times New Roman"/>
          <w:szCs w:val="24"/>
          <w:lang w:eastAsia="es-ES_tradnl"/>
        </w:rPr>
        <w:t xml:space="preserve"> approaches. This implies addressing the socio-economic factors </w:t>
      </w:r>
      <w:r w:rsidR="00581ACE">
        <w:rPr>
          <w:rFonts w:eastAsia="Times New Roman" w:cs="Times New Roman"/>
          <w:szCs w:val="24"/>
          <w:lang w:eastAsia="es-ES_tradnl"/>
        </w:rPr>
        <w:t>that marginalise</w:t>
      </w:r>
      <w:r w:rsidRPr="009B41A5">
        <w:rPr>
          <w:rFonts w:eastAsia="Times New Roman" w:cs="Times New Roman"/>
          <w:szCs w:val="24"/>
          <w:lang w:eastAsia="es-ES_tradnl"/>
        </w:rPr>
        <w:t xml:space="preserve"> and enlarge the social basis for organised criminal groups. Therefore, the EU must invest equally in socio-economic development, focusing on education, </w:t>
      </w:r>
      <w:r w:rsidR="00581ACE">
        <w:rPr>
          <w:rFonts w:eastAsia="Times New Roman" w:cs="Times New Roman"/>
          <w:szCs w:val="24"/>
          <w:lang w:eastAsia="es-ES_tradnl"/>
        </w:rPr>
        <w:t xml:space="preserve">the </w:t>
      </w:r>
      <w:r w:rsidRPr="009B41A5">
        <w:rPr>
          <w:rFonts w:eastAsia="Times New Roman" w:cs="Times New Roman"/>
          <w:szCs w:val="24"/>
          <w:lang w:eastAsia="es-ES_tradnl"/>
        </w:rPr>
        <w:t xml:space="preserve">labour market and creating economic perspectives. </w:t>
      </w:r>
    </w:p>
    <w:p w14:paraId="102D4A0A" w14:textId="77777777" w:rsidR="004E2D18" w:rsidRDefault="004E2D18" w:rsidP="004E2D18">
      <w:pPr>
        <w:rPr>
          <w:b/>
          <w:szCs w:val="24"/>
        </w:rPr>
      </w:pPr>
    </w:p>
    <w:p w14:paraId="09A48267" w14:textId="7D9F0365" w:rsidR="00FD7FCD" w:rsidRPr="003C0CD7" w:rsidRDefault="00FD7FCD" w:rsidP="007540C6">
      <w:pPr>
        <w:pStyle w:val="Heading1"/>
        <w:rPr>
          <w:lang w:val="en-IE"/>
        </w:rPr>
      </w:pPr>
      <w:bookmarkStart w:id="125" w:name="_Toc47101956"/>
      <w:bookmarkStart w:id="126" w:name="_Toc51270451"/>
      <w:bookmarkStart w:id="127" w:name="_Ref58358933"/>
      <w:bookmarkStart w:id="128" w:name="_Ref58877297"/>
      <w:bookmarkStart w:id="129" w:name="_Ref59012514"/>
      <w:bookmarkStart w:id="130" w:name="_Toc73090747"/>
      <w:r w:rsidRPr="003C0CD7">
        <w:rPr>
          <w:lang w:val="en-IE"/>
        </w:rPr>
        <w:lastRenderedPageBreak/>
        <w:t>DESCRIPTION OF THE ACTION</w:t>
      </w:r>
      <w:bookmarkEnd w:id="125"/>
      <w:bookmarkEnd w:id="126"/>
      <w:bookmarkEnd w:id="127"/>
      <w:bookmarkEnd w:id="128"/>
      <w:bookmarkEnd w:id="129"/>
      <w:bookmarkEnd w:id="130"/>
    </w:p>
    <w:p w14:paraId="133A6338" w14:textId="77777777" w:rsidR="00B26539" w:rsidRPr="003C0CD7" w:rsidRDefault="00B26539" w:rsidP="00C265A2">
      <w:pPr>
        <w:pStyle w:val="Heading1"/>
        <w:numPr>
          <w:ilvl w:val="1"/>
          <w:numId w:val="1"/>
        </w:numPr>
        <w:ind w:left="1152" w:hanging="585"/>
        <w:rPr>
          <w:lang w:val="en-IE"/>
        </w:rPr>
      </w:pPr>
      <w:bookmarkStart w:id="131" w:name="_Toc58681338"/>
      <w:bookmarkStart w:id="132" w:name="_Toc58836468"/>
      <w:bookmarkStart w:id="133" w:name="_Toc58838086"/>
      <w:bookmarkStart w:id="134" w:name="_Toc58838141"/>
      <w:bookmarkStart w:id="135" w:name="_Toc58845983"/>
      <w:bookmarkStart w:id="136" w:name="_Toc58876993"/>
      <w:bookmarkStart w:id="137" w:name="_Toc58878028"/>
      <w:bookmarkStart w:id="138" w:name="_Toc59012341"/>
      <w:bookmarkStart w:id="139" w:name="_Toc59012917"/>
      <w:bookmarkStart w:id="140" w:name="_Toc59020765"/>
      <w:bookmarkStart w:id="141" w:name="_Toc59023365"/>
      <w:bookmarkStart w:id="142" w:name="_Toc59029534"/>
      <w:bookmarkStart w:id="143" w:name="_Toc59030350"/>
      <w:bookmarkStart w:id="144" w:name="_Toc59031667"/>
      <w:bookmarkStart w:id="145" w:name="_Toc62247166"/>
      <w:bookmarkStart w:id="146" w:name="_Toc62247223"/>
      <w:bookmarkStart w:id="147" w:name="_Toc62459265"/>
      <w:bookmarkStart w:id="148" w:name="_Toc62476929"/>
      <w:bookmarkStart w:id="149" w:name="_Toc63235837"/>
      <w:bookmarkStart w:id="150" w:name="_Toc63248943"/>
      <w:bookmarkStart w:id="151" w:name="_Toc63263272"/>
      <w:bookmarkStart w:id="152" w:name="_Toc64043049"/>
      <w:bookmarkStart w:id="153" w:name="_Toc65663761"/>
      <w:bookmarkStart w:id="154" w:name="_Toc65665576"/>
      <w:bookmarkStart w:id="155" w:name="_Toc65665938"/>
      <w:bookmarkStart w:id="156" w:name="_Toc65666117"/>
      <w:bookmarkStart w:id="157" w:name="_Toc65671194"/>
      <w:bookmarkStart w:id="158" w:name="_Toc65671253"/>
      <w:bookmarkStart w:id="159" w:name="_Toc65671909"/>
      <w:bookmarkStart w:id="160" w:name="_Toc65674765"/>
      <w:bookmarkStart w:id="161" w:name="_Toc65676415"/>
      <w:bookmarkStart w:id="162" w:name="_Toc65688252"/>
      <w:bookmarkStart w:id="163" w:name="_Toc66465141"/>
      <w:bookmarkStart w:id="164" w:name="_Toc66465594"/>
      <w:bookmarkStart w:id="165" w:name="_Toc66465653"/>
      <w:bookmarkStart w:id="166" w:name="_Toc66696379"/>
      <w:bookmarkStart w:id="167" w:name="_Toc67665928"/>
      <w:bookmarkStart w:id="168" w:name="_Toc69384712"/>
      <w:bookmarkStart w:id="169" w:name="_Toc69384843"/>
      <w:bookmarkStart w:id="170" w:name="_Toc69384971"/>
      <w:bookmarkStart w:id="171" w:name="_Toc69385099"/>
      <w:bookmarkStart w:id="172" w:name="_Toc69460848"/>
      <w:bookmarkStart w:id="173" w:name="_Toc69460975"/>
      <w:bookmarkStart w:id="174" w:name="_Toc69469911"/>
      <w:bookmarkStart w:id="175" w:name="_Toc69485774"/>
      <w:bookmarkStart w:id="176" w:name="_Toc69487649"/>
      <w:bookmarkStart w:id="177" w:name="_Toc72142239"/>
      <w:bookmarkStart w:id="178" w:name="_Toc72142325"/>
      <w:bookmarkStart w:id="179" w:name="_Toc73090665"/>
      <w:bookmarkStart w:id="180" w:name="_Toc73090748"/>
      <w:bookmarkStart w:id="181" w:name="_Toc73090749"/>
      <w:bookmarkStart w:id="182" w:name="_Ref58337114"/>
      <w:bookmarkStart w:id="183" w:name="_Ref58337116"/>
      <w:bookmarkStart w:id="184" w:name="_Ref58424170"/>
      <w:bookmarkStart w:id="185" w:name="_Ref58688188"/>
      <w:bookmarkStart w:id="186" w:name="_Ref58859220"/>
      <w:bookmarkStart w:id="187" w:name="_Ref58859419"/>
      <w:bookmarkStart w:id="188" w:name="_Ref60739130"/>
      <w:bookmarkStart w:id="189" w:name="_Ref60742845"/>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3C0CD7">
        <w:rPr>
          <w:lang w:val="en-IE"/>
        </w:rPr>
        <w:t xml:space="preserve">Intervention Logic </w:t>
      </w:r>
    </w:p>
    <w:p w14:paraId="14A879E5" w14:textId="57EE6B0F" w:rsidR="00AC5B2D" w:rsidRDefault="00AC5B2D" w:rsidP="004F2475">
      <w:pPr>
        <w:ind w:left="1152"/>
        <w:rPr>
          <w:rFonts w:cs="Times New Roman"/>
          <w:color w:val="0D0D0D" w:themeColor="text1" w:themeTint="F2"/>
          <w:lang w:val="en-IE"/>
        </w:rPr>
      </w:pPr>
      <w:r w:rsidRPr="003C0CD7">
        <w:rPr>
          <w:rFonts w:cs="Times New Roman"/>
          <w:color w:val="0D0D0D" w:themeColor="text1" w:themeTint="F2"/>
          <w:lang w:val="en-IE"/>
        </w:rPr>
        <w:t xml:space="preserve">The </w:t>
      </w:r>
      <w:r w:rsidRPr="00581ACE">
        <w:rPr>
          <w:rFonts w:cs="Times New Roman"/>
          <w:b/>
          <w:bCs/>
          <w:color w:val="0D0D0D" w:themeColor="text1" w:themeTint="F2"/>
          <w:lang w:val="en-IE"/>
        </w:rPr>
        <w:t>Overall Objective</w:t>
      </w:r>
      <w:r w:rsidR="00581ACE">
        <w:rPr>
          <w:rFonts w:cs="Times New Roman"/>
          <w:color w:val="0D0D0D" w:themeColor="text1" w:themeTint="F2"/>
          <w:lang w:val="en-IE"/>
        </w:rPr>
        <w:t xml:space="preserve"> </w:t>
      </w:r>
      <w:r w:rsidR="00581ACE" w:rsidRPr="00581ACE">
        <w:rPr>
          <w:rFonts w:cs="Times New Roman"/>
          <w:b/>
          <w:bCs/>
          <w:color w:val="0D0D0D" w:themeColor="text1" w:themeTint="F2"/>
          <w:lang w:val="en-IE"/>
        </w:rPr>
        <w:t>(</w:t>
      </w:r>
      <w:r w:rsidRPr="00581ACE">
        <w:rPr>
          <w:rFonts w:cs="Times New Roman"/>
          <w:b/>
          <w:bCs/>
          <w:color w:val="0D0D0D" w:themeColor="text1" w:themeTint="F2"/>
          <w:lang w:val="en-IE"/>
        </w:rPr>
        <w:t>Impact)</w:t>
      </w:r>
      <w:r w:rsidRPr="003C0CD7">
        <w:rPr>
          <w:rFonts w:cs="Times New Roman"/>
          <w:color w:val="0D0D0D" w:themeColor="text1" w:themeTint="F2"/>
          <w:lang w:val="en-IE"/>
        </w:rPr>
        <w:t xml:space="preserve"> of this </w:t>
      </w:r>
      <w:r w:rsidR="00581ACE">
        <w:rPr>
          <w:rFonts w:cs="Times New Roman"/>
          <w:color w:val="0D0D0D" w:themeColor="text1" w:themeTint="F2"/>
          <w:lang w:val="en-IE"/>
        </w:rPr>
        <w:t>A</w:t>
      </w:r>
      <w:r w:rsidRPr="003C0CD7">
        <w:rPr>
          <w:rFonts w:cs="Times New Roman"/>
          <w:color w:val="0D0D0D" w:themeColor="text1" w:themeTint="F2"/>
          <w:lang w:val="en-IE"/>
        </w:rPr>
        <w:t xml:space="preserve">ction </w:t>
      </w:r>
      <w:r w:rsidR="00581ACE">
        <w:rPr>
          <w:rFonts w:cs="Times New Roman"/>
          <w:color w:val="0D0D0D" w:themeColor="text1" w:themeTint="F2"/>
          <w:lang w:val="en-IE"/>
        </w:rPr>
        <w:t>is:</w:t>
      </w:r>
      <w:r w:rsidRPr="003C0CD7">
        <w:rPr>
          <w:rFonts w:cs="Times New Roman"/>
          <w:color w:val="0D0D0D" w:themeColor="text1" w:themeTint="F2"/>
          <w:lang w:val="en-IE"/>
        </w:rPr>
        <w:t xml:space="preserve">  </w:t>
      </w:r>
    </w:p>
    <w:p w14:paraId="693090B9" w14:textId="708DF31E" w:rsidR="00AC5B2D" w:rsidRDefault="00AC5B2D" w:rsidP="004F2475">
      <w:pPr>
        <w:ind w:left="1152"/>
        <w:rPr>
          <w:rFonts w:cs="Times New Roman"/>
          <w:color w:val="0D0D0D" w:themeColor="text1" w:themeTint="F2"/>
          <w:szCs w:val="24"/>
        </w:rPr>
      </w:pPr>
    </w:p>
    <w:p w14:paraId="10B4A97B" w14:textId="4B32E6CB" w:rsidR="00581ACE" w:rsidRDefault="00581ACE" w:rsidP="00497F73">
      <w:pPr>
        <w:ind w:left="1440"/>
        <w:rPr>
          <w:rFonts w:cs="Times New Roman"/>
          <w:i/>
          <w:iCs/>
          <w:color w:val="0D0D0D" w:themeColor="text1" w:themeTint="F2"/>
        </w:rPr>
      </w:pPr>
      <w:r>
        <w:rPr>
          <w:rFonts w:cs="Times New Roman"/>
          <w:i/>
          <w:iCs/>
          <w:color w:val="0D0D0D" w:themeColor="text1" w:themeTint="F2"/>
        </w:rPr>
        <w:t>To improve the security architecture of North Macedonia.</w:t>
      </w:r>
    </w:p>
    <w:p w14:paraId="7ACCC485" w14:textId="1C9C2D29" w:rsidR="00581ACE" w:rsidRDefault="00581ACE" w:rsidP="004F2475">
      <w:pPr>
        <w:ind w:left="1152"/>
        <w:rPr>
          <w:rFonts w:cs="Times New Roman"/>
          <w:i/>
          <w:iCs/>
          <w:color w:val="0D0D0D" w:themeColor="text1" w:themeTint="F2"/>
        </w:rPr>
      </w:pPr>
    </w:p>
    <w:p w14:paraId="456969FE" w14:textId="7F748D3C" w:rsidR="009C4AE0" w:rsidRDefault="00AC5B2D" w:rsidP="004F2475">
      <w:pPr>
        <w:ind w:left="1152"/>
        <w:rPr>
          <w:rFonts w:cs="Times New Roman"/>
          <w:color w:val="0D0D0D" w:themeColor="text1" w:themeTint="F2"/>
          <w:lang w:val="en-IE"/>
        </w:rPr>
      </w:pPr>
      <w:r w:rsidRPr="003C0CD7">
        <w:rPr>
          <w:rFonts w:cs="Times New Roman"/>
          <w:color w:val="0D0D0D" w:themeColor="text1" w:themeTint="F2"/>
          <w:lang w:val="en-IE"/>
        </w:rPr>
        <w:t xml:space="preserve">The </w:t>
      </w:r>
      <w:r w:rsidRPr="005A1AFD">
        <w:rPr>
          <w:rFonts w:cs="Times New Roman"/>
          <w:b/>
          <w:bCs/>
          <w:color w:val="0D0D0D" w:themeColor="text1" w:themeTint="F2"/>
          <w:lang w:val="en-IE"/>
        </w:rPr>
        <w:t>Specific Objective (Outcome)</w:t>
      </w:r>
      <w:r w:rsidRPr="003C0CD7">
        <w:rPr>
          <w:rFonts w:cs="Times New Roman"/>
          <w:color w:val="0D0D0D" w:themeColor="text1" w:themeTint="F2"/>
          <w:lang w:val="en-IE"/>
        </w:rPr>
        <w:t xml:space="preserve"> of this </w:t>
      </w:r>
      <w:r w:rsidR="005A1AFD">
        <w:rPr>
          <w:rFonts w:cs="Times New Roman"/>
          <w:color w:val="0D0D0D" w:themeColor="text1" w:themeTint="F2"/>
          <w:lang w:val="en-IE"/>
        </w:rPr>
        <w:t>A</w:t>
      </w:r>
      <w:r w:rsidRPr="003C0CD7">
        <w:rPr>
          <w:rFonts w:cs="Times New Roman"/>
          <w:color w:val="0D0D0D" w:themeColor="text1" w:themeTint="F2"/>
          <w:lang w:val="en-IE"/>
        </w:rPr>
        <w:t xml:space="preserve">ction </w:t>
      </w:r>
      <w:r w:rsidRPr="009C4AE0">
        <w:rPr>
          <w:rFonts w:cs="Times New Roman"/>
          <w:color w:val="0D0D0D" w:themeColor="text1" w:themeTint="F2"/>
          <w:lang w:val="en-IE"/>
        </w:rPr>
        <w:t>is</w:t>
      </w:r>
      <w:r w:rsidR="009C4AE0">
        <w:rPr>
          <w:rFonts w:cs="Times New Roman"/>
          <w:color w:val="0D0D0D" w:themeColor="text1" w:themeTint="F2"/>
          <w:lang w:val="en-IE"/>
        </w:rPr>
        <w:t>:</w:t>
      </w:r>
    </w:p>
    <w:p w14:paraId="072D0777" w14:textId="136FDC77" w:rsidR="00AC5B2D" w:rsidRPr="003C0CD7" w:rsidRDefault="00AC5B2D" w:rsidP="004F2475">
      <w:pPr>
        <w:ind w:left="1152"/>
        <w:rPr>
          <w:rFonts w:cs="Times New Roman"/>
          <w:color w:val="0D0D0D" w:themeColor="text1" w:themeTint="F2"/>
          <w:lang w:val="en-IE"/>
        </w:rPr>
      </w:pPr>
      <w:r w:rsidRPr="003C0CD7">
        <w:rPr>
          <w:rFonts w:cs="Times New Roman"/>
          <w:color w:val="0D0D0D" w:themeColor="text1" w:themeTint="F2"/>
          <w:lang w:val="en-IE"/>
        </w:rPr>
        <w:t xml:space="preserve"> </w:t>
      </w:r>
    </w:p>
    <w:p w14:paraId="0D935D19" w14:textId="75819A4D" w:rsidR="00366A09" w:rsidRPr="00685B56" w:rsidRDefault="006E38D7" w:rsidP="00497F73">
      <w:pPr>
        <w:ind w:left="1440"/>
        <w:rPr>
          <w:rFonts w:cs="Times New Roman"/>
          <w:i/>
          <w:iCs/>
          <w:color w:val="0D0D0D" w:themeColor="text1" w:themeTint="F2"/>
          <w:lang w:val="en-IE"/>
        </w:rPr>
      </w:pPr>
      <w:r w:rsidRPr="00685B56">
        <w:rPr>
          <w:rFonts w:cs="Times New Roman"/>
          <w:i/>
          <w:iCs/>
          <w:color w:val="0D0D0D" w:themeColor="text1" w:themeTint="F2"/>
          <w:lang w:val="en-IE"/>
        </w:rPr>
        <w:t xml:space="preserve">To strengthen the </w:t>
      </w:r>
      <w:r w:rsidR="00366A09" w:rsidRPr="00685B56">
        <w:rPr>
          <w:rFonts w:cs="Times New Roman"/>
          <w:i/>
          <w:iCs/>
          <w:color w:val="0D0D0D" w:themeColor="text1" w:themeTint="F2"/>
          <w:lang w:val="en-IE"/>
        </w:rPr>
        <w:t xml:space="preserve">state response to security threats and risks, posed by cyber-crime, organised crime, terrorism, </w:t>
      </w:r>
      <w:r w:rsidR="00366A09" w:rsidRPr="00497F73">
        <w:rPr>
          <w:i/>
        </w:rPr>
        <w:t xml:space="preserve">radicalisation and violent extremism. </w:t>
      </w:r>
    </w:p>
    <w:p w14:paraId="282C5CD4" w14:textId="77777777" w:rsidR="00AC5B2D" w:rsidRDefault="00AC5B2D" w:rsidP="00497F73">
      <w:pPr>
        <w:ind w:left="1440"/>
        <w:rPr>
          <w:rFonts w:cs="Times New Roman"/>
          <w:color w:val="0D0D0D" w:themeColor="text1" w:themeTint="F2"/>
          <w:lang w:val="en-IE"/>
        </w:rPr>
      </w:pPr>
    </w:p>
    <w:p w14:paraId="6F3C3219" w14:textId="49E03D3E" w:rsidR="008D31BE" w:rsidRDefault="005A1AFD" w:rsidP="004F2475">
      <w:pPr>
        <w:ind w:left="1152"/>
        <w:rPr>
          <w:rFonts w:cs="Times New Roman"/>
          <w:color w:val="0D0D0D" w:themeColor="text1" w:themeTint="F2"/>
          <w:szCs w:val="24"/>
        </w:rPr>
      </w:pPr>
      <w:r>
        <w:rPr>
          <w:rFonts w:cs="Times New Roman"/>
          <w:color w:val="0D0D0D" w:themeColor="text1" w:themeTint="F2"/>
          <w:szCs w:val="24"/>
        </w:rPr>
        <w:t>This Outcome will be achieved through the delivery of the following outputs:</w:t>
      </w:r>
    </w:p>
    <w:p w14:paraId="3A9A4845" w14:textId="77777777" w:rsidR="00B902CC" w:rsidRDefault="00B902CC" w:rsidP="004F2475">
      <w:pPr>
        <w:ind w:left="1152"/>
        <w:rPr>
          <w:rFonts w:cs="Times New Roman"/>
          <w:color w:val="0D0D0D" w:themeColor="text1" w:themeTint="F2"/>
          <w:szCs w:val="24"/>
        </w:rPr>
      </w:pPr>
    </w:p>
    <w:p w14:paraId="0E478D91" w14:textId="1CA5B8D4" w:rsidR="00673D66" w:rsidRDefault="008D31BE" w:rsidP="00497F73">
      <w:pPr>
        <w:ind w:left="1440"/>
        <w:rPr>
          <w:rFonts w:cs="Times New Roman"/>
          <w:i/>
          <w:color w:val="0D0D0D" w:themeColor="text1" w:themeTint="F2"/>
          <w:szCs w:val="24"/>
        </w:rPr>
      </w:pPr>
      <w:r w:rsidRPr="00497F73">
        <w:rPr>
          <w:rFonts w:cs="Times New Roman"/>
          <w:b/>
          <w:i/>
          <w:color w:val="0D0D0D" w:themeColor="text1" w:themeTint="F2"/>
          <w:szCs w:val="24"/>
        </w:rPr>
        <w:t>Output</w:t>
      </w:r>
      <w:r w:rsidR="005A1AFD" w:rsidRPr="00497F73">
        <w:rPr>
          <w:rFonts w:cs="Times New Roman"/>
          <w:b/>
          <w:i/>
          <w:color w:val="0D0D0D" w:themeColor="text1" w:themeTint="F2"/>
          <w:szCs w:val="24"/>
        </w:rPr>
        <w:t xml:space="preserve"> </w:t>
      </w:r>
      <w:r w:rsidR="005A1AFD" w:rsidRPr="00497F73">
        <w:rPr>
          <w:rFonts w:cs="Times New Roman"/>
          <w:b/>
          <w:bCs/>
          <w:i/>
          <w:color w:val="0D0D0D" w:themeColor="text1" w:themeTint="F2"/>
          <w:szCs w:val="24"/>
        </w:rPr>
        <w:t>1.1</w:t>
      </w:r>
      <w:r w:rsidR="005A1AFD" w:rsidRPr="00497F73">
        <w:rPr>
          <w:rFonts w:cs="Times New Roman"/>
          <w:i/>
          <w:color w:val="0D0D0D" w:themeColor="text1" w:themeTint="F2"/>
          <w:szCs w:val="24"/>
        </w:rPr>
        <w:t xml:space="preserve"> </w:t>
      </w:r>
      <w:r w:rsidR="002C51A9" w:rsidRPr="00497F73">
        <w:rPr>
          <w:rFonts w:cs="Times New Roman"/>
          <w:i/>
          <w:color w:val="0D0D0D" w:themeColor="text1" w:themeTint="F2"/>
          <w:szCs w:val="24"/>
        </w:rPr>
        <w:t xml:space="preserve">Introduced operational tools for </w:t>
      </w:r>
      <w:r w:rsidR="00673D66">
        <w:rPr>
          <w:rFonts w:cs="Times New Roman"/>
          <w:i/>
          <w:color w:val="0D0D0D" w:themeColor="text1" w:themeTint="F2"/>
          <w:szCs w:val="24"/>
        </w:rPr>
        <w:t>improving</w:t>
      </w:r>
      <w:r w:rsidR="002C51A9" w:rsidRPr="00497F73">
        <w:rPr>
          <w:rFonts w:cs="Times New Roman"/>
          <w:i/>
          <w:color w:val="0D0D0D" w:themeColor="text1" w:themeTint="F2"/>
          <w:szCs w:val="24"/>
        </w:rPr>
        <w:t xml:space="preserve"> cyber</w:t>
      </w:r>
      <w:r w:rsidR="00673D66">
        <w:rPr>
          <w:rFonts w:cs="Times New Roman"/>
          <w:i/>
          <w:color w:val="0D0D0D" w:themeColor="text1" w:themeTint="F2"/>
          <w:szCs w:val="24"/>
        </w:rPr>
        <w:t>-</w:t>
      </w:r>
      <w:r w:rsidR="00590444">
        <w:rPr>
          <w:rFonts w:cs="Times New Roman"/>
          <w:i/>
          <w:color w:val="0D0D0D" w:themeColor="text1" w:themeTint="F2"/>
          <w:szCs w:val="24"/>
        </w:rPr>
        <w:t>security and</w:t>
      </w:r>
      <w:r w:rsidR="00C22491" w:rsidRPr="00C22491">
        <w:rPr>
          <w:rFonts w:cs="Times New Roman"/>
          <w:i/>
          <w:color w:val="0D0D0D" w:themeColor="text1" w:themeTint="F2"/>
          <w:szCs w:val="24"/>
        </w:rPr>
        <w:t xml:space="preserve"> </w:t>
      </w:r>
      <w:r w:rsidR="00673D66">
        <w:rPr>
          <w:rFonts w:cs="Times New Roman"/>
          <w:i/>
          <w:color w:val="0D0D0D" w:themeColor="text1" w:themeTint="F2"/>
          <w:szCs w:val="24"/>
        </w:rPr>
        <w:t>resilience</w:t>
      </w:r>
      <w:r w:rsidR="00C22491" w:rsidRPr="00C22491">
        <w:rPr>
          <w:rFonts w:cs="Times New Roman"/>
          <w:i/>
          <w:color w:val="0D0D0D" w:themeColor="text1" w:themeTint="F2"/>
          <w:szCs w:val="24"/>
        </w:rPr>
        <w:t xml:space="preserve"> </w:t>
      </w:r>
      <w:r w:rsidR="00B902CC">
        <w:rPr>
          <w:rFonts w:cs="Times New Roman"/>
          <w:i/>
          <w:color w:val="0D0D0D" w:themeColor="text1" w:themeTint="F2"/>
          <w:szCs w:val="24"/>
        </w:rPr>
        <w:t>and</w:t>
      </w:r>
      <w:r w:rsidR="00C22491" w:rsidRPr="00C22491">
        <w:rPr>
          <w:rFonts w:cs="Times New Roman"/>
          <w:i/>
          <w:color w:val="0D0D0D" w:themeColor="text1" w:themeTint="F2"/>
          <w:szCs w:val="24"/>
        </w:rPr>
        <w:t xml:space="preserve"> respond</w:t>
      </w:r>
      <w:r w:rsidR="00673D66">
        <w:rPr>
          <w:rFonts w:cs="Times New Roman"/>
          <w:i/>
          <w:color w:val="0D0D0D" w:themeColor="text1" w:themeTint="F2"/>
          <w:szCs w:val="24"/>
        </w:rPr>
        <w:t>ing</w:t>
      </w:r>
      <w:r w:rsidR="00C22491" w:rsidRPr="00C22491">
        <w:rPr>
          <w:rFonts w:cs="Times New Roman"/>
          <w:i/>
          <w:color w:val="0D0D0D" w:themeColor="text1" w:themeTint="F2"/>
          <w:szCs w:val="24"/>
        </w:rPr>
        <w:t xml:space="preserve"> effectively to </w:t>
      </w:r>
      <w:r w:rsidR="00673D66" w:rsidRPr="00C22491">
        <w:rPr>
          <w:rFonts w:cs="Times New Roman"/>
          <w:i/>
          <w:color w:val="0D0D0D" w:themeColor="text1" w:themeTint="F2"/>
          <w:szCs w:val="24"/>
        </w:rPr>
        <w:t>cyber</w:t>
      </w:r>
      <w:r w:rsidR="00673D66">
        <w:rPr>
          <w:rFonts w:cs="Times New Roman"/>
          <w:i/>
          <w:color w:val="0D0D0D" w:themeColor="text1" w:themeTint="F2"/>
          <w:szCs w:val="24"/>
        </w:rPr>
        <w:t>-</w:t>
      </w:r>
      <w:r w:rsidR="00673D66" w:rsidRPr="00C22491">
        <w:rPr>
          <w:rFonts w:cs="Times New Roman"/>
          <w:i/>
          <w:color w:val="0D0D0D" w:themeColor="text1" w:themeTint="F2"/>
          <w:szCs w:val="24"/>
        </w:rPr>
        <w:t>attacks</w:t>
      </w:r>
      <w:r w:rsidR="00673D66">
        <w:rPr>
          <w:rFonts w:cs="Times New Roman"/>
          <w:i/>
          <w:color w:val="0D0D0D" w:themeColor="text1" w:themeTint="F2"/>
          <w:szCs w:val="24"/>
        </w:rPr>
        <w:t xml:space="preserve">, </w:t>
      </w:r>
      <w:r w:rsidR="00C22491" w:rsidRPr="00C22491">
        <w:rPr>
          <w:rFonts w:cs="Times New Roman"/>
          <w:i/>
          <w:color w:val="0D0D0D" w:themeColor="text1" w:themeTint="F2"/>
          <w:szCs w:val="24"/>
        </w:rPr>
        <w:t>challenges and risks</w:t>
      </w:r>
    </w:p>
    <w:p w14:paraId="33D61B45" w14:textId="1CB0603B" w:rsidR="00CF6FD5" w:rsidRPr="00497F73" w:rsidRDefault="00CF6FD5" w:rsidP="00497F73">
      <w:pPr>
        <w:ind w:left="1440"/>
        <w:rPr>
          <w:rFonts w:cs="Times New Roman"/>
          <w:i/>
          <w:color w:val="0D0D0D" w:themeColor="text1" w:themeTint="F2"/>
          <w:szCs w:val="24"/>
        </w:rPr>
      </w:pPr>
    </w:p>
    <w:p w14:paraId="1D1E6325" w14:textId="2B2BB6C3" w:rsidR="00B902CC" w:rsidRDefault="005A1AFD">
      <w:pPr>
        <w:ind w:left="1440"/>
        <w:rPr>
          <w:rFonts w:cs="Times New Roman"/>
          <w:color w:val="0D0D0D" w:themeColor="text1" w:themeTint="F2"/>
          <w:szCs w:val="24"/>
        </w:rPr>
      </w:pPr>
      <w:r w:rsidRPr="00497F73">
        <w:rPr>
          <w:rFonts w:cs="Times New Roman"/>
          <w:b/>
          <w:bCs/>
          <w:i/>
          <w:color w:val="0D0D0D" w:themeColor="text1" w:themeTint="F2"/>
          <w:szCs w:val="24"/>
        </w:rPr>
        <w:t xml:space="preserve">Output </w:t>
      </w:r>
      <w:r w:rsidR="00C265A2" w:rsidRPr="00497F73">
        <w:rPr>
          <w:rFonts w:cs="Times New Roman"/>
          <w:b/>
          <w:bCs/>
          <w:i/>
          <w:color w:val="0D0D0D" w:themeColor="text1" w:themeTint="F2"/>
          <w:szCs w:val="24"/>
        </w:rPr>
        <w:t>1.2</w:t>
      </w:r>
      <w:r w:rsidRPr="00497F73">
        <w:rPr>
          <w:rFonts w:cs="Times New Roman"/>
          <w:b/>
          <w:bCs/>
          <w:i/>
          <w:color w:val="0D0D0D" w:themeColor="text1" w:themeTint="F2"/>
          <w:szCs w:val="24"/>
        </w:rPr>
        <w:t xml:space="preserve"> </w:t>
      </w:r>
      <w:r w:rsidR="0043376F" w:rsidRPr="00497F73">
        <w:rPr>
          <w:rFonts w:cs="Times New Roman"/>
          <w:i/>
          <w:color w:val="0D0D0D" w:themeColor="text1" w:themeTint="F2"/>
          <w:szCs w:val="24"/>
        </w:rPr>
        <w:t>Strengthened capabilities of the police and law enforcement agencies to combat and prevent crime, terrorism and radicalisation</w:t>
      </w:r>
      <w:r w:rsidR="00B902CC">
        <w:rPr>
          <w:rFonts w:cs="Times New Roman"/>
          <w:i/>
          <w:color w:val="0D0D0D" w:themeColor="text1" w:themeTint="F2"/>
          <w:szCs w:val="24"/>
        </w:rPr>
        <w:t xml:space="preserve"> and </w:t>
      </w:r>
      <w:r w:rsidR="0043376F" w:rsidRPr="00497F73">
        <w:rPr>
          <w:rFonts w:cs="Times New Roman"/>
          <w:i/>
          <w:color w:val="0D0D0D" w:themeColor="text1" w:themeTint="F2"/>
          <w:szCs w:val="24"/>
        </w:rPr>
        <w:t>manage security-related incidents, risks and crises</w:t>
      </w:r>
    </w:p>
    <w:p w14:paraId="17BCF0F7" w14:textId="77777777" w:rsidR="00A71AE6" w:rsidRPr="005A1AFD" w:rsidRDefault="00A71AE6" w:rsidP="00497F73">
      <w:pPr>
        <w:ind w:left="1440"/>
        <w:rPr>
          <w:rFonts w:cs="Times New Roman"/>
          <w:b/>
          <w:bCs/>
          <w:color w:val="0D0D0D" w:themeColor="text1" w:themeTint="F2"/>
          <w:szCs w:val="24"/>
        </w:rPr>
      </w:pPr>
    </w:p>
    <w:p w14:paraId="6A9132BF" w14:textId="77777777" w:rsidR="00C60BF9" w:rsidRPr="003C0CD7" w:rsidRDefault="00C60BF9" w:rsidP="00C265A2">
      <w:pPr>
        <w:pStyle w:val="Heading1"/>
        <w:numPr>
          <w:ilvl w:val="1"/>
          <w:numId w:val="1"/>
        </w:numPr>
        <w:ind w:left="993" w:hanging="284"/>
        <w:rPr>
          <w:lang w:val="en-IE"/>
        </w:rPr>
      </w:pPr>
      <w:bookmarkStart w:id="190" w:name="_Ref58424572"/>
      <w:bookmarkStart w:id="191" w:name="_Toc73090752"/>
      <w:bookmarkEnd w:id="181"/>
      <w:r w:rsidRPr="003C0CD7">
        <w:rPr>
          <w:lang w:val="en-IE"/>
        </w:rPr>
        <w:t>Indicative Activities</w:t>
      </w:r>
      <w:bookmarkEnd w:id="190"/>
      <w:bookmarkEnd w:id="191"/>
    </w:p>
    <w:p w14:paraId="28EA0910" w14:textId="4B211AFA" w:rsidR="00120208" w:rsidRPr="003C0CD7" w:rsidRDefault="00120208" w:rsidP="0023277A">
      <w:pPr>
        <w:ind w:left="720"/>
        <w:rPr>
          <w:rFonts w:cs="Times New Roman"/>
          <w:color w:val="0D0D0D" w:themeColor="text1" w:themeTint="F2"/>
          <w:lang w:val="en-IE"/>
        </w:rPr>
      </w:pPr>
      <w:r>
        <w:rPr>
          <w:lang w:val="en-IE"/>
        </w:rPr>
        <w:t xml:space="preserve">The Action will </w:t>
      </w:r>
      <w:r w:rsidR="002D1EF5">
        <w:rPr>
          <w:lang w:val="en-IE"/>
        </w:rPr>
        <w:t xml:space="preserve">be </w:t>
      </w:r>
      <w:r>
        <w:rPr>
          <w:lang w:val="en-IE"/>
        </w:rPr>
        <w:t>implemented through the following main activities:</w:t>
      </w:r>
    </w:p>
    <w:p w14:paraId="356A73B8" w14:textId="77777777" w:rsidR="00120208" w:rsidRDefault="00120208" w:rsidP="0023277A">
      <w:pPr>
        <w:ind w:left="720"/>
        <w:rPr>
          <w:lang w:val="en-IE"/>
        </w:rPr>
      </w:pPr>
    </w:p>
    <w:p w14:paraId="5F2078D3" w14:textId="6E010201" w:rsidR="002C51A9" w:rsidRDefault="00120208">
      <w:pPr>
        <w:ind w:left="720"/>
        <w:rPr>
          <w:rFonts w:cs="Times New Roman"/>
          <w:b/>
          <w:color w:val="0D0D0D" w:themeColor="text1" w:themeTint="F2"/>
          <w:szCs w:val="24"/>
        </w:rPr>
      </w:pPr>
      <w:r w:rsidRPr="000173FC">
        <w:rPr>
          <w:b/>
          <w:bCs/>
          <w:lang w:val="en-IE"/>
        </w:rPr>
        <w:t xml:space="preserve">Output 1.1 </w:t>
      </w:r>
      <w:r w:rsidR="002C51A9" w:rsidRPr="00497F73">
        <w:rPr>
          <w:rFonts w:cs="Times New Roman"/>
          <w:b/>
          <w:color w:val="0D0D0D" w:themeColor="text1" w:themeTint="F2"/>
          <w:szCs w:val="24"/>
        </w:rPr>
        <w:t xml:space="preserve">Introduced operational tools for </w:t>
      </w:r>
      <w:r w:rsidR="00113846">
        <w:rPr>
          <w:rFonts w:cs="Times New Roman"/>
          <w:b/>
          <w:color w:val="0D0D0D" w:themeColor="text1" w:themeTint="F2"/>
          <w:szCs w:val="24"/>
        </w:rPr>
        <w:t>strengthening</w:t>
      </w:r>
      <w:r w:rsidR="002C51A9" w:rsidRPr="00497F73">
        <w:rPr>
          <w:rFonts w:cs="Times New Roman"/>
          <w:b/>
          <w:color w:val="0D0D0D" w:themeColor="text1" w:themeTint="F2"/>
          <w:szCs w:val="24"/>
        </w:rPr>
        <w:t xml:space="preserve"> cyber</w:t>
      </w:r>
      <w:r w:rsidR="003A705B">
        <w:rPr>
          <w:rFonts w:cs="Times New Roman"/>
          <w:b/>
          <w:color w:val="0D0D0D" w:themeColor="text1" w:themeTint="F2"/>
          <w:szCs w:val="24"/>
        </w:rPr>
        <w:t>security</w:t>
      </w:r>
      <w:r w:rsidR="00113846">
        <w:rPr>
          <w:rFonts w:cs="Times New Roman"/>
          <w:b/>
          <w:color w:val="0D0D0D" w:themeColor="text1" w:themeTint="F2"/>
          <w:szCs w:val="24"/>
        </w:rPr>
        <w:t xml:space="preserve"> and cyber resilience</w:t>
      </w:r>
      <w:r w:rsidR="002C51A9" w:rsidRPr="00497F73">
        <w:rPr>
          <w:rFonts w:cs="Times New Roman"/>
          <w:b/>
          <w:color w:val="0D0D0D" w:themeColor="text1" w:themeTint="F2"/>
          <w:szCs w:val="24"/>
        </w:rPr>
        <w:t>.</w:t>
      </w:r>
      <w:r w:rsidR="003A705B">
        <w:rPr>
          <w:rFonts w:cs="Times New Roman"/>
          <w:b/>
          <w:color w:val="0D0D0D" w:themeColor="text1" w:themeTint="F2"/>
          <w:szCs w:val="24"/>
        </w:rPr>
        <w:t xml:space="preserve">  </w:t>
      </w:r>
    </w:p>
    <w:p w14:paraId="1DF44BAA" w14:textId="77777777" w:rsidR="002C51A9" w:rsidRDefault="002C51A9">
      <w:pPr>
        <w:ind w:left="720"/>
        <w:rPr>
          <w:b/>
          <w:bCs/>
        </w:rPr>
      </w:pPr>
    </w:p>
    <w:p w14:paraId="257A6C18" w14:textId="37B6C644" w:rsidR="003A705B" w:rsidRDefault="002C51A9" w:rsidP="003A705B">
      <w:pPr>
        <w:ind w:left="720"/>
        <w:rPr>
          <w:rFonts w:cs="Times New Roman"/>
          <w:b/>
          <w:color w:val="0D0D0D" w:themeColor="text1" w:themeTint="F2"/>
          <w:szCs w:val="24"/>
        </w:rPr>
      </w:pPr>
      <w:r w:rsidRPr="00497F73">
        <w:rPr>
          <w:bCs/>
        </w:rPr>
        <w:t xml:space="preserve">The action will provide </w:t>
      </w:r>
      <w:r w:rsidRPr="003A4418">
        <w:rPr>
          <w:rFonts w:cs="Times New Roman"/>
        </w:rPr>
        <w:t xml:space="preserve">advisory and capacity building support </w:t>
      </w:r>
      <w:r w:rsidR="00B73DF6" w:rsidRPr="003A4418">
        <w:rPr>
          <w:rFonts w:cs="Times New Roman"/>
        </w:rPr>
        <w:t>from EU Member states, on peer-to-peer basis, encompassing</w:t>
      </w:r>
      <w:r w:rsidR="00A43557">
        <w:rPr>
          <w:rFonts w:cs="Times New Roman"/>
          <w:b/>
          <w:color w:val="0D0D0D" w:themeColor="text1" w:themeTint="F2"/>
          <w:szCs w:val="24"/>
        </w:rPr>
        <w:t>:</w:t>
      </w:r>
    </w:p>
    <w:p w14:paraId="7A0812A2" w14:textId="2F9EF099" w:rsidR="007653D2" w:rsidRPr="00B44FA6" w:rsidRDefault="00E31327" w:rsidP="00497F73">
      <w:pPr>
        <w:pStyle w:val="ListParagraph"/>
        <w:numPr>
          <w:ilvl w:val="0"/>
          <w:numId w:val="25"/>
        </w:numPr>
        <w:spacing w:before="120"/>
        <w:contextualSpacing w:val="0"/>
        <w:rPr>
          <w:strike/>
        </w:rPr>
      </w:pPr>
      <w:r>
        <w:t xml:space="preserve">Establishment and building the capacity of a National Operational Centre to coordinate all cyber activities, including active cyber prevention and effective response to cyber threats. </w:t>
      </w:r>
    </w:p>
    <w:p w14:paraId="592A7D09" w14:textId="57CFABB0" w:rsidR="00120208" w:rsidRPr="00497F73" w:rsidRDefault="00120208" w:rsidP="00497F73">
      <w:pPr>
        <w:pStyle w:val="ListParagraph"/>
        <w:numPr>
          <w:ilvl w:val="0"/>
          <w:numId w:val="25"/>
        </w:numPr>
        <w:spacing w:before="120"/>
        <w:contextualSpacing w:val="0"/>
        <w:rPr>
          <w:rFonts w:cs="Times New Roman"/>
        </w:rPr>
      </w:pPr>
      <w:r w:rsidRPr="007653D2">
        <w:rPr>
          <w:rFonts w:cs="Times New Roman"/>
        </w:rPr>
        <w:t>Develop</w:t>
      </w:r>
      <w:r w:rsidR="00B73DF6" w:rsidRPr="007653D2">
        <w:rPr>
          <w:rFonts w:cs="Times New Roman"/>
        </w:rPr>
        <w:t xml:space="preserve">ment </w:t>
      </w:r>
      <w:r w:rsidR="00B73DF6" w:rsidRPr="00420318">
        <w:rPr>
          <w:rFonts w:cs="Times New Roman"/>
        </w:rPr>
        <w:t>of</w:t>
      </w:r>
      <w:r w:rsidRPr="00497F73">
        <w:rPr>
          <w:rFonts w:cs="Times New Roman"/>
        </w:rPr>
        <w:t xml:space="preserve"> national procedures to manage incidents </w:t>
      </w:r>
      <w:r w:rsidR="00B73DF6" w:rsidRPr="00497F73">
        <w:rPr>
          <w:rFonts w:cs="Times New Roman"/>
        </w:rPr>
        <w:t>in times of peace, crisis, and state of emergency</w:t>
      </w:r>
      <w:r w:rsidR="00067493" w:rsidRPr="00497F73">
        <w:rPr>
          <w:rFonts w:cs="Times New Roman"/>
        </w:rPr>
        <w:t xml:space="preserve"> and</w:t>
      </w:r>
      <w:r w:rsidR="00B73DF6" w:rsidRPr="00497F73">
        <w:rPr>
          <w:rFonts w:cs="Times New Roman"/>
        </w:rPr>
        <w:t xml:space="preserve"> </w:t>
      </w:r>
      <w:r w:rsidR="00067493" w:rsidRPr="00497F73">
        <w:rPr>
          <w:rFonts w:cs="Times New Roman"/>
        </w:rPr>
        <w:t xml:space="preserve">development of communication guidelines in cases of cyber incidents and establishing standards for public communication. </w:t>
      </w:r>
      <w:r w:rsidR="00B73DF6" w:rsidRPr="00497F73">
        <w:rPr>
          <w:rFonts w:cs="Times New Roman"/>
        </w:rPr>
        <w:t xml:space="preserve">The procedures will ensure </w:t>
      </w:r>
      <w:r w:rsidRPr="00497F73">
        <w:rPr>
          <w:rFonts w:cs="Times New Roman"/>
        </w:rPr>
        <w:t xml:space="preserve">efficient </w:t>
      </w:r>
      <w:r w:rsidR="00B73DF6" w:rsidRPr="00497F73">
        <w:rPr>
          <w:rFonts w:cs="Times New Roman"/>
        </w:rPr>
        <w:t xml:space="preserve">and effective </w:t>
      </w:r>
      <w:r w:rsidRPr="00497F73">
        <w:rPr>
          <w:rFonts w:cs="Times New Roman"/>
        </w:rPr>
        <w:t>intra-institutional cooperation</w:t>
      </w:r>
      <w:r w:rsidR="00B73DF6" w:rsidRPr="00497F73">
        <w:rPr>
          <w:rFonts w:cs="Times New Roman"/>
        </w:rPr>
        <w:t>, based on clear roles and engagement.</w:t>
      </w:r>
      <w:r w:rsidR="00AC0391" w:rsidRPr="00497F73">
        <w:rPr>
          <w:rFonts w:cs="Times New Roman"/>
        </w:rPr>
        <w:t xml:space="preserve"> E</w:t>
      </w:r>
      <w:r w:rsidRPr="00497F73">
        <w:rPr>
          <w:rFonts w:cs="Times New Roman"/>
        </w:rPr>
        <w:t xml:space="preserve">very institution </w:t>
      </w:r>
      <w:r w:rsidR="00B73DF6" w:rsidRPr="00497F73">
        <w:rPr>
          <w:rFonts w:cs="Times New Roman"/>
        </w:rPr>
        <w:t xml:space="preserve">will have </w:t>
      </w:r>
      <w:r w:rsidRPr="00497F73">
        <w:rPr>
          <w:rFonts w:cs="Times New Roman"/>
        </w:rPr>
        <w:t>a pre-defined role and will employ appropriate protocols and procedures for information exchange, communication, and coordination.</w:t>
      </w:r>
      <w:r w:rsidR="00067493" w:rsidRPr="00497F73">
        <w:rPr>
          <w:rFonts w:cs="Times New Roman"/>
        </w:rPr>
        <w:t xml:space="preserve"> </w:t>
      </w:r>
    </w:p>
    <w:p w14:paraId="3E16D925" w14:textId="5C62B6BA" w:rsidR="003660E9" w:rsidRDefault="00AC0391">
      <w:pPr>
        <w:pStyle w:val="ListParagraph"/>
        <w:numPr>
          <w:ilvl w:val="0"/>
          <w:numId w:val="16"/>
        </w:numPr>
        <w:shd w:val="clear" w:color="auto" w:fill="FFFFFF" w:themeFill="background1"/>
        <w:autoSpaceDE w:val="0"/>
        <w:autoSpaceDN w:val="0"/>
        <w:adjustRightInd w:val="0"/>
        <w:spacing w:before="120"/>
        <w:ind w:left="1434" w:hanging="357"/>
        <w:contextualSpacing w:val="0"/>
        <w:rPr>
          <w:rFonts w:cs="Times New Roman"/>
        </w:rPr>
      </w:pPr>
      <w:r>
        <w:rPr>
          <w:rFonts w:cs="Times New Roman"/>
        </w:rPr>
        <w:t>Development of the</w:t>
      </w:r>
      <w:r w:rsidR="00E31327">
        <w:rPr>
          <w:rFonts w:cs="Times New Roman"/>
        </w:rPr>
        <w:t xml:space="preserve"> methodological basis for cyber</w:t>
      </w:r>
      <w:r w:rsidR="003A705B">
        <w:rPr>
          <w:rFonts w:cs="Times New Roman"/>
        </w:rPr>
        <w:t>security</w:t>
      </w:r>
      <w:r>
        <w:rPr>
          <w:rFonts w:cs="Times New Roman"/>
        </w:rPr>
        <w:t xml:space="preserve"> prevention and reaction including instructions </w:t>
      </w:r>
      <w:r w:rsidR="003660E9">
        <w:rPr>
          <w:rFonts w:cs="Times New Roman"/>
        </w:rPr>
        <w:t>and guidelines in case of cyber incidents and cyber crises</w:t>
      </w:r>
      <w:r w:rsidR="00E31327">
        <w:rPr>
          <w:rFonts w:cs="Times New Roman"/>
        </w:rPr>
        <w:t xml:space="preserve">. </w:t>
      </w:r>
    </w:p>
    <w:p w14:paraId="0D953437" w14:textId="77777777" w:rsidR="003660E9" w:rsidRDefault="003660E9">
      <w:pPr>
        <w:pStyle w:val="ListParagraph"/>
        <w:numPr>
          <w:ilvl w:val="0"/>
          <w:numId w:val="16"/>
        </w:numPr>
        <w:shd w:val="clear" w:color="auto" w:fill="FFFFFF" w:themeFill="background1"/>
        <w:autoSpaceDE w:val="0"/>
        <w:autoSpaceDN w:val="0"/>
        <w:adjustRightInd w:val="0"/>
        <w:spacing w:before="120"/>
        <w:ind w:left="1434" w:hanging="357"/>
        <w:contextualSpacing w:val="0"/>
        <w:rPr>
          <w:rFonts w:cs="Times New Roman"/>
        </w:rPr>
      </w:pPr>
      <w:r>
        <w:rPr>
          <w:rFonts w:cs="Times New Roman"/>
        </w:rPr>
        <w:t>Improving the existing and establishing new mechanisms and tools (hardware and software) for identifying, investigating, and preventing cybercrime and cyber incidents.</w:t>
      </w:r>
    </w:p>
    <w:p w14:paraId="6B6C1DD2" w14:textId="5208E68B" w:rsidR="002D27B3" w:rsidRPr="00D81BB8" w:rsidRDefault="00E31327" w:rsidP="002D27B3">
      <w:pPr>
        <w:pStyle w:val="ListParagraph"/>
        <w:numPr>
          <w:ilvl w:val="0"/>
          <w:numId w:val="17"/>
        </w:numPr>
        <w:shd w:val="clear" w:color="auto" w:fill="FFFFFF" w:themeFill="background1"/>
        <w:autoSpaceDE w:val="0"/>
        <w:autoSpaceDN w:val="0"/>
        <w:adjustRightInd w:val="0"/>
        <w:spacing w:before="120"/>
        <w:ind w:left="1440"/>
        <w:contextualSpacing w:val="0"/>
        <w:rPr>
          <w:rFonts w:cs="Times New Roman"/>
          <w:b/>
          <w:bCs/>
        </w:rPr>
      </w:pPr>
      <w:r w:rsidRPr="006104D5">
        <w:rPr>
          <w:rFonts w:cs="Times New Roman"/>
        </w:rPr>
        <w:t>Upgrading the national capacities for</w:t>
      </w:r>
      <w:r w:rsidR="003660E9" w:rsidRPr="006104D5">
        <w:rPr>
          <w:rFonts w:cs="Times New Roman"/>
        </w:rPr>
        <w:t xml:space="preserve"> identifying, investigating, and preventing</w:t>
      </w:r>
      <w:r w:rsidR="00120208" w:rsidRPr="006104D5">
        <w:rPr>
          <w:rFonts w:cs="Times New Roman"/>
        </w:rPr>
        <w:t xml:space="preserve"> cyber incidents and cybercrime.</w:t>
      </w:r>
      <w:r w:rsidR="002D27B3" w:rsidRPr="006104D5">
        <w:rPr>
          <w:rFonts w:cs="Times New Roman"/>
        </w:rPr>
        <w:t xml:space="preserve"> </w:t>
      </w:r>
      <w:r w:rsidR="002D27B3" w:rsidRPr="00D81BB8">
        <w:rPr>
          <w:rFonts w:cs="Times New Roman"/>
        </w:rPr>
        <w:t>Upgrade the equipment and upscale the forensic knowledge and hybrid investigations.</w:t>
      </w:r>
    </w:p>
    <w:p w14:paraId="3A7CB58A" w14:textId="0DB4C13C" w:rsidR="00E20919" w:rsidRPr="003A4418" w:rsidRDefault="00E31327" w:rsidP="00497F73">
      <w:pPr>
        <w:pStyle w:val="ListParagraph"/>
        <w:numPr>
          <w:ilvl w:val="0"/>
          <w:numId w:val="16"/>
        </w:numPr>
        <w:shd w:val="clear" w:color="auto" w:fill="FFFFFF" w:themeFill="background1"/>
        <w:autoSpaceDE w:val="0"/>
        <w:autoSpaceDN w:val="0"/>
        <w:adjustRightInd w:val="0"/>
        <w:spacing w:before="120"/>
        <w:ind w:left="1434" w:hanging="357"/>
        <w:contextualSpacing w:val="0"/>
        <w:rPr>
          <w:szCs w:val="24"/>
        </w:rPr>
      </w:pPr>
      <w:r w:rsidRPr="006104D5">
        <w:rPr>
          <w:rFonts w:cs="Times New Roman"/>
        </w:rPr>
        <w:t xml:space="preserve">Performing </w:t>
      </w:r>
      <w:r w:rsidR="00120208" w:rsidRPr="006104D5">
        <w:rPr>
          <w:rFonts w:cs="Times New Roman"/>
        </w:rPr>
        <w:t>a national</w:t>
      </w:r>
      <w:r w:rsidR="00120208">
        <w:rPr>
          <w:rFonts w:cs="Times New Roman"/>
        </w:rPr>
        <w:t xml:space="preserve"> cyber risk assessment.</w:t>
      </w:r>
      <w:r w:rsidR="00AA717B">
        <w:rPr>
          <w:rFonts w:cs="Times New Roman"/>
        </w:rPr>
        <w:t xml:space="preserve"> </w:t>
      </w:r>
    </w:p>
    <w:p w14:paraId="3690C0B6" w14:textId="00CB4851" w:rsidR="00AA717B" w:rsidRPr="003A4418" w:rsidRDefault="00AA717B" w:rsidP="00497F73">
      <w:pPr>
        <w:pStyle w:val="ListParagraph"/>
        <w:numPr>
          <w:ilvl w:val="0"/>
          <w:numId w:val="26"/>
        </w:numPr>
        <w:autoSpaceDE w:val="0"/>
        <w:autoSpaceDN w:val="0"/>
        <w:spacing w:before="120"/>
        <w:contextualSpacing w:val="0"/>
        <w:rPr>
          <w:rFonts w:cs="Times New Roman"/>
        </w:rPr>
      </w:pPr>
      <w:r>
        <w:rPr>
          <w:szCs w:val="24"/>
        </w:rPr>
        <w:lastRenderedPageBreak/>
        <w:t>Improv</w:t>
      </w:r>
      <w:r w:rsidR="007653D2">
        <w:rPr>
          <w:szCs w:val="24"/>
        </w:rPr>
        <w:t>ing</w:t>
      </w:r>
      <w:r>
        <w:rPr>
          <w:szCs w:val="24"/>
        </w:rPr>
        <w:t xml:space="preserve"> </w:t>
      </w:r>
      <w:r w:rsidRPr="00AA717B">
        <w:rPr>
          <w:szCs w:val="24"/>
        </w:rPr>
        <w:t>regional and international cooperation and information sharing formats to allow for a better understanding and response to the constan</w:t>
      </w:r>
      <w:r>
        <w:rPr>
          <w:szCs w:val="24"/>
        </w:rPr>
        <w:t xml:space="preserve">tly changing threat environment, </w:t>
      </w:r>
      <w:r w:rsidRPr="00AA717B">
        <w:rPr>
          <w:szCs w:val="24"/>
        </w:rPr>
        <w:t xml:space="preserve">participating in and </w:t>
      </w:r>
      <w:r w:rsidR="007653D2">
        <w:rPr>
          <w:szCs w:val="24"/>
        </w:rPr>
        <w:t>strengthening</w:t>
      </w:r>
      <w:r w:rsidRPr="00AA717B">
        <w:rPr>
          <w:szCs w:val="24"/>
        </w:rPr>
        <w:t xml:space="preserve"> cooperation with dedicated European and global CSIRT and technical communities (TF-CSIRT, FIRST) and with international cooperation networks (e.g. ENISA, Council of Europe). </w:t>
      </w:r>
    </w:p>
    <w:p w14:paraId="4B1C2632" w14:textId="0F01B27E" w:rsidR="002A758D" w:rsidRDefault="00C22491" w:rsidP="007653D2">
      <w:pPr>
        <w:pStyle w:val="ListParagraph"/>
        <w:numPr>
          <w:ilvl w:val="0"/>
          <w:numId w:val="16"/>
        </w:numPr>
        <w:shd w:val="clear" w:color="auto" w:fill="FFFFFF" w:themeFill="background1"/>
        <w:autoSpaceDE w:val="0"/>
        <w:autoSpaceDN w:val="0"/>
        <w:adjustRightInd w:val="0"/>
        <w:spacing w:before="120"/>
        <w:ind w:left="1434" w:hanging="357"/>
        <w:contextualSpacing w:val="0"/>
        <w:rPr>
          <w:rFonts w:cs="Times New Roman"/>
        </w:rPr>
      </w:pPr>
      <w:r>
        <w:rPr>
          <w:rFonts w:ascii="Times" w:hAnsi="Times"/>
          <w:bCs/>
        </w:rPr>
        <w:t xml:space="preserve">Developing technical skills of cybersecurity experts of governmental agencies and critical service providers through technical cybersecurity exercise and </w:t>
      </w:r>
      <w:r>
        <w:rPr>
          <w:rFonts w:cs="Times New Roman"/>
        </w:rPr>
        <w:t>o</w:t>
      </w:r>
      <w:r w:rsidR="00120208" w:rsidRPr="00C22491">
        <w:rPr>
          <w:rFonts w:cs="Times New Roman"/>
        </w:rPr>
        <w:t>rganising tabletop exercise (TTX) for cybersecurity-related with national experience and needs.</w:t>
      </w:r>
      <w:r w:rsidR="00E31327" w:rsidRPr="00C22491">
        <w:rPr>
          <w:rFonts w:cs="Times New Roman"/>
        </w:rPr>
        <w:t xml:space="preserve"> </w:t>
      </w:r>
    </w:p>
    <w:p w14:paraId="65612B54" w14:textId="29787B2A" w:rsidR="00E31327" w:rsidRPr="00370FAC" w:rsidRDefault="00E31327" w:rsidP="00497F73">
      <w:pPr>
        <w:pStyle w:val="ListParagraph"/>
        <w:numPr>
          <w:ilvl w:val="0"/>
          <w:numId w:val="16"/>
        </w:numPr>
        <w:shd w:val="clear" w:color="auto" w:fill="FFFFFF" w:themeFill="background1"/>
        <w:autoSpaceDE w:val="0"/>
        <w:autoSpaceDN w:val="0"/>
        <w:adjustRightInd w:val="0"/>
        <w:spacing w:before="120"/>
        <w:ind w:left="1434" w:hanging="357"/>
        <w:contextualSpacing w:val="0"/>
      </w:pPr>
      <w:r>
        <w:t xml:space="preserve">Developing training tools, methodology and programmes for improving the understanding of the </w:t>
      </w:r>
      <w:r w:rsidRPr="00EF26D0">
        <w:t>public administration on cyber security</w:t>
      </w:r>
      <w:r>
        <w:t xml:space="preserve"> and mainstreaming </w:t>
      </w:r>
      <w:r w:rsidR="00D74684">
        <w:t xml:space="preserve">cybersecurity </w:t>
      </w:r>
      <w:r>
        <w:t xml:space="preserve">training through the public administration </w:t>
      </w:r>
      <w:r w:rsidR="00D74684">
        <w:t>training platform</w:t>
      </w:r>
      <w:r w:rsidR="00067493">
        <w:t xml:space="preserve"> a</w:t>
      </w:r>
      <w:r w:rsidR="00067493" w:rsidRPr="00067493">
        <w:t xml:space="preserve">nd developing internal safe communications habits and protocols/ disabling access to unverified websites, </w:t>
      </w:r>
      <w:r w:rsidR="00DE0996" w:rsidRPr="00067493">
        <w:t>sof</w:t>
      </w:r>
      <w:r w:rsidR="00DE0996">
        <w:t>t</w:t>
      </w:r>
      <w:r w:rsidR="00DE0996" w:rsidRPr="00067493">
        <w:t>ware</w:t>
      </w:r>
      <w:r w:rsidR="00067493" w:rsidRPr="00067493">
        <w:t xml:space="preserve"> across all device the public administration is using- this with an aim to prevent the vulnerability of the system.</w:t>
      </w:r>
    </w:p>
    <w:p w14:paraId="22B43DB1" w14:textId="2427E381" w:rsidR="005A46E4" w:rsidRPr="00BB2F5A" w:rsidRDefault="007653D2" w:rsidP="00497F73">
      <w:pPr>
        <w:pStyle w:val="Header"/>
        <w:numPr>
          <w:ilvl w:val="0"/>
          <w:numId w:val="27"/>
        </w:numPr>
        <w:tabs>
          <w:tab w:val="clear" w:pos="4513"/>
          <w:tab w:val="clear" w:pos="9026"/>
        </w:tabs>
        <w:spacing w:before="120"/>
        <w:rPr>
          <w:rFonts w:eastAsiaTheme="minorEastAsia" w:cs="Tahoma"/>
        </w:rPr>
      </w:pPr>
      <w:r w:rsidRPr="00BB2F5A">
        <w:rPr>
          <w:rFonts w:cs="Tahoma"/>
        </w:rPr>
        <w:t>Implementation of a</w:t>
      </w:r>
      <w:r w:rsidR="005A46E4" w:rsidRPr="00BB2F5A">
        <w:rPr>
          <w:rFonts w:cs="Tahoma"/>
        </w:rPr>
        <w:t xml:space="preserve"> domestic awareness raising and outreach campaigns </w:t>
      </w:r>
      <w:r w:rsidR="00BB2F5A" w:rsidRPr="00BB2F5A">
        <w:rPr>
          <w:rFonts w:cs="Tahoma"/>
        </w:rPr>
        <w:t xml:space="preserve">on cyber security </w:t>
      </w:r>
      <w:r w:rsidRPr="00BB2F5A">
        <w:rPr>
          <w:rFonts w:cs="Tahoma"/>
        </w:rPr>
        <w:t>targeting</w:t>
      </w:r>
      <w:r w:rsidR="005A46E4" w:rsidRPr="00BB2F5A">
        <w:rPr>
          <w:rFonts w:cs="Tahoma"/>
        </w:rPr>
        <w:t xml:space="preserve"> political leaders and high-level government officials on digital literacy</w:t>
      </w:r>
      <w:r w:rsidRPr="00BB2F5A">
        <w:rPr>
          <w:rFonts w:cs="Tahoma"/>
        </w:rPr>
        <w:t xml:space="preserve">, enhancing the cooperation with </w:t>
      </w:r>
      <w:r w:rsidR="005A46E4" w:rsidRPr="00BB2F5A">
        <w:rPr>
          <w:rFonts w:cs="Tahoma"/>
        </w:rPr>
        <w:t xml:space="preserve">civil society organisations </w:t>
      </w:r>
      <w:r w:rsidRPr="00BB2F5A">
        <w:rPr>
          <w:rFonts w:cs="Tahoma"/>
        </w:rPr>
        <w:t>and</w:t>
      </w:r>
      <w:r w:rsidR="005A46E4" w:rsidRPr="00BB2F5A">
        <w:rPr>
          <w:rFonts w:cs="Tahoma"/>
        </w:rPr>
        <w:t xml:space="preserve"> private sector</w:t>
      </w:r>
      <w:r w:rsidR="00BB2F5A" w:rsidRPr="00BB2F5A">
        <w:rPr>
          <w:rFonts w:cs="Tahoma"/>
        </w:rPr>
        <w:t xml:space="preserve">, strengthening the </w:t>
      </w:r>
      <w:r w:rsidR="005A46E4" w:rsidRPr="00BB2F5A">
        <w:rPr>
          <w:rFonts w:cs="Tahoma"/>
        </w:rPr>
        <w:t>cooperation with media and journalists.</w:t>
      </w:r>
      <w:r w:rsidR="00BB2F5A" w:rsidRPr="00BB2F5A">
        <w:rPr>
          <w:rFonts w:cs="Tahoma"/>
        </w:rPr>
        <w:t xml:space="preserve"> The activity includes also the </w:t>
      </w:r>
      <w:r w:rsidR="005A46E4" w:rsidRPr="00BB2F5A">
        <w:rPr>
          <w:rFonts w:cs="Tahoma"/>
        </w:rPr>
        <w:t>publication of regular threat reports</w:t>
      </w:r>
      <w:r w:rsidR="00BB2F5A">
        <w:rPr>
          <w:rFonts w:cs="Tahoma"/>
        </w:rPr>
        <w:t xml:space="preserve">, and </w:t>
      </w:r>
      <w:r w:rsidR="005A46E4" w:rsidRPr="00BB2F5A">
        <w:rPr>
          <w:rFonts w:cs="Tahoma"/>
        </w:rPr>
        <w:t xml:space="preserve">insight into cybersecurity trends and developments </w:t>
      </w:r>
      <w:r w:rsidR="00BB2F5A">
        <w:rPr>
          <w:rFonts w:cs="Tahoma"/>
        </w:rPr>
        <w:t xml:space="preserve">to support </w:t>
      </w:r>
      <w:r w:rsidR="005A46E4" w:rsidRPr="00BB2F5A">
        <w:rPr>
          <w:rFonts w:cs="Tahoma"/>
        </w:rPr>
        <w:t>the private sector and individuals take measures to prevent incidents.</w:t>
      </w:r>
    </w:p>
    <w:p w14:paraId="605E1C18" w14:textId="3675FE76" w:rsidR="00D74684" w:rsidRPr="00FD2CB4" w:rsidRDefault="003660E9" w:rsidP="00497F73">
      <w:pPr>
        <w:pStyle w:val="ListParagraph"/>
        <w:spacing w:before="240"/>
        <w:contextualSpacing w:val="0"/>
        <w:rPr>
          <w:rFonts w:cs="Times New Roman"/>
          <w:b/>
          <w:bCs/>
          <w:color w:val="0D0D0D" w:themeColor="text1" w:themeTint="F2"/>
          <w:lang w:val="en-IE"/>
        </w:rPr>
      </w:pPr>
      <w:r w:rsidRPr="000173FC">
        <w:rPr>
          <w:b/>
          <w:bCs/>
          <w:lang w:val="en-IE"/>
        </w:rPr>
        <w:t xml:space="preserve">Output </w:t>
      </w:r>
      <w:r w:rsidR="002C51A9" w:rsidRPr="000173FC">
        <w:rPr>
          <w:b/>
          <w:bCs/>
          <w:lang w:val="en-IE"/>
        </w:rPr>
        <w:t>1.2</w:t>
      </w:r>
      <w:r w:rsidRPr="000173FC">
        <w:rPr>
          <w:b/>
          <w:bCs/>
          <w:lang w:val="en-IE"/>
        </w:rPr>
        <w:t xml:space="preserve"> </w:t>
      </w:r>
      <w:r w:rsidR="002C51A9" w:rsidRPr="00497F73">
        <w:rPr>
          <w:rFonts w:cs="Times New Roman"/>
          <w:b/>
          <w:color w:val="0D0D0D" w:themeColor="text1" w:themeTint="F2"/>
          <w:szCs w:val="24"/>
        </w:rPr>
        <w:t>Strengthened performance of the police and other law enforcement agencies</w:t>
      </w:r>
      <w:r w:rsidR="001115B7">
        <w:rPr>
          <w:rFonts w:cs="Times New Roman"/>
          <w:b/>
          <w:color w:val="0D0D0D" w:themeColor="text1" w:themeTint="F2"/>
          <w:szCs w:val="24"/>
        </w:rPr>
        <w:t xml:space="preserve"> </w:t>
      </w:r>
      <w:r w:rsidR="001115B7" w:rsidRPr="00497F73">
        <w:rPr>
          <w:rFonts w:cs="Times New Roman"/>
          <w:b/>
          <w:color w:val="0D0D0D" w:themeColor="text1" w:themeTint="F2"/>
          <w:szCs w:val="24"/>
        </w:rPr>
        <w:t>to investigate and address crime in line with the international standards.</w:t>
      </w:r>
      <w:r w:rsidR="002C51A9" w:rsidRPr="00FD2CB4" w:rsidDel="002C51A9">
        <w:rPr>
          <w:rFonts w:cs="Times New Roman"/>
          <w:b/>
          <w:bCs/>
          <w:color w:val="0D0D0D" w:themeColor="text1" w:themeTint="F2"/>
          <w:lang w:val="en-IE"/>
        </w:rPr>
        <w:t xml:space="preserve"> </w:t>
      </w:r>
    </w:p>
    <w:p w14:paraId="6BBBD231" w14:textId="77777777" w:rsidR="00D74684" w:rsidRDefault="00D74684" w:rsidP="00D74684">
      <w:pPr>
        <w:ind w:left="720"/>
        <w:rPr>
          <w:bCs/>
        </w:rPr>
      </w:pPr>
    </w:p>
    <w:p w14:paraId="0797BBA1" w14:textId="67AFB96D" w:rsidR="00D74684" w:rsidRPr="002B72A1" w:rsidRDefault="00D74684" w:rsidP="00D74684">
      <w:pPr>
        <w:ind w:left="720"/>
        <w:rPr>
          <w:rFonts w:cs="Times New Roman"/>
        </w:rPr>
      </w:pPr>
      <w:r w:rsidRPr="002B72A1">
        <w:rPr>
          <w:bCs/>
        </w:rPr>
        <w:t xml:space="preserve">The action will </w:t>
      </w:r>
      <w:r>
        <w:rPr>
          <w:bCs/>
        </w:rPr>
        <w:t xml:space="preserve">transfer good practices from the </w:t>
      </w:r>
      <w:r>
        <w:rPr>
          <w:rFonts w:cs="Times New Roman"/>
        </w:rPr>
        <w:t xml:space="preserve">EU Member states to support the fight with the organised crime and </w:t>
      </w:r>
      <w:r w:rsidR="00FD4C07">
        <w:rPr>
          <w:rFonts w:cs="Times New Roman"/>
        </w:rPr>
        <w:t xml:space="preserve">counter </w:t>
      </w:r>
      <w:r>
        <w:rPr>
          <w:rFonts w:cs="Times New Roman"/>
        </w:rPr>
        <w:t>terrorism</w:t>
      </w:r>
      <w:r w:rsidR="00FD4C07">
        <w:rPr>
          <w:rFonts w:cs="Times New Roman"/>
        </w:rPr>
        <w:t xml:space="preserve"> and radicalisation</w:t>
      </w:r>
      <w:r>
        <w:rPr>
          <w:rFonts w:cs="Times New Roman"/>
        </w:rPr>
        <w:t>. More specifically, it will:</w:t>
      </w:r>
    </w:p>
    <w:p w14:paraId="4E44C5E3" w14:textId="3AE28DAC" w:rsidR="003660E9" w:rsidRPr="00E417E6" w:rsidRDefault="003660E9" w:rsidP="00497F73">
      <w:pPr>
        <w:pStyle w:val="ListParagraph"/>
        <w:numPr>
          <w:ilvl w:val="0"/>
          <w:numId w:val="20"/>
        </w:numPr>
        <w:spacing w:before="120"/>
        <w:rPr>
          <w:rFonts w:cs="Times New Roman"/>
          <w:b/>
          <w:bCs/>
        </w:rPr>
      </w:pPr>
      <w:r w:rsidRPr="00E417E6">
        <w:rPr>
          <w:rFonts w:cs="Times New Roman"/>
        </w:rPr>
        <w:t>Analys</w:t>
      </w:r>
      <w:r w:rsidR="00D74684">
        <w:rPr>
          <w:rFonts w:cs="Times New Roman"/>
        </w:rPr>
        <w:t>e</w:t>
      </w:r>
      <w:r w:rsidRPr="00E417E6">
        <w:rPr>
          <w:rFonts w:cs="Times New Roman"/>
        </w:rPr>
        <w:t xml:space="preserve"> the system of cooperation between institutions in</w:t>
      </w:r>
      <w:r w:rsidR="00D74684">
        <w:rPr>
          <w:rFonts w:cs="Times New Roman"/>
        </w:rPr>
        <w:t xml:space="preserve">volved </w:t>
      </w:r>
      <w:r w:rsidR="00FD4C07">
        <w:rPr>
          <w:rFonts w:cs="Times New Roman"/>
        </w:rPr>
        <w:t xml:space="preserve">in </w:t>
      </w:r>
      <w:r w:rsidRPr="00E417E6">
        <w:rPr>
          <w:rFonts w:cs="Times New Roman"/>
        </w:rPr>
        <w:t xml:space="preserve">the fight against organised crime, </w:t>
      </w:r>
      <w:r w:rsidR="002D0C9F">
        <w:rPr>
          <w:rFonts w:cs="Times New Roman"/>
        </w:rPr>
        <w:t xml:space="preserve">terrorism and money laundering, </w:t>
      </w:r>
      <w:r w:rsidR="005D5B2F">
        <w:rPr>
          <w:rFonts w:cs="Times New Roman"/>
        </w:rPr>
        <w:t xml:space="preserve">assess </w:t>
      </w:r>
      <w:r w:rsidR="002D0C9F">
        <w:rPr>
          <w:rFonts w:cs="Times New Roman"/>
        </w:rPr>
        <w:t xml:space="preserve">complex serious crimes, </w:t>
      </w:r>
      <w:r w:rsidR="00D74684">
        <w:rPr>
          <w:rFonts w:cs="Times New Roman"/>
        </w:rPr>
        <w:t xml:space="preserve">with the objective to </w:t>
      </w:r>
      <w:r w:rsidRPr="00E417E6">
        <w:rPr>
          <w:rFonts w:cs="Times New Roman"/>
        </w:rPr>
        <w:t xml:space="preserve">strengthen </w:t>
      </w:r>
      <w:r w:rsidR="002D0C9F">
        <w:rPr>
          <w:rFonts w:cs="Times New Roman"/>
        </w:rPr>
        <w:t xml:space="preserve">and if necessary to refine </w:t>
      </w:r>
      <w:r w:rsidRPr="00E417E6">
        <w:rPr>
          <w:rFonts w:cs="Times New Roman"/>
        </w:rPr>
        <w:t>the legal framework for joint investigations</w:t>
      </w:r>
      <w:r w:rsidR="003A4418">
        <w:rPr>
          <w:rFonts w:cs="Times New Roman"/>
        </w:rPr>
        <w:t xml:space="preserve"> on potential threats</w:t>
      </w:r>
      <w:r w:rsidRPr="00E417E6">
        <w:rPr>
          <w:rFonts w:cs="Times New Roman"/>
        </w:rPr>
        <w:t xml:space="preserve"> involving more than one law enforcement agency, enlarg</w:t>
      </w:r>
      <w:r w:rsidR="00D74684">
        <w:rPr>
          <w:rFonts w:cs="Times New Roman"/>
        </w:rPr>
        <w:t>e</w:t>
      </w:r>
      <w:r w:rsidRPr="00E417E6">
        <w:rPr>
          <w:rFonts w:cs="Times New Roman"/>
        </w:rPr>
        <w:t xml:space="preserve"> the number and scope of joint investigations and increas</w:t>
      </w:r>
      <w:r w:rsidR="00D74684">
        <w:rPr>
          <w:rFonts w:cs="Times New Roman"/>
        </w:rPr>
        <w:t>e</w:t>
      </w:r>
      <w:r w:rsidRPr="00E417E6">
        <w:rPr>
          <w:rFonts w:cs="Times New Roman"/>
        </w:rPr>
        <w:t xml:space="preserve"> the transparency of joint investigations.</w:t>
      </w:r>
    </w:p>
    <w:p w14:paraId="04B798CD" w14:textId="16493639" w:rsidR="005D5B2F" w:rsidRPr="00497F73" w:rsidRDefault="003660E9" w:rsidP="0023277A">
      <w:pPr>
        <w:pStyle w:val="ListParagraph"/>
        <w:numPr>
          <w:ilvl w:val="0"/>
          <w:numId w:val="17"/>
        </w:numPr>
        <w:shd w:val="clear" w:color="auto" w:fill="FFFFFF" w:themeFill="background1"/>
        <w:autoSpaceDE w:val="0"/>
        <w:autoSpaceDN w:val="0"/>
        <w:adjustRightInd w:val="0"/>
        <w:spacing w:before="120"/>
        <w:ind w:left="1440"/>
        <w:contextualSpacing w:val="0"/>
        <w:rPr>
          <w:rFonts w:cs="Times New Roman"/>
          <w:b/>
          <w:bCs/>
        </w:rPr>
      </w:pPr>
      <w:r>
        <w:rPr>
          <w:rFonts w:cs="Times New Roman"/>
        </w:rPr>
        <w:t>Improv</w:t>
      </w:r>
      <w:r w:rsidR="00D74684">
        <w:rPr>
          <w:rFonts w:cs="Times New Roman"/>
        </w:rPr>
        <w:t>e</w:t>
      </w:r>
      <w:r>
        <w:rPr>
          <w:rFonts w:cs="Times New Roman"/>
        </w:rPr>
        <w:t xml:space="preserve"> the investigation skills </w:t>
      </w:r>
      <w:r w:rsidR="00D74684">
        <w:rPr>
          <w:rFonts w:cs="Times New Roman"/>
        </w:rPr>
        <w:t xml:space="preserve">of the officers involved </w:t>
      </w:r>
      <w:r>
        <w:rPr>
          <w:rFonts w:cs="Times New Roman"/>
        </w:rPr>
        <w:t>in criminal investigations</w:t>
      </w:r>
      <w:r w:rsidR="005D5B2F">
        <w:rPr>
          <w:rFonts w:cs="Times New Roman"/>
        </w:rPr>
        <w:t>,</w:t>
      </w:r>
      <w:r>
        <w:rPr>
          <w:rFonts w:cs="Times New Roman"/>
        </w:rPr>
        <w:t xml:space="preserve"> </w:t>
      </w:r>
      <w:r w:rsidR="002D0C9F">
        <w:rPr>
          <w:rFonts w:cs="Times New Roman"/>
        </w:rPr>
        <w:t>fight against organized crime, terrorism and money laundering</w:t>
      </w:r>
      <w:r w:rsidR="005D5B2F">
        <w:rPr>
          <w:rFonts w:cs="Times New Roman"/>
        </w:rPr>
        <w:t>;</w:t>
      </w:r>
      <w:r w:rsidR="002D0C9F">
        <w:rPr>
          <w:rFonts w:cs="Times New Roman"/>
        </w:rPr>
        <w:t xml:space="preserve"> </w:t>
      </w:r>
      <w:r w:rsidR="005D5B2F">
        <w:rPr>
          <w:rFonts w:cs="Times New Roman"/>
        </w:rPr>
        <w:t xml:space="preserve">assess </w:t>
      </w:r>
      <w:r w:rsidR="002D0C9F">
        <w:rPr>
          <w:rFonts w:cs="Times New Roman"/>
        </w:rPr>
        <w:t xml:space="preserve">complex serious crimes </w:t>
      </w:r>
      <w:r w:rsidR="005D5B2F">
        <w:rPr>
          <w:rFonts w:cs="Times New Roman"/>
        </w:rPr>
        <w:t xml:space="preserve">and </w:t>
      </w:r>
      <w:r>
        <w:rPr>
          <w:rFonts w:cs="Times New Roman"/>
        </w:rPr>
        <w:t>promot</w:t>
      </w:r>
      <w:r w:rsidR="005D5B2F">
        <w:rPr>
          <w:rFonts w:cs="Times New Roman"/>
        </w:rPr>
        <w:t>e</w:t>
      </w:r>
      <w:r>
        <w:rPr>
          <w:rFonts w:cs="Times New Roman"/>
        </w:rPr>
        <w:t xml:space="preserve"> pre-emptive preventive, strategic and tactical approaches, refin</w:t>
      </w:r>
      <w:r w:rsidR="005D5B2F">
        <w:rPr>
          <w:rFonts w:cs="Times New Roman"/>
        </w:rPr>
        <w:t>e</w:t>
      </w:r>
      <w:r>
        <w:rPr>
          <w:rFonts w:cs="Times New Roman"/>
        </w:rPr>
        <w:t xml:space="preserve"> and modernis</w:t>
      </w:r>
      <w:r w:rsidR="005D5B2F">
        <w:rPr>
          <w:rFonts w:cs="Times New Roman"/>
        </w:rPr>
        <w:t xml:space="preserve">e </w:t>
      </w:r>
      <w:r>
        <w:rPr>
          <w:rFonts w:cs="Times New Roman"/>
        </w:rPr>
        <w:t xml:space="preserve">the </w:t>
      </w:r>
      <w:r w:rsidRPr="007653D2">
        <w:rPr>
          <w:rFonts w:cs="Times New Roman"/>
        </w:rPr>
        <w:t>investigative methods and techniques (interviews, informants, searches, surveillance, and other special investigative techniques),</w:t>
      </w:r>
      <w:r w:rsidR="002D0C9F" w:rsidRPr="00BB2F5A">
        <w:rPr>
          <w:rFonts w:cs="Times New Roman"/>
        </w:rPr>
        <w:t xml:space="preserve"> </w:t>
      </w:r>
    </w:p>
    <w:p w14:paraId="272DFF4E" w14:textId="2897ED90" w:rsidR="002D0C9F" w:rsidRPr="00497F73" w:rsidRDefault="002D0C9F" w:rsidP="00497F73">
      <w:pPr>
        <w:pStyle w:val="ListParagraph"/>
        <w:numPr>
          <w:ilvl w:val="0"/>
          <w:numId w:val="17"/>
        </w:numPr>
        <w:shd w:val="clear" w:color="auto" w:fill="FFFFFF" w:themeFill="background1"/>
        <w:autoSpaceDE w:val="0"/>
        <w:autoSpaceDN w:val="0"/>
        <w:adjustRightInd w:val="0"/>
        <w:spacing w:before="120"/>
        <w:ind w:left="1440"/>
        <w:contextualSpacing w:val="0"/>
        <w:rPr>
          <w:rFonts w:cs="Times New Roman"/>
          <w:bCs/>
        </w:rPr>
      </w:pPr>
      <w:r w:rsidRPr="00497F73">
        <w:rPr>
          <w:rFonts w:cs="Times New Roman"/>
          <w:bCs/>
        </w:rPr>
        <w:t>Improve th</w:t>
      </w:r>
      <w:r w:rsidRPr="007653D2">
        <w:rPr>
          <w:rFonts w:cs="Times New Roman"/>
          <w:bCs/>
        </w:rPr>
        <w:t>e skills, knowledge of</w:t>
      </w:r>
      <w:r w:rsidRPr="00497F73">
        <w:rPr>
          <w:rFonts w:cs="Times New Roman"/>
          <w:bCs/>
        </w:rPr>
        <w:t xml:space="preserve"> police officers and their role in the implementation of preventative measures against terrorism and radicalisation.</w:t>
      </w:r>
    </w:p>
    <w:p w14:paraId="75030960" w14:textId="7B46A2DA" w:rsidR="003660E9" w:rsidRPr="00BB2F5A" w:rsidRDefault="003660E9" w:rsidP="0023277A">
      <w:pPr>
        <w:pStyle w:val="ListParagraph"/>
        <w:numPr>
          <w:ilvl w:val="0"/>
          <w:numId w:val="17"/>
        </w:numPr>
        <w:shd w:val="clear" w:color="auto" w:fill="FFFFFF" w:themeFill="background1"/>
        <w:autoSpaceDE w:val="0"/>
        <w:autoSpaceDN w:val="0"/>
        <w:adjustRightInd w:val="0"/>
        <w:spacing w:before="120"/>
        <w:ind w:left="1440"/>
        <w:contextualSpacing w:val="0"/>
        <w:rPr>
          <w:rFonts w:cs="Times New Roman"/>
          <w:b/>
          <w:bCs/>
        </w:rPr>
      </w:pPr>
      <w:r w:rsidRPr="00BB2F5A">
        <w:rPr>
          <w:rFonts w:cs="Times New Roman"/>
        </w:rPr>
        <w:t xml:space="preserve">Enhance </w:t>
      </w:r>
      <w:r w:rsidR="00F659DF" w:rsidRPr="00BB2F5A">
        <w:rPr>
          <w:rFonts w:cs="Times New Roman"/>
        </w:rPr>
        <w:t xml:space="preserve">the </w:t>
      </w:r>
      <w:r w:rsidRPr="00BB2F5A">
        <w:rPr>
          <w:rFonts w:cs="Times New Roman"/>
        </w:rPr>
        <w:t>cooperation with regional and international organisations in the fight against organised crime</w:t>
      </w:r>
      <w:r w:rsidR="003A4418" w:rsidRPr="00BB2F5A">
        <w:rPr>
          <w:rFonts w:cs="Times New Roman"/>
        </w:rPr>
        <w:t xml:space="preserve"> and countering terrorism</w:t>
      </w:r>
      <w:r w:rsidR="002D0C9F" w:rsidRPr="00BB2F5A">
        <w:rPr>
          <w:rFonts w:cs="Times New Roman"/>
        </w:rPr>
        <w:t xml:space="preserve"> and money laundering</w:t>
      </w:r>
      <w:r w:rsidR="003A4418" w:rsidRPr="00BB2F5A">
        <w:rPr>
          <w:rFonts w:cs="Times New Roman"/>
        </w:rPr>
        <w:t xml:space="preserve">. </w:t>
      </w:r>
    </w:p>
    <w:p w14:paraId="79E971CC" w14:textId="48CE5676" w:rsidR="00E20919" w:rsidRPr="007653D2" w:rsidRDefault="00AA717B" w:rsidP="003A4418">
      <w:pPr>
        <w:pStyle w:val="ListParagraph"/>
        <w:numPr>
          <w:ilvl w:val="0"/>
          <w:numId w:val="17"/>
        </w:numPr>
        <w:shd w:val="clear" w:color="auto" w:fill="FFFFFF" w:themeFill="background1"/>
        <w:autoSpaceDE w:val="0"/>
        <w:autoSpaceDN w:val="0"/>
        <w:adjustRightInd w:val="0"/>
        <w:spacing w:before="120"/>
        <w:ind w:left="1440"/>
        <w:contextualSpacing w:val="0"/>
        <w:rPr>
          <w:rFonts w:cs="Times New Roman"/>
          <w:bCs/>
        </w:rPr>
      </w:pPr>
      <w:r w:rsidRPr="00BB2F5A">
        <w:rPr>
          <w:rFonts w:cs="Times New Roman"/>
        </w:rPr>
        <w:t>Further s</w:t>
      </w:r>
      <w:r w:rsidR="003660E9" w:rsidRPr="00BB2F5A">
        <w:rPr>
          <w:rFonts w:cs="Times New Roman"/>
        </w:rPr>
        <w:t>trengthen the capacities of the National Committee for Countering Violent Extremism and Countering Terrorism</w:t>
      </w:r>
      <w:r w:rsidR="003A4418" w:rsidRPr="00BB2F5A">
        <w:rPr>
          <w:rFonts w:cs="Times New Roman"/>
        </w:rPr>
        <w:t xml:space="preserve"> by </w:t>
      </w:r>
      <w:r w:rsidR="003A4418" w:rsidRPr="00497F73">
        <w:rPr>
          <w:rFonts w:cs="Times New Roman"/>
          <w:bCs/>
        </w:rPr>
        <w:t>p</w:t>
      </w:r>
      <w:r w:rsidR="00B66FD1" w:rsidRPr="00497F73">
        <w:rPr>
          <w:rFonts w:cs="Times New Roman"/>
          <w:bCs/>
        </w:rPr>
        <w:t>rovid</w:t>
      </w:r>
      <w:r w:rsidR="005D5B2F">
        <w:rPr>
          <w:rFonts w:cs="Times New Roman"/>
          <w:bCs/>
        </w:rPr>
        <w:t>ing</w:t>
      </w:r>
      <w:r w:rsidR="00B66FD1" w:rsidRPr="00497F73">
        <w:rPr>
          <w:rFonts w:cs="Times New Roman"/>
          <w:bCs/>
        </w:rPr>
        <w:t xml:space="preserve"> support in implementation of the new National Strategy for Countering Terrorism </w:t>
      </w:r>
      <w:r w:rsidR="00B66FD1" w:rsidRPr="007653D2">
        <w:rPr>
          <w:rFonts w:cs="Times New Roman"/>
          <w:bCs/>
        </w:rPr>
        <w:t>and Violent</w:t>
      </w:r>
      <w:r w:rsidR="00B66FD1" w:rsidRPr="00497F73">
        <w:rPr>
          <w:rFonts w:cs="Times New Roman"/>
          <w:bCs/>
        </w:rPr>
        <w:t xml:space="preserve"> Extremism</w:t>
      </w:r>
      <w:r w:rsidR="003A4418" w:rsidRPr="00497F73">
        <w:rPr>
          <w:rFonts w:cs="Times New Roman"/>
          <w:bCs/>
        </w:rPr>
        <w:t xml:space="preserve">. </w:t>
      </w:r>
    </w:p>
    <w:p w14:paraId="2B200140" w14:textId="599239C3" w:rsidR="00AA717B" w:rsidRPr="00420318" w:rsidRDefault="00FD4C07" w:rsidP="0023277A">
      <w:pPr>
        <w:pStyle w:val="ListParagraph"/>
        <w:numPr>
          <w:ilvl w:val="0"/>
          <w:numId w:val="17"/>
        </w:numPr>
        <w:shd w:val="clear" w:color="auto" w:fill="FFFFFF" w:themeFill="background1"/>
        <w:autoSpaceDE w:val="0"/>
        <w:autoSpaceDN w:val="0"/>
        <w:adjustRightInd w:val="0"/>
        <w:spacing w:before="120"/>
        <w:ind w:left="1440"/>
        <w:contextualSpacing w:val="0"/>
        <w:rPr>
          <w:rFonts w:cs="Times New Roman"/>
          <w:bCs/>
        </w:rPr>
      </w:pPr>
      <w:r w:rsidRPr="00BB2F5A">
        <w:rPr>
          <w:rFonts w:cs="Times New Roman"/>
        </w:rPr>
        <w:t xml:space="preserve">Further </w:t>
      </w:r>
      <w:r w:rsidR="00105F28" w:rsidRPr="00BB2F5A">
        <w:t xml:space="preserve">strengthen </w:t>
      </w:r>
      <w:r w:rsidR="00E907DF">
        <w:t xml:space="preserve">the </w:t>
      </w:r>
      <w:r w:rsidR="00105F28" w:rsidRPr="00BB2F5A">
        <w:t xml:space="preserve">capabilities of the </w:t>
      </w:r>
      <w:r w:rsidR="00A210F5" w:rsidRPr="00BB2F5A">
        <w:t>Ministry of Interior’s (MOI’s) “Terrorism and Violent Extremism</w:t>
      </w:r>
      <w:r w:rsidR="00E907DF">
        <w:t>”</w:t>
      </w:r>
      <w:r w:rsidR="00A210F5" w:rsidRPr="00BB2F5A">
        <w:t xml:space="preserve"> Sector </w:t>
      </w:r>
      <w:r w:rsidR="00105F28" w:rsidRPr="00BB2F5A">
        <w:t>to</w:t>
      </w:r>
      <w:r w:rsidR="00105F28" w:rsidRPr="00497F73">
        <w:rPr>
          <w:rStyle w:val="Strong"/>
          <w:b w:val="0"/>
        </w:rPr>
        <w:t xml:space="preserve"> combat and prevent crime, terrorism and radicalisation</w:t>
      </w:r>
      <w:r w:rsidR="00105F28" w:rsidRPr="007653D2">
        <w:t xml:space="preserve">, as well as manage security-related incidents, risks and crises.  </w:t>
      </w:r>
    </w:p>
    <w:p w14:paraId="28A3AC44" w14:textId="1A57458D" w:rsidR="00105F28" w:rsidRPr="00497F73" w:rsidRDefault="00E907DF" w:rsidP="0023277A">
      <w:pPr>
        <w:pStyle w:val="ListParagraph"/>
        <w:numPr>
          <w:ilvl w:val="0"/>
          <w:numId w:val="17"/>
        </w:numPr>
        <w:shd w:val="clear" w:color="auto" w:fill="FFFFFF" w:themeFill="background1"/>
        <w:autoSpaceDE w:val="0"/>
        <w:autoSpaceDN w:val="0"/>
        <w:adjustRightInd w:val="0"/>
        <w:spacing w:before="120"/>
        <w:ind w:left="1440"/>
        <w:contextualSpacing w:val="0"/>
        <w:rPr>
          <w:rFonts w:cs="Times New Roman"/>
          <w:b/>
          <w:bCs/>
        </w:rPr>
      </w:pPr>
      <w:r w:rsidRPr="00BB2F5A">
        <w:lastRenderedPageBreak/>
        <w:t xml:space="preserve">Improve </w:t>
      </w:r>
      <w:r w:rsidR="00105F28" w:rsidRPr="00BB2F5A">
        <w:t>data collection, operational cooperation and information exchange concerning intelligence, law enforcement and justice</w:t>
      </w:r>
      <w:r w:rsidR="00FD4C07" w:rsidRPr="00BB2F5A">
        <w:t xml:space="preserve"> </w:t>
      </w:r>
      <w:r>
        <w:t>to enhance</w:t>
      </w:r>
      <w:r w:rsidR="00FD4C07">
        <w:t xml:space="preserve"> detect</w:t>
      </w:r>
      <w:r>
        <w:t>ion</w:t>
      </w:r>
      <w:r w:rsidR="00FD4C07">
        <w:t>, prevent</w:t>
      </w:r>
      <w:r>
        <w:t>ion</w:t>
      </w:r>
      <w:r w:rsidR="00FD4C07">
        <w:t xml:space="preserve"> and investigat</w:t>
      </w:r>
      <w:r>
        <w:t>ion of</w:t>
      </w:r>
      <w:r w:rsidR="00FD4C07">
        <w:t xml:space="preserve"> criminal offences and conduct</w:t>
      </w:r>
      <w:r>
        <w:t>ing</w:t>
      </w:r>
      <w:r w:rsidR="00FD4C07">
        <w:t xml:space="preserve"> criminal intelligence operations</w:t>
      </w:r>
      <w:r>
        <w:t>.</w:t>
      </w:r>
    </w:p>
    <w:p w14:paraId="4A4CCC02" w14:textId="1725AA40" w:rsidR="007653D2" w:rsidRPr="00537B3E" w:rsidRDefault="003660E9" w:rsidP="0023277A">
      <w:pPr>
        <w:pStyle w:val="ListParagraph"/>
        <w:numPr>
          <w:ilvl w:val="0"/>
          <w:numId w:val="17"/>
        </w:numPr>
        <w:shd w:val="clear" w:color="auto" w:fill="FFFFFF" w:themeFill="background1"/>
        <w:autoSpaceDE w:val="0"/>
        <w:autoSpaceDN w:val="0"/>
        <w:adjustRightInd w:val="0"/>
        <w:spacing w:before="120"/>
        <w:ind w:left="1440"/>
        <w:contextualSpacing w:val="0"/>
        <w:rPr>
          <w:rFonts w:cs="Times New Roman"/>
          <w:b/>
          <w:bCs/>
        </w:rPr>
      </w:pPr>
      <w:r>
        <w:rPr>
          <w:rFonts w:cs="Times New Roman"/>
        </w:rPr>
        <w:t>Dev</w:t>
      </w:r>
      <w:r w:rsidR="00105F28">
        <w:rPr>
          <w:rFonts w:cs="Times New Roman"/>
        </w:rPr>
        <w:t>elop</w:t>
      </w:r>
      <w:r>
        <w:rPr>
          <w:rFonts w:cs="Times New Roman"/>
        </w:rPr>
        <w:t xml:space="preserve"> and conduct national counterterrorism and counter-hybrid threat exercises to assess the National Counter-Terrorism Action Team's functionality, proactiveness and efficiency to coordinate all the institutional agencies and non-governmental bodies in tackling national and transnational terrorism threats.</w:t>
      </w:r>
    </w:p>
    <w:p w14:paraId="4AE9C631" w14:textId="02E351A8" w:rsidR="00547104" w:rsidRPr="000351C4" w:rsidRDefault="008C7247" w:rsidP="00497F73">
      <w:pPr>
        <w:pStyle w:val="ListParagraph"/>
        <w:numPr>
          <w:ilvl w:val="0"/>
          <w:numId w:val="17"/>
        </w:numPr>
        <w:shd w:val="clear" w:color="auto" w:fill="FFFFFF" w:themeFill="background1"/>
        <w:autoSpaceDE w:val="0"/>
        <w:autoSpaceDN w:val="0"/>
        <w:adjustRightInd w:val="0"/>
        <w:spacing w:before="120"/>
        <w:ind w:left="1440"/>
        <w:contextualSpacing w:val="0"/>
      </w:pPr>
      <w:r w:rsidRPr="00497F73">
        <w:rPr>
          <w:rFonts w:cs="Times New Roman"/>
        </w:rPr>
        <w:t>Enhance</w:t>
      </w:r>
      <w:r w:rsidR="00547104" w:rsidRPr="00497F73">
        <w:rPr>
          <w:rFonts w:cs="Times New Roman"/>
        </w:rPr>
        <w:t xml:space="preserve"> capacities and cooperation of law enforcement personnel to address the issue of violent extremism and radicalisation in prisons and at the same time </w:t>
      </w:r>
      <w:r w:rsidR="004B1E34">
        <w:rPr>
          <w:rFonts w:cs="Times New Roman"/>
        </w:rPr>
        <w:t xml:space="preserve">support </w:t>
      </w:r>
      <w:r w:rsidR="00547104" w:rsidRPr="00420318">
        <w:rPr>
          <w:rFonts w:cs="Times New Roman"/>
        </w:rPr>
        <w:t xml:space="preserve">reintegration and resocialisation of former prisoners, </w:t>
      </w:r>
      <w:r w:rsidR="00547104">
        <w:t>with a special focus on gender aspect.</w:t>
      </w:r>
    </w:p>
    <w:p w14:paraId="7F7680CD" w14:textId="3D4C98B7" w:rsidR="00BF72F9" w:rsidRDefault="00BF72F9" w:rsidP="00497F73">
      <w:pPr>
        <w:pStyle w:val="ListParagraph"/>
        <w:numPr>
          <w:ilvl w:val="0"/>
          <w:numId w:val="17"/>
        </w:numPr>
        <w:shd w:val="clear" w:color="auto" w:fill="FFFFFF" w:themeFill="background1"/>
        <w:autoSpaceDE w:val="0"/>
        <w:autoSpaceDN w:val="0"/>
        <w:adjustRightInd w:val="0"/>
        <w:spacing w:before="120"/>
        <w:ind w:left="1440"/>
        <w:contextualSpacing w:val="0"/>
      </w:pPr>
      <w:r>
        <w:rPr>
          <w:rFonts w:cs="Times New Roman"/>
        </w:rPr>
        <w:t>Revise the existing procedures and methodologies with the objective to ensure a</w:t>
      </w:r>
      <w:r w:rsidR="00F659DF">
        <w:rPr>
          <w:rFonts w:cs="Times New Roman"/>
        </w:rPr>
        <w:t xml:space="preserve">n </w:t>
      </w:r>
      <w:r>
        <w:rPr>
          <w:rFonts w:cs="Times New Roman"/>
        </w:rPr>
        <w:t xml:space="preserve">adequate </w:t>
      </w:r>
      <w:r w:rsidR="00F659DF">
        <w:rPr>
          <w:rFonts w:cs="Times New Roman"/>
        </w:rPr>
        <w:t xml:space="preserve">response </w:t>
      </w:r>
      <w:r>
        <w:rPr>
          <w:rFonts w:cs="Times New Roman"/>
        </w:rPr>
        <w:t>by the criminal justice system to the needs of girls, women and other vulnerable groups</w:t>
      </w:r>
      <w:r w:rsidR="00941D8B">
        <w:rPr>
          <w:rFonts w:cs="Times New Roman"/>
        </w:rPr>
        <w:t xml:space="preserve"> </w:t>
      </w:r>
      <w:r>
        <w:rPr>
          <w:rFonts w:cs="Times New Roman"/>
        </w:rPr>
        <w:t xml:space="preserve">in </w:t>
      </w:r>
      <w:r w:rsidR="00941D8B">
        <w:t xml:space="preserve">their interactions with police, </w:t>
      </w:r>
      <w:r>
        <w:t>investigat</w:t>
      </w:r>
      <w:r w:rsidR="00941D8B">
        <w:t xml:space="preserve">ors, </w:t>
      </w:r>
      <w:r>
        <w:t>legal professionals, judicial staff and others i</w:t>
      </w:r>
      <w:r w:rsidR="00941D8B">
        <w:t>nvolved in the judicial process</w:t>
      </w:r>
      <w:r>
        <w:t>.</w:t>
      </w:r>
    </w:p>
    <w:p w14:paraId="5A247448" w14:textId="77777777" w:rsidR="00C60BF9" w:rsidRPr="003C0CD7" w:rsidRDefault="00C60BF9" w:rsidP="00C60BF9">
      <w:pPr>
        <w:pStyle w:val="Heading1"/>
        <w:numPr>
          <w:ilvl w:val="1"/>
          <w:numId w:val="1"/>
        </w:numPr>
        <w:rPr>
          <w:lang w:val="en-IE"/>
        </w:rPr>
      </w:pPr>
      <w:bookmarkStart w:id="192" w:name="_Toc47101961"/>
      <w:bookmarkStart w:id="193" w:name="_Toc51270456"/>
      <w:bookmarkStart w:id="194" w:name="_Ref58597072"/>
      <w:bookmarkStart w:id="195" w:name="_Toc73090754"/>
      <w:bookmarkStart w:id="196" w:name="_Toc47101960"/>
      <w:bookmarkStart w:id="197" w:name="_Toc51270455"/>
      <w:bookmarkStart w:id="198" w:name="_Ref58425507"/>
      <w:r w:rsidRPr="003C0CD7">
        <w:rPr>
          <w:lang w:val="en-IE"/>
        </w:rPr>
        <w:t>Mainstreaming</w:t>
      </w:r>
      <w:bookmarkEnd w:id="192"/>
      <w:bookmarkEnd w:id="193"/>
      <w:bookmarkEnd w:id="194"/>
      <w:bookmarkEnd w:id="195"/>
      <w:r w:rsidRPr="003C0CD7">
        <w:rPr>
          <w:lang w:val="en-IE"/>
        </w:rPr>
        <w:t xml:space="preserve"> </w:t>
      </w:r>
    </w:p>
    <w:p w14:paraId="55E75344" w14:textId="77777777" w:rsidR="00C60BF9" w:rsidRDefault="00C60BF9" w:rsidP="00C60BF9">
      <w:pPr>
        <w:ind w:firstLine="720"/>
        <w:rPr>
          <w:rFonts w:cs="Times New Roman"/>
          <w:b/>
          <w:color w:val="0D0D0D" w:themeColor="text1" w:themeTint="F2"/>
          <w:szCs w:val="24"/>
          <w:lang w:val="en-IE"/>
        </w:rPr>
      </w:pPr>
      <w:r w:rsidRPr="003C0CD7">
        <w:rPr>
          <w:rFonts w:cs="Times New Roman"/>
          <w:b/>
          <w:color w:val="0D0D0D" w:themeColor="text1" w:themeTint="F2"/>
          <w:szCs w:val="24"/>
          <w:lang w:val="en-IE"/>
        </w:rPr>
        <w:t>Environmental Protection, Climate Change and Biodiversity</w:t>
      </w:r>
    </w:p>
    <w:p w14:paraId="63550CE4" w14:textId="23254C03" w:rsidR="003660E9" w:rsidRDefault="003660E9" w:rsidP="0023277A">
      <w:pPr>
        <w:ind w:left="720"/>
        <w:rPr>
          <w:rFonts w:cs="Times New Roman"/>
          <w:bCs/>
          <w:color w:val="0D0D0D" w:themeColor="text1" w:themeTint="F2"/>
          <w:szCs w:val="24"/>
          <w:lang w:val="en-IE"/>
        </w:rPr>
      </w:pPr>
      <w:r w:rsidRPr="00777FCD">
        <w:rPr>
          <w:rFonts w:cs="Times New Roman"/>
          <w:bCs/>
          <w:color w:val="0D0D0D" w:themeColor="text1" w:themeTint="F2"/>
          <w:szCs w:val="24"/>
          <w:lang w:val="en-IE"/>
        </w:rPr>
        <w:t xml:space="preserve">This Action is </w:t>
      </w:r>
      <w:r w:rsidR="007D1101">
        <w:rPr>
          <w:rFonts w:cs="Times New Roman"/>
          <w:bCs/>
          <w:color w:val="0D0D0D" w:themeColor="text1" w:themeTint="F2"/>
          <w:szCs w:val="24"/>
          <w:lang w:val="en-IE"/>
        </w:rPr>
        <w:t xml:space="preserve">not addressing </w:t>
      </w:r>
      <w:r w:rsidRPr="00777FCD">
        <w:rPr>
          <w:rFonts w:cs="Times New Roman"/>
          <w:bCs/>
          <w:color w:val="0D0D0D" w:themeColor="text1" w:themeTint="F2"/>
          <w:szCs w:val="24"/>
          <w:lang w:val="en-IE"/>
        </w:rPr>
        <w:t>environmental</w:t>
      </w:r>
      <w:r w:rsidR="007D1101">
        <w:rPr>
          <w:rFonts w:cs="Times New Roman"/>
          <w:bCs/>
          <w:color w:val="0D0D0D" w:themeColor="text1" w:themeTint="F2"/>
          <w:szCs w:val="24"/>
          <w:lang w:val="en-IE"/>
        </w:rPr>
        <w:t xml:space="preserve"> challenges directly but supports the rule of law framework by enhancing the capacities of the law enforcement </w:t>
      </w:r>
      <w:r w:rsidR="00211577">
        <w:rPr>
          <w:rFonts w:cs="Times New Roman"/>
          <w:bCs/>
          <w:color w:val="0D0D0D" w:themeColor="text1" w:themeTint="F2"/>
          <w:szCs w:val="24"/>
          <w:lang w:val="en-IE"/>
        </w:rPr>
        <w:t xml:space="preserve">services to counteract criminality and protect citizens’ security and public order.  Moreover, </w:t>
      </w:r>
      <w:r w:rsidR="00211577" w:rsidRPr="00777FCD">
        <w:rPr>
          <w:rFonts w:cs="Times New Roman"/>
          <w:bCs/>
          <w:color w:val="0D0D0D" w:themeColor="text1" w:themeTint="F2"/>
          <w:szCs w:val="24"/>
          <w:lang w:val="en-IE"/>
        </w:rPr>
        <w:t xml:space="preserve">cybercrime </w:t>
      </w:r>
      <w:r w:rsidR="00211577">
        <w:rPr>
          <w:rFonts w:cs="Times New Roman"/>
          <w:bCs/>
          <w:color w:val="0D0D0D" w:themeColor="text1" w:themeTint="F2"/>
          <w:szCs w:val="24"/>
          <w:lang w:val="en-IE"/>
        </w:rPr>
        <w:t>has the potential to provoke</w:t>
      </w:r>
      <w:r w:rsidRPr="00777FCD">
        <w:rPr>
          <w:rFonts w:cs="Times New Roman"/>
          <w:bCs/>
          <w:color w:val="0D0D0D" w:themeColor="text1" w:themeTint="F2"/>
          <w:szCs w:val="24"/>
          <w:lang w:val="en-IE"/>
        </w:rPr>
        <w:t xml:space="preserve"> loss of control o</w:t>
      </w:r>
      <w:r w:rsidR="00211577">
        <w:rPr>
          <w:rFonts w:cs="Times New Roman"/>
          <w:bCs/>
          <w:color w:val="0D0D0D" w:themeColor="text1" w:themeTint="F2"/>
          <w:szCs w:val="24"/>
          <w:lang w:val="en-IE"/>
        </w:rPr>
        <w:t>ver</w:t>
      </w:r>
      <w:r w:rsidRPr="00777FCD">
        <w:rPr>
          <w:rFonts w:cs="Times New Roman"/>
          <w:bCs/>
          <w:color w:val="0D0D0D" w:themeColor="text1" w:themeTint="F2"/>
          <w:szCs w:val="24"/>
          <w:lang w:val="en-IE"/>
        </w:rPr>
        <w:t xml:space="preserve"> critical equipment and warning systems and cause harm to human health and the environment through catastrophic spills, waste discharges and air emissions. These events can cause fires, explosions, and releases of hazardous materials resulting in significant bod</w:t>
      </w:r>
      <w:r w:rsidR="00211577">
        <w:rPr>
          <w:rFonts w:cs="Times New Roman"/>
          <w:bCs/>
          <w:color w:val="0D0D0D" w:themeColor="text1" w:themeTint="F2"/>
          <w:szCs w:val="24"/>
          <w:lang w:val="en-IE"/>
        </w:rPr>
        <w:t>y</w:t>
      </w:r>
      <w:r w:rsidRPr="00777FCD">
        <w:rPr>
          <w:rFonts w:cs="Times New Roman"/>
          <w:bCs/>
          <w:color w:val="0D0D0D" w:themeColor="text1" w:themeTint="F2"/>
          <w:szCs w:val="24"/>
          <w:lang w:val="en-IE"/>
        </w:rPr>
        <w:t xml:space="preserve"> injury, property damage, environmental remediation expense, and liability claims. This Action will contribute to </w:t>
      </w:r>
      <w:r w:rsidR="00211577">
        <w:rPr>
          <w:rFonts w:cs="Times New Roman"/>
          <w:bCs/>
          <w:color w:val="0D0D0D" w:themeColor="text1" w:themeTint="F2"/>
          <w:szCs w:val="24"/>
          <w:lang w:val="en-IE"/>
        </w:rPr>
        <w:t>improving</w:t>
      </w:r>
      <w:r w:rsidR="00211577" w:rsidRPr="00777FCD">
        <w:rPr>
          <w:rFonts w:cs="Times New Roman"/>
          <w:bCs/>
          <w:color w:val="0D0D0D" w:themeColor="text1" w:themeTint="F2"/>
          <w:szCs w:val="24"/>
          <w:lang w:val="en-IE"/>
        </w:rPr>
        <w:t xml:space="preserve"> </w:t>
      </w:r>
      <w:r w:rsidRPr="00777FCD">
        <w:rPr>
          <w:rFonts w:cs="Times New Roman"/>
          <w:bCs/>
          <w:color w:val="0D0D0D" w:themeColor="text1" w:themeTint="F2"/>
          <w:szCs w:val="24"/>
          <w:lang w:val="en-IE"/>
        </w:rPr>
        <w:t xml:space="preserve">the </w:t>
      </w:r>
      <w:r w:rsidR="00211577">
        <w:rPr>
          <w:rFonts w:cs="Times New Roman"/>
          <w:bCs/>
          <w:color w:val="0D0D0D" w:themeColor="text1" w:themeTint="F2"/>
          <w:szCs w:val="24"/>
          <w:lang w:val="en-IE"/>
        </w:rPr>
        <w:t xml:space="preserve">risk control and </w:t>
      </w:r>
      <w:r w:rsidRPr="00777FCD">
        <w:rPr>
          <w:rFonts w:cs="Times New Roman"/>
          <w:bCs/>
          <w:color w:val="0D0D0D" w:themeColor="text1" w:themeTint="F2"/>
          <w:szCs w:val="24"/>
          <w:lang w:val="en-IE"/>
        </w:rPr>
        <w:t>management</w:t>
      </w:r>
      <w:r w:rsidR="00211577">
        <w:rPr>
          <w:rFonts w:cs="Times New Roman"/>
          <w:bCs/>
          <w:color w:val="0D0D0D" w:themeColor="text1" w:themeTint="F2"/>
          <w:szCs w:val="24"/>
          <w:lang w:val="en-IE"/>
        </w:rPr>
        <w:t xml:space="preserve"> and prevention of harm on </w:t>
      </w:r>
      <w:r w:rsidRPr="00777FCD">
        <w:rPr>
          <w:rFonts w:cs="Times New Roman"/>
          <w:bCs/>
          <w:color w:val="0D0D0D" w:themeColor="text1" w:themeTint="F2"/>
          <w:szCs w:val="24"/>
          <w:lang w:val="en-IE"/>
        </w:rPr>
        <w:t>environment</w:t>
      </w:r>
      <w:r w:rsidR="00211577">
        <w:rPr>
          <w:rFonts w:cs="Times New Roman"/>
          <w:bCs/>
          <w:color w:val="0D0D0D" w:themeColor="text1" w:themeTint="F2"/>
          <w:szCs w:val="24"/>
          <w:lang w:val="en-IE"/>
        </w:rPr>
        <w:t xml:space="preserve">. </w:t>
      </w:r>
    </w:p>
    <w:p w14:paraId="3855C4EC" w14:textId="77777777" w:rsidR="0056017F" w:rsidRPr="003C0CD7" w:rsidRDefault="0056017F" w:rsidP="00C60BF9">
      <w:pPr>
        <w:rPr>
          <w:rFonts w:cs="Times New Roman"/>
          <w:color w:val="0D0D0D" w:themeColor="text1" w:themeTint="F2"/>
          <w:szCs w:val="24"/>
          <w:lang w:val="en-IE"/>
        </w:rPr>
      </w:pPr>
    </w:p>
    <w:p w14:paraId="4D706774" w14:textId="77777777" w:rsidR="00C60BF9" w:rsidRDefault="00C60BF9" w:rsidP="00C60BF9">
      <w:pPr>
        <w:ind w:firstLine="720"/>
        <w:rPr>
          <w:rFonts w:cs="Times New Roman"/>
          <w:b/>
          <w:color w:val="0D0D0D" w:themeColor="text1" w:themeTint="F2"/>
          <w:szCs w:val="24"/>
          <w:lang w:val="en-IE"/>
        </w:rPr>
      </w:pPr>
      <w:r w:rsidRPr="003C0CD7">
        <w:rPr>
          <w:rFonts w:cs="Times New Roman"/>
          <w:b/>
          <w:color w:val="0D0D0D" w:themeColor="text1" w:themeTint="F2"/>
          <w:szCs w:val="24"/>
          <w:lang w:val="en-IE"/>
        </w:rPr>
        <w:t>Gender equality and empowerment of women and girls</w:t>
      </w:r>
    </w:p>
    <w:p w14:paraId="35DABAE3" w14:textId="08ADB8E4" w:rsidR="00F659DF" w:rsidRPr="000173FC" w:rsidRDefault="00C60BF9" w:rsidP="00497F73">
      <w:pPr>
        <w:shd w:val="clear" w:color="auto" w:fill="FFFFFF" w:themeFill="background1"/>
        <w:autoSpaceDE w:val="0"/>
        <w:autoSpaceDN w:val="0"/>
        <w:adjustRightInd w:val="0"/>
        <w:spacing w:before="120"/>
        <w:ind w:left="720"/>
        <w:rPr>
          <w:rFonts w:cs="Times New Roman"/>
          <w:b/>
          <w:bCs/>
        </w:rPr>
      </w:pPr>
      <w:r w:rsidRPr="00E417E6">
        <w:rPr>
          <w:szCs w:val="24"/>
          <w:lang w:val="en-IE"/>
        </w:rPr>
        <w:t>As per OECD Gender DAC codes identified in section 1.1, this action is labelled as G1</w:t>
      </w:r>
      <w:r w:rsidRPr="00BE7359">
        <w:rPr>
          <w:rStyle w:val="FootnoteReference"/>
          <w:szCs w:val="24"/>
          <w:lang w:val="en-IE"/>
        </w:rPr>
        <w:footnoteReference w:id="17"/>
      </w:r>
      <w:r w:rsidRPr="00E417E6">
        <w:rPr>
          <w:szCs w:val="24"/>
          <w:lang w:val="en-IE"/>
        </w:rPr>
        <w:t xml:space="preserve">. </w:t>
      </w:r>
      <w:r w:rsidR="00283FBF" w:rsidRPr="00497F73">
        <w:rPr>
          <w:color w:val="0D0D0D"/>
          <w:szCs w:val="24"/>
          <w:lang w:val="en-IE"/>
        </w:rPr>
        <w:t xml:space="preserve">The country </w:t>
      </w:r>
      <w:r w:rsidR="00DC41FF" w:rsidRPr="00497F73">
        <w:rPr>
          <w:color w:val="0D0D0D"/>
          <w:szCs w:val="24"/>
          <w:lang w:val="en-IE"/>
        </w:rPr>
        <w:t xml:space="preserve">has ratified the Istanbul Convention and </w:t>
      </w:r>
      <w:r w:rsidR="00283FBF" w:rsidRPr="00497F73">
        <w:rPr>
          <w:color w:val="0D0D0D"/>
          <w:szCs w:val="24"/>
          <w:lang w:val="en-IE"/>
        </w:rPr>
        <w:t xml:space="preserve">has established the legal framework to ensure gender equality by adopting the Law on equal opportunities for women and men and the Law on prevention and protection from discrimination. The current legal framework prohibits discrimination based on gender and sexual orientation. </w:t>
      </w:r>
      <w:r w:rsidR="00DC41FF" w:rsidRPr="00497F73">
        <w:rPr>
          <w:color w:val="0D0D0D"/>
          <w:szCs w:val="24"/>
          <w:lang w:val="en-IE"/>
        </w:rPr>
        <w:t xml:space="preserve">The action will support the enforcement of the existing legislation. </w:t>
      </w:r>
      <w:r w:rsidR="00283FBF" w:rsidRPr="00497F73">
        <w:rPr>
          <w:color w:val="0D0D0D"/>
          <w:szCs w:val="24"/>
          <w:lang w:val="en-IE"/>
        </w:rPr>
        <w:t xml:space="preserve">Research suggests that women are disproportionately the targets of </w:t>
      </w:r>
      <w:r w:rsidR="002A1AF2" w:rsidRPr="00497F73">
        <w:rPr>
          <w:color w:val="0D0D0D"/>
          <w:szCs w:val="24"/>
          <w:lang w:val="en-IE"/>
        </w:rPr>
        <w:t xml:space="preserve">organised crime and </w:t>
      </w:r>
      <w:r w:rsidR="00283FBF" w:rsidRPr="00497F73">
        <w:rPr>
          <w:color w:val="0D0D0D"/>
          <w:szCs w:val="24"/>
          <w:lang w:val="en-IE"/>
        </w:rPr>
        <w:t xml:space="preserve">certain forms of cyber violence compared to men. </w:t>
      </w:r>
      <w:r w:rsidR="00DC41FF" w:rsidRPr="00497F73">
        <w:rPr>
          <w:color w:val="0D0D0D"/>
          <w:szCs w:val="24"/>
          <w:lang w:val="en-IE"/>
        </w:rPr>
        <w:t>By improving the country’s</w:t>
      </w:r>
      <w:r w:rsidR="00283FBF" w:rsidRPr="00497F73">
        <w:rPr>
          <w:color w:val="0D0D0D"/>
          <w:szCs w:val="24"/>
          <w:lang w:val="en-IE"/>
        </w:rPr>
        <w:t xml:space="preserve"> responses to cyber </w:t>
      </w:r>
      <w:r w:rsidR="00DC41FF" w:rsidRPr="00497F73">
        <w:rPr>
          <w:color w:val="0D0D0D"/>
          <w:szCs w:val="24"/>
          <w:lang w:val="en-IE"/>
        </w:rPr>
        <w:t>threats and organised crime, the</w:t>
      </w:r>
      <w:r w:rsidR="00283FBF" w:rsidRPr="00497F73">
        <w:rPr>
          <w:color w:val="0D0D0D"/>
          <w:szCs w:val="24"/>
          <w:lang w:val="en-IE"/>
        </w:rPr>
        <w:t xml:space="preserve"> Action will </w:t>
      </w:r>
      <w:r w:rsidR="007D1101" w:rsidRPr="00497F73">
        <w:rPr>
          <w:color w:val="0D0D0D"/>
          <w:szCs w:val="24"/>
          <w:lang w:val="en-IE"/>
        </w:rPr>
        <w:t xml:space="preserve">contribute to prevention of violence against women. </w:t>
      </w:r>
      <w:r w:rsidR="00F659DF">
        <w:rPr>
          <w:color w:val="0D0D0D"/>
          <w:szCs w:val="24"/>
          <w:lang w:val="en-IE"/>
        </w:rPr>
        <w:t>It will also propose new approach for</w:t>
      </w:r>
      <w:r w:rsidR="00BF72F9">
        <w:rPr>
          <w:color w:val="0D0D0D"/>
          <w:szCs w:val="24"/>
          <w:lang w:val="en-IE"/>
        </w:rPr>
        <w:t xml:space="preserve"> respectful</w:t>
      </w:r>
      <w:r w:rsidR="00F659DF">
        <w:rPr>
          <w:color w:val="0D0D0D"/>
          <w:szCs w:val="24"/>
          <w:lang w:val="en-IE"/>
        </w:rPr>
        <w:t xml:space="preserve"> </w:t>
      </w:r>
      <w:r w:rsidR="00BF72F9" w:rsidRPr="000173FC">
        <w:rPr>
          <w:color w:val="0D0D0D"/>
          <w:szCs w:val="24"/>
          <w:lang w:val="en-IE"/>
        </w:rPr>
        <w:t>t</w:t>
      </w:r>
      <w:r w:rsidR="00BF72F9">
        <w:rPr>
          <w:color w:val="0D0D0D"/>
          <w:szCs w:val="24"/>
          <w:lang w:val="en-IE"/>
        </w:rPr>
        <w:t>reatment of girls, women and other vulnerable people in contact with the criminal justice system</w:t>
      </w:r>
      <w:r w:rsidR="00F659DF" w:rsidRPr="000173FC">
        <w:rPr>
          <w:rFonts w:cs="Times New Roman"/>
        </w:rPr>
        <w:t>.</w:t>
      </w:r>
    </w:p>
    <w:p w14:paraId="26BEE56F" w14:textId="3107D273" w:rsidR="00C60BF9" w:rsidRDefault="00C60BF9" w:rsidP="00C60BF9">
      <w:pPr>
        <w:rPr>
          <w:rFonts w:cs="Times New Roman"/>
          <w:color w:val="0D0D0D" w:themeColor="text1" w:themeTint="F2"/>
          <w:lang w:val="en-IE"/>
        </w:rPr>
      </w:pPr>
    </w:p>
    <w:p w14:paraId="079376A9" w14:textId="71E40DF4" w:rsidR="00C60BF9" w:rsidRDefault="00C60BF9" w:rsidP="00C60BF9">
      <w:pPr>
        <w:ind w:firstLine="720"/>
        <w:rPr>
          <w:rFonts w:cs="Times New Roman"/>
          <w:color w:val="0D0D0D" w:themeColor="text1" w:themeTint="F2"/>
          <w:lang w:val="en-IE"/>
        </w:rPr>
      </w:pPr>
      <w:r w:rsidRPr="003C0CD7">
        <w:rPr>
          <w:rFonts w:cs="Times New Roman"/>
          <w:b/>
          <w:color w:val="0D0D0D" w:themeColor="text1" w:themeTint="F2"/>
          <w:szCs w:val="24"/>
          <w:lang w:val="en-IE"/>
        </w:rPr>
        <w:t xml:space="preserve">Disability </w:t>
      </w:r>
    </w:p>
    <w:p w14:paraId="735F973C" w14:textId="594752FD" w:rsidR="00283FBF" w:rsidRDefault="00C60BF9" w:rsidP="0023277A">
      <w:pPr>
        <w:ind w:left="720"/>
        <w:rPr>
          <w:rFonts w:cs="Times New Roman"/>
          <w:color w:val="0D0D0D" w:themeColor="text1" w:themeTint="F2"/>
          <w:szCs w:val="24"/>
          <w:lang w:val="en-IE"/>
        </w:rPr>
      </w:pPr>
      <w:r w:rsidRPr="003C0CD7">
        <w:rPr>
          <w:szCs w:val="24"/>
          <w:lang w:val="en-IE"/>
        </w:rPr>
        <w:t xml:space="preserve">As per OECD Disability DAC codes identified in section 1.1, this action is labelled </w:t>
      </w:r>
      <w:r w:rsidRPr="0023277A">
        <w:rPr>
          <w:szCs w:val="24"/>
          <w:lang w:val="en-IE"/>
        </w:rPr>
        <w:t>as D0</w:t>
      </w:r>
      <w:r w:rsidR="00C0224C">
        <w:rPr>
          <w:szCs w:val="24"/>
          <w:lang w:val="en-IE"/>
        </w:rPr>
        <w:t xml:space="preserve"> as the action has no direct impact on people with disabilities</w:t>
      </w:r>
      <w:r w:rsidRPr="0023277A">
        <w:rPr>
          <w:szCs w:val="24"/>
          <w:lang w:val="en-IE"/>
        </w:rPr>
        <w:t>.</w:t>
      </w:r>
      <w:r w:rsidR="00C0224C">
        <w:rPr>
          <w:szCs w:val="24"/>
          <w:lang w:val="en-IE"/>
        </w:rPr>
        <w:t xml:space="preserve"> However, the action will reinforce the rule of law framework, which will allow the implementation in practice of </w:t>
      </w:r>
      <w:r w:rsidR="00283FBF" w:rsidRPr="00F07A34">
        <w:rPr>
          <w:rFonts w:cs="Times New Roman"/>
          <w:color w:val="0D0D0D" w:themeColor="text1" w:themeTint="F2"/>
          <w:szCs w:val="24"/>
          <w:lang w:val="en-IE"/>
        </w:rPr>
        <w:t>principle of non-discrimination of minorities and vulnerable groups</w:t>
      </w:r>
      <w:r w:rsidR="00C0224C">
        <w:rPr>
          <w:rFonts w:cs="Times New Roman"/>
          <w:color w:val="0D0D0D" w:themeColor="text1" w:themeTint="F2"/>
          <w:szCs w:val="24"/>
          <w:lang w:val="en-IE"/>
        </w:rPr>
        <w:t>.</w:t>
      </w:r>
    </w:p>
    <w:p w14:paraId="11BA4E06" w14:textId="77777777" w:rsidR="001115B7" w:rsidRDefault="001115B7" w:rsidP="0023277A">
      <w:pPr>
        <w:ind w:left="720"/>
        <w:rPr>
          <w:rFonts w:cs="Times New Roman"/>
          <w:color w:val="0D0D0D" w:themeColor="text1" w:themeTint="F2"/>
          <w:szCs w:val="24"/>
          <w:lang w:val="en-IE"/>
        </w:rPr>
      </w:pPr>
    </w:p>
    <w:p w14:paraId="5750D043" w14:textId="77777777" w:rsidR="00C60BF9" w:rsidRPr="003C0CD7" w:rsidRDefault="00C60BF9" w:rsidP="00C60BF9">
      <w:pPr>
        <w:rPr>
          <w:rFonts w:cs="Times New Roman"/>
          <w:color w:val="0D0D0D" w:themeColor="text1" w:themeTint="F2"/>
          <w:lang w:val="en-IE"/>
        </w:rPr>
      </w:pPr>
    </w:p>
    <w:p w14:paraId="525288DC" w14:textId="5046FE8F" w:rsidR="00C60BF9" w:rsidRDefault="00283FBF" w:rsidP="00283FBF">
      <w:pPr>
        <w:ind w:left="720"/>
        <w:rPr>
          <w:b/>
          <w:color w:val="0D0D0D" w:themeColor="text1" w:themeTint="F2"/>
          <w:lang w:val="en-IE"/>
        </w:rPr>
      </w:pPr>
      <w:r>
        <w:rPr>
          <w:b/>
          <w:color w:val="0D0D0D" w:themeColor="text1" w:themeTint="F2"/>
          <w:lang w:val="en-IE"/>
        </w:rPr>
        <w:lastRenderedPageBreak/>
        <w:t>Civil Society Organisation</w:t>
      </w:r>
    </w:p>
    <w:p w14:paraId="2211A0F0" w14:textId="183E4313" w:rsidR="00283FBF" w:rsidRPr="003C0CD7" w:rsidRDefault="00283FBF" w:rsidP="0023277A">
      <w:pPr>
        <w:ind w:left="720"/>
        <w:rPr>
          <w:lang w:val="en-IE"/>
        </w:rPr>
      </w:pPr>
      <w:r w:rsidRPr="007E2A17">
        <w:rPr>
          <w:rFonts w:cs="Times New Roman"/>
          <w:color w:val="0D0D0D" w:themeColor="text1" w:themeTint="F2"/>
        </w:rPr>
        <w:t xml:space="preserve">This Action has been developed in an inclusive process that involves civil society as part of the established sectoral policy dialogue. This approach will also be applied in the </w:t>
      </w:r>
      <w:r w:rsidR="00C0224C">
        <w:rPr>
          <w:rFonts w:cs="Times New Roman"/>
          <w:color w:val="0D0D0D" w:themeColor="text1" w:themeTint="F2"/>
        </w:rPr>
        <w:t>implementation</w:t>
      </w:r>
      <w:r w:rsidR="00C0224C" w:rsidRPr="007E2A17">
        <w:rPr>
          <w:rFonts w:cs="Times New Roman"/>
          <w:color w:val="0D0D0D" w:themeColor="text1" w:themeTint="F2"/>
        </w:rPr>
        <w:t xml:space="preserve"> </w:t>
      </w:r>
      <w:r w:rsidRPr="007E2A17">
        <w:rPr>
          <w:rFonts w:cs="Times New Roman"/>
          <w:color w:val="0D0D0D" w:themeColor="text1" w:themeTint="F2"/>
        </w:rPr>
        <w:t>stage</w:t>
      </w:r>
      <w:r>
        <w:rPr>
          <w:rFonts w:cs="Times New Roman"/>
          <w:color w:val="0D0D0D" w:themeColor="text1" w:themeTint="F2"/>
        </w:rPr>
        <w:t>. Civil</w:t>
      </w:r>
      <w:r w:rsidRPr="007E2A17">
        <w:rPr>
          <w:rFonts w:cs="Times New Roman"/>
          <w:color w:val="0D0D0D" w:themeColor="text1" w:themeTint="F2"/>
        </w:rPr>
        <w:t xml:space="preserve"> society organisations form part of the Sector Working Groups (SWGs), channelling policy dialogue on sector priorities, IPA programming and reporting. Civil society organisations will participate in implementing the </w:t>
      </w:r>
      <w:r>
        <w:rPr>
          <w:rFonts w:cs="Times New Roman"/>
          <w:color w:val="0D0D0D" w:themeColor="text1" w:themeTint="F2"/>
        </w:rPr>
        <w:t xml:space="preserve">whole </w:t>
      </w:r>
      <w:r w:rsidRPr="007E2A17">
        <w:rPr>
          <w:rFonts w:cs="Times New Roman"/>
          <w:color w:val="0D0D0D" w:themeColor="text1" w:themeTint="F2"/>
        </w:rPr>
        <w:t xml:space="preserve">Action and, particularly, </w:t>
      </w:r>
      <w:r w:rsidR="00C0224C">
        <w:rPr>
          <w:rFonts w:cs="Times New Roman"/>
          <w:color w:val="0D0D0D" w:themeColor="text1" w:themeTint="F2"/>
        </w:rPr>
        <w:t>in promoting the awareness on cyber crime</w:t>
      </w:r>
      <w:r>
        <w:rPr>
          <w:rFonts w:cs="Times New Roman"/>
          <w:color w:val="0D0D0D" w:themeColor="text1" w:themeTint="F2"/>
        </w:rPr>
        <w:t>.</w:t>
      </w:r>
    </w:p>
    <w:p w14:paraId="3E7C68DB" w14:textId="45CF6264" w:rsidR="00283FBF" w:rsidRDefault="00283FBF" w:rsidP="00283FBF">
      <w:pPr>
        <w:rPr>
          <w:b/>
          <w:color w:val="0D0D0D" w:themeColor="text1" w:themeTint="F2"/>
          <w:lang w:val="en-IE"/>
        </w:rPr>
      </w:pPr>
    </w:p>
    <w:p w14:paraId="54BDE876" w14:textId="77777777" w:rsidR="00C60BF9" w:rsidRPr="003C0CD7" w:rsidRDefault="00C60BF9" w:rsidP="00C60BF9">
      <w:pPr>
        <w:pStyle w:val="Heading1"/>
        <w:numPr>
          <w:ilvl w:val="1"/>
          <w:numId w:val="1"/>
        </w:numPr>
        <w:rPr>
          <w:lang w:val="en-IE"/>
        </w:rPr>
      </w:pPr>
      <w:bookmarkStart w:id="199" w:name="_Toc73090755"/>
      <w:r w:rsidRPr="003C0CD7">
        <w:rPr>
          <w:lang w:val="en-IE"/>
        </w:rPr>
        <w:t>Risks</w:t>
      </w:r>
      <w:bookmarkEnd w:id="196"/>
      <w:bookmarkEnd w:id="197"/>
      <w:bookmarkEnd w:id="198"/>
      <w:bookmarkEnd w:id="199"/>
      <w:r w:rsidRPr="003C0CD7">
        <w:rPr>
          <w:lang w:val="en-IE"/>
        </w:rPr>
        <w:t xml:space="preserve"> and </w:t>
      </w:r>
      <w:r w:rsidR="00653DDC">
        <w:rPr>
          <w:lang w:val="en-IE"/>
        </w:rPr>
        <w:t>Assumptions</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90"/>
        <w:gridCol w:w="1417"/>
        <w:gridCol w:w="1275"/>
        <w:gridCol w:w="3970"/>
      </w:tblGrid>
      <w:tr w:rsidR="00283FBF" w:rsidRPr="003C0CD7" w14:paraId="78328DF3" w14:textId="77777777" w:rsidTr="005556EE">
        <w:trPr>
          <w:trHeight w:val="757"/>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3F01F99F" w14:textId="77777777" w:rsidR="00283FBF" w:rsidRPr="003C0CD7" w:rsidRDefault="00283FBF" w:rsidP="005556EE">
            <w:pPr>
              <w:rPr>
                <w:rFonts w:cs="Times New Roman"/>
                <w:b/>
                <w:lang w:val="en-IE"/>
              </w:rPr>
            </w:pPr>
            <w:r w:rsidRPr="003C0CD7">
              <w:rPr>
                <w:b/>
                <w:lang w:val="en-IE"/>
              </w:rPr>
              <w:t>Category</w:t>
            </w:r>
          </w:p>
        </w:tc>
        <w:tc>
          <w:tcPr>
            <w:tcW w:w="1990" w:type="dxa"/>
            <w:tcBorders>
              <w:top w:val="single" w:sz="4" w:space="0" w:color="auto"/>
              <w:left w:val="single" w:sz="4" w:space="0" w:color="auto"/>
              <w:bottom w:val="single" w:sz="4" w:space="0" w:color="auto"/>
              <w:right w:val="single" w:sz="4" w:space="0" w:color="auto"/>
            </w:tcBorders>
          </w:tcPr>
          <w:p w14:paraId="49D22E37" w14:textId="77777777" w:rsidR="00283FBF" w:rsidRPr="003C0CD7" w:rsidRDefault="00283FBF" w:rsidP="005556EE">
            <w:pPr>
              <w:rPr>
                <w:rFonts w:cs="Times New Roman"/>
                <w:b/>
                <w:lang w:val="en-IE"/>
              </w:rPr>
            </w:pPr>
            <w:r w:rsidRPr="003C0CD7">
              <w:rPr>
                <w:rFonts w:cs="Times New Roman"/>
                <w:b/>
                <w:lang w:val="en-IE"/>
              </w:rPr>
              <w:t>Risks</w:t>
            </w:r>
          </w:p>
        </w:tc>
        <w:tc>
          <w:tcPr>
            <w:tcW w:w="1417" w:type="dxa"/>
            <w:tcBorders>
              <w:top w:val="single" w:sz="4" w:space="0" w:color="auto"/>
              <w:left w:val="single" w:sz="4" w:space="0" w:color="auto"/>
              <w:bottom w:val="single" w:sz="4" w:space="0" w:color="auto"/>
              <w:right w:val="single" w:sz="4" w:space="0" w:color="auto"/>
            </w:tcBorders>
          </w:tcPr>
          <w:p w14:paraId="1F43CB93" w14:textId="77777777" w:rsidR="00283FBF" w:rsidRPr="003C0CD7" w:rsidRDefault="00283FBF" w:rsidP="005556EE">
            <w:pPr>
              <w:jc w:val="left"/>
              <w:rPr>
                <w:rFonts w:cs="Times New Roman"/>
                <w:b/>
                <w:lang w:val="en-IE"/>
              </w:rPr>
            </w:pPr>
            <w:r w:rsidRPr="003C0CD7">
              <w:rPr>
                <w:rFonts w:cs="Times New Roman"/>
                <w:b/>
                <w:lang w:val="en-IE"/>
              </w:rPr>
              <w:t>Likelihood</w:t>
            </w:r>
          </w:p>
          <w:p w14:paraId="06E586D8" w14:textId="77777777" w:rsidR="00283FBF" w:rsidRPr="003C0CD7" w:rsidRDefault="00283FBF" w:rsidP="005556EE">
            <w:pPr>
              <w:jc w:val="left"/>
              <w:rPr>
                <w:rFonts w:cs="Times New Roman"/>
                <w:b/>
                <w:lang w:val="en-IE"/>
              </w:rPr>
            </w:pPr>
            <w:r w:rsidRPr="003C0CD7">
              <w:rPr>
                <w:rFonts w:cs="Times New Roman"/>
                <w:b/>
                <w:lang w:val="en-IE"/>
              </w:rPr>
              <w:t>(High/</w:t>
            </w:r>
          </w:p>
          <w:p w14:paraId="2E72C80A" w14:textId="77777777" w:rsidR="00283FBF" w:rsidRPr="003C0CD7" w:rsidRDefault="00283FBF" w:rsidP="005556EE">
            <w:pPr>
              <w:jc w:val="left"/>
              <w:rPr>
                <w:rFonts w:cs="Times New Roman"/>
                <w:b/>
                <w:lang w:val="en-IE"/>
              </w:rPr>
            </w:pPr>
            <w:r w:rsidRPr="003C0CD7">
              <w:rPr>
                <w:rFonts w:cs="Times New Roman"/>
                <w:b/>
                <w:lang w:val="en-IE"/>
              </w:rPr>
              <w:t>Medium/</w:t>
            </w:r>
          </w:p>
          <w:p w14:paraId="0470EA9F" w14:textId="77777777" w:rsidR="00283FBF" w:rsidRPr="003C0CD7" w:rsidRDefault="00283FBF" w:rsidP="005556EE">
            <w:pPr>
              <w:jc w:val="left"/>
              <w:rPr>
                <w:rFonts w:cs="Times New Roman"/>
                <w:b/>
                <w:lang w:val="en-IE"/>
              </w:rPr>
            </w:pPr>
            <w:r w:rsidRPr="003C0CD7">
              <w:rPr>
                <w:rFonts w:cs="Times New Roman"/>
                <w:b/>
                <w:lang w:val="en-IE"/>
              </w:rPr>
              <w:t>Low)</w:t>
            </w:r>
          </w:p>
        </w:tc>
        <w:tc>
          <w:tcPr>
            <w:tcW w:w="1275" w:type="dxa"/>
            <w:tcBorders>
              <w:top w:val="single" w:sz="4" w:space="0" w:color="auto"/>
              <w:left w:val="single" w:sz="4" w:space="0" w:color="auto"/>
              <w:bottom w:val="single" w:sz="4" w:space="0" w:color="auto"/>
              <w:right w:val="single" w:sz="4" w:space="0" w:color="auto"/>
            </w:tcBorders>
          </w:tcPr>
          <w:p w14:paraId="7AE59812" w14:textId="77777777" w:rsidR="00283FBF" w:rsidRPr="003C0CD7" w:rsidRDefault="00283FBF" w:rsidP="005556EE">
            <w:pPr>
              <w:jc w:val="left"/>
              <w:rPr>
                <w:rFonts w:cs="Times New Roman"/>
                <w:b/>
                <w:lang w:val="en-IE"/>
              </w:rPr>
            </w:pPr>
            <w:r w:rsidRPr="003C0CD7">
              <w:rPr>
                <w:rFonts w:cs="Times New Roman"/>
                <w:b/>
                <w:lang w:val="en-IE"/>
              </w:rPr>
              <w:t xml:space="preserve">Impact </w:t>
            </w:r>
          </w:p>
          <w:p w14:paraId="5507E139" w14:textId="77777777" w:rsidR="00283FBF" w:rsidRPr="003C0CD7" w:rsidRDefault="00283FBF" w:rsidP="005556EE">
            <w:pPr>
              <w:jc w:val="left"/>
              <w:rPr>
                <w:rFonts w:cs="Times New Roman"/>
                <w:b/>
                <w:lang w:val="en-IE"/>
              </w:rPr>
            </w:pPr>
            <w:r w:rsidRPr="003C0CD7">
              <w:rPr>
                <w:rFonts w:cs="Times New Roman"/>
                <w:b/>
                <w:lang w:val="en-IE"/>
              </w:rPr>
              <w:t>(High/</w:t>
            </w:r>
          </w:p>
          <w:p w14:paraId="2A583D1F" w14:textId="77777777" w:rsidR="00283FBF" w:rsidRPr="003C0CD7" w:rsidRDefault="00283FBF" w:rsidP="005556EE">
            <w:pPr>
              <w:jc w:val="left"/>
              <w:rPr>
                <w:rFonts w:cs="Times New Roman"/>
                <w:b/>
                <w:lang w:val="en-IE"/>
              </w:rPr>
            </w:pPr>
            <w:r w:rsidRPr="003C0CD7">
              <w:rPr>
                <w:rFonts w:cs="Times New Roman"/>
                <w:b/>
                <w:lang w:val="en-IE"/>
              </w:rPr>
              <w:t>Medium/</w:t>
            </w:r>
          </w:p>
          <w:p w14:paraId="162D99F1" w14:textId="77777777" w:rsidR="00283FBF" w:rsidRPr="003C0CD7" w:rsidRDefault="00283FBF" w:rsidP="005556EE">
            <w:pPr>
              <w:jc w:val="left"/>
              <w:rPr>
                <w:rFonts w:cs="Times New Roman"/>
                <w:b/>
                <w:lang w:val="en-IE"/>
              </w:rPr>
            </w:pPr>
            <w:r w:rsidRPr="003C0CD7">
              <w:rPr>
                <w:rFonts w:cs="Times New Roman"/>
                <w:b/>
                <w:lang w:val="en-IE"/>
              </w:rPr>
              <w:t>Low)</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6E77778F" w14:textId="77777777" w:rsidR="00283FBF" w:rsidRPr="003C0CD7" w:rsidRDefault="00283FBF" w:rsidP="005556EE">
            <w:pPr>
              <w:rPr>
                <w:rFonts w:cs="Times New Roman"/>
                <w:b/>
                <w:lang w:val="en-IE"/>
              </w:rPr>
            </w:pPr>
            <w:r w:rsidRPr="003C0CD7">
              <w:rPr>
                <w:rFonts w:cs="Times New Roman"/>
                <w:b/>
                <w:lang w:val="en-IE"/>
              </w:rPr>
              <w:t>Mitigating measures</w:t>
            </w:r>
          </w:p>
        </w:tc>
      </w:tr>
      <w:tr w:rsidR="00283FBF" w:rsidRPr="00DD1234" w14:paraId="0ED037D0" w14:textId="77777777" w:rsidTr="005556EE">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67C9DC9" w14:textId="77777777" w:rsidR="00283FBF" w:rsidRPr="003C0CD7" w:rsidRDefault="00283FBF" w:rsidP="005556EE">
            <w:pPr>
              <w:jc w:val="left"/>
              <w:rPr>
                <w:rFonts w:cs="Times New Roman"/>
                <w:lang w:val="en-IE"/>
              </w:rPr>
            </w:pPr>
            <w:r>
              <w:rPr>
                <w:rFonts w:cs="Times New Roman"/>
                <w:lang w:val="en-IE"/>
              </w:rPr>
              <w:t>People and the organisation</w:t>
            </w:r>
          </w:p>
        </w:tc>
        <w:tc>
          <w:tcPr>
            <w:tcW w:w="1990" w:type="dxa"/>
            <w:tcBorders>
              <w:top w:val="single" w:sz="4" w:space="0" w:color="auto"/>
              <w:left w:val="single" w:sz="4" w:space="0" w:color="auto"/>
              <w:bottom w:val="single" w:sz="4" w:space="0" w:color="auto"/>
              <w:right w:val="single" w:sz="4" w:space="0" w:color="auto"/>
            </w:tcBorders>
          </w:tcPr>
          <w:p w14:paraId="35BE0143" w14:textId="604999E7" w:rsidR="00283FBF" w:rsidRPr="003C0CD7" w:rsidRDefault="00283FBF" w:rsidP="006E38D7">
            <w:pPr>
              <w:jc w:val="left"/>
              <w:rPr>
                <w:rFonts w:cs="Times New Roman"/>
                <w:b/>
                <w:bCs/>
                <w:lang w:val="en-IE"/>
              </w:rPr>
            </w:pPr>
            <w:r w:rsidRPr="007277BB">
              <w:rPr>
                <w:rFonts w:cs="Times New Roman"/>
                <w:szCs w:val="24"/>
              </w:rPr>
              <w:t xml:space="preserve">Lack of political will to continue implementation of the </w:t>
            </w:r>
            <w:r w:rsidR="00941D8B">
              <w:rPr>
                <w:rFonts w:cs="Times New Roman"/>
                <w:szCs w:val="24"/>
              </w:rPr>
              <w:t xml:space="preserve">sensitive </w:t>
            </w:r>
            <w:r w:rsidR="006E38D7" w:rsidRPr="007277BB">
              <w:rPr>
                <w:rFonts w:cs="Times New Roman"/>
                <w:szCs w:val="24"/>
              </w:rPr>
              <w:t xml:space="preserve">sector </w:t>
            </w:r>
            <w:r w:rsidRPr="007277BB">
              <w:rPr>
                <w:rFonts w:cs="Times New Roman"/>
                <w:szCs w:val="24"/>
              </w:rPr>
              <w:t xml:space="preserve">reforms </w:t>
            </w:r>
          </w:p>
        </w:tc>
        <w:tc>
          <w:tcPr>
            <w:tcW w:w="1417" w:type="dxa"/>
            <w:tcBorders>
              <w:top w:val="single" w:sz="4" w:space="0" w:color="auto"/>
              <w:left w:val="single" w:sz="4" w:space="0" w:color="auto"/>
              <w:bottom w:val="single" w:sz="4" w:space="0" w:color="auto"/>
              <w:right w:val="single" w:sz="4" w:space="0" w:color="auto"/>
            </w:tcBorders>
          </w:tcPr>
          <w:p w14:paraId="554327A1" w14:textId="77777777" w:rsidR="00283FBF" w:rsidRDefault="00283FBF" w:rsidP="005556EE">
            <w:pPr>
              <w:jc w:val="center"/>
              <w:rPr>
                <w:rFonts w:cs="Times New Roman"/>
                <w:lang w:val="en-IE"/>
              </w:rPr>
            </w:pPr>
          </w:p>
          <w:p w14:paraId="0C541F7D" w14:textId="77777777" w:rsidR="00283FBF" w:rsidRDefault="00283FBF" w:rsidP="005556EE">
            <w:pPr>
              <w:jc w:val="center"/>
              <w:rPr>
                <w:rFonts w:cs="Times New Roman"/>
                <w:lang w:val="en-IE"/>
              </w:rPr>
            </w:pPr>
          </w:p>
          <w:p w14:paraId="1248A347" w14:textId="77777777" w:rsidR="00283FBF" w:rsidRDefault="00283FBF" w:rsidP="005556EE">
            <w:pPr>
              <w:jc w:val="center"/>
              <w:rPr>
                <w:rFonts w:cs="Times New Roman"/>
                <w:lang w:val="en-IE"/>
              </w:rPr>
            </w:pPr>
          </w:p>
          <w:p w14:paraId="07AC9C5C" w14:textId="77777777" w:rsidR="00283FBF" w:rsidRDefault="00283FBF" w:rsidP="005556EE">
            <w:pPr>
              <w:jc w:val="center"/>
              <w:rPr>
                <w:rFonts w:cs="Times New Roman"/>
                <w:lang w:val="en-IE"/>
              </w:rPr>
            </w:pPr>
          </w:p>
          <w:p w14:paraId="03F7266E" w14:textId="279FF78A" w:rsidR="00283FBF" w:rsidRPr="00DD1234" w:rsidRDefault="00AC5CAB" w:rsidP="005556EE">
            <w:pPr>
              <w:jc w:val="center"/>
              <w:rPr>
                <w:rFonts w:cs="Times New Roman"/>
                <w:lang w:val="en-IE"/>
              </w:rPr>
            </w:pPr>
            <w:r>
              <w:rPr>
                <w:rFonts w:cs="Times New Roman"/>
                <w:lang w:val="en-IE"/>
              </w:rPr>
              <w:t>M</w:t>
            </w:r>
          </w:p>
        </w:tc>
        <w:tc>
          <w:tcPr>
            <w:tcW w:w="1275" w:type="dxa"/>
            <w:tcBorders>
              <w:top w:val="single" w:sz="4" w:space="0" w:color="auto"/>
              <w:left w:val="single" w:sz="4" w:space="0" w:color="auto"/>
              <w:bottom w:val="single" w:sz="4" w:space="0" w:color="auto"/>
              <w:right w:val="single" w:sz="4" w:space="0" w:color="auto"/>
            </w:tcBorders>
          </w:tcPr>
          <w:p w14:paraId="3B89F57F" w14:textId="77777777" w:rsidR="00283FBF" w:rsidRDefault="00283FBF" w:rsidP="005556EE">
            <w:pPr>
              <w:jc w:val="center"/>
              <w:rPr>
                <w:rFonts w:cs="Times New Roman"/>
                <w:lang w:val="en-IE"/>
              </w:rPr>
            </w:pPr>
          </w:p>
          <w:p w14:paraId="369BD112" w14:textId="77777777" w:rsidR="00283FBF" w:rsidRDefault="00283FBF" w:rsidP="005556EE">
            <w:pPr>
              <w:jc w:val="center"/>
              <w:rPr>
                <w:rFonts w:cs="Times New Roman"/>
                <w:lang w:val="en-IE"/>
              </w:rPr>
            </w:pPr>
          </w:p>
          <w:p w14:paraId="12B06167" w14:textId="77777777" w:rsidR="00283FBF" w:rsidRDefault="00283FBF" w:rsidP="005556EE">
            <w:pPr>
              <w:jc w:val="center"/>
              <w:rPr>
                <w:rFonts w:cs="Times New Roman"/>
                <w:lang w:val="en-IE"/>
              </w:rPr>
            </w:pPr>
          </w:p>
          <w:p w14:paraId="1395794C" w14:textId="77777777" w:rsidR="00283FBF" w:rsidRDefault="00283FBF" w:rsidP="005556EE">
            <w:pPr>
              <w:jc w:val="center"/>
              <w:rPr>
                <w:rFonts w:cs="Times New Roman"/>
                <w:lang w:val="en-IE"/>
              </w:rPr>
            </w:pPr>
          </w:p>
          <w:p w14:paraId="685B1A05" w14:textId="77777777" w:rsidR="00283FBF" w:rsidRPr="00DD1234" w:rsidRDefault="00283FBF" w:rsidP="005556EE">
            <w:pPr>
              <w:jc w:val="center"/>
              <w:rPr>
                <w:rFonts w:cs="Times New Roman"/>
                <w:lang w:val="en-IE"/>
              </w:rPr>
            </w:pPr>
            <w:r w:rsidRPr="00DD1234">
              <w:rPr>
                <w:rFonts w:cs="Times New Roman"/>
                <w:lang w:val="en-IE"/>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0A02219D" w14:textId="6B0B6DEB" w:rsidR="00283FBF" w:rsidRPr="00DD1234" w:rsidRDefault="00AC5CAB">
            <w:pPr>
              <w:jc w:val="left"/>
              <w:rPr>
                <w:rFonts w:cs="Times New Roman"/>
                <w:lang w:val="en-IE"/>
              </w:rPr>
            </w:pPr>
            <w:r>
              <w:rPr>
                <w:rFonts w:cs="Times New Roman"/>
                <w:lang w:val="en-IE"/>
              </w:rPr>
              <w:t xml:space="preserve">Dynamisation of the </w:t>
            </w:r>
            <w:r w:rsidR="00283FBF">
              <w:rPr>
                <w:rFonts w:cs="Times New Roman"/>
                <w:lang w:val="en-IE"/>
              </w:rPr>
              <w:t>policy dialogue with institutions and authorities of North Macedonia through mainly the S</w:t>
            </w:r>
            <w:r w:rsidR="006E38D7">
              <w:rPr>
                <w:rFonts w:cs="Times New Roman"/>
                <w:lang w:val="en-IE"/>
              </w:rPr>
              <w:t xml:space="preserve">ector </w:t>
            </w:r>
            <w:r w:rsidR="00283FBF">
              <w:rPr>
                <w:rFonts w:cs="Times New Roman"/>
                <w:lang w:val="en-IE"/>
              </w:rPr>
              <w:t>W</w:t>
            </w:r>
            <w:r w:rsidR="006E38D7">
              <w:rPr>
                <w:rFonts w:cs="Times New Roman"/>
                <w:lang w:val="en-IE"/>
              </w:rPr>
              <w:t xml:space="preserve">orking </w:t>
            </w:r>
            <w:r w:rsidR="00283FBF">
              <w:rPr>
                <w:rFonts w:cs="Times New Roman"/>
                <w:lang w:val="en-IE"/>
              </w:rPr>
              <w:t>G</w:t>
            </w:r>
            <w:r w:rsidR="006E38D7">
              <w:rPr>
                <w:rFonts w:cs="Times New Roman"/>
                <w:lang w:val="en-IE"/>
              </w:rPr>
              <w:t>roup</w:t>
            </w:r>
            <w:r w:rsidR="00283FBF">
              <w:rPr>
                <w:rFonts w:cs="Times New Roman"/>
                <w:lang w:val="en-IE"/>
              </w:rPr>
              <w:t>, with strong ownership and leadership by the relevant Minist</w:t>
            </w:r>
            <w:r w:rsidR="006E38D7">
              <w:rPr>
                <w:rFonts w:cs="Times New Roman"/>
                <w:lang w:val="en-IE"/>
              </w:rPr>
              <w:t>e</w:t>
            </w:r>
            <w:r w:rsidR="00283FBF">
              <w:rPr>
                <w:rFonts w:cs="Times New Roman"/>
                <w:lang w:val="en-IE"/>
              </w:rPr>
              <w:t>r.</w:t>
            </w:r>
            <w:r w:rsidR="00096B6C">
              <w:rPr>
                <w:rFonts w:cs="Times New Roman"/>
                <w:lang w:val="en-IE"/>
              </w:rPr>
              <w:t xml:space="preserve"> The accession process provides a leverage tool </w:t>
            </w:r>
            <w:r>
              <w:rPr>
                <w:rFonts w:cs="Times New Roman"/>
                <w:lang w:val="en-IE"/>
              </w:rPr>
              <w:t>in this process.</w:t>
            </w:r>
            <w:r w:rsidR="00096B6C">
              <w:rPr>
                <w:rFonts w:cs="Times New Roman"/>
                <w:lang w:val="en-IE"/>
              </w:rPr>
              <w:t xml:space="preserve"> </w:t>
            </w:r>
          </w:p>
        </w:tc>
      </w:tr>
      <w:tr w:rsidR="00283FBF" w:rsidRPr="00F2022C" w14:paraId="60469304" w14:textId="77777777" w:rsidTr="005556EE">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4F9EDBE" w14:textId="77777777" w:rsidR="00283FBF" w:rsidRPr="003C0CD7" w:rsidRDefault="00283FBF" w:rsidP="005556EE">
            <w:pPr>
              <w:jc w:val="left"/>
              <w:rPr>
                <w:rFonts w:cs="Times New Roman"/>
                <w:lang w:val="en-IE"/>
              </w:rPr>
            </w:pPr>
            <w:r>
              <w:rPr>
                <w:rFonts w:cs="Times New Roman"/>
                <w:lang w:val="en-IE"/>
              </w:rPr>
              <w:t>Planning, process and system</w:t>
            </w:r>
          </w:p>
        </w:tc>
        <w:tc>
          <w:tcPr>
            <w:tcW w:w="1990" w:type="dxa"/>
            <w:tcBorders>
              <w:top w:val="single" w:sz="4" w:space="0" w:color="auto"/>
              <w:left w:val="single" w:sz="4" w:space="0" w:color="auto"/>
              <w:bottom w:val="single" w:sz="4" w:space="0" w:color="auto"/>
              <w:right w:val="single" w:sz="4" w:space="0" w:color="auto"/>
            </w:tcBorders>
          </w:tcPr>
          <w:p w14:paraId="6322814A" w14:textId="6E7F7465" w:rsidR="00283FBF" w:rsidRPr="003C0CD7" w:rsidRDefault="00283FBF">
            <w:pPr>
              <w:jc w:val="left"/>
              <w:rPr>
                <w:rFonts w:cs="Times New Roman"/>
                <w:b/>
                <w:bCs/>
                <w:lang w:val="en-IE"/>
              </w:rPr>
            </w:pPr>
            <w:r w:rsidRPr="00DD1234">
              <w:rPr>
                <w:rFonts w:cs="Times New Roman"/>
                <w:szCs w:val="24"/>
              </w:rPr>
              <w:t>Weak administrative capacity</w:t>
            </w:r>
            <w:r w:rsidR="00096B6C">
              <w:rPr>
                <w:rFonts w:cs="Times New Roman"/>
                <w:szCs w:val="24"/>
              </w:rPr>
              <w:t>:</w:t>
            </w:r>
            <w:r>
              <w:rPr>
                <w:rFonts w:cs="Times New Roman"/>
                <w:szCs w:val="24"/>
              </w:rPr>
              <w:t xml:space="preserve"> </w:t>
            </w:r>
            <w:r w:rsidRPr="00DD1234">
              <w:rPr>
                <w:rFonts w:cs="Times New Roman"/>
                <w:szCs w:val="24"/>
              </w:rPr>
              <w:t>lack of adequate number and quality staffing,</w:t>
            </w:r>
            <w:r>
              <w:rPr>
                <w:rFonts w:cs="Times New Roman"/>
                <w:szCs w:val="24"/>
              </w:rPr>
              <w:t xml:space="preserve"> especially in relation to the cybersecurity field.</w:t>
            </w:r>
          </w:p>
        </w:tc>
        <w:tc>
          <w:tcPr>
            <w:tcW w:w="1417" w:type="dxa"/>
            <w:tcBorders>
              <w:top w:val="single" w:sz="4" w:space="0" w:color="auto"/>
              <w:left w:val="single" w:sz="4" w:space="0" w:color="auto"/>
              <w:bottom w:val="single" w:sz="4" w:space="0" w:color="auto"/>
              <w:right w:val="single" w:sz="4" w:space="0" w:color="auto"/>
            </w:tcBorders>
          </w:tcPr>
          <w:p w14:paraId="3DC6E9F8" w14:textId="77777777" w:rsidR="00283FBF" w:rsidRDefault="00283FBF" w:rsidP="005556EE">
            <w:pPr>
              <w:jc w:val="center"/>
              <w:rPr>
                <w:rFonts w:cs="Times New Roman"/>
                <w:bCs/>
                <w:lang w:val="en-IE"/>
              </w:rPr>
            </w:pPr>
          </w:p>
          <w:p w14:paraId="130AB320" w14:textId="77777777" w:rsidR="00283FBF" w:rsidRDefault="00283FBF" w:rsidP="005556EE">
            <w:pPr>
              <w:jc w:val="center"/>
              <w:rPr>
                <w:rFonts w:cs="Times New Roman"/>
                <w:bCs/>
                <w:lang w:val="en-IE"/>
              </w:rPr>
            </w:pPr>
          </w:p>
          <w:p w14:paraId="1C8698E9" w14:textId="77777777" w:rsidR="00283FBF" w:rsidRDefault="00283FBF" w:rsidP="005556EE">
            <w:pPr>
              <w:jc w:val="center"/>
              <w:rPr>
                <w:rFonts w:cs="Times New Roman"/>
                <w:bCs/>
                <w:lang w:val="en-IE"/>
              </w:rPr>
            </w:pPr>
          </w:p>
          <w:p w14:paraId="72A4E4A7" w14:textId="2AA145EC" w:rsidR="00283FBF" w:rsidRPr="00DD1234" w:rsidRDefault="00AC5CAB" w:rsidP="005556EE">
            <w:pPr>
              <w:jc w:val="center"/>
              <w:rPr>
                <w:rFonts w:cs="Times New Roman"/>
                <w:bCs/>
                <w:lang w:val="en-IE"/>
              </w:rPr>
            </w:pPr>
            <w:r>
              <w:rPr>
                <w:rFonts w:cs="Times New Roman"/>
                <w:bCs/>
                <w:lang w:val="en-IE"/>
              </w:rPr>
              <w:t>H</w:t>
            </w:r>
          </w:p>
        </w:tc>
        <w:tc>
          <w:tcPr>
            <w:tcW w:w="1275" w:type="dxa"/>
            <w:tcBorders>
              <w:top w:val="single" w:sz="4" w:space="0" w:color="auto"/>
              <w:left w:val="single" w:sz="4" w:space="0" w:color="auto"/>
              <w:bottom w:val="single" w:sz="4" w:space="0" w:color="auto"/>
              <w:right w:val="single" w:sz="4" w:space="0" w:color="auto"/>
            </w:tcBorders>
          </w:tcPr>
          <w:p w14:paraId="3AE4DBD8" w14:textId="77777777" w:rsidR="00283FBF" w:rsidRDefault="00283FBF" w:rsidP="005556EE">
            <w:pPr>
              <w:jc w:val="center"/>
              <w:rPr>
                <w:rFonts w:cs="Times New Roman"/>
                <w:bCs/>
                <w:lang w:val="en-IE"/>
              </w:rPr>
            </w:pPr>
          </w:p>
          <w:p w14:paraId="78D2CD00" w14:textId="77777777" w:rsidR="00283FBF" w:rsidRDefault="00283FBF" w:rsidP="005556EE">
            <w:pPr>
              <w:jc w:val="center"/>
              <w:rPr>
                <w:rFonts w:cs="Times New Roman"/>
                <w:bCs/>
                <w:lang w:val="en-IE"/>
              </w:rPr>
            </w:pPr>
          </w:p>
          <w:p w14:paraId="4A0F698B" w14:textId="77777777" w:rsidR="00283FBF" w:rsidRDefault="00283FBF" w:rsidP="005556EE">
            <w:pPr>
              <w:jc w:val="center"/>
              <w:rPr>
                <w:rFonts w:cs="Times New Roman"/>
                <w:bCs/>
                <w:lang w:val="en-IE"/>
              </w:rPr>
            </w:pPr>
          </w:p>
          <w:p w14:paraId="4C50CCBE" w14:textId="77777777" w:rsidR="00283FBF" w:rsidRPr="00DD1234" w:rsidRDefault="00283FBF" w:rsidP="005556EE">
            <w:pPr>
              <w:jc w:val="center"/>
              <w:rPr>
                <w:rFonts w:cs="Times New Roman"/>
                <w:bCs/>
                <w:lang w:val="en-IE"/>
              </w:rPr>
            </w:pPr>
            <w:r w:rsidRPr="00DD1234">
              <w:rPr>
                <w:rFonts w:cs="Times New Roman"/>
                <w:bCs/>
                <w:lang w:val="en-IE"/>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52CB674B" w14:textId="07224739" w:rsidR="00283FBF" w:rsidRPr="00F2022C" w:rsidRDefault="00096B6C">
            <w:pPr>
              <w:jc w:val="left"/>
              <w:rPr>
                <w:rFonts w:cs="Times New Roman"/>
                <w:bCs/>
                <w:lang w:val="en-IE"/>
              </w:rPr>
            </w:pPr>
            <w:r>
              <w:rPr>
                <w:rFonts w:cs="Times New Roman"/>
                <w:bCs/>
                <w:lang w:val="en-IE"/>
              </w:rPr>
              <w:t xml:space="preserve">The ongoing </w:t>
            </w:r>
            <w:r w:rsidR="00283FBF">
              <w:rPr>
                <w:rFonts w:cs="Times New Roman"/>
                <w:bCs/>
                <w:lang w:val="en-IE"/>
              </w:rPr>
              <w:t xml:space="preserve">Public Administration Reform (PAR) </w:t>
            </w:r>
            <w:r>
              <w:rPr>
                <w:rFonts w:cs="Times New Roman"/>
                <w:bCs/>
                <w:lang w:val="en-IE"/>
              </w:rPr>
              <w:t>addresses this issue. However, parallel capacity building measures</w:t>
            </w:r>
            <w:r w:rsidR="00AC5CAB">
              <w:rPr>
                <w:rFonts w:cs="Times New Roman"/>
                <w:bCs/>
                <w:lang w:val="en-IE"/>
              </w:rPr>
              <w:t xml:space="preserve">, primarily on peer-to-peer basis (also </w:t>
            </w:r>
            <w:r>
              <w:rPr>
                <w:rFonts w:cs="Times New Roman"/>
                <w:bCs/>
                <w:lang w:val="en-IE"/>
              </w:rPr>
              <w:t>included in this action</w:t>
            </w:r>
            <w:r w:rsidR="00AC5CAB">
              <w:rPr>
                <w:rFonts w:cs="Times New Roman"/>
                <w:bCs/>
                <w:lang w:val="en-IE"/>
              </w:rPr>
              <w:t>)</w:t>
            </w:r>
            <w:r>
              <w:rPr>
                <w:rFonts w:cs="Times New Roman"/>
                <w:bCs/>
                <w:lang w:val="en-IE"/>
              </w:rPr>
              <w:t xml:space="preserve">, will allow improving the personal efficiency </w:t>
            </w:r>
            <w:r w:rsidR="00283FBF">
              <w:rPr>
                <w:rFonts w:cs="Times New Roman"/>
                <w:bCs/>
                <w:lang w:val="en-IE"/>
              </w:rPr>
              <w:t xml:space="preserve">and </w:t>
            </w:r>
            <w:r>
              <w:rPr>
                <w:rFonts w:cs="Times New Roman"/>
                <w:bCs/>
                <w:lang w:val="en-IE"/>
              </w:rPr>
              <w:t xml:space="preserve">motivation of the </w:t>
            </w:r>
            <w:r w:rsidR="00AC5CAB">
              <w:rPr>
                <w:rFonts w:cs="Times New Roman"/>
                <w:bCs/>
                <w:lang w:val="en-IE"/>
              </w:rPr>
              <w:t xml:space="preserve">available </w:t>
            </w:r>
            <w:r>
              <w:rPr>
                <w:rFonts w:cs="Times New Roman"/>
                <w:bCs/>
                <w:lang w:val="en-IE"/>
              </w:rPr>
              <w:t xml:space="preserve">staff and the newcomers. </w:t>
            </w:r>
          </w:p>
        </w:tc>
      </w:tr>
      <w:tr w:rsidR="00283FBF" w:rsidRPr="00F2022C" w14:paraId="611A52C5" w14:textId="77777777" w:rsidTr="005556EE">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0E82FA71" w14:textId="77777777" w:rsidR="00283FBF" w:rsidRPr="003C0CD7" w:rsidRDefault="00283FBF" w:rsidP="005556EE">
            <w:pPr>
              <w:jc w:val="left"/>
              <w:rPr>
                <w:rFonts w:cs="Times New Roman"/>
                <w:lang w:val="en-IE"/>
              </w:rPr>
            </w:pPr>
            <w:r>
              <w:rPr>
                <w:rFonts w:cs="Times New Roman"/>
                <w:lang w:val="en-IE"/>
              </w:rPr>
              <w:t>Planning, process and system</w:t>
            </w:r>
          </w:p>
        </w:tc>
        <w:tc>
          <w:tcPr>
            <w:tcW w:w="1990" w:type="dxa"/>
            <w:tcBorders>
              <w:top w:val="single" w:sz="4" w:space="0" w:color="auto"/>
              <w:left w:val="single" w:sz="4" w:space="0" w:color="auto"/>
              <w:bottom w:val="single" w:sz="4" w:space="0" w:color="auto"/>
              <w:right w:val="single" w:sz="4" w:space="0" w:color="auto"/>
            </w:tcBorders>
          </w:tcPr>
          <w:p w14:paraId="51CE6970" w14:textId="49130343" w:rsidR="00283FBF" w:rsidRPr="003C0CD7" w:rsidRDefault="00283FBF" w:rsidP="005556EE">
            <w:pPr>
              <w:rPr>
                <w:lang w:val="en-IE"/>
              </w:rPr>
            </w:pPr>
            <w:r>
              <w:rPr>
                <w:rFonts w:cs="Times New Roman"/>
                <w:szCs w:val="24"/>
              </w:rPr>
              <w:t xml:space="preserve">Insufficient coordination </w:t>
            </w:r>
            <w:r w:rsidR="00AC5CAB">
              <w:rPr>
                <w:rFonts w:cs="Times New Roman"/>
                <w:szCs w:val="24"/>
              </w:rPr>
              <w:t xml:space="preserve">and cooperation </w:t>
            </w:r>
            <w:r>
              <w:rPr>
                <w:rFonts w:cs="Times New Roman"/>
                <w:szCs w:val="24"/>
              </w:rPr>
              <w:t>among institutions</w:t>
            </w:r>
            <w:r w:rsidR="00AC5CAB">
              <w:rPr>
                <w:rFonts w:cs="Times New Roman"/>
                <w:szCs w:val="24"/>
              </w:rPr>
              <w:t xml:space="preserve"> and law enforcement bodies.</w:t>
            </w:r>
          </w:p>
        </w:tc>
        <w:tc>
          <w:tcPr>
            <w:tcW w:w="1417" w:type="dxa"/>
            <w:tcBorders>
              <w:top w:val="single" w:sz="4" w:space="0" w:color="auto"/>
              <w:left w:val="single" w:sz="4" w:space="0" w:color="auto"/>
              <w:bottom w:val="single" w:sz="4" w:space="0" w:color="auto"/>
              <w:right w:val="single" w:sz="4" w:space="0" w:color="auto"/>
            </w:tcBorders>
          </w:tcPr>
          <w:p w14:paraId="76AFC3DA" w14:textId="77777777" w:rsidR="00283FBF" w:rsidRDefault="00283FBF" w:rsidP="005556EE">
            <w:pPr>
              <w:jc w:val="center"/>
              <w:rPr>
                <w:rFonts w:cs="Times New Roman"/>
                <w:bCs/>
                <w:lang w:val="en-IE"/>
              </w:rPr>
            </w:pPr>
          </w:p>
          <w:p w14:paraId="4FF97E0D" w14:textId="79710BF6" w:rsidR="00283FBF" w:rsidRPr="00F2022C" w:rsidRDefault="00AC5CAB" w:rsidP="005556EE">
            <w:pPr>
              <w:jc w:val="center"/>
              <w:rPr>
                <w:rFonts w:cs="Times New Roman"/>
                <w:bCs/>
                <w:lang w:val="en-IE"/>
              </w:rPr>
            </w:pPr>
            <w:r>
              <w:rPr>
                <w:rFonts w:cs="Times New Roman"/>
                <w:bCs/>
                <w:lang w:val="en-IE"/>
              </w:rPr>
              <w:t>H</w:t>
            </w:r>
          </w:p>
        </w:tc>
        <w:tc>
          <w:tcPr>
            <w:tcW w:w="1275" w:type="dxa"/>
            <w:tcBorders>
              <w:top w:val="single" w:sz="4" w:space="0" w:color="auto"/>
              <w:left w:val="single" w:sz="4" w:space="0" w:color="auto"/>
              <w:bottom w:val="single" w:sz="4" w:space="0" w:color="auto"/>
              <w:right w:val="single" w:sz="4" w:space="0" w:color="auto"/>
            </w:tcBorders>
          </w:tcPr>
          <w:p w14:paraId="31659C4E" w14:textId="77777777" w:rsidR="00283FBF" w:rsidRDefault="00283FBF" w:rsidP="005556EE">
            <w:pPr>
              <w:jc w:val="center"/>
              <w:rPr>
                <w:rFonts w:cs="Times New Roman"/>
                <w:bCs/>
                <w:lang w:val="en-IE"/>
              </w:rPr>
            </w:pPr>
          </w:p>
          <w:p w14:paraId="222A1F2D" w14:textId="00E4C86B" w:rsidR="00283FBF" w:rsidRPr="00F2022C" w:rsidRDefault="00AC5CAB" w:rsidP="005556EE">
            <w:pPr>
              <w:jc w:val="center"/>
              <w:rPr>
                <w:rFonts w:cs="Times New Roman"/>
                <w:bCs/>
                <w:lang w:val="en-IE"/>
              </w:rPr>
            </w:pPr>
            <w:r>
              <w:rPr>
                <w:rFonts w:cs="Times New Roman"/>
                <w:bCs/>
                <w:lang w:val="en-IE"/>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44FAB5B9" w14:textId="30AA3327" w:rsidR="00283FBF" w:rsidRPr="00F2022C" w:rsidRDefault="00941D8B">
            <w:pPr>
              <w:jc w:val="left"/>
              <w:rPr>
                <w:rFonts w:cs="Times New Roman"/>
                <w:bCs/>
                <w:lang w:val="en-IE"/>
              </w:rPr>
            </w:pPr>
            <w:r>
              <w:rPr>
                <w:rFonts w:cs="Times New Roman"/>
                <w:bCs/>
                <w:lang w:val="en-IE"/>
              </w:rPr>
              <w:t xml:space="preserve">The action addresses this weaknesses directly by enhancing the coordination among the law enforcement bodies. In addition, at policy level, an important mitigation measure is the strengthening of </w:t>
            </w:r>
            <w:r w:rsidR="00283FBF" w:rsidRPr="00F2022C">
              <w:rPr>
                <w:rFonts w:cs="Times New Roman"/>
                <w:bCs/>
                <w:lang w:val="en-IE"/>
              </w:rPr>
              <w:t>the Sector Working Groups channelling the coordination and policy dialogue</w:t>
            </w:r>
            <w:r>
              <w:rPr>
                <w:rFonts w:cs="Times New Roman"/>
                <w:bCs/>
                <w:lang w:val="en-IE"/>
              </w:rPr>
              <w:t xml:space="preserve">. In addition, at project level, </w:t>
            </w:r>
            <w:r w:rsidR="00283FBF" w:rsidRPr="00F2022C">
              <w:rPr>
                <w:rFonts w:cs="Times New Roman"/>
                <w:bCs/>
                <w:lang w:val="en-IE"/>
              </w:rPr>
              <w:t xml:space="preserve">the Steering Committee </w:t>
            </w:r>
            <w:r>
              <w:rPr>
                <w:rFonts w:cs="Times New Roman"/>
                <w:bCs/>
                <w:lang w:val="en-IE"/>
              </w:rPr>
              <w:t>will involve the</w:t>
            </w:r>
            <w:r w:rsidR="00283FBF" w:rsidRPr="00F2022C">
              <w:rPr>
                <w:rFonts w:cs="Times New Roman"/>
                <w:bCs/>
                <w:lang w:val="en-IE"/>
              </w:rPr>
              <w:t xml:space="preserve"> relevant stakeholders.</w:t>
            </w:r>
          </w:p>
        </w:tc>
      </w:tr>
      <w:tr w:rsidR="00283FBF" w:rsidRPr="00F2022C" w14:paraId="265364E0" w14:textId="77777777" w:rsidTr="005556EE">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9E6443B" w14:textId="77777777" w:rsidR="00283FBF" w:rsidRDefault="00283FBF" w:rsidP="005556EE">
            <w:pPr>
              <w:jc w:val="left"/>
              <w:rPr>
                <w:rFonts w:cs="Times New Roman"/>
                <w:lang w:val="en-IE"/>
              </w:rPr>
            </w:pPr>
            <w:r>
              <w:rPr>
                <w:rFonts w:cs="Times New Roman"/>
                <w:lang w:val="en-IE"/>
              </w:rPr>
              <w:t>People and the organisation</w:t>
            </w:r>
          </w:p>
        </w:tc>
        <w:tc>
          <w:tcPr>
            <w:tcW w:w="1990" w:type="dxa"/>
            <w:tcBorders>
              <w:top w:val="single" w:sz="4" w:space="0" w:color="auto"/>
              <w:left w:val="single" w:sz="4" w:space="0" w:color="auto"/>
              <w:bottom w:val="single" w:sz="4" w:space="0" w:color="auto"/>
              <w:right w:val="single" w:sz="4" w:space="0" w:color="auto"/>
            </w:tcBorders>
          </w:tcPr>
          <w:p w14:paraId="21D45E28" w14:textId="77777777" w:rsidR="00283FBF" w:rsidRDefault="00283FBF" w:rsidP="005556EE">
            <w:pPr>
              <w:jc w:val="left"/>
              <w:rPr>
                <w:rFonts w:cs="Times New Roman"/>
                <w:szCs w:val="24"/>
              </w:rPr>
            </w:pPr>
            <w:r w:rsidRPr="00FC1E33">
              <w:rPr>
                <w:rFonts w:cs="Times New Roman"/>
                <w:szCs w:val="24"/>
              </w:rPr>
              <w:t>Lack of interest of the private sector and Civil Society Organisations (CSOs) on activities related to the Action</w:t>
            </w:r>
          </w:p>
        </w:tc>
        <w:tc>
          <w:tcPr>
            <w:tcW w:w="1417" w:type="dxa"/>
            <w:tcBorders>
              <w:top w:val="single" w:sz="4" w:space="0" w:color="auto"/>
              <w:left w:val="single" w:sz="4" w:space="0" w:color="auto"/>
              <w:bottom w:val="single" w:sz="4" w:space="0" w:color="auto"/>
              <w:right w:val="single" w:sz="4" w:space="0" w:color="auto"/>
            </w:tcBorders>
          </w:tcPr>
          <w:p w14:paraId="6B2CEC63" w14:textId="77777777" w:rsidR="00283FBF" w:rsidRDefault="00283FBF" w:rsidP="005556EE">
            <w:pPr>
              <w:jc w:val="center"/>
              <w:rPr>
                <w:rFonts w:cs="Times New Roman"/>
                <w:bCs/>
                <w:lang w:val="en-IE"/>
              </w:rPr>
            </w:pPr>
          </w:p>
          <w:p w14:paraId="35757339" w14:textId="77777777" w:rsidR="00283FBF" w:rsidRDefault="00283FBF" w:rsidP="005556EE">
            <w:pPr>
              <w:jc w:val="center"/>
              <w:rPr>
                <w:rFonts w:cs="Times New Roman"/>
                <w:bCs/>
                <w:lang w:val="en-IE"/>
              </w:rPr>
            </w:pPr>
          </w:p>
          <w:p w14:paraId="75D222DA" w14:textId="77777777" w:rsidR="00283FBF" w:rsidRDefault="00283FBF" w:rsidP="005556EE">
            <w:pPr>
              <w:jc w:val="center"/>
              <w:rPr>
                <w:rFonts w:cs="Times New Roman"/>
                <w:bCs/>
                <w:lang w:val="en-IE"/>
              </w:rPr>
            </w:pPr>
            <w:r>
              <w:rPr>
                <w:rFonts w:cs="Times New Roman"/>
                <w:bCs/>
                <w:lang w:val="en-IE"/>
              </w:rPr>
              <w:t>M</w:t>
            </w:r>
          </w:p>
        </w:tc>
        <w:tc>
          <w:tcPr>
            <w:tcW w:w="1275" w:type="dxa"/>
            <w:tcBorders>
              <w:top w:val="single" w:sz="4" w:space="0" w:color="auto"/>
              <w:left w:val="single" w:sz="4" w:space="0" w:color="auto"/>
              <w:bottom w:val="single" w:sz="4" w:space="0" w:color="auto"/>
              <w:right w:val="single" w:sz="4" w:space="0" w:color="auto"/>
            </w:tcBorders>
          </w:tcPr>
          <w:p w14:paraId="198FFA89" w14:textId="77777777" w:rsidR="00283FBF" w:rsidRDefault="00283FBF" w:rsidP="005556EE">
            <w:pPr>
              <w:jc w:val="center"/>
              <w:rPr>
                <w:rFonts w:cs="Times New Roman"/>
                <w:bCs/>
                <w:lang w:val="en-IE"/>
              </w:rPr>
            </w:pPr>
          </w:p>
          <w:p w14:paraId="438B1EA1" w14:textId="77777777" w:rsidR="00283FBF" w:rsidRDefault="00283FBF" w:rsidP="005556EE">
            <w:pPr>
              <w:jc w:val="center"/>
              <w:rPr>
                <w:rFonts w:cs="Times New Roman"/>
                <w:bCs/>
                <w:lang w:val="en-IE"/>
              </w:rPr>
            </w:pPr>
          </w:p>
          <w:p w14:paraId="4B22DD8E" w14:textId="77777777" w:rsidR="00283FBF" w:rsidRDefault="00283FBF" w:rsidP="005556EE">
            <w:pPr>
              <w:jc w:val="center"/>
              <w:rPr>
                <w:rFonts w:cs="Times New Roman"/>
                <w:bCs/>
                <w:lang w:val="en-IE"/>
              </w:rPr>
            </w:pPr>
            <w:r>
              <w:rPr>
                <w:rFonts w:cs="Times New Roman"/>
                <w:bCs/>
                <w:lang w:val="en-IE"/>
              </w:rPr>
              <w:t>M</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139A6CFA" w14:textId="59D7BDCA" w:rsidR="00283FBF" w:rsidRPr="00F2022C" w:rsidRDefault="0014180A">
            <w:pPr>
              <w:jc w:val="left"/>
              <w:rPr>
                <w:rFonts w:cs="Times New Roman"/>
                <w:bCs/>
                <w:lang w:val="en-IE"/>
              </w:rPr>
            </w:pPr>
            <w:r>
              <w:rPr>
                <w:rFonts w:cs="Times New Roman"/>
                <w:bCs/>
                <w:lang w:val="en-IE"/>
              </w:rPr>
              <w:t xml:space="preserve">Improved interaction with business associations and support structures (incubators, accelerators, information centres), as well as with the Resource centre for the civil society and CSOs networks within the established sector working group and through targeted meetings. </w:t>
            </w:r>
          </w:p>
        </w:tc>
      </w:tr>
    </w:tbl>
    <w:p w14:paraId="36B3D4D2" w14:textId="59C29716" w:rsidR="00C60BF9" w:rsidRDefault="00C60BF9" w:rsidP="00C60BF9">
      <w:pPr>
        <w:rPr>
          <w:lang w:val="en-IE"/>
        </w:rPr>
      </w:pPr>
    </w:p>
    <w:p w14:paraId="54E66AFD" w14:textId="77777777" w:rsidR="009D4EF1" w:rsidRDefault="009D4EF1" w:rsidP="00C60BF9">
      <w:pPr>
        <w:rPr>
          <w:b/>
          <w:szCs w:val="24"/>
        </w:rPr>
      </w:pPr>
    </w:p>
    <w:p w14:paraId="26A35809" w14:textId="77777777" w:rsidR="005B2F62" w:rsidRPr="00162DD2" w:rsidRDefault="005B2F62" w:rsidP="005B2F62">
      <w:pPr>
        <w:rPr>
          <w:rFonts w:cs="Times New Roman"/>
          <w:b/>
          <w:color w:val="0D0D0D" w:themeColor="text1" w:themeTint="F2"/>
        </w:rPr>
      </w:pPr>
      <w:r w:rsidRPr="00162DD2">
        <w:rPr>
          <w:rFonts w:cs="Times New Roman"/>
          <w:b/>
          <w:color w:val="0D0D0D" w:themeColor="text1" w:themeTint="F2"/>
        </w:rPr>
        <w:t>External Assumptions</w:t>
      </w:r>
    </w:p>
    <w:p w14:paraId="6CDF2E2D" w14:textId="77777777" w:rsidR="00A521FB" w:rsidRDefault="00A521FB" w:rsidP="00C60BF9">
      <w:pPr>
        <w:rPr>
          <w:color w:val="0D0D0D" w:themeColor="text1" w:themeTint="F2"/>
        </w:rPr>
      </w:pPr>
    </w:p>
    <w:p w14:paraId="7161ECD0" w14:textId="5C2443F2" w:rsidR="005B2F62" w:rsidRDefault="00A521FB" w:rsidP="00497F73">
      <w:pPr>
        <w:ind w:left="720"/>
        <w:rPr>
          <w:color w:val="0D0D0D" w:themeColor="text1" w:themeTint="F2"/>
        </w:rPr>
      </w:pPr>
      <w:r>
        <w:rPr>
          <w:color w:val="0D0D0D" w:themeColor="text1" w:themeTint="F2"/>
        </w:rPr>
        <w:t>The following assumptions should hold true to guarantee the success of the intervention:</w:t>
      </w:r>
    </w:p>
    <w:p w14:paraId="764F756D" w14:textId="6158C09F" w:rsidR="00A521FB" w:rsidRDefault="00A521FB" w:rsidP="00497F73">
      <w:pPr>
        <w:ind w:left="720"/>
        <w:rPr>
          <w:color w:val="0D0D0D" w:themeColor="text1" w:themeTint="F2"/>
        </w:rPr>
      </w:pPr>
    </w:p>
    <w:p w14:paraId="70BFD3AD" w14:textId="77777777" w:rsidR="003A002B" w:rsidRPr="00497F73" w:rsidRDefault="003A002B" w:rsidP="00497F73">
      <w:pPr>
        <w:pStyle w:val="ListParagraph"/>
        <w:keepNext/>
        <w:framePr w:hSpace="180" w:wrap="around" w:vAnchor="text" w:hAnchor="text" w:y="1"/>
        <w:numPr>
          <w:ilvl w:val="0"/>
          <w:numId w:val="30"/>
        </w:numPr>
        <w:shd w:val="solid" w:color="FFFFFF" w:fill="auto"/>
        <w:spacing w:before="120"/>
        <w:ind w:left="1434" w:hanging="357"/>
        <w:contextualSpacing w:val="0"/>
        <w:suppressOverlap/>
        <w:rPr>
          <w:szCs w:val="24"/>
          <w:lang w:eastAsia="zh-CN"/>
        </w:rPr>
      </w:pPr>
      <w:r w:rsidRPr="00497F73">
        <w:rPr>
          <w:szCs w:val="24"/>
          <w:lang w:eastAsia="zh-CN"/>
        </w:rPr>
        <w:t>Stable progress on the EU accession path to back up the cooperation with the EU on security resilience</w:t>
      </w:r>
    </w:p>
    <w:p w14:paraId="5162CCDE" w14:textId="77777777" w:rsidR="003A002B" w:rsidRPr="00497F73" w:rsidRDefault="003A002B" w:rsidP="00497F73">
      <w:pPr>
        <w:pStyle w:val="ListParagraph"/>
        <w:keepNext/>
        <w:framePr w:hSpace="180" w:wrap="around" w:vAnchor="text" w:hAnchor="text" w:y="1"/>
        <w:numPr>
          <w:ilvl w:val="0"/>
          <w:numId w:val="30"/>
        </w:numPr>
        <w:shd w:val="solid" w:color="FFFFFF" w:fill="auto"/>
        <w:spacing w:before="120"/>
        <w:ind w:left="1434" w:hanging="357"/>
        <w:contextualSpacing w:val="0"/>
        <w:suppressOverlap/>
        <w:rPr>
          <w:szCs w:val="24"/>
          <w:lang w:eastAsia="zh-CN"/>
        </w:rPr>
      </w:pPr>
      <w:r w:rsidRPr="00497F73">
        <w:rPr>
          <w:szCs w:val="24"/>
          <w:lang w:eastAsia="zh-CN"/>
        </w:rPr>
        <w:t>Stable political situation and consistent reform orientation of any new government.</w:t>
      </w:r>
    </w:p>
    <w:p w14:paraId="5D7D0AD9" w14:textId="77777777" w:rsidR="003A002B" w:rsidRPr="00497F73" w:rsidRDefault="003A002B" w:rsidP="00497F73">
      <w:pPr>
        <w:pStyle w:val="ListParagraph"/>
        <w:keepNext/>
        <w:numPr>
          <w:ilvl w:val="0"/>
          <w:numId w:val="30"/>
        </w:numPr>
        <w:spacing w:before="120"/>
        <w:ind w:left="1434" w:hanging="357"/>
        <w:contextualSpacing w:val="0"/>
        <w:rPr>
          <w:szCs w:val="24"/>
          <w:lang w:eastAsia="zh-CN"/>
        </w:rPr>
      </w:pPr>
      <w:r w:rsidRPr="00497F73">
        <w:rPr>
          <w:szCs w:val="24"/>
          <w:lang w:eastAsia="zh-CN"/>
        </w:rPr>
        <w:t>The level of trust in the institutions improves</w:t>
      </w:r>
    </w:p>
    <w:p w14:paraId="35748DDE" w14:textId="77777777" w:rsidR="003A002B" w:rsidRPr="00497F73" w:rsidRDefault="003A002B" w:rsidP="00497F73">
      <w:pPr>
        <w:pStyle w:val="ListParagraph"/>
        <w:keepNext/>
        <w:numPr>
          <w:ilvl w:val="0"/>
          <w:numId w:val="30"/>
        </w:numPr>
        <w:autoSpaceDE w:val="0"/>
        <w:autoSpaceDN w:val="0"/>
        <w:adjustRightInd w:val="0"/>
        <w:spacing w:before="120"/>
        <w:ind w:left="1434" w:hanging="357"/>
        <w:contextualSpacing w:val="0"/>
        <w:jc w:val="left"/>
        <w:rPr>
          <w:szCs w:val="24"/>
          <w:lang w:eastAsia="zh-CN"/>
        </w:rPr>
      </w:pPr>
      <w:r w:rsidRPr="00497F73">
        <w:rPr>
          <w:szCs w:val="24"/>
          <w:lang w:eastAsia="zh-CN"/>
        </w:rPr>
        <w:t>Relevant national strategic and regulatory frameworks in place.</w:t>
      </w:r>
    </w:p>
    <w:p w14:paraId="0AF02816" w14:textId="77777777" w:rsidR="003A002B" w:rsidRPr="00497F73" w:rsidRDefault="003A002B" w:rsidP="00497F73">
      <w:pPr>
        <w:pStyle w:val="ListParagraph"/>
        <w:keepNext/>
        <w:numPr>
          <w:ilvl w:val="0"/>
          <w:numId w:val="30"/>
        </w:numPr>
        <w:autoSpaceDE w:val="0"/>
        <w:autoSpaceDN w:val="0"/>
        <w:adjustRightInd w:val="0"/>
        <w:spacing w:before="120"/>
        <w:ind w:left="1434" w:hanging="357"/>
        <w:contextualSpacing w:val="0"/>
        <w:jc w:val="left"/>
        <w:rPr>
          <w:szCs w:val="24"/>
          <w:lang w:eastAsia="zh-CN"/>
        </w:rPr>
      </w:pPr>
      <w:r w:rsidRPr="00497F73">
        <w:rPr>
          <w:szCs w:val="24"/>
          <w:lang w:eastAsia="zh-CN"/>
        </w:rPr>
        <w:t>Improving coordination and  cooperation between law enforcing agencies</w:t>
      </w:r>
      <w:r w:rsidRPr="00497F73" w:rsidDel="00A76967">
        <w:rPr>
          <w:szCs w:val="24"/>
          <w:lang w:eastAsia="zh-CN"/>
        </w:rPr>
        <w:t xml:space="preserve"> </w:t>
      </w:r>
    </w:p>
    <w:p w14:paraId="0BCE990C" w14:textId="77777777" w:rsidR="003A002B" w:rsidRPr="00497F73" w:rsidRDefault="003A002B" w:rsidP="00497F73">
      <w:pPr>
        <w:pStyle w:val="ListParagraph"/>
        <w:keepNext/>
        <w:numPr>
          <w:ilvl w:val="0"/>
          <w:numId w:val="30"/>
        </w:numPr>
        <w:autoSpaceDE w:val="0"/>
        <w:autoSpaceDN w:val="0"/>
        <w:adjustRightInd w:val="0"/>
        <w:spacing w:before="120"/>
        <w:ind w:left="1434" w:hanging="357"/>
        <w:contextualSpacing w:val="0"/>
        <w:jc w:val="left"/>
        <w:rPr>
          <w:szCs w:val="24"/>
          <w:lang w:eastAsia="zh-CN"/>
        </w:rPr>
      </w:pPr>
      <w:r w:rsidRPr="00497F73">
        <w:rPr>
          <w:szCs w:val="24"/>
          <w:lang w:eastAsia="zh-CN"/>
        </w:rPr>
        <w:t>Public administration reform progresses well and adequate staff retention policy  is put in place</w:t>
      </w:r>
    </w:p>
    <w:p w14:paraId="0759BFBB" w14:textId="77777777" w:rsidR="003A002B" w:rsidRPr="00497F73" w:rsidRDefault="003A002B" w:rsidP="00497F73">
      <w:pPr>
        <w:pStyle w:val="ListParagraph"/>
        <w:keepNext/>
        <w:numPr>
          <w:ilvl w:val="0"/>
          <w:numId w:val="30"/>
        </w:numPr>
        <w:autoSpaceDE w:val="0"/>
        <w:autoSpaceDN w:val="0"/>
        <w:adjustRightInd w:val="0"/>
        <w:spacing w:before="120"/>
        <w:ind w:left="1434" w:hanging="357"/>
        <w:contextualSpacing w:val="0"/>
        <w:jc w:val="left"/>
        <w:rPr>
          <w:szCs w:val="24"/>
          <w:lang w:eastAsia="zh-CN"/>
        </w:rPr>
      </w:pPr>
      <w:r w:rsidRPr="00497F73">
        <w:rPr>
          <w:szCs w:val="24"/>
          <w:lang w:eastAsia="zh-CN"/>
        </w:rPr>
        <w:t>Interest on behalf of the EU Member states to support the reforms in the sector</w:t>
      </w:r>
    </w:p>
    <w:p w14:paraId="4D476A5B" w14:textId="77777777" w:rsidR="003A002B" w:rsidRDefault="003A002B" w:rsidP="00C60BF9">
      <w:pPr>
        <w:rPr>
          <w:b/>
          <w:szCs w:val="24"/>
        </w:rPr>
        <w:sectPr w:rsidR="003A002B" w:rsidSect="00497F73">
          <w:headerReference w:type="default" r:id="rId11"/>
          <w:footerReference w:type="default" r:id="rId12"/>
          <w:pgSz w:w="11906" w:h="16838"/>
          <w:pgMar w:top="993" w:right="720" w:bottom="1560" w:left="720" w:header="510" w:footer="483" w:gutter="0"/>
          <w:cols w:space="708"/>
          <w:docGrid w:linePitch="360"/>
        </w:sectPr>
      </w:pPr>
    </w:p>
    <w:p w14:paraId="47D809D3" w14:textId="0625BCEC" w:rsidR="00D370B8" w:rsidRDefault="00D370B8" w:rsidP="001115B7">
      <w:pPr>
        <w:pStyle w:val="Heading1"/>
        <w:keepLines w:val="0"/>
        <w:numPr>
          <w:ilvl w:val="1"/>
          <w:numId w:val="1"/>
        </w:numPr>
        <w:rPr>
          <w:lang w:val="en-IE"/>
        </w:rPr>
      </w:pPr>
      <w:bookmarkStart w:id="200" w:name="_Ref58688204"/>
      <w:bookmarkStart w:id="201" w:name="_Ref58688290"/>
      <w:bookmarkStart w:id="202" w:name="_Toc73090750"/>
      <w:r w:rsidRPr="003C0CD7">
        <w:rPr>
          <w:lang w:val="en-IE"/>
        </w:rPr>
        <w:lastRenderedPageBreak/>
        <w:t>Indicative Logical Framework Matrix</w:t>
      </w:r>
      <w:bookmarkEnd w:id="200"/>
      <w:bookmarkEnd w:id="201"/>
      <w:bookmarkEnd w:id="202"/>
      <w:r w:rsidRPr="003C0CD7">
        <w:rPr>
          <w:lang w:val="en-IE"/>
        </w:rPr>
        <w:t xml:space="preserve"> </w:t>
      </w:r>
    </w:p>
    <w:p w14:paraId="38D8F91E" w14:textId="7D651190" w:rsidR="00AE4CD8" w:rsidRPr="003C0CD7" w:rsidRDefault="00AE4CD8" w:rsidP="00D370B8">
      <w:pPr>
        <w:rPr>
          <w:lang w:val="en-IE"/>
        </w:rPr>
      </w:pPr>
    </w:p>
    <w:tbl>
      <w:tblPr>
        <w:tblpPr w:leftFromText="180" w:rightFromText="180" w:vertAnchor="text" w:tblpY="1"/>
        <w:tblOverlap w:val="neve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4254"/>
        <w:gridCol w:w="1842"/>
        <w:gridCol w:w="1701"/>
        <w:gridCol w:w="1701"/>
        <w:gridCol w:w="2267"/>
      </w:tblGrid>
      <w:tr w:rsidR="00AE4CD8" w:rsidRPr="001115B7" w14:paraId="0A05F7BC" w14:textId="77777777" w:rsidTr="00497F73">
        <w:trPr>
          <w:trHeight w:val="719"/>
          <w:tblHeader/>
        </w:trPr>
        <w:tc>
          <w:tcPr>
            <w:tcW w:w="441" w:type="pct"/>
            <w:tcBorders>
              <w:bottom w:val="single" w:sz="4" w:space="0" w:color="auto"/>
            </w:tcBorders>
            <w:shd w:val="clear" w:color="auto" w:fill="BFBFBF" w:themeFill="background1" w:themeFillShade="BF"/>
          </w:tcPr>
          <w:p w14:paraId="76D9D3CE" w14:textId="77777777" w:rsidR="00AE4CD8" w:rsidRPr="001115B7" w:rsidRDefault="00AE4CD8" w:rsidP="00E417E6">
            <w:pPr>
              <w:keepNext/>
              <w:jc w:val="center"/>
              <w:rPr>
                <w:rFonts w:cs="Times New Roman"/>
                <w:b/>
                <w:bCs/>
                <w:color w:val="0D0D0D" w:themeColor="text1" w:themeTint="F2"/>
                <w:sz w:val="20"/>
                <w:szCs w:val="20"/>
                <w:lang w:val="en-IE"/>
              </w:rPr>
            </w:pPr>
            <w:r w:rsidRPr="001115B7">
              <w:rPr>
                <w:rFonts w:cs="Times New Roman"/>
                <w:b/>
                <w:bCs/>
                <w:color w:val="0D0D0D" w:themeColor="text1" w:themeTint="F2"/>
                <w:sz w:val="20"/>
                <w:szCs w:val="20"/>
                <w:lang w:val="en-IE"/>
              </w:rPr>
              <w:lastRenderedPageBreak/>
              <w:t>Results</w:t>
            </w:r>
          </w:p>
        </w:tc>
        <w:tc>
          <w:tcPr>
            <w:tcW w:w="885" w:type="pct"/>
            <w:tcBorders>
              <w:bottom w:val="single" w:sz="4" w:space="0" w:color="auto"/>
            </w:tcBorders>
            <w:shd w:val="clear" w:color="auto" w:fill="BFBFBF" w:themeFill="background1" w:themeFillShade="BF"/>
          </w:tcPr>
          <w:p w14:paraId="1D9F72DC" w14:textId="77777777" w:rsidR="00AE4CD8" w:rsidRPr="001115B7" w:rsidRDefault="00AE4CD8" w:rsidP="00E417E6">
            <w:pPr>
              <w:keepNext/>
              <w:jc w:val="center"/>
              <w:rPr>
                <w:rFonts w:cs="Times New Roman"/>
                <w:b/>
                <w:color w:val="0D0D0D" w:themeColor="text1" w:themeTint="F2"/>
                <w:sz w:val="20"/>
                <w:szCs w:val="20"/>
              </w:rPr>
            </w:pPr>
            <w:r w:rsidRPr="001115B7">
              <w:rPr>
                <w:rFonts w:cs="Times New Roman"/>
                <w:b/>
                <w:color w:val="0D0D0D" w:themeColor="text1" w:themeTint="F2"/>
                <w:sz w:val="20"/>
                <w:szCs w:val="20"/>
              </w:rPr>
              <w:t>Results chain:</w:t>
            </w:r>
          </w:p>
          <w:p w14:paraId="0906207E" w14:textId="77777777" w:rsidR="00AE4CD8" w:rsidRPr="001115B7" w:rsidRDefault="00AE4CD8" w:rsidP="00E417E6">
            <w:pPr>
              <w:keepNext/>
              <w:jc w:val="center"/>
              <w:rPr>
                <w:rFonts w:cs="Times New Roman"/>
                <w:b/>
                <w:color w:val="0D0D0D" w:themeColor="text1" w:themeTint="F2"/>
                <w:sz w:val="20"/>
                <w:szCs w:val="20"/>
                <w:lang w:val="en-IE"/>
              </w:rPr>
            </w:pPr>
            <w:r w:rsidRPr="001115B7">
              <w:rPr>
                <w:rFonts w:cs="Times New Roman"/>
                <w:b/>
                <w:color w:val="0D0D0D" w:themeColor="text1" w:themeTint="F2"/>
                <w:sz w:val="20"/>
                <w:szCs w:val="20"/>
              </w:rPr>
              <w:t xml:space="preserve">Main expected results </w:t>
            </w:r>
          </w:p>
        </w:tc>
        <w:tc>
          <w:tcPr>
            <w:tcW w:w="1328" w:type="pct"/>
            <w:tcBorders>
              <w:bottom w:val="single" w:sz="4" w:space="0" w:color="auto"/>
            </w:tcBorders>
            <w:shd w:val="clear" w:color="auto" w:fill="BFBFBF" w:themeFill="background1" w:themeFillShade="BF"/>
          </w:tcPr>
          <w:p w14:paraId="4B192896" w14:textId="77777777" w:rsidR="00AE4CD8" w:rsidRPr="001115B7" w:rsidRDefault="00AE4CD8" w:rsidP="00E417E6">
            <w:pPr>
              <w:keepNext/>
              <w:jc w:val="center"/>
              <w:rPr>
                <w:rFonts w:cs="Times New Roman"/>
                <w:b/>
                <w:color w:val="0D0D0D" w:themeColor="text1" w:themeTint="F2"/>
                <w:sz w:val="20"/>
                <w:szCs w:val="20"/>
              </w:rPr>
            </w:pPr>
            <w:r w:rsidRPr="001115B7">
              <w:rPr>
                <w:rFonts w:cs="Times New Roman"/>
                <w:b/>
                <w:color w:val="0D0D0D" w:themeColor="text1" w:themeTint="F2"/>
                <w:sz w:val="20"/>
                <w:szCs w:val="20"/>
              </w:rPr>
              <w:t xml:space="preserve">Indicators </w:t>
            </w:r>
          </w:p>
          <w:p w14:paraId="1F36DFC8" w14:textId="77777777" w:rsidR="00AE4CD8" w:rsidRPr="001115B7" w:rsidRDefault="00AE4CD8" w:rsidP="00E417E6">
            <w:pPr>
              <w:keepNext/>
              <w:jc w:val="center"/>
              <w:rPr>
                <w:rFonts w:cs="Times New Roman"/>
                <w:b/>
                <w:color w:val="0D0D0D" w:themeColor="text1" w:themeTint="F2"/>
                <w:sz w:val="20"/>
                <w:szCs w:val="20"/>
                <w:lang w:val="en-IE"/>
              </w:rPr>
            </w:pPr>
          </w:p>
        </w:tc>
        <w:tc>
          <w:tcPr>
            <w:tcW w:w="575" w:type="pct"/>
            <w:tcBorders>
              <w:bottom w:val="single" w:sz="4" w:space="0" w:color="auto"/>
            </w:tcBorders>
            <w:shd w:val="clear" w:color="auto" w:fill="BFBFBF" w:themeFill="background1" w:themeFillShade="BF"/>
          </w:tcPr>
          <w:p w14:paraId="1733B49B" w14:textId="77777777" w:rsidR="00AE4CD8" w:rsidRPr="001115B7" w:rsidRDefault="00AE4CD8" w:rsidP="00E417E6">
            <w:pPr>
              <w:keepNext/>
              <w:jc w:val="center"/>
              <w:rPr>
                <w:rFonts w:cs="Times New Roman"/>
                <w:b/>
                <w:color w:val="0D0D0D" w:themeColor="text1" w:themeTint="F2"/>
                <w:sz w:val="20"/>
                <w:szCs w:val="20"/>
              </w:rPr>
            </w:pPr>
            <w:r w:rsidRPr="001115B7">
              <w:rPr>
                <w:rFonts w:cs="Times New Roman"/>
                <w:b/>
                <w:color w:val="0D0D0D" w:themeColor="text1" w:themeTint="F2"/>
                <w:sz w:val="20"/>
                <w:szCs w:val="20"/>
              </w:rPr>
              <w:t>Baselines</w:t>
            </w:r>
          </w:p>
          <w:p w14:paraId="35A45395" w14:textId="77777777" w:rsidR="00AE4CD8" w:rsidRPr="001115B7" w:rsidRDefault="00AE4CD8" w:rsidP="00E417E6">
            <w:pPr>
              <w:keepNext/>
              <w:jc w:val="center"/>
              <w:rPr>
                <w:rFonts w:cs="Times New Roman"/>
                <w:b/>
                <w:color w:val="0D0D0D" w:themeColor="text1" w:themeTint="F2"/>
                <w:sz w:val="20"/>
                <w:szCs w:val="20"/>
                <w:lang w:val="en-IE"/>
              </w:rPr>
            </w:pPr>
            <w:r w:rsidRPr="001115B7">
              <w:rPr>
                <w:rFonts w:cs="Times New Roman"/>
                <w:b/>
                <w:color w:val="0D0D0D" w:themeColor="text1" w:themeTint="F2"/>
                <w:sz w:val="20"/>
                <w:szCs w:val="20"/>
              </w:rPr>
              <w:t>(values and years)</w:t>
            </w:r>
          </w:p>
        </w:tc>
        <w:tc>
          <w:tcPr>
            <w:tcW w:w="531" w:type="pct"/>
            <w:tcBorders>
              <w:bottom w:val="single" w:sz="4" w:space="0" w:color="auto"/>
            </w:tcBorders>
            <w:shd w:val="clear" w:color="auto" w:fill="BFBFBF" w:themeFill="background1" w:themeFillShade="BF"/>
          </w:tcPr>
          <w:p w14:paraId="7C275A96" w14:textId="77777777" w:rsidR="00AE4CD8" w:rsidRPr="001115B7" w:rsidRDefault="00AE4CD8" w:rsidP="00E417E6">
            <w:pPr>
              <w:keepNext/>
              <w:jc w:val="center"/>
              <w:rPr>
                <w:rFonts w:cs="Times New Roman"/>
                <w:b/>
                <w:color w:val="0D0D0D" w:themeColor="text1" w:themeTint="F2"/>
                <w:sz w:val="20"/>
                <w:szCs w:val="20"/>
              </w:rPr>
            </w:pPr>
            <w:r w:rsidRPr="001115B7">
              <w:rPr>
                <w:rFonts w:cs="Times New Roman"/>
                <w:b/>
                <w:color w:val="0D0D0D" w:themeColor="text1" w:themeTint="F2"/>
                <w:sz w:val="20"/>
                <w:szCs w:val="20"/>
              </w:rPr>
              <w:t>Targets</w:t>
            </w:r>
          </w:p>
          <w:p w14:paraId="0CCB1612" w14:textId="77777777" w:rsidR="00AE4CD8" w:rsidRPr="001115B7" w:rsidRDefault="00AE4CD8" w:rsidP="00E417E6">
            <w:pPr>
              <w:keepNext/>
              <w:jc w:val="center"/>
              <w:rPr>
                <w:rFonts w:cs="Times New Roman"/>
                <w:b/>
                <w:color w:val="0D0D0D" w:themeColor="text1" w:themeTint="F2"/>
                <w:sz w:val="20"/>
                <w:szCs w:val="20"/>
                <w:lang w:val="en-IE"/>
              </w:rPr>
            </w:pPr>
            <w:r w:rsidRPr="001115B7">
              <w:rPr>
                <w:rFonts w:cs="Times New Roman"/>
                <w:b/>
                <w:color w:val="0D0D0D" w:themeColor="text1" w:themeTint="F2"/>
                <w:sz w:val="20"/>
                <w:szCs w:val="20"/>
              </w:rPr>
              <w:t>(values and years)</w:t>
            </w:r>
          </w:p>
        </w:tc>
        <w:tc>
          <w:tcPr>
            <w:tcW w:w="531" w:type="pct"/>
            <w:tcBorders>
              <w:bottom w:val="single" w:sz="4" w:space="0" w:color="auto"/>
            </w:tcBorders>
            <w:shd w:val="clear" w:color="auto" w:fill="BFBFBF" w:themeFill="background1" w:themeFillShade="BF"/>
          </w:tcPr>
          <w:p w14:paraId="661A6177" w14:textId="77777777" w:rsidR="00AE4CD8" w:rsidRPr="001115B7" w:rsidRDefault="00AE4CD8" w:rsidP="00E417E6">
            <w:pPr>
              <w:keepNext/>
              <w:jc w:val="center"/>
              <w:rPr>
                <w:rFonts w:cs="Times New Roman"/>
                <w:b/>
                <w:color w:val="0D0D0D" w:themeColor="text1" w:themeTint="F2"/>
                <w:sz w:val="20"/>
                <w:szCs w:val="20"/>
                <w:lang w:val="en-IE"/>
              </w:rPr>
            </w:pPr>
            <w:r w:rsidRPr="001115B7">
              <w:rPr>
                <w:rFonts w:cs="Times New Roman"/>
                <w:b/>
                <w:color w:val="0D0D0D" w:themeColor="text1" w:themeTint="F2"/>
                <w:sz w:val="20"/>
                <w:szCs w:val="20"/>
              </w:rPr>
              <w:t>Sources of data</w:t>
            </w:r>
          </w:p>
        </w:tc>
        <w:tc>
          <w:tcPr>
            <w:tcW w:w="708" w:type="pct"/>
            <w:tcBorders>
              <w:bottom w:val="single" w:sz="4" w:space="0" w:color="auto"/>
            </w:tcBorders>
            <w:shd w:val="clear" w:color="auto" w:fill="BFBFBF" w:themeFill="background1" w:themeFillShade="BF"/>
          </w:tcPr>
          <w:p w14:paraId="1D1A0386" w14:textId="77777777" w:rsidR="00AE4CD8" w:rsidRPr="001115B7" w:rsidRDefault="00AE4CD8" w:rsidP="00E417E6">
            <w:pPr>
              <w:keepNext/>
              <w:jc w:val="center"/>
              <w:rPr>
                <w:rFonts w:cs="Times New Roman"/>
                <w:b/>
                <w:color w:val="0D0D0D" w:themeColor="text1" w:themeTint="F2"/>
                <w:sz w:val="20"/>
                <w:szCs w:val="20"/>
                <w:lang w:val="en-IE"/>
              </w:rPr>
            </w:pPr>
            <w:r w:rsidRPr="001115B7">
              <w:rPr>
                <w:rFonts w:cs="Times New Roman"/>
                <w:b/>
                <w:color w:val="0D0D0D" w:themeColor="text1" w:themeTint="F2"/>
                <w:sz w:val="20"/>
                <w:szCs w:val="20"/>
              </w:rPr>
              <w:t>Assumptions</w:t>
            </w:r>
          </w:p>
        </w:tc>
      </w:tr>
      <w:tr w:rsidR="00AE4CD8" w:rsidRPr="001115B7" w14:paraId="53F44A44" w14:textId="77777777" w:rsidTr="00497F73">
        <w:trPr>
          <w:trHeight w:val="679"/>
          <w:tblHeader/>
        </w:trPr>
        <w:tc>
          <w:tcPr>
            <w:tcW w:w="441" w:type="pct"/>
            <w:vMerge w:val="restart"/>
            <w:shd w:val="clear" w:color="auto" w:fill="D9D9D9" w:themeFill="background1" w:themeFillShade="D9"/>
            <w:vAlign w:val="center"/>
          </w:tcPr>
          <w:p w14:paraId="21FDA8C9" w14:textId="77777777" w:rsidR="00AE4CD8" w:rsidRPr="001115B7" w:rsidRDefault="00AE4CD8" w:rsidP="00E417E6">
            <w:pPr>
              <w:keepNext/>
              <w:tabs>
                <w:tab w:val="left" w:pos="0"/>
                <w:tab w:val="left" w:pos="132"/>
              </w:tabs>
              <w:ind w:right="113"/>
              <w:rPr>
                <w:rFonts w:cs="Times New Roman"/>
                <w:b/>
                <w:color w:val="0D0D0D" w:themeColor="text1" w:themeTint="F2"/>
                <w:sz w:val="20"/>
                <w:szCs w:val="20"/>
                <w:lang w:val="en-IE"/>
              </w:rPr>
            </w:pPr>
            <w:r w:rsidRPr="001115B7">
              <w:rPr>
                <w:rFonts w:cs="Times New Roman"/>
                <w:b/>
                <w:color w:val="0D0D0D" w:themeColor="text1" w:themeTint="F2"/>
                <w:sz w:val="20"/>
                <w:szCs w:val="20"/>
                <w:lang w:val="en-IE"/>
              </w:rPr>
              <w:t>Impact</w:t>
            </w:r>
          </w:p>
        </w:tc>
        <w:tc>
          <w:tcPr>
            <w:tcW w:w="885" w:type="pct"/>
            <w:vMerge w:val="restart"/>
            <w:shd w:val="clear" w:color="auto" w:fill="auto"/>
            <w:vAlign w:val="center"/>
          </w:tcPr>
          <w:p w14:paraId="1B40F76C"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r w:rsidRPr="001115B7">
              <w:rPr>
                <w:rFonts w:cs="Times New Roman"/>
                <w:sz w:val="20"/>
                <w:szCs w:val="20"/>
                <w:lang w:eastAsia="zh-CN"/>
              </w:rPr>
              <w:t>To improve the security architecture of North Macedonia</w:t>
            </w:r>
          </w:p>
        </w:tc>
        <w:tc>
          <w:tcPr>
            <w:tcW w:w="1328" w:type="pct"/>
            <w:shd w:val="clear" w:color="auto" w:fill="auto"/>
            <w:vAlign w:val="center"/>
          </w:tcPr>
          <w:p w14:paraId="266099E4"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rFonts w:cs="Times New Roman"/>
                <w:sz w:val="20"/>
                <w:szCs w:val="20"/>
              </w:rPr>
              <w:t>Political Stability and Absence of Violence/Terrorism</w:t>
            </w:r>
            <w:r w:rsidRPr="001115B7">
              <w:rPr>
                <w:rStyle w:val="FootnoteCharacters"/>
                <w:rFonts w:cs="Times New Roman"/>
                <w:sz w:val="20"/>
                <w:szCs w:val="20"/>
              </w:rPr>
              <w:footnoteReference w:id="18"/>
            </w:r>
            <w:r w:rsidRPr="001115B7">
              <w:rPr>
                <w:rFonts w:cs="Times New Roman"/>
                <w:sz w:val="20"/>
                <w:szCs w:val="20"/>
              </w:rPr>
              <w:t xml:space="preserve"> (as measured by the World Bank Worldwide Governance indicators)</w:t>
            </w:r>
            <w:r w:rsidRPr="001115B7">
              <w:rPr>
                <w:rStyle w:val="WW-FootnoteCharacters"/>
                <w:rFonts w:cs="Times New Roman"/>
                <w:sz w:val="20"/>
                <w:szCs w:val="20"/>
              </w:rPr>
              <w:footnoteReference w:id="19"/>
            </w:r>
            <w:r w:rsidRPr="001115B7">
              <w:rPr>
                <w:rFonts w:cs="Times New Roman"/>
                <w:sz w:val="20"/>
                <w:szCs w:val="20"/>
              </w:rPr>
              <w:t xml:space="preserve">  </w:t>
            </w:r>
          </w:p>
        </w:tc>
        <w:tc>
          <w:tcPr>
            <w:tcW w:w="575" w:type="pct"/>
            <w:vAlign w:val="center"/>
          </w:tcPr>
          <w:p w14:paraId="62FC8762"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r w:rsidRPr="001115B7">
              <w:rPr>
                <w:rFonts w:cs="Times New Roman"/>
                <w:sz w:val="20"/>
                <w:szCs w:val="20"/>
              </w:rPr>
              <w:t>50.47 (2020)</w:t>
            </w:r>
          </w:p>
        </w:tc>
        <w:tc>
          <w:tcPr>
            <w:tcW w:w="531" w:type="pct"/>
            <w:vAlign w:val="center"/>
          </w:tcPr>
          <w:p w14:paraId="0CE2A65A"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r w:rsidRPr="001115B7">
              <w:rPr>
                <w:rFonts w:cs="Times New Roman"/>
                <w:sz w:val="20"/>
                <w:szCs w:val="20"/>
              </w:rPr>
              <w:t>≥ 50</w:t>
            </w:r>
            <w:r w:rsidRPr="001115B7">
              <w:rPr>
                <w:rFonts w:cs="Times New Roman"/>
                <w:iCs/>
                <w:sz w:val="20"/>
                <w:szCs w:val="20"/>
              </w:rPr>
              <w:t xml:space="preserve"> (2027)</w:t>
            </w:r>
          </w:p>
        </w:tc>
        <w:tc>
          <w:tcPr>
            <w:tcW w:w="531" w:type="pct"/>
            <w:shd w:val="clear" w:color="auto" w:fill="auto"/>
            <w:vAlign w:val="center"/>
          </w:tcPr>
          <w:p w14:paraId="6E1485D0"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rFonts w:cs="Times New Roman"/>
                <w:iCs/>
                <w:sz w:val="20"/>
                <w:szCs w:val="20"/>
                <w:lang w:eastAsia="zh-CN"/>
              </w:rPr>
              <w:t>World Bank</w:t>
            </w:r>
          </w:p>
        </w:tc>
        <w:tc>
          <w:tcPr>
            <w:tcW w:w="708" w:type="pct"/>
            <w:vMerge w:val="restart"/>
            <w:shd w:val="clear" w:color="auto" w:fill="7F7F7F" w:themeFill="text1" w:themeFillTint="80"/>
            <w:vAlign w:val="center"/>
          </w:tcPr>
          <w:p w14:paraId="245E6278" w14:textId="77777777" w:rsidR="00AE4CD8" w:rsidRPr="001115B7" w:rsidRDefault="00AE4CD8" w:rsidP="00E417E6">
            <w:pPr>
              <w:keepNext/>
              <w:rPr>
                <w:rFonts w:cs="Times New Roman"/>
                <w:i/>
                <w:color w:val="0D0D0D" w:themeColor="text1" w:themeTint="F2"/>
                <w:sz w:val="20"/>
                <w:szCs w:val="20"/>
                <w:highlight w:val="yellow"/>
                <w:lang w:val="en-IE"/>
              </w:rPr>
            </w:pPr>
            <w:r w:rsidRPr="001115B7">
              <w:rPr>
                <w:rFonts w:cs="Times New Roman"/>
                <w:i/>
                <w:color w:val="0D0D0D" w:themeColor="text1" w:themeTint="F2"/>
                <w:sz w:val="20"/>
                <w:szCs w:val="20"/>
                <w:lang w:val="en-IE"/>
              </w:rPr>
              <w:t>Not applicable</w:t>
            </w:r>
          </w:p>
        </w:tc>
      </w:tr>
      <w:tr w:rsidR="00AE4CD8" w:rsidRPr="001115B7" w14:paraId="47076DC5" w14:textId="77777777" w:rsidTr="00497F73">
        <w:trPr>
          <w:trHeight w:val="679"/>
          <w:tblHeader/>
        </w:trPr>
        <w:tc>
          <w:tcPr>
            <w:tcW w:w="441" w:type="pct"/>
            <w:vMerge/>
            <w:shd w:val="clear" w:color="auto" w:fill="D9D9D9" w:themeFill="background1" w:themeFillShade="D9"/>
            <w:vAlign w:val="center"/>
          </w:tcPr>
          <w:p w14:paraId="5DD20724" w14:textId="77777777" w:rsidR="00AE4CD8" w:rsidRPr="001115B7" w:rsidRDefault="00AE4CD8" w:rsidP="00E417E6">
            <w:pPr>
              <w:keepNext/>
              <w:tabs>
                <w:tab w:val="left" w:pos="0"/>
                <w:tab w:val="left" w:pos="132"/>
              </w:tabs>
              <w:ind w:right="113"/>
              <w:rPr>
                <w:rFonts w:cs="Times New Roman"/>
                <w:b/>
                <w:color w:val="0D0D0D" w:themeColor="text1" w:themeTint="F2"/>
                <w:sz w:val="20"/>
                <w:szCs w:val="20"/>
                <w:lang w:val="en-IE"/>
              </w:rPr>
            </w:pPr>
          </w:p>
        </w:tc>
        <w:tc>
          <w:tcPr>
            <w:tcW w:w="885" w:type="pct"/>
            <w:vMerge/>
            <w:shd w:val="clear" w:color="auto" w:fill="auto"/>
            <w:vAlign w:val="center"/>
          </w:tcPr>
          <w:p w14:paraId="5D68D441"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shd w:val="clear" w:color="auto" w:fill="auto"/>
            <w:vAlign w:val="center"/>
          </w:tcPr>
          <w:p w14:paraId="19A3BC33"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rFonts w:cs="Times New Roman"/>
                <w:sz w:val="20"/>
                <w:szCs w:val="20"/>
              </w:rPr>
              <w:t>Crime rate (Crimes over population 100.000 inhabitants. Considered crimes: intentional homicide; -attempted intentional homicide; -assault; -kidnapping; -sexual violence; -rape; -robbery)</w:t>
            </w:r>
            <w:r w:rsidRPr="001115B7">
              <w:rPr>
                <w:rStyle w:val="FootnoteReference"/>
                <w:rFonts w:cs="Times New Roman"/>
                <w:sz w:val="20"/>
                <w:szCs w:val="20"/>
              </w:rPr>
              <w:footnoteReference w:id="20"/>
            </w:r>
          </w:p>
        </w:tc>
        <w:tc>
          <w:tcPr>
            <w:tcW w:w="575" w:type="pct"/>
            <w:vAlign w:val="center"/>
          </w:tcPr>
          <w:p w14:paraId="3977AA4C" w14:textId="77777777" w:rsidR="00AE4CD8" w:rsidRPr="001115B7" w:rsidRDefault="00AE4CD8" w:rsidP="00E417E6">
            <w:pPr>
              <w:keepNext/>
              <w:jc w:val="left"/>
              <w:outlineLvl w:val="1"/>
              <w:rPr>
                <w:rFonts w:cs="Times New Roman"/>
                <w:sz w:val="20"/>
                <w:szCs w:val="20"/>
              </w:rPr>
            </w:pPr>
            <w:r w:rsidRPr="001115B7">
              <w:rPr>
                <w:rFonts w:cs="Times New Roman"/>
                <w:sz w:val="20"/>
                <w:szCs w:val="20"/>
              </w:rPr>
              <w:t>38,10 (2017)</w:t>
            </w:r>
          </w:p>
          <w:p w14:paraId="3ECD012C"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p>
        </w:tc>
        <w:tc>
          <w:tcPr>
            <w:tcW w:w="531" w:type="pct"/>
            <w:vAlign w:val="center"/>
          </w:tcPr>
          <w:p w14:paraId="59B2CD79" w14:textId="77777777" w:rsidR="00AE4CD8" w:rsidRPr="001115B7" w:rsidRDefault="00AE4CD8" w:rsidP="00E417E6">
            <w:pPr>
              <w:keepNext/>
              <w:autoSpaceDE w:val="0"/>
              <w:autoSpaceDN w:val="0"/>
              <w:adjustRightInd w:val="0"/>
              <w:jc w:val="left"/>
              <w:rPr>
                <w:rFonts w:cs="Times New Roman"/>
                <w:iCs/>
                <w:sz w:val="20"/>
                <w:szCs w:val="20"/>
              </w:rPr>
            </w:pPr>
            <w:r w:rsidRPr="001115B7">
              <w:rPr>
                <w:rFonts w:cs="Times New Roman"/>
                <w:sz w:val="20"/>
                <w:szCs w:val="20"/>
              </w:rPr>
              <w:t>≤ 30</w:t>
            </w:r>
            <w:r w:rsidRPr="001115B7">
              <w:rPr>
                <w:rFonts w:cs="Times New Roman"/>
                <w:iCs/>
                <w:sz w:val="20"/>
                <w:szCs w:val="20"/>
              </w:rPr>
              <w:t xml:space="preserve"> (2027)</w:t>
            </w:r>
          </w:p>
          <w:p w14:paraId="3B8188A7"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p>
        </w:tc>
        <w:tc>
          <w:tcPr>
            <w:tcW w:w="531" w:type="pct"/>
            <w:shd w:val="clear" w:color="auto" w:fill="auto"/>
            <w:vAlign w:val="center"/>
          </w:tcPr>
          <w:p w14:paraId="73644582" w14:textId="77777777" w:rsidR="00AE4CD8" w:rsidRPr="001115B7" w:rsidRDefault="00AE4CD8" w:rsidP="00E417E6">
            <w:pPr>
              <w:keepNext/>
              <w:autoSpaceDE w:val="0"/>
              <w:autoSpaceDN w:val="0"/>
              <w:adjustRightInd w:val="0"/>
              <w:jc w:val="left"/>
              <w:rPr>
                <w:rFonts w:cs="Times New Roman"/>
                <w:iCs/>
                <w:sz w:val="20"/>
                <w:szCs w:val="20"/>
                <w:lang w:eastAsia="zh-CN"/>
              </w:rPr>
            </w:pPr>
            <w:r w:rsidRPr="001115B7">
              <w:rPr>
                <w:rFonts w:cs="Times New Roman"/>
                <w:iCs/>
                <w:sz w:val="20"/>
                <w:szCs w:val="20"/>
                <w:lang w:eastAsia="zh-CN"/>
              </w:rPr>
              <w:t>Eurostat</w:t>
            </w:r>
          </w:p>
          <w:p w14:paraId="68CB7A12"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p>
        </w:tc>
        <w:tc>
          <w:tcPr>
            <w:tcW w:w="708" w:type="pct"/>
            <w:vMerge/>
            <w:shd w:val="clear" w:color="auto" w:fill="7F7F7F" w:themeFill="text1" w:themeFillTint="80"/>
            <w:vAlign w:val="center"/>
          </w:tcPr>
          <w:p w14:paraId="6116E977" w14:textId="77777777" w:rsidR="00AE4CD8" w:rsidRPr="001115B7" w:rsidRDefault="00AE4CD8" w:rsidP="00E417E6">
            <w:pPr>
              <w:keepNext/>
              <w:rPr>
                <w:rFonts w:cs="Times New Roman"/>
                <w:i/>
                <w:color w:val="0D0D0D" w:themeColor="text1" w:themeTint="F2"/>
                <w:sz w:val="20"/>
                <w:szCs w:val="20"/>
                <w:lang w:val="en-IE"/>
              </w:rPr>
            </w:pPr>
          </w:p>
        </w:tc>
      </w:tr>
      <w:tr w:rsidR="00AE4CD8" w:rsidRPr="001115B7" w14:paraId="676BECD5" w14:textId="77777777" w:rsidTr="00497F73">
        <w:trPr>
          <w:trHeight w:val="431"/>
          <w:tblHeader/>
        </w:trPr>
        <w:tc>
          <w:tcPr>
            <w:tcW w:w="441" w:type="pct"/>
            <w:vMerge/>
            <w:shd w:val="clear" w:color="auto" w:fill="D9D9D9" w:themeFill="background1" w:themeFillShade="D9"/>
            <w:vAlign w:val="center"/>
          </w:tcPr>
          <w:p w14:paraId="030AFBDB" w14:textId="77777777" w:rsidR="00AE4CD8" w:rsidRPr="001115B7" w:rsidRDefault="00AE4CD8" w:rsidP="00E417E6">
            <w:pPr>
              <w:keepNext/>
              <w:tabs>
                <w:tab w:val="left" w:pos="0"/>
                <w:tab w:val="left" w:pos="132"/>
              </w:tabs>
              <w:ind w:right="113"/>
              <w:rPr>
                <w:rFonts w:cs="Times New Roman"/>
                <w:b/>
                <w:color w:val="0D0D0D" w:themeColor="text1" w:themeTint="F2"/>
                <w:sz w:val="20"/>
                <w:szCs w:val="20"/>
                <w:lang w:val="en-IE"/>
              </w:rPr>
            </w:pPr>
          </w:p>
        </w:tc>
        <w:tc>
          <w:tcPr>
            <w:tcW w:w="885" w:type="pct"/>
            <w:vMerge/>
            <w:shd w:val="clear" w:color="auto" w:fill="auto"/>
            <w:vAlign w:val="center"/>
          </w:tcPr>
          <w:p w14:paraId="576CB981"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shd w:val="clear" w:color="auto" w:fill="auto"/>
            <w:vAlign w:val="center"/>
          </w:tcPr>
          <w:p w14:paraId="01156582"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rFonts w:cs="Times New Roman"/>
                <w:iCs/>
                <w:sz w:val="20"/>
                <w:szCs w:val="20"/>
              </w:rPr>
              <w:t>Delayed investigation rate</w:t>
            </w:r>
            <w:r w:rsidRPr="001115B7">
              <w:rPr>
                <w:rStyle w:val="FootnoteReference"/>
                <w:rFonts w:cs="Times New Roman"/>
                <w:iCs/>
                <w:sz w:val="20"/>
                <w:szCs w:val="20"/>
              </w:rPr>
              <w:footnoteReference w:id="21"/>
            </w:r>
          </w:p>
        </w:tc>
        <w:tc>
          <w:tcPr>
            <w:tcW w:w="575" w:type="pct"/>
            <w:vAlign w:val="center"/>
          </w:tcPr>
          <w:p w14:paraId="2CE3D5F7"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r w:rsidRPr="001115B7">
              <w:rPr>
                <w:rFonts w:cs="Times New Roman"/>
                <w:iCs/>
                <w:sz w:val="20"/>
                <w:szCs w:val="20"/>
              </w:rPr>
              <w:t>40% (2019)</w:t>
            </w:r>
          </w:p>
        </w:tc>
        <w:tc>
          <w:tcPr>
            <w:tcW w:w="531" w:type="pct"/>
            <w:vAlign w:val="center"/>
          </w:tcPr>
          <w:p w14:paraId="3B941EE0"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rFonts w:cs="Times New Roman"/>
                <w:sz w:val="20"/>
                <w:szCs w:val="20"/>
              </w:rPr>
              <w:t>≤ 20</w:t>
            </w:r>
            <w:r w:rsidRPr="001115B7">
              <w:rPr>
                <w:rFonts w:cs="Times New Roman"/>
                <w:iCs/>
                <w:sz w:val="20"/>
                <w:szCs w:val="20"/>
              </w:rPr>
              <w:t xml:space="preserve"> %(2027)</w:t>
            </w:r>
          </w:p>
        </w:tc>
        <w:tc>
          <w:tcPr>
            <w:tcW w:w="531" w:type="pct"/>
            <w:shd w:val="clear" w:color="auto" w:fill="auto"/>
            <w:vAlign w:val="center"/>
          </w:tcPr>
          <w:p w14:paraId="3C715AEB"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rFonts w:cs="Times New Roman"/>
                <w:iCs/>
                <w:sz w:val="20"/>
                <w:szCs w:val="20"/>
                <w:lang w:eastAsia="zh-CN"/>
              </w:rPr>
              <w:t>PPO</w:t>
            </w:r>
          </w:p>
        </w:tc>
        <w:tc>
          <w:tcPr>
            <w:tcW w:w="708" w:type="pct"/>
            <w:vMerge/>
            <w:shd w:val="clear" w:color="auto" w:fill="7F7F7F" w:themeFill="text1" w:themeFillTint="80"/>
            <w:vAlign w:val="center"/>
          </w:tcPr>
          <w:p w14:paraId="63B9BBF1" w14:textId="77777777" w:rsidR="00AE4CD8" w:rsidRPr="001115B7" w:rsidRDefault="00AE4CD8" w:rsidP="00E417E6">
            <w:pPr>
              <w:keepNext/>
              <w:rPr>
                <w:rFonts w:cs="Times New Roman"/>
                <w:i/>
                <w:color w:val="0D0D0D" w:themeColor="text1" w:themeTint="F2"/>
                <w:sz w:val="20"/>
                <w:szCs w:val="20"/>
                <w:lang w:val="en-IE"/>
              </w:rPr>
            </w:pPr>
          </w:p>
        </w:tc>
      </w:tr>
      <w:tr w:rsidR="00AE4CD8" w:rsidRPr="001115B7" w14:paraId="68C28134" w14:textId="77777777" w:rsidTr="00497F73">
        <w:trPr>
          <w:trHeight w:val="496"/>
          <w:tblHeader/>
        </w:trPr>
        <w:tc>
          <w:tcPr>
            <w:tcW w:w="441" w:type="pct"/>
            <w:vMerge w:val="restart"/>
            <w:shd w:val="clear" w:color="auto" w:fill="D9D9D9" w:themeFill="background1" w:themeFillShade="D9"/>
            <w:vAlign w:val="center"/>
          </w:tcPr>
          <w:p w14:paraId="326990E1" w14:textId="77777777" w:rsidR="00AE4CD8" w:rsidRPr="001115B7" w:rsidRDefault="00AE4CD8" w:rsidP="00E417E6">
            <w:pPr>
              <w:keepNext/>
              <w:tabs>
                <w:tab w:val="left" w:pos="12"/>
              </w:tabs>
              <w:ind w:left="12"/>
              <w:rPr>
                <w:rFonts w:cs="Times New Roman"/>
                <w:b/>
                <w:color w:val="0D0D0D" w:themeColor="text1" w:themeTint="F2"/>
                <w:sz w:val="20"/>
                <w:szCs w:val="20"/>
                <w:lang w:val="en-IE"/>
              </w:rPr>
            </w:pPr>
            <w:r w:rsidRPr="001115B7">
              <w:rPr>
                <w:rFonts w:cs="Times New Roman"/>
                <w:b/>
                <w:color w:val="0D0D0D" w:themeColor="text1" w:themeTint="F2"/>
                <w:sz w:val="20"/>
                <w:szCs w:val="20"/>
                <w:lang w:val="en-IE"/>
              </w:rPr>
              <w:t>Outcome 1</w:t>
            </w:r>
          </w:p>
        </w:tc>
        <w:tc>
          <w:tcPr>
            <w:tcW w:w="885" w:type="pct"/>
            <w:vMerge w:val="restart"/>
            <w:shd w:val="clear" w:color="auto" w:fill="auto"/>
            <w:vAlign w:val="center"/>
          </w:tcPr>
          <w:p w14:paraId="15F83E0B" w14:textId="375B2CEE" w:rsidR="00685B56" w:rsidRPr="00497F73" w:rsidRDefault="00685B56" w:rsidP="00497F73">
            <w:pPr>
              <w:rPr>
                <w:rFonts w:cs="Times New Roman"/>
                <w:i/>
                <w:iCs/>
                <w:color w:val="0D0D0D" w:themeColor="text1" w:themeTint="F2"/>
                <w:sz w:val="20"/>
                <w:szCs w:val="20"/>
                <w:lang w:val="en-IE"/>
              </w:rPr>
            </w:pPr>
            <w:r w:rsidRPr="00685B56">
              <w:rPr>
                <w:rFonts w:cs="Times New Roman"/>
                <w:i/>
                <w:iCs/>
                <w:color w:val="0D0D0D" w:themeColor="text1" w:themeTint="F2"/>
                <w:sz w:val="20"/>
                <w:szCs w:val="20"/>
                <w:lang w:val="en-IE"/>
              </w:rPr>
              <w:t>Strengthen</w:t>
            </w:r>
            <w:r>
              <w:rPr>
                <w:rFonts w:cs="Times New Roman"/>
                <w:i/>
                <w:iCs/>
                <w:color w:val="0D0D0D" w:themeColor="text1" w:themeTint="F2"/>
                <w:sz w:val="20"/>
                <w:szCs w:val="20"/>
                <w:lang w:val="en-IE"/>
              </w:rPr>
              <w:t>ed</w:t>
            </w:r>
            <w:r w:rsidRPr="00497F73">
              <w:rPr>
                <w:rFonts w:cs="Times New Roman"/>
                <w:i/>
                <w:iCs/>
                <w:color w:val="0D0D0D" w:themeColor="text1" w:themeTint="F2"/>
                <w:sz w:val="20"/>
                <w:szCs w:val="20"/>
                <w:lang w:val="en-IE"/>
              </w:rPr>
              <w:t xml:space="preserve"> state response to security threats and risks, posed by cyber-crime, organised crime, terrorism, </w:t>
            </w:r>
            <w:r w:rsidRPr="00497F73">
              <w:rPr>
                <w:i/>
                <w:sz w:val="20"/>
                <w:szCs w:val="20"/>
              </w:rPr>
              <w:t xml:space="preserve">radicalisation and violent extremism. </w:t>
            </w:r>
          </w:p>
          <w:p w14:paraId="5755CCFD"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p>
        </w:tc>
        <w:tc>
          <w:tcPr>
            <w:tcW w:w="1328" w:type="pct"/>
            <w:tcBorders>
              <w:bottom w:val="single" w:sz="4" w:space="0" w:color="auto"/>
            </w:tcBorders>
            <w:shd w:val="clear" w:color="auto" w:fill="auto"/>
            <w:vAlign w:val="center"/>
          </w:tcPr>
          <w:p w14:paraId="11A5FC13"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r w:rsidRPr="001115B7">
              <w:rPr>
                <w:sz w:val="20"/>
                <w:szCs w:val="20"/>
              </w:rPr>
              <w:t>Level of trust in the police (EU Public Opinion)</w:t>
            </w:r>
            <w:r w:rsidRPr="001115B7">
              <w:rPr>
                <w:rStyle w:val="FootnoteReference"/>
                <w:sz w:val="20"/>
                <w:szCs w:val="20"/>
              </w:rPr>
              <w:footnoteReference w:id="22"/>
            </w:r>
          </w:p>
        </w:tc>
        <w:tc>
          <w:tcPr>
            <w:tcW w:w="575" w:type="pct"/>
            <w:tcBorders>
              <w:bottom w:val="single" w:sz="4" w:space="0" w:color="auto"/>
            </w:tcBorders>
            <w:vAlign w:val="center"/>
          </w:tcPr>
          <w:p w14:paraId="27C4298A"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rPr>
              <w:t>48% (2019)</w:t>
            </w:r>
          </w:p>
        </w:tc>
        <w:tc>
          <w:tcPr>
            <w:tcW w:w="531" w:type="pct"/>
            <w:tcBorders>
              <w:bottom w:val="single" w:sz="4" w:space="0" w:color="auto"/>
            </w:tcBorders>
            <w:vAlign w:val="center"/>
          </w:tcPr>
          <w:p w14:paraId="2B7A554C"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lang w:eastAsia="zh-CN"/>
              </w:rPr>
              <w:t>≥ 57% (2026)</w:t>
            </w:r>
          </w:p>
        </w:tc>
        <w:tc>
          <w:tcPr>
            <w:tcW w:w="531" w:type="pct"/>
            <w:tcBorders>
              <w:bottom w:val="single" w:sz="4" w:space="0" w:color="auto"/>
            </w:tcBorders>
            <w:shd w:val="clear" w:color="auto" w:fill="auto"/>
            <w:vAlign w:val="center"/>
          </w:tcPr>
          <w:p w14:paraId="0F270700" w14:textId="77777777" w:rsidR="00AE4CD8" w:rsidRPr="001115B7" w:rsidRDefault="00AE4CD8" w:rsidP="00E417E6">
            <w:pPr>
              <w:keepNext/>
              <w:rPr>
                <w:rFonts w:cs="Times New Roman"/>
                <w:color w:val="0D0D0D" w:themeColor="text1" w:themeTint="F2"/>
                <w:sz w:val="20"/>
                <w:szCs w:val="20"/>
                <w:highlight w:val="yellow"/>
                <w:lang w:val="en-IE"/>
              </w:rPr>
            </w:pPr>
            <w:r w:rsidRPr="001115B7">
              <w:rPr>
                <w:iCs/>
                <w:sz w:val="20"/>
                <w:szCs w:val="20"/>
                <w:lang w:eastAsia="zh-CN"/>
              </w:rPr>
              <w:t>Eurobarometer</w:t>
            </w:r>
          </w:p>
        </w:tc>
        <w:tc>
          <w:tcPr>
            <w:tcW w:w="708" w:type="pct"/>
            <w:vMerge w:val="restart"/>
            <w:shd w:val="clear" w:color="auto" w:fill="auto"/>
            <w:vAlign w:val="center"/>
          </w:tcPr>
          <w:p w14:paraId="4C042417" w14:textId="6C287CC8" w:rsidR="003A002B" w:rsidRDefault="003A002B" w:rsidP="00E417E6">
            <w:pPr>
              <w:keepNext/>
              <w:shd w:val="solid" w:color="FFFFFF" w:fill="auto"/>
              <w:spacing w:before="40" w:after="40"/>
              <w:rPr>
                <w:sz w:val="20"/>
                <w:szCs w:val="20"/>
                <w:lang w:eastAsia="zh-CN"/>
              </w:rPr>
            </w:pPr>
            <w:r>
              <w:rPr>
                <w:sz w:val="20"/>
                <w:szCs w:val="20"/>
                <w:lang w:eastAsia="zh-CN"/>
              </w:rPr>
              <w:t>Stable progress on the EU accession path to back up the cooperation with the EU on security resilience</w:t>
            </w:r>
          </w:p>
          <w:p w14:paraId="6847F7E5" w14:textId="77777777" w:rsidR="003A002B" w:rsidRDefault="003A002B" w:rsidP="00E417E6">
            <w:pPr>
              <w:keepNext/>
              <w:shd w:val="solid" w:color="FFFFFF" w:fill="auto"/>
              <w:spacing w:before="40" w:after="40"/>
              <w:rPr>
                <w:sz w:val="20"/>
                <w:szCs w:val="20"/>
                <w:lang w:eastAsia="zh-CN"/>
              </w:rPr>
            </w:pPr>
          </w:p>
          <w:p w14:paraId="67443BED" w14:textId="78901F0D" w:rsidR="00AE4CD8" w:rsidRPr="001115B7" w:rsidRDefault="00AE4CD8" w:rsidP="00E417E6">
            <w:pPr>
              <w:keepNext/>
              <w:shd w:val="solid" w:color="FFFFFF" w:fill="auto"/>
              <w:spacing w:before="40" w:after="40"/>
              <w:rPr>
                <w:sz w:val="20"/>
                <w:szCs w:val="20"/>
                <w:lang w:eastAsia="zh-CN"/>
              </w:rPr>
            </w:pPr>
            <w:r w:rsidRPr="001115B7">
              <w:rPr>
                <w:sz w:val="20"/>
                <w:szCs w:val="20"/>
                <w:lang w:eastAsia="zh-CN"/>
              </w:rPr>
              <w:t>Stable political situation and consistent reform orientation of any new government.</w:t>
            </w:r>
          </w:p>
          <w:p w14:paraId="0CA13D3E" w14:textId="77777777" w:rsidR="003A002B" w:rsidRDefault="003A002B" w:rsidP="003A002B">
            <w:pPr>
              <w:keepNext/>
              <w:spacing w:before="40" w:after="40"/>
              <w:rPr>
                <w:sz w:val="20"/>
                <w:szCs w:val="20"/>
                <w:lang w:eastAsia="zh-CN"/>
              </w:rPr>
            </w:pPr>
          </w:p>
          <w:p w14:paraId="309D7AB7" w14:textId="1393F411" w:rsidR="003A002B" w:rsidRPr="001115B7" w:rsidRDefault="003A002B" w:rsidP="003A002B">
            <w:pPr>
              <w:keepNext/>
              <w:spacing w:before="40" w:after="40"/>
              <w:rPr>
                <w:sz w:val="20"/>
                <w:szCs w:val="20"/>
                <w:lang w:eastAsia="zh-CN"/>
              </w:rPr>
            </w:pPr>
            <w:r w:rsidRPr="001115B7">
              <w:rPr>
                <w:sz w:val="20"/>
                <w:szCs w:val="20"/>
                <w:lang w:eastAsia="zh-CN"/>
              </w:rPr>
              <w:t xml:space="preserve">The level of trust in the institutions </w:t>
            </w:r>
            <w:r>
              <w:rPr>
                <w:sz w:val="20"/>
                <w:szCs w:val="20"/>
                <w:lang w:eastAsia="zh-CN"/>
              </w:rPr>
              <w:t>improves</w:t>
            </w:r>
          </w:p>
          <w:p w14:paraId="7F11CBC0" w14:textId="73D34AAC" w:rsidR="00AE4CD8" w:rsidRPr="001115B7" w:rsidRDefault="00AE4CD8" w:rsidP="00E417E6">
            <w:pPr>
              <w:keepNext/>
              <w:autoSpaceDE w:val="0"/>
              <w:autoSpaceDN w:val="0"/>
              <w:adjustRightInd w:val="0"/>
              <w:rPr>
                <w:rFonts w:cs="Times New Roman"/>
                <w:color w:val="0D0D0D" w:themeColor="text1" w:themeTint="F2"/>
                <w:sz w:val="20"/>
                <w:szCs w:val="20"/>
                <w:highlight w:val="yellow"/>
                <w:lang w:val="en-IE"/>
              </w:rPr>
            </w:pPr>
          </w:p>
        </w:tc>
      </w:tr>
      <w:tr w:rsidR="00AE4CD8" w:rsidRPr="001115B7" w14:paraId="2CF515D8" w14:textId="77777777" w:rsidTr="00497F73">
        <w:trPr>
          <w:trHeight w:val="496"/>
          <w:tblHeader/>
        </w:trPr>
        <w:tc>
          <w:tcPr>
            <w:tcW w:w="441" w:type="pct"/>
            <w:vMerge/>
            <w:shd w:val="clear" w:color="auto" w:fill="D9D9D9" w:themeFill="background1" w:themeFillShade="D9"/>
            <w:vAlign w:val="center"/>
          </w:tcPr>
          <w:p w14:paraId="08E39CDB" w14:textId="77777777" w:rsidR="00AE4CD8" w:rsidRPr="001115B7" w:rsidRDefault="00AE4CD8" w:rsidP="00E417E6">
            <w:pPr>
              <w:keepNext/>
              <w:tabs>
                <w:tab w:val="left" w:pos="12"/>
              </w:tabs>
              <w:ind w:left="12"/>
              <w:rPr>
                <w:rFonts w:cs="Times New Roman"/>
                <w:b/>
                <w:color w:val="0D0D0D" w:themeColor="text1" w:themeTint="F2"/>
                <w:sz w:val="20"/>
                <w:szCs w:val="20"/>
                <w:lang w:val="en-IE"/>
              </w:rPr>
            </w:pPr>
          </w:p>
        </w:tc>
        <w:tc>
          <w:tcPr>
            <w:tcW w:w="885" w:type="pct"/>
            <w:vMerge/>
            <w:shd w:val="clear" w:color="auto" w:fill="auto"/>
            <w:vAlign w:val="center"/>
          </w:tcPr>
          <w:p w14:paraId="1F0545CB"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tcBorders>
              <w:bottom w:val="single" w:sz="4" w:space="0" w:color="auto"/>
            </w:tcBorders>
            <w:shd w:val="clear" w:color="auto" w:fill="auto"/>
            <w:vAlign w:val="center"/>
          </w:tcPr>
          <w:p w14:paraId="2853341F" w14:textId="77777777" w:rsidR="00AE4CD8" w:rsidRPr="001115B7" w:rsidRDefault="00AE4CD8" w:rsidP="00E417E6">
            <w:pPr>
              <w:keepNext/>
              <w:contextualSpacing/>
              <w:jc w:val="left"/>
              <w:outlineLvl w:val="1"/>
              <w:rPr>
                <w:rFonts w:cs="Times New Roman"/>
                <w:color w:val="0D0D0D" w:themeColor="text1" w:themeTint="F2"/>
                <w:sz w:val="20"/>
                <w:szCs w:val="20"/>
                <w:lang w:val="en-IE"/>
              </w:rPr>
            </w:pPr>
            <w:r w:rsidRPr="001115B7">
              <w:rPr>
                <w:sz w:val="20"/>
                <w:szCs w:val="20"/>
              </w:rPr>
              <w:t>Financial investigation rate (Proportion of person under financial investigation over persons investigated for organised crime)</w:t>
            </w:r>
            <w:r w:rsidRPr="001115B7">
              <w:rPr>
                <w:rStyle w:val="FootnoteReference"/>
                <w:sz w:val="20"/>
                <w:szCs w:val="20"/>
              </w:rPr>
              <w:footnoteReference w:id="23"/>
            </w:r>
          </w:p>
        </w:tc>
        <w:tc>
          <w:tcPr>
            <w:tcW w:w="575" w:type="pct"/>
            <w:tcBorders>
              <w:bottom w:val="single" w:sz="4" w:space="0" w:color="auto"/>
            </w:tcBorders>
            <w:vAlign w:val="center"/>
          </w:tcPr>
          <w:p w14:paraId="1B0345A8" w14:textId="77777777" w:rsidR="00AE4CD8" w:rsidRPr="001115B7" w:rsidRDefault="00AE4CD8" w:rsidP="00E417E6">
            <w:pPr>
              <w:keepNext/>
              <w:jc w:val="left"/>
              <w:outlineLvl w:val="1"/>
              <w:rPr>
                <w:sz w:val="20"/>
                <w:szCs w:val="20"/>
                <w:lang w:eastAsia="mk-MK"/>
              </w:rPr>
            </w:pPr>
            <w:r w:rsidRPr="001115B7">
              <w:rPr>
                <w:sz w:val="20"/>
                <w:szCs w:val="20"/>
                <w:lang w:eastAsia="mk-MK"/>
              </w:rPr>
              <w:t>48</w:t>
            </w:r>
          </w:p>
          <w:p w14:paraId="679400F1"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rPr>
              <w:t>57/148 = 38.5%</w:t>
            </w:r>
            <w:r>
              <w:rPr>
                <w:rStyle w:val="FootnoteReference"/>
                <w:sz w:val="20"/>
                <w:szCs w:val="20"/>
              </w:rPr>
              <w:footnoteReference w:id="24"/>
            </w:r>
          </w:p>
        </w:tc>
        <w:tc>
          <w:tcPr>
            <w:tcW w:w="531" w:type="pct"/>
            <w:tcBorders>
              <w:bottom w:val="single" w:sz="4" w:space="0" w:color="auto"/>
            </w:tcBorders>
            <w:vAlign w:val="center"/>
          </w:tcPr>
          <w:p w14:paraId="33F4FF42"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rPr>
              <w:t>≥42% (</w:t>
            </w:r>
            <w:r w:rsidRPr="001115B7">
              <w:rPr>
                <w:sz w:val="20"/>
                <w:szCs w:val="20"/>
                <w:lang w:eastAsia="zh-CN"/>
              </w:rPr>
              <w:t>2026)</w:t>
            </w:r>
          </w:p>
        </w:tc>
        <w:tc>
          <w:tcPr>
            <w:tcW w:w="531" w:type="pct"/>
            <w:tcBorders>
              <w:bottom w:val="single" w:sz="4" w:space="0" w:color="auto"/>
            </w:tcBorders>
            <w:shd w:val="clear" w:color="auto" w:fill="auto"/>
            <w:vAlign w:val="center"/>
          </w:tcPr>
          <w:p w14:paraId="58F15B6B" w14:textId="77777777" w:rsidR="00AE4CD8" w:rsidRPr="001115B7" w:rsidRDefault="00AE4CD8" w:rsidP="00E417E6">
            <w:pPr>
              <w:keepNext/>
              <w:jc w:val="left"/>
              <w:rPr>
                <w:rFonts w:cs="Times New Roman"/>
                <w:color w:val="0D0D0D" w:themeColor="text1" w:themeTint="F2"/>
                <w:sz w:val="20"/>
                <w:szCs w:val="20"/>
                <w:highlight w:val="yellow"/>
                <w:lang w:val="en-IE"/>
              </w:rPr>
            </w:pPr>
            <w:r w:rsidRPr="001115B7">
              <w:rPr>
                <w:bCs/>
                <w:sz w:val="20"/>
                <w:szCs w:val="20"/>
                <w:lang w:eastAsia="zh-CN"/>
              </w:rPr>
              <w:t>Financial Police CIU</w:t>
            </w:r>
          </w:p>
        </w:tc>
        <w:tc>
          <w:tcPr>
            <w:tcW w:w="708" w:type="pct"/>
            <w:vMerge/>
            <w:shd w:val="clear" w:color="auto" w:fill="auto"/>
            <w:vAlign w:val="center"/>
          </w:tcPr>
          <w:p w14:paraId="3E4D0CE9" w14:textId="77777777" w:rsidR="00AE4CD8" w:rsidRPr="001115B7" w:rsidRDefault="00AE4CD8" w:rsidP="00E417E6">
            <w:pPr>
              <w:keepNext/>
              <w:autoSpaceDE w:val="0"/>
              <w:autoSpaceDN w:val="0"/>
              <w:adjustRightInd w:val="0"/>
              <w:rPr>
                <w:rFonts w:cs="Times New Roman"/>
                <w:color w:val="0D0D0D" w:themeColor="text1" w:themeTint="F2"/>
                <w:sz w:val="20"/>
                <w:szCs w:val="20"/>
                <w:highlight w:val="yellow"/>
                <w:lang w:val="en-IE"/>
              </w:rPr>
            </w:pPr>
          </w:p>
        </w:tc>
      </w:tr>
      <w:tr w:rsidR="00AE4CD8" w:rsidRPr="001115B7" w14:paraId="567DAB52" w14:textId="77777777" w:rsidTr="00497F73">
        <w:trPr>
          <w:trHeight w:val="496"/>
          <w:tblHeader/>
        </w:trPr>
        <w:tc>
          <w:tcPr>
            <w:tcW w:w="441" w:type="pct"/>
            <w:vMerge/>
            <w:shd w:val="clear" w:color="auto" w:fill="D9D9D9" w:themeFill="background1" w:themeFillShade="D9"/>
            <w:vAlign w:val="center"/>
          </w:tcPr>
          <w:p w14:paraId="5153D915" w14:textId="77777777" w:rsidR="00AE4CD8" w:rsidRPr="001115B7" w:rsidRDefault="00AE4CD8" w:rsidP="00E417E6">
            <w:pPr>
              <w:keepNext/>
              <w:tabs>
                <w:tab w:val="left" w:pos="12"/>
              </w:tabs>
              <w:ind w:left="12"/>
              <w:rPr>
                <w:rFonts w:cs="Times New Roman"/>
                <w:b/>
                <w:color w:val="0D0D0D" w:themeColor="text1" w:themeTint="F2"/>
                <w:sz w:val="20"/>
                <w:szCs w:val="20"/>
                <w:lang w:val="en-IE"/>
              </w:rPr>
            </w:pPr>
          </w:p>
        </w:tc>
        <w:tc>
          <w:tcPr>
            <w:tcW w:w="885" w:type="pct"/>
            <w:vMerge/>
            <w:shd w:val="clear" w:color="auto" w:fill="auto"/>
            <w:vAlign w:val="center"/>
          </w:tcPr>
          <w:p w14:paraId="18BBDDC3"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tcBorders>
              <w:bottom w:val="single" w:sz="4" w:space="0" w:color="auto"/>
            </w:tcBorders>
            <w:shd w:val="clear" w:color="auto" w:fill="auto"/>
            <w:vAlign w:val="center"/>
          </w:tcPr>
          <w:p w14:paraId="7A37413A"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r w:rsidRPr="001115B7">
              <w:rPr>
                <w:sz w:val="20"/>
                <w:szCs w:val="20"/>
              </w:rPr>
              <w:t>Financial Investigation Rate on OCC by the PPOOCC</w:t>
            </w:r>
            <w:r w:rsidRPr="001115B7">
              <w:rPr>
                <w:rStyle w:val="FootnoteReference"/>
                <w:sz w:val="20"/>
                <w:szCs w:val="20"/>
              </w:rPr>
              <w:footnoteReference w:id="25"/>
            </w:r>
          </w:p>
        </w:tc>
        <w:tc>
          <w:tcPr>
            <w:tcW w:w="575" w:type="pct"/>
            <w:tcBorders>
              <w:bottom w:val="single" w:sz="4" w:space="0" w:color="auto"/>
            </w:tcBorders>
            <w:vAlign w:val="center"/>
          </w:tcPr>
          <w:p w14:paraId="34CE4189" w14:textId="77777777" w:rsidR="00AE4CD8" w:rsidRPr="001115B7" w:rsidRDefault="00AE4CD8" w:rsidP="00E417E6">
            <w:pPr>
              <w:keepNext/>
              <w:jc w:val="left"/>
              <w:rPr>
                <w:rFonts w:cs="Times New Roman"/>
                <w:color w:val="0D0D0D" w:themeColor="text1" w:themeTint="F2"/>
                <w:sz w:val="20"/>
                <w:szCs w:val="20"/>
                <w:lang w:val="en-IE"/>
              </w:rPr>
            </w:pPr>
            <w:r w:rsidRPr="001115B7">
              <w:rPr>
                <w:sz w:val="20"/>
                <w:szCs w:val="20"/>
              </w:rPr>
              <w:t>26/126 = 21% (2019)</w:t>
            </w:r>
          </w:p>
        </w:tc>
        <w:tc>
          <w:tcPr>
            <w:tcW w:w="531" w:type="pct"/>
            <w:tcBorders>
              <w:bottom w:val="single" w:sz="4" w:space="0" w:color="auto"/>
            </w:tcBorders>
            <w:vAlign w:val="center"/>
          </w:tcPr>
          <w:p w14:paraId="67B4FB29" w14:textId="77777777" w:rsidR="00AE4CD8" w:rsidRPr="001115B7" w:rsidRDefault="00AE4CD8" w:rsidP="00E417E6">
            <w:pPr>
              <w:keepNext/>
              <w:jc w:val="left"/>
              <w:rPr>
                <w:rFonts w:cs="Times New Roman"/>
                <w:color w:val="0D0D0D" w:themeColor="text1" w:themeTint="F2"/>
                <w:sz w:val="20"/>
                <w:szCs w:val="20"/>
                <w:lang w:val="en-IE"/>
              </w:rPr>
            </w:pPr>
            <w:r w:rsidRPr="001115B7">
              <w:rPr>
                <w:sz w:val="20"/>
                <w:szCs w:val="20"/>
              </w:rPr>
              <w:t xml:space="preserve">≥ 37% </w:t>
            </w:r>
            <w:r w:rsidRPr="001115B7">
              <w:rPr>
                <w:bCs/>
                <w:iCs/>
                <w:sz w:val="20"/>
                <w:szCs w:val="20"/>
                <w:lang w:eastAsia="zh-CN"/>
              </w:rPr>
              <w:t>(2026)</w:t>
            </w:r>
          </w:p>
        </w:tc>
        <w:tc>
          <w:tcPr>
            <w:tcW w:w="531" w:type="pct"/>
            <w:tcBorders>
              <w:bottom w:val="single" w:sz="4" w:space="0" w:color="auto"/>
            </w:tcBorders>
            <w:shd w:val="clear" w:color="auto" w:fill="auto"/>
            <w:vAlign w:val="center"/>
          </w:tcPr>
          <w:p w14:paraId="25143E4B" w14:textId="77777777" w:rsidR="00AE4CD8" w:rsidRPr="001115B7" w:rsidRDefault="00AE4CD8" w:rsidP="00E417E6">
            <w:pPr>
              <w:keepNext/>
              <w:jc w:val="left"/>
              <w:rPr>
                <w:rFonts w:cs="Times New Roman"/>
                <w:color w:val="0D0D0D" w:themeColor="text1" w:themeTint="F2"/>
                <w:sz w:val="20"/>
                <w:szCs w:val="20"/>
                <w:highlight w:val="yellow"/>
                <w:lang w:val="en-IE"/>
              </w:rPr>
            </w:pPr>
            <w:r w:rsidRPr="001115B7">
              <w:rPr>
                <w:bCs/>
                <w:sz w:val="20"/>
                <w:szCs w:val="20"/>
                <w:lang w:eastAsia="zh-CN"/>
              </w:rPr>
              <w:t>Financial Police</w:t>
            </w:r>
          </w:p>
        </w:tc>
        <w:tc>
          <w:tcPr>
            <w:tcW w:w="708" w:type="pct"/>
            <w:vMerge/>
            <w:shd w:val="clear" w:color="auto" w:fill="auto"/>
            <w:vAlign w:val="center"/>
          </w:tcPr>
          <w:p w14:paraId="14A69A64" w14:textId="77777777" w:rsidR="00AE4CD8" w:rsidRPr="001115B7" w:rsidRDefault="00AE4CD8" w:rsidP="00E417E6">
            <w:pPr>
              <w:keepNext/>
              <w:autoSpaceDE w:val="0"/>
              <w:autoSpaceDN w:val="0"/>
              <w:adjustRightInd w:val="0"/>
              <w:rPr>
                <w:rFonts w:cs="Times New Roman"/>
                <w:color w:val="0D0D0D" w:themeColor="text1" w:themeTint="F2"/>
                <w:sz w:val="20"/>
                <w:szCs w:val="20"/>
                <w:highlight w:val="yellow"/>
                <w:lang w:val="en-IE"/>
              </w:rPr>
            </w:pPr>
          </w:p>
        </w:tc>
      </w:tr>
      <w:tr w:rsidR="00AE4CD8" w:rsidRPr="001115B7" w14:paraId="22E82EAD" w14:textId="77777777" w:rsidTr="00497F73">
        <w:trPr>
          <w:trHeight w:val="496"/>
          <w:tblHeader/>
        </w:trPr>
        <w:tc>
          <w:tcPr>
            <w:tcW w:w="441" w:type="pct"/>
            <w:vMerge/>
            <w:shd w:val="clear" w:color="auto" w:fill="D9D9D9" w:themeFill="background1" w:themeFillShade="D9"/>
            <w:vAlign w:val="center"/>
          </w:tcPr>
          <w:p w14:paraId="2E223D16" w14:textId="77777777" w:rsidR="00AE4CD8" w:rsidRPr="001115B7" w:rsidRDefault="00AE4CD8" w:rsidP="00E417E6">
            <w:pPr>
              <w:keepNext/>
              <w:tabs>
                <w:tab w:val="left" w:pos="12"/>
              </w:tabs>
              <w:ind w:left="12"/>
              <w:rPr>
                <w:rFonts w:cs="Times New Roman"/>
                <w:b/>
                <w:color w:val="0D0D0D" w:themeColor="text1" w:themeTint="F2"/>
                <w:sz w:val="20"/>
                <w:szCs w:val="20"/>
                <w:lang w:val="en-IE"/>
              </w:rPr>
            </w:pPr>
          </w:p>
        </w:tc>
        <w:tc>
          <w:tcPr>
            <w:tcW w:w="885" w:type="pct"/>
            <w:vMerge/>
            <w:shd w:val="clear" w:color="auto" w:fill="auto"/>
            <w:vAlign w:val="center"/>
          </w:tcPr>
          <w:p w14:paraId="728E35BA"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tcBorders>
              <w:bottom w:val="single" w:sz="4" w:space="0" w:color="auto"/>
            </w:tcBorders>
            <w:shd w:val="clear" w:color="auto" w:fill="auto"/>
            <w:vAlign w:val="center"/>
          </w:tcPr>
          <w:p w14:paraId="54B01E60"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r w:rsidRPr="001115B7">
              <w:rPr>
                <w:sz w:val="20"/>
                <w:szCs w:val="20"/>
              </w:rPr>
              <w:t>Percentage of executed confiscation sentences since 2011 for crimes related to organized crime, money laundering, abuse official duty (cumulative indicator)</w:t>
            </w:r>
            <w:r w:rsidRPr="001115B7">
              <w:rPr>
                <w:rStyle w:val="FootnoteReference"/>
                <w:sz w:val="20"/>
                <w:szCs w:val="20"/>
              </w:rPr>
              <w:footnoteReference w:id="26"/>
            </w:r>
          </w:p>
        </w:tc>
        <w:tc>
          <w:tcPr>
            <w:tcW w:w="575" w:type="pct"/>
            <w:tcBorders>
              <w:bottom w:val="single" w:sz="4" w:space="0" w:color="auto"/>
            </w:tcBorders>
            <w:vAlign w:val="center"/>
          </w:tcPr>
          <w:p w14:paraId="038A21D2" w14:textId="77777777" w:rsidR="00AE4CD8" w:rsidRPr="001115B7" w:rsidRDefault="00AE4CD8" w:rsidP="00E417E6">
            <w:pPr>
              <w:keepNext/>
              <w:rPr>
                <w:rFonts w:cs="Times New Roman"/>
                <w:color w:val="0D0D0D" w:themeColor="text1" w:themeTint="F2"/>
                <w:sz w:val="20"/>
                <w:szCs w:val="20"/>
                <w:lang w:val="en-IE"/>
              </w:rPr>
            </w:pPr>
            <w:r w:rsidRPr="001115B7">
              <w:rPr>
                <w:rFonts w:eastAsia="Calibri"/>
                <w:sz w:val="20"/>
                <w:szCs w:val="20"/>
                <w:lang w:eastAsia="zh-CN"/>
              </w:rPr>
              <w:t>50% (till 2019)</w:t>
            </w:r>
          </w:p>
        </w:tc>
        <w:tc>
          <w:tcPr>
            <w:tcW w:w="531" w:type="pct"/>
            <w:tcBorders>
              <w:bottom w:val="single" w:sz="4" w:space="0" w:color="auto"/>
            </w:tcBorders>
            <w:vAlign w:val="center"/>
          </w:tcPr>
          <w:p w14:paraId="654019B4"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rPr>
              <w:t>≥ 75% (till 2026)</w:t>
            </w:r>
          </w:p>
        </w:tc>
        <w:tc>
          <w:tcPr>
            <w:tcW w:w="531" w:type="pct"/>
            <w:tcBorders>
              <w:bottom w:val="single" w:sz="4" w:space="0" w:color="auto"/>
            </w:tcBorders>
            <w:shd w:val="clear" w:color="auto" w:fill="auto"/>
            <w:vAlign w:val="center"/>
          </w:tcPr>
          <w:p w14:paraId="6726F2DE" w14:textId="77777777" w:rsidR="00AE4CD8" w:rsidRPr="001115B7" w:rsidRDefault="00AE4CD8" w:rsidP="00E417E6">
            <w:pPr>
              <w:keepNext/>
              <w:jc w:val="left"/>
              <w:rPr>
                <w:rFonts w:cs="Times New Roman"/>
                <w:color w:val="0D0D0D" w:themeColor="text1" w:themeTint="F2"/>
                <w:sz w:val="20"/>
                <w:szCs w:val="20"/>
                <w:highlight w:val="yellow"/>
                <w:lang w:val="en-IE"/>
              </w:rPr>
            </w:pPr>
            <w:r w:rsidRPr="001115B7">
              <w:rPr>
                <w:bCs/>
                <w:sz w:val="20"/>
                <w:szCs w:val="20"/>
                <w:lang w:eastAsia="zh-CN"/>
              </w:rPr>
              <w:t>Agency for confiscation of assets</w:t>
            </w:r>
          </w:p>
        </w:tc>
        <w:tc>
          <w:tcPr>
            <w:tcW w:w="708" w:type="pct"/>
            <w:vMerge/>
            <w:shd w:val="clear" w:color="auto" w:fill="auto"/>
            <w:vAlign w:val="center"/>
          </w:tcPr>
          <w:p w14:paraId="5C401EBD" w14:textId="77777777" w:rsidR="00AE4CD8" w:rsidRPr="001115B7" w:rsidRDefault="00AE4CD8" w:rsidP="00E417E6">
            <w:pPr>
              <w:keepNext/>
              <w:autoSpaceDE w:val="0"/>
              <w:autoSpaceDN w:val="0"/>
              <w:adjustRightInd w:val="0"/>
              <w:rPr>
                <w:rFonts w:cs="Times New Roman"/>
                <w:color w:val="0D0D0D" w:themeColor="text1" w:themeTint="F2"/>
                <w:sz w:val="20"/>
                <w:szCs w:val="20"/>
                <w:highlight w:val="yellow"/>
                <w:lang w:val="en-IE"/>
              </w:rPr>
            </w:pPr>
          </w:p>
        </w:tc>
      </w:tr>
      <w:tr w:rsidR="00AE4CD8" w:rsidRPr="001115B7" w14:paraId="688BEAE8" w14:textId="77777777" w:rsidTr="00497F73">
        <w:trPr>
          <w:trHeight w:val="976"/>
          <w:tblHeader/>
        </w:trPr>
        <w:tc>
          <w:tcPr>
            <w:tcW w:w="441" w:type="pct"/>
            <w:vMerge/>
            <w:tcBorders>
              <w:bottom w:val="single" w:sz="4" w:space="0" w:color="auto"/>
            </w:tcBorders>
            <w:shd w:val="clear" w:color="auto" w:fill="D9D9D9" w:themeFill="background1" w:themeFillShade="D9"/>
            <w:vAlign w:val="center"/>
          </w:tcPr>
          <w:p w14:paraId="4053598C" w14:textId="77777777" w:rsidR="00AE4CD8" w:rsidRPr="001115B7" w:rsidRDefault="00AE4CD8" w:rsidP="00E417E6">
            <w:pPr>
              <w:keepNext/>
              <w:tabs>
                <w:tab w:val="left" w:pos="12"/>
              </w:tabs>
              <w:ind w:left="12"/>
              <w:rPr>
                <w:rFonts w:cs="Times New Roman"/>
                <w:b/>
                <w:color w:val="0D0D0D" w:themeColor="text1" w:themeTint="F2"/>
                <w:sz w:val="20"/>
                <w:szCs w:val="20"/>
                <w:lang w:val="en-IE"/>
              </w:rPr>
            </w:pPr>
          </w:p>
        </w:tc>
        <w:tc>
          <w:tcPr>
            <w:tcW w:w="885" w:type="pct"/>
            <w:vMerge/>
            <w:tcBorders>
              <w:bottom w:val="single" w:sz="4" w:space="0" w:color="auto"/>
            </w:tcBorders>
            <w:shd w:val="clear" w:color="auto" w:fill="auto"/>
            <w:vAlign w:val="center"/>
          </w:tcPr>
          <w:p w14:paraId="589F1A43"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tcBorders>
              <w:bottom w:val="single" w:sz="4" w:space="0" w:color="auto"/>
            </w:tcBorders>
            <w:shd w:val="clear" w:color="auto" w:fill="auto"/>
            <w:vAlign w:val="center"/>
          </w:tcPr>
          <w:p w14:paraId="6ABF6457"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sz w:val="20"/>
                <w:szCs w:val="20"/>
              </w:rPr>
              <w:t>Number of Computer cybercrimes</w:t>
            </w:r>
            <w:r w:rsidRPr="001115B7">
              <w:rPr>
                <w:rStyle w:val="FootnoteReference"/>
                <w:sz w:val="20"/>
                <w:szCs w:val="20"/>
              </w:rPr>
              <w:footnoteReference w:id="27"/>
            </w:r>
            <w:bookmarkStart w:id="203" w:name="_GoBack"/>
            <w:bookmarkEnd w:id="203"/>
          </w:p>
        </w:tc>
        <w:tc>
          <w:tcPr>
            <w:tcW w:w="575" w:type="pct"/>
            <w:tcBorders>
              <w:bottom w:val="single" w:sz="4" w:space="0" w:color="auto"/>
            </w:tcBorders>
            <w:vAlign w:val="center"/>
          </w:tcPr>
          <w:p w14:paraId="4B793BF1" w14:textId="77777777" w:rsidR="00AE4CD8" w:rsidRPr="001115B7" w:rsidRDefault="00AE4CD8" w:rsidP="00E417E6">
            <w:pPr>
              <w:keepNext/>
              <w:rPr>
                <w:rFonts w:cs="Times New Roman"/>
                <w:color w:val="0D0D0D" w:themeColor="text1" w:themeTint="F2"/>
                <w:sz w:val="20"/>
                <w:szCs w:val="20"/>
                <w:lang w:val="en-IE"/>
              </w:rPr>
            </w:pPr>
            <w:r w:rsidRPr="001115B7">
              <w:rPr>
                <w:rFonts w:eastAsia="Calibri"/>
                <w:sz w:val="20"/>
                <w:szCs w:val="20"/>
                <w:lang w:eastAsia="zh-CN"/>
              </w:rPr>
              <w:t>169 (2022)</w:t>
            </w:r>
          </w:p>
        </w:tc>
        <w:tc>
          <w:tcPr>
            <w:tcW w:w="531" w:type="pct"/>
            <w:tcBorders>
              <w:bottom w:val="single" w:sz="4" w:space="0" w:color="auto"/>
            </w:tcBorders>
            <w:vAlign w:val="center"/>
          </w:tcPr>
          <w:p w14:paraId="04FD5A55"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rPr>
              <w:t xml:space="preserve">≥ </w:t>
            </w:r>
            <w:r w:rsidRPr="001115B7">
              <w:rPr>
                <w:rFonts w:eastAsia="Calibri"/>
                <w:sz w:val="20"/>
                <w:szCs w:val="20"/>
                <w:lang w:eastAsia="zh-CN"/>
              </w:rPr>
              <w:t>1</w:t>
            </w:r>
            <w:r w:rsidRPr="001115B7">
              <w:rPr>
                <w:sz w:val="20"/>
                <w:szCs w:val="20"/>
              </w:rPr>
              <w:t>20 (2026)</w:t>
            </w:r>
          </w:p>
        </w:tc>
        <w:tc>
          <w:tcPr>
            <w:tcW w:w="531" w:type="pct"/>
            <w:tcBorders>
              <w:bottom w:val="single" w:sz="4" w:space="0" w:color="auto"/>
            </w:tcBorders>
            <w:shd w:val="clear" w:color="auto" w:fill="auto"/>
            <w:vAlign w:val="center"/>
          </w:tcPr>
          <w:p w14:paraId="067F10D3" w14:textId="77777777" w:rsidR="00AE4CD8" w:rsidRPr="001115B7" w:rsidRDefault="00AE4CD8" w:rsidP="00E417E6">
            <w:pPr>
              <w:keepNext/>
              <w:rPr>
                <w:rFonts w:cs="Times New Roman"/>
                <w:color w:val="0D0D0D" w:themeColor="text1" w:themeTint="F2"/>
                <w:sz w:val="20"/>
                <w:szCs w:val="20"/>
                <w:highlight w:val="yellow"/>
                <w:lang w:val="en-IE"/>
              </w:rPr>
            </w:pPr>
            <w:r w:rsidRPr="001115B7">
              <w:rPr>
                <w:sz w:val="20"/>
                <w:szCs w:val="20"/>
              </w:rPr>
              <w:t>European Commission’s Report on North Macedonia</w:t>
            </w:r>
          </w:p>
        </w:tc>
        <w:tc>
          <w:tcPr>
            <w:tcW w:w="708" w:type="pct"/>
            <w:vMerge/>
            <w:shd w:val="clear" w:color="auto" w:fill="auto"/>
            <w:vAlign w:val="center"/>
          </w:tcPr>
          <w:p w14:paraId="53B52CFE" w14:textId="77777777" w:rsidR="00AE4CD8" w:rsidRPr="001115B7" w:rsidRDefault="00AE4CD8" w:rsidP="00E417E6">
            <w:pPr>
              <w:keepNext/>
              <w:autoSpaceDE w:val="0"/>
              <w:autoSpaceDN w:val="0"/>
              <w:adjustRightInd w:val="0"/>
              <w:rPr>
                <w:rFonts w:cs="Times New Roman"/>
                <w:color w:val="0D0D0D" w:themeColor="text1" w:themeTint="F2"/>
                <w:sz w:val="20"/>
                <w:szCs w:val="20"/>
                <w:highlight w:val="yellow"/>
                <w:lang w:val="en-IE"/>
              </w:rPr>
            </w:pPr>
          </w:p>
        </w:tc>
      </w:tr>
      <w:tr w:rsidR="00AE4CD8" w:rsidRPr="001115B7" w14:paraId="3760DD4A" w14:textId="77777777" w:rsidTr="00497F73">
        <w:trPr>
          <w:trHeight w:val="398"/>
          <w:tblHeader/>
        </w:trPr>
        <w:tc>
          <w:tcPr>
            <w:tcW w:w="441" w:type="pct"/>
            <w:vMerge w:val="restart"/>
            <w:shd w:val="clear" w:color="auto" w:fill="D9D9D9" w:themeFill="background1" w:themeFillShade="D9"/>
            <w:vAlign w:val="center"/>
          </w:tcPr>
          <w:p w14:paraId="5ABFAFEE" w14:textId="0BE48B8B" w:rsidR="00AE4CD8" w:rsidRPr="001115B7" w:rsidRDefault="00AE4CD8" w:rsidP="00067493">
            <w:pPr>
              <w:keepNext/>
              <w:tabs>
                <w:tab w:val="left" w:pos="0"/>
                <w:tab w:val="left" w:pos="132"/>
              </w:tabs>
              <w:jc w:val="left"/>
              <w:rPr>
                <w:rFonts w:cs="Times New Roman"/>
                <w:b/>
                <w:color w:val="0D0D0D" w:themeColor="text1" w:themeTint="F2"/>
                <w:sz w:val="20"/>
                <w:szCs w:val="20"/>
                <w:lang w:val="en-IE"/>
              </w:rPr>
            </w:pPr>
            <w:r w:rsidRPr="001115B7">
              <w:rPr>
                <w:rFonts w:cs="Times New Roman"/>
                <w:b/>
                <w:color w:val="0D0D0D" w:themeColor="text1" w:themeTint="F2"/>
                <w:sz w:val="20"/>
                <w:szCs w:val="20"/>
                <w:lang w:val="en-IE"/>
              </w:rPr>
              <w:t xml:space="preserve">Output 1 </w:t>
            </w:r>
          </w:p>
        </w:tc>
        <w:tc>
          <w:tcPr>
            <w:tcW w:w="885" w:type="pct"/>
            <w:vMerge w:val="restart"/>
            <w:shd w:val="clear" w:color="auto" w:fill="auto"/>
            <w:vAlign w:val="center"/>
          </w:tcPr>
          <w:p w14:paraId="33302791" w14:textId="1F60D55C" w:rsidR="00673D66" w:rsidRPr="00497F73" w:rsidRDefault="00673D66" w:rsidP="00673D66">
            <w:pPr>
              <w:rPr>
                <w:rFonts w:cs="Times New Roman"/>
                <w:color w:val="0D0D0D" w:themeColor="text1" w:themeTint="F2"/>
                <w:sz w:val="20"/>
                <w:szCs w:val="20"/>
              </w:rPr>
            </w:pPr>
            <w:r w:rsidRPr="00497F73">
              <w:rPr>
                <w:rFonts w:cs="Times New Roman"/>
                <w:color w:val="0D0D0D" w:themeColor="text1" w:themeTint="F2"/>
                <w:sz w:val="20"/>
                <w:szCs w:val="20"/>
              </w:rPr>
              <w:t>Introduced operational tools for improving cyber</w:t>
            </w:r>
            <w:r>
              <w:rPr>
                <w:rFonts w:cs="Times New Roman"/>
                <w:color w:val="0D0D0D" w:themeColor="text1" w:themeTint="F2"/>
                <w:sz w:val="20"/>
                <w:szCs w:val="20"/>
              </w:rPr>
              <w:t>-</w:t>
            </w:r>
            <w:r w:rsidRPr="00497F73">
              <w:rPr>
                <w:rFonts w:cs="Times New Roman"/>
                <w:color w:val="0D0D0D" w:themeColor="text1" w:themeTint="F2"/>
                <w:sz w:val="20"/>
                <w:szCs w:val="20"/>
              </w:rPr>
              <w:t xml:space="preserve">security and resilience and responding effectively to </w:t>
            </w:r>
            <w:r w:rsidRPr="000A7B82">
              <w:rPr>
                <w:rFonts w:cs="Times New Roman"/>
                <w:color w:val="0D0D0D" w:themeColor="text1" w:themeTint="F2"/>
                <w:sz w:val="20"/>
                <w:szCs w:val="20"/>
              </w:rPr>
              <w:t>cyber</w:t>
            </w:r>
            <w:r>
              <w:rPr>
                <w:rFonts w:cs="Times New Roman"/>
                <w:color w:val="0D0D0D" w:themeColor="text1" w:themeTint="F2"/>
                <w:sz w:val="20"/>
                <w:szCs w:val="20"/>
              </w:rPr>
              <w:t>-</w:t>
            </w:r>
            <w:r w:rsidRPr="000A7B82">
              <w:rPr>
                <w:rFonts w:cs="Times New Roman"/>
                <w:color w:val="0D0D0D" w:themeColor="text1" w:themeTint="F2"/>
                <w:sz w:val="20"/>
                <w:szCs w:val="20"/>
              </w:rPr>
              <w:t>attacks</w:t>
            </w:r>
            <w:r>
              <w:rPr>
                <w:rFonts w:cs="Times New Roman"/>
                <w:color w:val="0D0D0D" w:themeColor="text1" w:themeTint="F2"/>
                <w:sz w:val="20"/>
                <w:szCs w:val="20"/>
              </w:rPr>
              <w:t xml:space="preserve">, </w:t>
            </w:r>
            <w:r w:rsidRPr="00685B56">
              <w:rPr>
                <w:rFonts w:cs="Times New Roman"/>
                <w:color w:val="0D0D0D" w:themeColor="text1" w:themeTint="F2"/>
                <w:sz w:val="20"/>
                <w:szCs w:val="20"/>
              </w:rPr>
              <w:t xml:space="preserve"> challenges and risks</w:t>
            </w:r>
          </w:p>
          <w:p w14:paraId="06CD1BA6" w14:textId="59CA0C11"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shd w:val="clear" w:color="auto" w:fill="FFFFFF" w:themeFill="background1"/>
            <w:vAlign w:val="center"/>
          </w:tcPr>
          <w:p w14:paraId="05AA6F26" w14:textId="373DC756"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sz w:val="20"/>
                <w:szCs w:val="20"/>
                <w:lang w:eastAsia="zh-CN"/>
              </w:rPr>
              <w:t xml:space="preserve">Number of national procedures </w:t>
            </w:r>
            <w:r w:rsidR="007F5099">
              <w:rPr>
                <w:sz w:val="20"/>
                <w:szCs w:val="20"/>
                <w:lang w:eastAsia="zh-CN"/>
              </w:rPr>
              <w:t xml:space="preserve">for managing cyber incidents </w:t>
            </w:r>
            <w:r w:rsidRPr="001115B7">
              <w:rPr>
                <w:sz w:val="20"/>
                <w:szCs w:val="20"/>
                <w:lang w:eastAsia="zh-CN"/>
              </w:rPr>
              <w:t>in times of peace, crisis, and state of emergency prepared and adopted</w:t>
            </w:r>
          </w:p>
        </w:tc>
        <w:tc>
          <w:tcPr>
            <w:tcW w:w="575" w:type="pct"/>
            <w:shd w:val="clear" w:color="auto" w:fill="FFFFFF" w:themeFill="background1"/>
            <w:vAlign w:val="center"/>
          </w:tcPr>
          <w:p w14:paraId="7676AEFC"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lang w:eastAsia="zh-CN"/>
              </w:rPr>
              <w:t>0 (2022)</w:t>
            </w:r>
          </w:p>
        </w:tc>
        <w:tc>
          <w:tcPr>
            <w:tcW w:w="531" w:type="pct"/>
            <w:shd w:val="clear" w:color="auto" w:fill="FFFFFF" w:themeFill="background1"/>
            <w:vAlign w:val="center"/>
          </w:tcPr>
          <w:p w14:paraId="422403DD"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lang w:eastAsia="zh-CN"/>
              </w:rPr>
              <w:t>1 (2026)</w:t>
            </w:r>
          </w:p>
        </w:tc>
        <w:tc>
          <w:tcPr>
            <w:tcW w:w="531" w:type="pct"/>
            <w:shd w:val="clear" w:color="auto" w:fill="FFFFFF" w:themeFill="background1"/>
            <w:vAlign w:val="center"/>
          </w:tcPr>
          <w:p w14:paraId="7CD90ECA" w14:textId="4F9F7EC6" w:rsidR="003A002B" w:rsidRPr="001115B7" w:rsidRDefault="00AE4CD8" w:rsidP="003A002B">
            <w:pPr>
              <w:keepNext/>
              <w:shd w:val="solid" w:color="FFFFFF" w:fill="auto"/>
              <w:spacing w:before="40" w:after="40"/>
              <w:rPr>
                <w:sz w:val="20"/>
                <w:szCs w:val="20"/>
                <w:lang w:eastAsia="zh-CN"/>
              </w:rPr>
            </w:pPr>
            <w:r w:rsidRPr="001115B7">
              <w:rPr>
                <w:sz w:val="20"/>
                <w:szCs w:val="20"/>
                <w:lang w:eastAsia="zh-CN"/>
              </w:rPr>
              <w:t>Progress Report</w:t>
            </w:r>
            <w:r w:rsidR="003A002B" w:rsidRPr="001115B7">
              <w:rPr>
                <w:sz w:val="20"/>
                <w:szCs w:val="20"/>
                <w:lang w:eastAsia="zh-CN"/>
              </w:rPr>
              <w:t xml:space="preserve"> </w:t>
            </w:r>
          </w:p>
          <w:p w14:paraId="7AB51B1C" w14:textId="77777777" w:rsidR="00AE4CD8" w:rsidRPr="001115B7" w:rsidRDefault="00AE4CD8" w:rsidP="00E417E6">
            <w:pPr>
              <w:keepNext/>
              <w:shd w:val="solid" w:color="FFFFFF" w:fill="auto"/>
              <w:spacing w:before="40" w:after="40"/>
              <w:jc w:val="left"/>
              <w:rPr>
                <w:sz w:val="20"/>
                <w:szCs w:val="20"/>
                <w:lang w:eastAsia="zh-CN"/>
              </w:rPr>
            </w:pPr>
          </w:p>
          <w:p w14:paraId="10DDFB9C" w14:textId="77777777" w:rsidR="00AE4CD8" w:rsidRPr="001115B7" w:rsidRDefault="00AE4CD8" w:rsidP="00E417E6">
            <w:pPr>
              <w:keepNext/>
              <w:jc w:val="left"/>
              <w:rPr>
                <w:rFonts w:cs="Times New Roman"/>
                <w:color w:val="0D0D0D" w:themeColor="text1" w:themeTint="F2"/>
                <w:sz w:val="20"/>
                <w:szCs w:val="20"/>
                <w:highlight w:val="yellow"/>
                <w:lang w:val="en-IE"/>
              </w:rPr>
            </w:pPr>
            <w:r w:rsidRPr="001115B7">
              <w:rPr>
                <w:sz w:val="20"/>
                <w:szCs w:val="20"/>
                <w:lang w:eastAsia="zh-CN"/>
              </w:rPr>
              <w:t>Project Report</w:t>
            </w:r>
          </w:p>
        </w:tc>
        <w:tc>
          <w:tcPr>
            <w:tcW w:w="708" w:type="pct"/>
            <w:vMerge w:val="restart"/>
            <w:shd w:val="clear" w:color="auto" w:fill="auto"/>
            <w:vAlign w:val="center"/>
          </w:tcPr>
          <w:p w14:paraId="6F8A736C" w14:textId="77777777" w:rsidR="003A002B" w:rsidRDefault="003A002B" w:rsidP="00E417E6">
            <w:pPr>
              <w:keepNext/>
              <w:autoSpaceDE w:val="0"/>
              <w:autoSpaceDN w:val="0"/>
              <w:adjustRightInd w:val="0"/>
              <w:jc w:val="left"/>
              <w:rPr>
                <w:sz w:val="20"/>
                <w:szCs w:val="20"/>
                <w:lang w:eastAsia="zh-CN"/>
              </w:rPr>
            </w:pPr>
            <w:r w:rsidRPr="001115B7">
              <w:rPr>
                <w:sz w:val="20"/>
                <w:szCs w:val="20"/>
                <w:lang w:eastAsia="zh-CN"/>
              </w:rPr>
              <w:t>Relevant national strategic and regulatory frameworks in place.</w:t>
            </w:r>
          </w:p>
          <w:p w14:paraId="751559E5" w14:textId="77777777" w:rsidR="003A002B" w:rsidRDefault="003A002B" w:rsidP="00E417E6">
            <w:pPr>
              <w:keepNext/>
              <w:autoSpaceDE w:val="0"/>
              <w:autoSpaceDN w:val="0"/>
              <w:adjustRightInd w:val="0"/>
              <w:jc w:val="left"/>
              <w:rPr>
                <w:sz w:val="20"/>
                <w:szCs w:val="20"/>
                <w:lang w:eastAsia="zh-CN"/>
              </w:rPr>
            </w:pPr>
          </w:p>
          <w:p w14:paraId="791A5C8D" w14:textId="63D17228" w:rsidR="00A76967" w:rsidRDefault="00A76967" w:rsidP="00E417E6">
            <w:pPr>
              <w:keepNext/>
              <w:autoSpaceDE w:val="0"/>
              <w:autoSpaceDN w:val="0"/>
              <w:adjustRightInd w:val="0"/>
              <w:jc w:val="left"/>
              <w:rPr>
                <w:sz w:val="20"/>
                <w:szCs w:val="20"/>
                <w:lang w:eastAsia="zh-CN"/>
              </w:rPr>
            </w:pPr>
            <w:r>
              <w:rPr>
                <w:sz w:val="20"/>
                <w:szCs w:val="20"/>
                <w:lang w:eastAsia="zh-CN"/>
              </w:rPr>
              <w:t xml:space="preserve">Improving coordination and </w:t>
            </w:r>
            <w:r w:rsidRPr="001115B7">
              <w:rPr>
                <w:sz w:val="20"/>
                <w:szCs w:val="20"/>
                <w:lang w:eastAsia="zh-CN"/>
              </w:rPr>
              <w:t xml:space="preserve"> cooperation between law enforcing agencies</w:t>
            </w:r>
            <w:r w:rsidRPr="001115B7" w:rsidDel="00A76967">
              <w:rPr>
                <w:sz w:val="20"/>
                <w:szCs w:val="20"/>
                <w:lang w:eastAsia="zh-CN"/>
              </w:rPr>
              <w:t xml:space="preserve"> </w:t>
            </w:r>
          </w:p>
          <w:p w14:paraId="2E0DA060" w14:textId="72CBC43C" w:rsidR="003A002B" w:rsidRDefault="003A002B" w:rsidP="00E417E6">
            <w:pPr>
              <w:keepNext/>
              <w:autoSpaceDE w:val="0"/>
              <w:autoSpaceDN w:val="0"/>
              <w:adjustRightInd w:val="0"/>
              <w:jc w:val="left"/>
              <w:rPr>
                <w:sz w:val="20"/>
                <w:szCs w:val="20"/>
                <w:lang w:eastAsia="zh-CN"/>
              </w:rPr>
            </w:pPr>
          </w:p>
          <w:p w14:paraId="0E34184D" w14:textId="3730302A" w:rsidR="003A002B" w:rsidRDefault="003A002B" w:rsidP="00E417E6">
            <w:pPr>
              <w:keepNext/>
              <w:autoSpaceDE w:val="0"/>
              <w:autoSpaceDN w:val="0"/>
              <w:adjustRightInd w:val="0"/>
              <w:jc w:val="left"/>
              <w:rPr>
                <w:sz w:val="20"/>
                <w:szCs w:val="20"/>
                <w:lang w:eastAsia="zh-CN"/>
              </w:rPr>
            </w:pPr>
            <w:r>
              <w:rPr>
                <w:sz w:val="20"/>
                <w:szCs w:val="20"/>
                <w:lang w:eastAsia="zh-CN"/>
              </w:rPr>
              <w:t>Public administration reform progresses well and adequate staff retention policy  is put in place</w:t>
            </w:r>
          </w:p>
          <w:p w14:paraId="4EB49D57" w14:textId="00F49A29" w:rsidR="003A002B" w:rsidRDefault="003A002B" w:rsidP="00E417E6">
            <w:pPr>
              <w:keepNext/>
              <w:autoSpaceDE w:val="0"/>
              <w:autoSpaceDN w:val="0"/>
              <w:adjustRightInd w:val="0"/>
              <w:jc w:val="left"/>
              <w:rPr>
                <w:sz w:val="20"/>
                <w:szCs w:val="20"/>
                <w:lang w:eastAsia="zh-CN"/>
              </w:rPr>
            </w:pPr>
          </w:p>
          <w:p w14:paraId="42CABE3B" w14:textId="527D42D0" w:rsidR="003A002B" w:rsidRDefault="003A002B" w:rsidP="00E417E6">
            <w:pPr>
              <w:keepNext/>
              <w:autoSpaceDE w:val="0"/>
              <w:autoSpaceDN w:val="0"/>
              <w:adjustRightInd w:val="0"/>
              <w:jc w:val="left"/>
              <w:rPr>
                <w:sz w:val="20"/>
                <w:szCs w:val="20"/>
                <w:lang w:eastAsia="zh-CN"/>
              </w:rPr>
            </w:pPr>
            <w:r>
              <w:rPr>
                <w:sz w:val="20"/>
                <w:szCs w:val="20"/>
                <w:lang w:eastAsia="zh-CN"/>
              </w:rPr>
              <w:t>Interest on behalf of the EU Member states to support the reforms in the sector</w:t>
            </w:r>
          </w:p>
          <w:p w14:paraId="369F6769" w14:textId="77777777" w:rsidR="00AE4CD8" w:rsidRPr="001115B7" w:rsidRDefault="00AE4CD8" w:rsidP="00E417E6">
            <w:pPr>
              <w:keepNext/>
              <w:autoSpaceDE w:val="0"/>
              <w:autoSpaceDN w:val="0"/>
              <w:adjustRightInd w:val="0"/>
              <w:jc w:val="left"/>
              <w:rPr>
                <w:sz w:val="20"/>
                <w:szCs w:val="20"/>
                <w:lang w:eastAsia="zh-CN"/>
              </w:rPr>
            </w:pPr>
          </w:p>
          <w:p w14:paraId="1C58E711" w14:textId="77777777" w:rsidR="00AE4CD8" w:rsidRPr="001115B7" w:rsidRDefault="00AE4CD8" w:rsidP="00E417E6">
            <w:pPr>
              <w:keepNext/>
              <w:spacing w:before="40" w:after="40"/>
              <w:rPr>
                <w:sz w:val="20"/>
                <w:szCs w:val="20"/>
                <w:lang w:eastAsia="zh-CN"/>
              </w:rPr>
            </w:pPr>
          </w:p>
          <w:p w14:paraId="750DE48A"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highlight w:val="yellow"/>
              </w:rPr>
            </w:pPr>
          </w:p>
          <w:p w14:paraId="31056783"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highlight w:val="yellow"/>
                <w:lang w:val="en-IE"/>
              </w:rPr>
            </w:pPr>
          </w:p>
        </w:tc>
      </w:tr>
      <w:tr w:rsidR="00AE4CD8" w:rsidRPr="001115B7" w14:paraId="61BAB663" w14:textId="77777777" w:rsidTr="00497F73">
        <w:trPr>
          <w:trHeight w:val="398"/>
          <w:tblHeader/>
        </w:trPr>
        <w:tc>
          <w:tcPr>
            <w:tcW w:w="441" w:type="pct"/>
            <w:vMerge/>
            <w:shd w:val="clear" w:color="auto" w:fill="D9D9D9" w:themeFill="background1" w:themeFillShade="D9"/>
            <w:vAlign w:val="center"/>
          </w:tcPr>
          <w:p w14:paraId="1A162B6A" w14:textId="77777777" w:rsidR="00AE4CD8" w:rsidRPr="001115B7" w:rsidRDefault="00AE4CD8" w:rsidP="00E417E6">
            <w:pPr>
              <w:keepNext/>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5F8C3894"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shd w:val="clear" w:color="auto" w:fill="FFFFFF" w:themeFill="background1"/>
            <w:vAlign w:val="center"/>
          </w:tcPr>
          <w:p w14:paraId="21637303"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sz w:val="20"/>
                <w:szCs w:val="20"/>
                <w:lang w:eastAsia="zh-CN"/>
              </w:rPr>
              <w:t>Number of National operation centre established and operational</w:t>
            </w:r>
          </w:p>
        </w:tc>
        <w:tc>
          <w:tcPr>
            <w:tcW w:w="575" w:type="pct"/>
            <w:shd w:val="clear" w:color="auto" w:fill="FFFFFF" w:themeFill="background1"/>
            <w:vAlign w:val="center"/>
          </w:tcPr>
          <w:p w14:paraId="7F400D7B"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lang w:eastAsia="zh-CN"/>
              </w:rPr>
              <w:t>0 (2022)</w:t>
            </w:r>
          </w:p>
        </w:tc>
        <w:tc>
          <w:tcPr>
            <w:tcW w:w="531" w:type="pct"/>
            <w:shd w:val="clear" w:color="auto" w:fill="FFFFFF" w:themeFill="background1"/>
            <w:vAlign w:val="center"/>
          </w:tcPr>
          <w:p w14:paraId="57522E41"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lang w:eastAsia="zh-CN"/>
              </w:rPr>
              <w:t>1 (2026)</w:t>
            </w:r>
          </w:p>
        </w:tc>
        <w:tc>
          <w:tcPr>
            <w:tcW w:w="531" w:type="pct"/>
            <w:shd w:val="clear" w:color="auto" w:fill="FFFFFF" w:themeFill="background1"/>
            <w:vAlign w:val="center"/>
          </w:tcPr>
          <w:p w14:paraId="06C55626" w14:textId="77777777" w:rsidR="00AE4CD8" w:rsidRPr="001115B7" w:rsidRDefault="00AE4CD8" w:rsidP="00E417E6">
            <w:pPr>
              <w:keepNext/>
              <w:shd w:val="solid" w:color="FFFFFF" w:fill="auto"/>
              <w:spacing w:before="40" w:after="40"/>
              <w:jc w:val="left"/>
              <w:rPr>
                <w:sz w:val="20"/>
                <w:szCs w:val="20"/>
                <w:lang w:eastAsia="zh-CN"/>
              </w:rPr>
            </w:pPr>
            <w:r w:rsidRPr="001115B7">
              <w:rPr>
                <w:sz w:val="20"/>
                <w:szCs w:val="20"/>
                <w:lang w:eastAsia="zh-CN"/>
              </w:rPr>
              <w:t>Progress Report</w:t>
            </w:r>
          </w:p>
          <w:p w14:paraId="5B869DCF" w14:textId="77777777" w:rsidR="00AE4CD8" w:rsidRPr="001115B7" w:rsidRDefault="00AE4CD8" w:rsidP="00E417E6">
            <w:pPr>
              <w:keepNext/>
              <w:jc w:val="left"/>
              <w:rPr>
                <w:rFonts w:cs="Times New Roman"/>
                <w:color w:val="0D0D0D" w:themeColor="text1" w:themeTint="F2"/>
                <w:sz w:val="20"/>
                <w:szCs w:val="20"/>
                <w:highlight w:val="yellow"/>
                <w:lang w:val="en-IE"/>
              </w:rPr>
            </w:pPr>
            <w:r w:rsidRPr="001115B7">
              <w:rPr>
                <w:sz w:val="20"/>
                <w:szCs w:val="20"/>
                <w:lang w:eastAsia="zh-CN"/>
              </w:rPr>
              <w:t>Project Report</w:t>
            </w:r>
          </w:p>
        </w:tc>
        <w:tc>
          <w:tcPr>
            <w:tcW w:w="708" w:type="pct"/>
            <w:vMerge/>
            <w:shd w:val="clear" w:color="auto" w:fill="auto"/>
            <w:vAlign w:val="center"/>
          </w:tcPr>
          <w:p w14:paraId="5660FC45" w14:textId="77777777" w:rsidR="00AE4CD8" w:rsidRPr="001115B7" w:rsidRDefault="00AE4CD8" w:rsidP="00E417E6">
            <w:pPr>
              <w:keepNext/>
              <w:autoSpaceDE w:val="0"/>
              <w:autoSpaceDN w:val="0"/>
              <w:adjustRightInd w:val="0"/>
              <w:rPr>
                <w:rFonts w:cs="Times New Roman"/>
                <w:color w:val="0D0D0D" w:themeColor="text1" w:themeTint="F2"/>
                <w:sz w:val="20"/>
                <w:szCs w:val="20"/>
                <w:highlight w:val="yellow"/>
                <w:lang w:val="en-IE"/>
              </w:rPr>
            </w:pPr>
          </w:p>
        </w:tc>
      </w:tr>
      <w:tr w:rsidR="00AE4CD8" w:rsidRPr="001115B7" w14:paraId="53221780" w14:textId="77777777" w:rsidTr="00497F73">
        <w:trPr>
          <w:trHeight w:val="398"/>
          <w:tblHeader/>
        </w:trPr>
        <w:tc>
          <w:tcPr>
            <w:tcW w:w="441" w:type="pct"/>
            <w:vMerge/>
            <w:shd w:val="clear" w:color="auto" w:fill="D9D9D9" w:themeFill="background1" w:themeFillShade="D9"/>
            <w:vAlign w:val="center"/>
          </w:tcPr>
          <w:p w14:paraId="52F3CD34" w14:textId="77777777" w:rsidR="00AE4CD8" w:rsidRPr="001115B7" w:rsidRDefault="00AE4CD8" w:rsidP="00E417E6">
            <w:pPr>
              <w:keepNext/>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6E142A8A" w14:textId="77777777" w:rsidR="00AE4CD8" w:rsidRPr="001115B7" w:rsidRDefault="00AE4CD8" w:rsidP="00E417E6">
            <w:pPr>
              <w:keepNext/>
              <w:autoSpaceDE w:val="0"/>
              <w:autoSpaceDN w:val="0"/>
              <w:adjustRightInd w:val="0"/>
              <w:rPr>
                <w:rFonts w:cs="Times New Roman"/>
                <w:color w:val="0D0D0D" w:themeColor="text1" w:themeTint="F2"/>
                <w:sz w:val="20"/>
                <w:szCs w:val="20"/>
                <w:lang w:val="en-IE"/>
              </w:rPr>
            </w:pPr>
          </w:p>
        </w:tc>
        <w:tc>
          <w:tcPr>
            <w:tcW w:w="1328" w:type="pct"/>
            <w:shd w:val="clear" w:color="auto" w:fill="FFFFFF" w:themeFill="background1"/>
            <w:vAlign w:val="center"/>
          </w:tcPr>
          <w:p w14:paraId="16B0EA7E" w14:textId="77777777" w:rsidR="00AE4CD8" w:rsidRPr="001115B7" w:rsidRDefault="00AE4CD8" w:rsidP="00E417E6">
            <w:pPr>
              <w:keepNext/>
              <w:autoSpaceDE w:val="0"/>
              <w:autoSpaceDN w:val="0"/>
              <w:adjustRightInd w:val="0"/>
              <w:jc w:val="left"/>
              <w:rPr>
                <w:rFonts w:cs="Times New Roman"/>
                <w:color w:val="0D0D0D" w:themeColor="text1" w:themeTint="F2"/>
                <w:sz w:val="20"/>
                <w:szCs w:val="20"/>
                <w:lang w:val="en-IE"/>
              </w:rPr>
            </w:pPr>
            <w:r w:rsidRPr="001115B7">
              <w:rPr>
                <w:sz w:val="20"/>
                <w:szCs w:val="20"/>
                <w:lang w:eastAsia="zh-CN"/>
              </w:rPr>
              <w:t>Number of manuals for handling case of cyber threat and attack prepared and adopted</w:t>
            </w:r>
          </w:p>
        </w:tc>
        <w:tc>
          <w:tcPr>
            <w:tcW w:w="575" w:type="pct"/>
            <w:shd w:val="clear" w:color="auto" w:fill="FFFFFF" w:themeFill="background1"/>
            <w:vAlign w:val="center"/>
          </w:tcPr>
          <w:p w14:paraId="1C20AF14"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lang w:eastAsia="zh-CN"/>
              </w:rPr>
              <w:t>0 (2022)</w:t>
            </w:r>
          </w:p>
        </w:tc>
        <w:tc>
          <w:tcPr>
            <w:tcW w:w="531" w:type="pct"/>
            <w:shd w:val="clear" w:color="auto" w:fill="FFFFFF" w:themeFill="background1"/>
            <w:vAlign w:val="center"/>
          </w:tcPr>
          <w:p w14:paraId="2CE95ACC" w14:textId="77777777" w:rsidR="00AE4CD8" w:rsidRPr="001115B7" w:rsidRDefault="00AE4CD8" w:rsidP="00E417E6">
            <w:pPr>
              <w:keepNext/>
              <w:rPr>
                <w:rFonts w:cs="Times New Roman"/>
                <w:color w:val="0D0D0D" w:themeColor="text1" w:themeTint="F2"/>
                <w:sz w:val="20"/>
                <w:szCs w:val="20"/>
                <w:lang w:val="en-IE"/>
              </w:rPr>
            </w:pPr>
            <w:r w:rsidRPr="001115B7">
              <w:rPr>
                <w:sz w:val="20"/>
                <w:szCs w:val="20"/>
                <w:lang w:eastAsia="zh-CN"/>
              </w:rPr>
              <w:t>1 (2026)</w:t>
            </w:r>
          </w:p>
        </w:tc>
        <w:tc>
          <w:tcPr>
            <w:tcW w:w="531" w:type="pct"/>
            <w:shd w:val="clear" w:color="auto" w:fill="FFFFFF" w:themeFill="background1"/>
            <w:vAlign w:val="center"/>
          </w:tcPr>
          <w:p w14:paraId="0F4D175C" w14:textId="77777777" w:rsidR="00AE4CD8" w:rsidRPr="001115B7" w:rsidRDefault="00AE4CD8" w:rsidP="00E417E6">
            <w:pPr>
              <w:keepNext/>
              <w:shd w:val="solid" w:color="FFFFFF" w:fill="auto"/>
              <w:spacing w:before="40" w:after="40"/>
              <w:jc w:val="left"/>
              <w:rPr>
                <w:sz w:val="20"/>
                <w:szCs w:val="20"/>
                <w:lang w:eastAsia="zh-CN"/>
              </w:rPr>
            </w:pPr>
            <w:r w:rsidRPr="001115B7">
              <w:rPr>
                <w:sz w:val="20"/>
                <w:szCs w:val="20"/>
                <w:lang w:eastAsia="zh-CN"/>
              </w:rPr>
              <w:t>Progress Report</w:t>
            </w:r>
          </w:p>
          <w:p w14:paraId="1B85D055" w14:textId="77777777" w:rsidR="00AE4CD8" w:rsidRPr="001115B7" w:rsidRDefault="00AE4CD8" w:rsidP="00E417E6">
            <w:pPr>
              <w:keepNext/>
              <w:rPr>
                <w:rFonts w:cs="Times New Roman"/>
                <w:color w:val="0D0D0D" w:themeColor="text1" w:themeTint="F2"/>
                <w:sz w:val="20"/>
                <w:szCs w:val="20"/>
                <w:highlight w:val="yellow"/>
                <w:lang w:val="en-IE"/>
              </w:rPr>
            </w:pPr>
            <w:r w:rsidRPr="001115B7">
              <w:rPr>
                <w:sz w:val="20"/>
                <w:szCs w:val="20"/>
                <w:lang w:eastAsia="zh-CN"/>
              </w:rPr>
              <w:t>Project Report</w:t>
            </w:r>
          </w:p>
        </w:tc>
        <w:tc>
          <w:tcPr>
            <w:tcW w:w="708" w:type="pct"/>
            <w:vMerge/>
            <w:shd w:val="clear" w:color="auto" w:fill="auto"/>
            <w:vAlign w:val="center"/>
          </w:tcPr>
          <w:p w14:paraId="77961149" w14:textId="77777777" w:rsidR="00AE4CD8" w:rsidRPr="001115B7" w:rsidRDefault="00AE4CD8" w:rsidP="00E417E6">
            <w:pPr>
              <w:keepNext/>
              <w:autoSpaceDE w:val="0"/>
              <w:autoSpaceDN w:val="0"/>
              <w:adjustRightInd w:val="0"/>
              <w:rPr>
                <w:rFonts w:cs="Times New Roman"/>
                <w:color w:val="0D0D0D" w:themeColor="text1" w:themeTint="F2"/>
                <w:sz w:val="20"/>
                <w:szCs w:val="20"/>
                <w:highlight w:val="yellow"/>
                <w:lang w:val="en-IE"/>
              </w:rPr>
            </w:pPr>
          </w:p>
        </w:tc>
      </w:tr>
      <w:tr w:rsidR="00AE4CD8" w:rsidRPr="000173FC" w14:paraId="2D2E747F" w14:textId="77777777" w:rsidTr="00497F73">
        <w:trPr>
          <w:trHeight w:val="398"/>
          <w:tblHeader/>
        </w:trPr>
        <w:tc>
          <w:tcPr>
            <w:tcW w:w="441" w:type="pct"/>
            <w:vMerge/>
            <w:shd w:val="clear" w:color="auto" w:fill="D9D9D9" w:themeFill="background1" w:themeFillShade="D9"/>
            <w:vAlign w:val="center"/>
          </w:tcPr>
          <w:p w14:paraId="5DEC7E9D"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54C22334" w14:textId="77777777" w:rsidR="00AE4CD8" w:rsidRPr="00497F73" w:rsidRDefault="00AE4CD8" w:rsidP="00497F73">
            <w:pPr>
              <w:widowControl w:val="0"/>
              <w:autoSpaceDE w:val="0"/>
              <w:autoSpaceDN w:val="0"/>
              <w:adjustRightInd w:val="0"/>
              <w:rPr>
                <w:rFonts w:cs="Times New Roman"/>
                <w:color w:val="0D0D0D" w:themeColor="text1" w:themeTint="F2"/>
                <w:sz w:val="20"/>
                <w:szCs w:val="20"/>
                <w:lang w:val="en-IE"/>
              </w:rPr>
            </w:pPr>
          </w:p>
        </w:tc>
        <w:tc>
          <w:tcPr>
            <w:tcW w:w="1328" w:type="pct"/>
            <w:shd w:val="clear" w:color="auto" w:fill="FFFFFF" w:themeFill="background1"/>
            <w:vAlign w:val="center"/>
          </w:tcPr>
          <w:p w14:paraId="36CD5762" w14:textId="77777777" w:rsidR="00AE4CD8" w:rsidRPr="00497F73" w:rsidRDefault="00AE4CD8" w:rsidP="00497F73">
            <w:pPr>
              <w:widowControl w:val="0"/>
              <w:autoSpaceDE w:val="0"/>
              <w:autoSpaceDN w:val="0"/>
              <w:adjustRightInd w:val="0"/>
              <w:jc w:val="left"/>
              <w:rPr>
                <w:rFonts w:cs="Times New Roman"/>
                <w:color w:val="0D0D0D" w:themeColor="text1" w:themeTint="F2"/>
                <w:sz w:val="20"/>
                <w:szCs w:val="20"/>
                <w:lang w:val="en-IE"/>
              </w:rPr>
            </w:pPr>
            <w:r w:rsidRPr="00497F73">
              <w:rPr>
                <w:sz w:val="20"/>
                <w:szCs w:val="20"/>
                <w:lang w:eastAsia="zh-CN"/>
              </w:rPr>
              <w:t>Number of people (public administration) trained on cybersecurity (cumulative indicator)</w:t>
            </w:r>
          </w:p>
        </w:tc>
        <w:tc>
          <w:tcPr>
            <w:tcW w:w="575" w:type="pct"/>
            <w:shd w:val="clear" w:color="auto" w:fill="FFFFFF" w:themeFill="background1"/>
            <w:vAlign w:val="center"/>
          </w:tcPr>
          <w:p w14:paraId="7E9E2E1A"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0 (2022)</w:t>
            </w:r>
          </w:p>
        </w:tc>
        <w:tc>
          <w:tcPr>
            <w:tcW w:w="531" w:type="pct"/>
            <w:shd w:val="clear" w:color="auto" w:fill="FFFFFF" w:themeFill="background1"/>
            <w:vAlign w:val="center"/>
          </w:tcPr>
          <w:p w14:paraId="155BA40B"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 xml:space="preserve">≥ 100 (2026) </w:t>
            </w:r>
          </w:p>
        </w:tc>
        <w:tc>
          <w:tcPr>
            <w:tcW w:w="531" w:type="pct"/>
            <w:shd w:val="clear" w:color="auto" w:fill="FFFFFF" w:themeFill="background1"/>
            <w:vAlign w:val="center"/>
          </w:tcPr>
          <w:p w14:paraId="77B0F290"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5A5683D5" w14:textId="77777777" w:rsidR="00AE4CD8" w:rsidRPr="00497F73" w:rsidRDefault="00AE4CD8" w:rsidP="00497F73">
            <w:pPr>
              <w:widowControl w:val="0"/>
              <w:jc w:val="left"/>
              <w:rPr>
                <w:rFonts w:cs="Times New Roman"/>
                <w:color w:val="0D0D0D" w:themeColor="text1" w:themeTint="F2"/>
                <w:sz w:val="20"/>
                <w:szCs w:val="20"/>
                <w:highlight w:val="yellow"/>
                <w:lang w:val="en-IE"/>
              </w:rPr>
            </w:pPr>
            <w:r w:rsidRPr="00497F73">
              <w:rPr>
                <w:sz w:val="20"/>
                <w:szCs w:val="20"/>
                <w:lang w:eastAsia="zh-CN"/>
              </w:rPr>
              <w:t>Project Report</w:t>
            </w:r>
          </w:p>
        </w:tc>
        <w:tc>
          <w:tcPr>
            <w:tcW w:w="708" w:type="pct"/>
            <w:vMerge/>
            <w:shd w:val="clear" w:color="auto" w:fill="auto"/>
            <w:vAlign w:val="center"/>
          </w:tcPr>
          <w:p w14:paraId="440C7698"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797EEADF" w14:textId="77777777" w:rsidTr="00497F73">
        <w:trPr>
          <w:trHeight w:val="398"/>
          <w:tblHeader/>
        </w:trPr>
        <w:tc>
          <w:tcPr>
            <w:tcW w:w="441" w:type="pct"/>
            <w:vMerge/>
            <w:shd w:val="clear" w:color="auto" w:fill="D9D9D9" w:themeFill="background1" w:themeFillShade="D9"/>
            <w:vAlign w:val="center"/>
          </w:tcPr>
          <w:p w14:paraId="6A37E65B"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7D8D1010" w14:textId="77777777" w:rsidR="00AE4CD8" w:rsidRPr="00497F73" w:rsidRDefault="00AE4CD8" w:rsidP="00497F73">
            <w:pPr>
              <w:widowControl w:val="0"/>
              <w:autoSpaceDE w:val="0"/>
              <w:autoSpaceDN w:val="0"/>
              <w:adjustRightInd w:val="0"/>
              <w:rPr>
                <w:rFonts w:cs="Times New Roman"/>
                <w:color w:val="0D0D0D" w:themeColor="text1" w:themeTint="F2"/>
                <w:sz w:val="20"/>
                <w:szCs w:val="20"/>
                <w:lang w:val="en-IE"/>
              </w:rPr>
            </w:pPr>
          </w:p>
        </w:tc>
        <w:tc>
          <w:tcPr>
            <w:tcW w:w="1328" w:type="pct"/>
            <w:shd w:val="clear" w:color="auto" w:fill="FFFFFF" w:themeFill="background1"/>
            <w:vAlign w:val="center"/>
          </w:tcPr>
          <w:p w14:paraId="27AE424E" w14:textId="77777777" w:rsidR="00AE4CD8" w:rsidRPr="00497F73" w:rsidRDefault="00AE4CD8" w:rsidP="00497F73">
            <w:pPr>
              <w:widowControl w:val="0"/>
              <w:autoSpaceDE w:val="0"/>
              <w:autoSpaceDN w:val="0"/>
              <w:adjustRightInd w:val="0"/>
              <w:jc w:val="left"/>
              <w:rPr>
                <w:rFonts w:cs="Times New Roman"/>
                <w:color w:val="0D0D0D" w:themeColor="text1" w:themeTint="F2"/>
                <w:sz w:val="20"/>
                <w:szCs w:val="20"/>
                <w:lang w:val="en-IE"/>
              </w:rPr>
            </w:pPr>
            <w:r w:rsidRPr="00497F73">
              <w:rPr>
                <w:sz w:val="20"/>
                <w:szCs w:val="20"/>
                <w:lang w:eastAsia="zh-CN"/>
              </w:rPr>
              <w:t xml:space="preserve">Number of tabletop exercises (TTX) for cybersecurity related with national experience and </w:t>
            </w:r>
            <w:r w:rsidRPr="00497F73">
              <w:rPr>
                <w:sz w:val="20"/>
                <w:szCs w:val="20"/>
                <w:lang w:eastAsia="zh-CN"/>
              </w:rPr>
              <w:lastRenderedPageBreak/>
              <w:t>needs (cumulative indicator)</w:t>
            </w:r>
          </w:p>
        </w:tc>
        <w:tc>
          <w:tcPr>
            <w:tcW w:w="575" w:type="pct"/>
            <w:shd w:val="clear" w:color="auto" w:fill="FFFFFF" w:themeFill="background1"/>
            <w:vAlign w:val="center"/>
          </w:tcPr>
          <w:p w14:paraId="633273FD"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lastRenderedPageBreak/>
              <w:t>0 (2022)</w:t>
            </w:r>
          </w:p>
        </w:tc>
        <w:tc>
          <w:tcPr>
            <w:tcW w:w="531" w:type="pct"/>
            <w:shd w:val="clear" w:color="auto" w:fill="FFFFFF" w:themeFill="background1"/>
            <w:vAlign w:val="center"/>
          </w:tcPr>
          <w:p w14:paraId="21989FF5"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 xml:space="preserve">≥ 2 (2026) </w:t>
            </w:r>
          </w:p>
        </w:tc>
        <w:tc>
          <w:tcPr>
            <w:tcW w:w="531" w:type="pct"/>
            <w:shd w:val="clear" w:color="auto" w:fill="FFFFFF" w:themeFill="background1"/>
            <w:vAlign w:val="center"/>
          </w:tcPr>
          <w:p w14:paraId="773D34D2"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02204CB0" w14:textId="77777777" w:rsidR="00AE4CD8" w:rsidRPr="00497F73" w:rsidRDefault="00AE4CD8" w:rsidP="00497F73">
            <w:pPr>
              <w:widowControl w:val="0"/>
              <w:jc w:val="left"/>
              <w:rPr>
                <w:rFonts w:cs="Times New Roman"/>
                <w:color w:val="0D0D0D" w:themeColor="text1" w:themeTint="F2"/>
                <w:sz w:val="20"/>
                <w:szCs w:val="20"/>
                <w:highlight w:val="yellow"/>
                <w:lang w:val="en-IE"/>
              </w:rPr>
            </w:pPr>
            <w:r w:rsidRPr="00497F73">
              <w:rPr>
                <w:sz w:val="20"/>
                <w:szCs w:val="20"/>
                <w:lang w:eastAsia="zh-CN"/>
              </w:rPr>
              <w:t>Project Report</w:t>
            </w:r>
          </w:p>
        </w:tc>
        <w:tc>
          <w:tcPr>
            <w:tcW w:w="708" w:type="pct"/>
            <w:vMerge/>
            <w:shd w:val="clear" w:color="auto" w:fill="auto"/>
            <w:vAlign w:val="center"/>
          </w:tcPr>
          <w:p w14:paraId="2C2A9ABC"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5FA2798D" w14:textId="77777777" w:rsidTr="00497F73">
        <w:trPr>
          <w:trHeight w:val="398"/>
          <w:tblHeader/>
        </w:trPr>
        <w:tc>
          <w:tcPr>
            <w:tcW w:w="441" w:type="pct"/>
            <w:vMerge/>
            <w:shd w:val="clear" w:color="auto" w:fill="D9D9D9" w:themeFill="background1" w:themeFillShade="D9"/>
            <w:vAlign w:val="center"/>
          </w:tcPr>
          <w:p w14:paraId="15057649"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0D977902" w14:textId="77777777" w:rsidR="00AE4CD8" w:rsidRPr="00497F73" w:rsidRDefault="00AE4CD8" w:rsidP="00497F73">
            <w:pPr>
              <w:widowControl w:val="0"/>
              <w:autoSpaceDE w:val="0"/>
              <w:autoSpaceDN w:val="0"/>
              <w:adjustRightInd w:val="0"/>
              <w:rPr>
                <w:rFonts w:cs="Times New Roman"/>
                <w:color w:val="0D0D0D" w:themeColor="text1" w:themeTint="F2"/>
                <w:sz w:val="20"/>
                <w:szCs w:val="20"/>
                <w:lang w:val="en-IE"/>
              </w:rPr>
            </w:pPr>
          </w:p>
        </w:tc>
        <w:tc>
          <w:tcPr>
            <w:tcW w:w="1328" w:type="pct"/>
            <w:shd w:val="clear" w:color="auto" w:fill="FFFFFF" w:themeFill="background1"/>
            <w:vAlign w:val="center"/>
          </w:tcPr>
          <w:p w14:paraId="0709F4D5" w14:textId="77777777" w:rsidR="00AE4CD8" w:rsidRPr="00497F73" w:rsidRDefault="00AE4CD8" w:rsidP="00497F73">
            <w:pPr>
              <w:widowControl w:val="0"/>
              <w:autoSpaceDE w:val="0"/>
              <w:autoSpaceDN w:val="0"/>
              <w:adjustRightInd w:val="0"/>
              <w:jc w:val="left"/>
              <w:rPr>
                <w:rFonts w:cs="Times New Roman"/>
                <w:color w:val="0D0D0D" w:themeColor="text1" w:themeTint="F2"/>
                <w:sz w:val="20"/>
                <w:szCs w:val="20"/>
                <w:lang w:val="en-IE"/>
              </w:rPr>
            </w:pPr>
            <w:r w:rsidRPr="00497F73">
              <w:rPr>
                <w:sz w:val="20"/>
                <w:szCs w:val="20"/>
                <w:lang w:eastAsia="zh-CN"/>
              </w:rPr>
              <w:t>Number of public awareness events organised on cybersecurity</w:t>
            </w:r>
          </w:p>
        </w:tc>
        <w:tc>
          <w:tcPr>
            <w:tcW w:w="575" w:type="pct"/>
            <w:shd w:val="clear" w:color="auto" w:fill="FFFFFF" w:themeFill="background1"/>
            <w:vAlign w:val="center"/>
          </w:tcPr>
          <w:p w14:paraId="24023E36"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0 (2022)</w:t>
            </w:r>
          </w:p>
        </w:tc>
        <w:tc>
          <w:tcPr>
            <w:tcW w:w="531" w:type="pct"/>
            <w:shd w:val="clear" w:color="auto" w:fill="FFFFFF" w:themeFill="background1"/>
            <w:vAlign w:val="center"/>
          </w:tcPr>
          <w:p w14:paraId="05196541"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 xml:space="preserve">≥ 2 (2026) </w:t>
            </w:r>
          </w:p>
        </w:tc>
        <w:tc>
          <w:tcPr>
            <w:tcW w:w="531" w:type="pct"/>
            <w:shd w:val="clear" w:color="auto" w:fill="FFFFFF" w:themeFill="background1"/>
            <w:vAlign w:val="center"/>
          </w:tcPr>
          <w:p w14:paraId="3A4E149A"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6079354E" w14:textId="77777777" w:rsidR="00AE4CD8" w:rsidRPr="00497F73" w:rsidRDefault="00AE4CD8" w:rsidP="00497F73">
            <w:pPr>
              <w:widowControl w:val="0"/>
              <w:jc w:val="left"/>
              <w:rPr>
                <w:rFonts w:cs="Times New Roman"/>
                <w:color w:val="0D0D0D" w:themeColor="text1" w:themeTint="F2"/>
                <w:sz w:val="20"/>
                <w:szCs w:val="20"/>
                <w:highlight w:val="yellow"/>
                <w:lang w:val="en-IE"/>
              </w:rPr>
            </w:pPr>
            <w:r w:rsidRPr="00497F73">
              <w:rPr>
                <w:sz w:val="20"/>
                <w:szCs w:val="20"/>
                <w:lang w:eastAsia="zh-CN"/>
              </w:rPr>
              <w:t>Project Report</w:t>
            </w:r>
          </w:p>
        </w:tc>
        <w:tc>
          <w:tcPr>
            <w:tcW w:w="708" w:type="pct"/>
            <w:vMerge/>
            <w:shd w:val="clear" w:color="auto" w:fill="auto"/>
            <w:vAlign w:val="center"/>
          </w:tcPr>
          <w:p w14:paraId="24FED79D"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1D37E63F" w14:textId="77777777" w:rsidTr="00497F73">
        <w:trPr>
          <w:trHeight w:val="418"/>
          <w:tblHeader/>
        </w:trPr>
        <w:tc>
          <w:tcPr>
            <w:tcW w:w="441" w:type="pct"/>
            <w:vMerge w:val="restart"/>
            <w:shd w:val="clear" w:color="auto" w:fill="D9D9D9" w:themeFill="background1" w:themeFillShade="D9"/>
            <w:vAlign w:val="center"/>
          </w:tcPr>
          <w:p w14:paraId="771DF60E" w14:textId="53181110"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r w:rsidRPr="00497F73">
              <w:rPr>
                <w:rFonts w:cs="Times New Roman"/>
                <w:b/>
                <w:color w:val="0D0D0D" w:themeColor="text1" w:themeTint="F2"/>
                <w:sz w:val="20"/>
                <w:szCs w:val="20"/>
                <w:lang w:val="en-IE"/>
              </w:rPr>
              <w:t xml:space="preserve">Output 2 </w:t>
            </w:r>
          </w:p>
        </w:tc>
        <w:tc>
          <w:tcPr>
            <w:tcW w:w="885" w:type="pct"/>
            <w:vMerge w:val="restart"/>
            <w:shd w:val="clear" w:color="auto" w:fill="auto"/>
            <w:vAlign w:val="center"/>
          </w:tcPr>
          <w:p w14:paraId="0E89908C" w14:textId="77777777" w:rsidR="00B902CC" w:rsidRPr="00497F73" w:rsidRDefault="00B902CC" w:rsidP="00B902CC">
            <w:pPr>
              <w:rPr>
                <w:rFonts w:cs="Times New Roman"/>
                <w:color w:val="0D0D0D" w:themeColor="text1" w:themeTint="F2"/>
                <w:sz w:val="20"/>
                <w:szCs w:val="20"/>
              </w:rPr>
            </w:pPr>
            <w:r w:rsidRPr="00497F73">
              <w:rPr>
                <w:rFonts w:cs="Times New Roman"/>
                <w:color w:val="0D0D0D" w:themeColor="text1" w:themeTint="F2"/>
                <w:sz w:val="20"/>
                <w:szCs w:val="20"/>
              </w:rPr>
              <w:t>Strengthened capabilities of the police and law enforcement agencies to combat and prevent crime, terrorism and radicalisation and manage security-related incidents, risks and crises</w:t>
            </w:r>
          </w:p>
          <w:p w14:paraId="53755D23" w14:textId="2047BD62" w:rsidR="00AE4CD8" w:rsidRPr="00497F73" w:rsidRDefault="00AE4CD8" w:rsidP="00497F73">
            <w:pPr>
              <w:widowControl w:val="0"/>
              <w:autoSpaceDE w:val="0"/>
              <w:autoSpaceDN w:val="0"/>
              <w:adjustRightInd w:val="0"/>
              <w:jc w:val="left"/>
              <w:rPr>
                <w:rFonts w:cs="Times New Roman"/>
                <w:color w:val="0D0D0D" w:themeColor="text1" w:themeTint="F2"/>
                <w:sz w:val="20"/>
                <w:szCs w:val="20"/>
                <w:lang w:val="en-IE"/>
              </w:rPr>
            </w:pPr>
          </w:p>
        </w:tc>
        <w:tc>
          <w:tcPr>
            <w:tcW w:w="1328" w:type="pct"/>
            <w:shd w:val="clear" w:color="auto" w:fill="FFFFFF" w:themeFill="background1"/>
          </w:tcPr>
          <w:p w14:paraId="5882F0D7" w14:textId="77777777" w:rsidR="00AE4CD8" w:rsidRPr="00497F73" w:rsidRDefault="00AE4CD8" w:rsidP="00497F73">
            <w:pPr>
              <w:widowControl w:val="0"/>
              <w:autoSpaceDE w:val="0"/>
              <w:autoSpaceDN w:val="0"/>
              <w:adjustRightInd w:val="0"/>
              <w:jc w:val="left"/>
              <w:rPr>
                <w:rFonts w:cs="Times New Roman"/>
                <w:color w:val="0D0D0D" w:themeColor="text1" w:themeTint="F2"/>
                <w:sz w:val="20"/>
                <w:szCs w:val="20"/>
                <w:lang w:val="en-IE"/>
              </w:rPr>
            </w:pPr>
            <w:r w:rsidRPr="00497F73">
              <w:rPr>
                <w:sz w:val="20"/>
                <w:szCs w:val="20"/>
              </w:rPr>
              <w:t>Number of additional cooperation protocols with regional and international organisations in the fight against organised crime related to the Internet prepared and adopted</w:t>
            </w:r>
          </w:p>
        </w:tc>
        <w:tc>
          <w:tcPr>
            <w:tcW w:w="575" w:type="pct"/>
            <w:shd w:val="clear" w:color="auto" w:fill="FFFFFF" w:themeFill="background1"/>
            <w:vAlign w:val="center"/>
          </w:tcPr>
          <w:p w14:paraId="325E3BE0" w14:textId="77777777" w:rsidR="00AE4CD8" w:rsidRPr="00497F73" w:rsidRDefault="00AE4CD8" w:rsidP="00497F73">
            <w:pPr>
              <w:widowControl w:val="0"/>
              <w:spacing w:before="40" w:after="40"/>
              <w:jc w:val="left"/>
              <w:rPr>
                <w:sz w:val="20"/>
                <w:szCs w:val="20"/>
                <w:highlight w:val="green"/>
                <w:lang w:eastAsia="zh-CN"/>
              </w:rPr>
            </w:pPr>
            <w:r w:rsidRPr="00497F73">
              <w:rPr>
                <w:sz w:val="20"/>
                <w:szCs w:val="20"/>
                <w:lang w:eastAsia="zh-CN"/>
              </w:rPr>
              <w:t>0 (2022)</w:t>
            </w:r>
          </w:p>
          <w:p w14:paraId="642BDD0F" w14:textId="77777777" w:rsidR="00AE4CD8" w:rsidRPr="00497F73" w:rsidRDefault="00AE4CD8" w:rsidP="00497F73">
            <w:pPr>
              <w:widowControl w:val="0"/>
              <w:rPr>
                <w:rFonts w:cs="Times New Roman"/>
                <w:color w:val="0D0D0D" w:themeColor="text1" w:themeTint="F2"/>
                <w:sz w:val="20"/>
                <w:szCs w:val="20"/>
                <w:lang w:val="en-IE"/>
              </w:rPr>
            </w:pPr>
          </w:p>
        </w:tc>
        <w:tc>
          <w:tcPr>
            <w:tcW w:w="531" w:type="pct"/>
            <w:shd w:val="clear" w:color="auto" w:fill="FFFFFF" w:themeFill="background1"/>
            <w:vAlign w:val="center"/>
          </w:tcPr>
          <w:p w14:paraId="01CC7CBE" w14:textId="77777777" w:rsidR="00AE4CD8" w:rsidRPr="00497F73" w:rsidRDefault="00AE4CD8" w:rsidP="00497F73">
            <w:pPr>
              <w:widowControl w:val="0"/>
              <w:spacing w:before="40" w:after="40"/>
              <w:jc w:val="left"/>
              <w:rPr>
                <w:sz w:val="20"/>
                <w:szCs w:val="20"/>
                <w:lang w:eastAsia="zh-CN"/>
              </w:rPr>
            </w:pPr>
            <w:r w:rsidRPr="00497F73">
              <w:rPr>
                <w:sz w:val="20"/>
                <w:szCs w:val="20"/>
                <w:lang w:eastAsia="zh-CN"/>
              </w:rPr>
              <w:t>≥ 3 (2026)</w:t>
            </w:r>
          </w:p>
          <w:p w14:paraId="1CDA34E8" w14:textId="77777777" w:rsidR="00AE4CD8" w:rsidRPr="00497F73" w:rsidRDefault="00AE4CD8" w:rsidP="00497F73">
            <w:pPr>
              <w:widowControl w:val="0"/>
              <w:rPr>
                <w:rFonts w:cs="Times New Roman"/>
                <w:color w:val="0D0D0D" w:themeColor="text1" w:themeTint="F2"/>
                <w:sz w:val="20"/>
                <w:szCs w:val="20"/>
                <w:lang w:val="en-IE"/>
              </w:rPr>
            </w:pPr>
          </w:p>
        </w:tc>
        <w:tc>
          <w:tcPr>
            <w:tcW w:w="531" w:type="pct"/>
            <w:shd w:val="clear" w:color="auto" w:fill="FFFFFF" w:themeFill="background1"/>
            <w:vAlign w:val="center"/>
          </w:tcPr>
          <w:p w14:paraId="7A2C5E61"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132DA5A1" w14:textId="77777777" w:rsidR="00AE4CD8" w:rsidRPr="00497F73" w:rsidRDefault="00AE4CD8" w:rsidP="00497F73">
            <w:pPr>
              <w:widowControl w:val="0"/>
              <w:spacing w:before="40" w:after="40"/>
              <w:jc w:val="left"/>
              <w:rPr>
                <w:sz w:val="20"/>
                <w:szCs w:val="20"/>
                <w:highlight w:val="yellow"/>
                <w:lang w:eastAsia="zh-CN"/>
              </w:rPr>
            </w:pPr>
            <w:r w:rsidRPr="00497F73">
              <w:rPr>
                <w:sz w:val="20"/>
                <w:szCs w:val="20"/>
                <w:lang w:eastAsia="zh-CN"/>
              </w:rPr>
              <w:t>Project Report</w:t>
            </w:r>
          </w:p>
          <w:p w14:paraId="5937C4AA" w14:textId="77777777" w:rsidR="00AE4CD8" w:rsidRPr="00497F73" w:rsidRDefault="00AE4CD8" w:rsidP="00497F73">
            <w:pPr>
              <w:widowControl w:val="0"/>
              <w:jc w:val="left"/>
              <w:rPr>
                <w:rFonts w:cs="Times New Roman"/>
                <w:color w:val="0D0D0D" w:themeColor="text1" w:themeTint="F2"/>
                <w:sz w:val="20"/>
                <w:szCs w:val="20"/>
                <w:highlight w:val="yellow"/>
                <w:lang w:val="en-IE"/>
              </w:rPr>
            </w:pPr>
          </w:p>
        </w:tc>
        <w:tc>
          <w:tcPr>
            <w:tcW w:w="708" w:type="pct"/>
            <w:vMerge/>
            <w:shd w:val="clear" w:color="auto" w:fill="auto"/>
            <w:vAlign w:val="center"/>
          </w:tcPr>
          <w:p w14:paraId="4B8089EB"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7620EADA" w14:textId="77777777" w:rsidTr="00497F73">
        <w:trPr>
          <w:trHeight w:val="418"/>
          <w:tblHeader/>
        </w:trPr>
        <w:tc>
          <w:tcPr>
            <w:tcW w:w="441" w:type="pct"/>
            <w:vMerge/>
            <w:shd w:val="clear" w:color="auto" w:fill="D9D9D9" w:themeFill="background1" w:themeFillShade="D9"/>
            <w:vAlign w:val="center"/>
          </w:tcPr>
          <w:p w14:paraId="0488CB9E"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0EF81FE1" w14:textId="77777777" w:rsidR="00AE4CD8" w:rsidRPr="00497F73" w:rsidRDefault="00AE4CD8" w:rsidP="00497F73">
            <w:pPr>
              <w:widowControl w:val="0"/>
              <w:autoSpaceDE w:val="0"/>
              <w:autoSpaceDN w:val="0"/>
              <w:adjustRightInd w:val="0"/>
              <w:jc w:val="left"/>
              <w:rPr>
                <w:sz w:val="20"/>
                <w:szCs w:val="20"/>
                <w:lang w:eastAsia="zh-CN"/>
              </w:rPr>
            </w:pPr>
          </w:p>
        </w:tc>
        <w:tc>
          <w:tcPr>
            <w:tcW w:w="1328" w:type="pct"/>
            <w:shd w:val="clear" w:color="auto" w:fill="FFFFFF" w:themeFill="background1"/>
          </w:tcPr>
          <w:p w14:paraId="5FEBA60C" w14:textId="77777777" w:rsidR="00AE4CD8" w:rsidRPr="00497F73" w:rsidRDefault="00AE4CD8" w:rsidP="00497F73">
            <w:pPr>
              <w:widowControl w:val="0"/>
              <w:autoSpaceDE w:val="0"/>
              <w:autoSpaceDN w:val="0"/>
              <w:adjustRightInd w:val="0"/>
              <w:jc w:val="left"/>
              <w:rPr>
                <w:rFonts w:cs="Times New Roman"/>
                <w:color w:val="0D0D0D" w:themeColor="text1" w:themeTint="F2"/>
                <w:sz w:val="20"/>
                <w:szCs w:val="20"/>
                <w:lang w:val="en-IE"/>
              </w:rPr>
            </w:pPr>
            <w:r w:rsidRPr="00497F73">
              <w:rPr>
                <w:sz w:val="20"/>
                <w:szCs w:val="20"/>
              </w:rPr>
              <w:t>Number of national cooperation protocols on investigations against organised crime prepared and adopted</w:t>
            </w:r>
          </w:p>
        </w:tc>
        <w:tc>
          <w:tcPr>
            <w:tcW w:w="575" w:type="pct"/>
            <w:shd w:val="clear" w:color="auto" w:fill="FFFFFF" w:themeFill="background1"/>
            <w:vAlign w:val="center"/>
          </w:tcPr>
          <w:p w14:paraId="6E4DF3BF"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0 (2022)</w:t>
            </w:r>
          </w:p>
        </w:tc>
        <w:tc>
          <w:tcPr>
            <w:tcW w:w="531" w:type="pct"/>
            <w:shd w:val="clear" w:color="auto" w:fill="FFFFFF" w:themeFill="background1"/>
            <w:vAlign w:val="center"/>
          </w:tcPr>
          <w:p w14:paraId="3F8CDAFA"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 3 (2026)</w:t>
            </w:r>
          </w:p>
        </w:tc>
        <w:tc>
          <w:tcPr>
            <w:tcW w:w="531" w:type="pct"/>
            <w:shd w:val="clear" w:color="auto" w:fill="FFFFFF" w:themeFill="background1"/>
            <w:vAlign w:val="center"/>
          </w:tcPr>
          <w:p w14:paraId="19B97493"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7AB9F760" w14:textId="77777777" w:rsidR="00AE4CD8" w:rsidRPr="00497F73" w:rsidRDefault="00AE4CD8" w:rsidP="00497F73">
            <w:pPr>
              <w:widowControl w:val="0"/>
              <w:jc w:val="left"/>
              <w:rPr>
                <w:rFonts w:cs="Times New Roman"/>
                <w:color w:val="0D0D0D" w:themeColor="text1" w:themeTint="F2"/>
                <w:sz w:val="20"/>
                <w:szCs w:val="20"/>
                <w:highlight w:val="yellow"/>
                <w:lang w:val="en-IE"/>
              </w:rPr>
            </w:pPr>
            <w:r w:rsidRPr="00497F73">
              <w:rPr>
                <w:sz w:val="20"/>
                <w:szCs w:val="20"/>
                <w:lang w:eastAsia="zh-CN"/>
              </w:rPr>
              <w:t>Project Report</w:t>
            </w:r>
          </w:p>
        </w:tc>
        <w:tc>
          <w:tcPr>
            <w:tcW w:w="708" w:type="pct"/>
            <w:vMerge/>
            <w:shd w:val="clear" w:color="auto" w:fill="auto"/>
            <w:vAlign w:val="center"/>
          </w:tcPr>
          <w:p w14:paraId="4B54251F"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09B81488" w14:textId="77777777" w:rsidTr="00497F73">
        <w:trPr>
          <w:trHeight w:val="418"/>
          <w:tblHeader/>
        </w:trPr>
        <w:tc>
          <w:tcPr>
            <w:tcW w:w="441" w:type="pct"/>
            <w:vMerge/>
            <w:shd w:val="clear" w:color="auto" w:fill="D9D9D9" w:themeFill="background1" w:themeFillShade="D9"/>
            <w:vAlign w:val="center"/>
          </w:tcPr>
          <w:p w14:paraId="67DEB02B"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65194EF1" w14:textId="77777777" w:rsidR="00AE4CD8" w:rsidRPr="00497F73" w:rsidRDefault="00AE4CD8" w:rsidP="00497F73">
            <w:pPr>
              <w:widowControl w:val="0"/>
              <w:autoSpaceDE w:val="0"/>
              <w:autoSpaceDN w:val="0"/>
              <w:adjustRightInd w:val="0"/>
              <w:jc w:val="left"/>
              <w:rPr>
                <w:sz w:val="20"/>
                <w:szCs w:val="20"/>
                <w:lang w:eastAsia="zh-CN"/>
              </w:rPr>
            </w:pPr>
          </w:p>
        </w:tc>
        <w:tc>
          <w:tcPr>
            <w:tcW w:w="1328" w:type="pct"/>
            <w:shd w:val="clear" w:color="auto" w:fill="FFFFFF" w:themeFill="background1"/>
          </w:tcPr>
          <w:p w14:paraId="16F64DEB" w14:textId="77777777" w:rsidR="00AE4CD8" w:rsidRPr="00497F73" w:rsidRDefault="00AE4CD8" w:rsidP="00497F73">
            <w:pPr>
              <w:widowControl w:val="0"/>
              <w:autoSpaceDE w:val="0"/>
              <w:autoSpaceDN w:val="0"/>
              <w:adjustRightInd w:val="0"/>
              <w:jc w:val="left"/>
              <w:rPr>
                <w:rFonts w:cs="Times New Roman"/>
                <w:color w:val="0D0D0D" w:themeColor="text1" w:themeTint="F2"/>
                <w:sz w:val="20"/>
                <w:szCs w:val="20"/>
                <w:lang w:val="en-IE"/>
              </w:rPr>
            </w:pPr>
            <w:r w:rsidRPr="00497F73">
              <w:rPr>
                <w:sz w:val="20"/>
                <w:szCs w:val="20"/>
              </w:rPr>
              <w:t xml:space="preserve">Number of people trained on modern investigation techniques and methods including forensic skills for criminal investigations </w:t>
            </w:r>
          </w:p>
        </w:tc>
        <w:tc>
          <w:tcPr>
            <w:tcW w:w="575" w:type="pct"/>
            <w:shd w:val="clear" w:color="auto" w:fill="FFFFFF" w:themeFill="background1"/>
            <w:vAlign w:val="center"/>
          </w:tcPr>
          <w:p w14:paraId="0217E619"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0 (2022)</w:t>
            </w:r>
          </w:p>
        </w:tc>
        <w:tc>
          <w:tcPr>
            <w:tcW w:w="531" w:type="pct"/>
            <w:shd w:val="clear" w:color="auto" w:fill="FFFFFF" w:themeFill="background1"/>
            <w:vAlign w:val="center"/>
          </w:tcPr>
          <w:p w14:paraId="69E3099F" w14:textId="77777777" w:rsidR="00AE4CD8" w:rsidRPr="00497F73" w:rsidRDefault="00AE4CD8" w:rsidP="00497F73">
            <w:pPr>
              <w:widowControl w:val="0"/>
              <w:rPr>
                <w:rFonts w:cs="Times New Roman"/>
                <w:color w:val="0D0D0D" w:themeColor="text1" w:themeTint="F2"/>
                <w:sz w:val="20"/>
                <w:szCs w:val="20"/>
                <w:lang w:val="en-IE"/>
              </w:rPr>
            </w:pPr>
            <w:r w:rsidRPr="00497F73">
              <w:rPr>
                <w:sz w:val="20"/>
                <w:szCs w:val="20"/>
                <w:lang w:eastAsia="zh-CN"/>
              </w:rPr>
              <w:t>≥ 50 (2026)</w:t>
            </w:r>
          </w:p>
        </w:tc>
        <w:tc>
          <w:tcPr>
            <w:tcW w:w="531" w:type="pct"/>
            <w:shd w:val="clear" w:color="auto" w:fill="FFFFFF" w:themeFill="background1"/>
            <w:vAlign w:val="center"/>
          </w:tcPr>
          <w:p w14:paraId="45F50FFA"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6572B3EC" w14:textId="77777777" w:rsidR="00AE4CD8" w:rsidRPr="00497F73" w:rsidRDefault="00AE4CD8" w:rsidP="00497F73">
            <w:pPr>
              <w:widowControl w:val="0"/>
              <w:jc w:val="left"/>
              <w:rPr>
                <w:rFonts w:cs="Times New Roman"/>
                <w:color w:val="0D0D0D" w:themeColor="text1" w:themeTint="F2"/>
                <w:sz w:val="20"/>
                <w:szCs w:val="20"/>
                <w:highlight w:val="yellow"/>
                <w:lang w:val="en-IE"/>
              </w:rPr>
            </w:pPr>
            <w:r w:rsidRPr="00497F73">
              <w:rPr>
                <w:sz w:val="20"/>
                <w:szCs w:val="20"/>
                <w:lang w:eastAsia="zh-CN"/>
              </w:rPr>
              <w:t>Project Report</w:t>
            </w:r>
          </w:p>
        </w:tc>
        <w:tc>
          <w:tcPr>
            <w:tcW w:w="708" w:type="pct"/>
            <w:vMerge/>
            <w:shd w:val="clear" w:color="auto" w:fill="auto"/>
            <w:vAlign w:val="center"/>
          </w:tcPr>
          <w:p w14:paraId="7C6D5739"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46C22970" w14:textId="77777777" w:rsidTr="00497F73">
        <w:trPr>
          <w:trHeight w:val="418"/>
          <w:tblHeader/>
        </w:trPr>
        <w:tc>
          <w:tcPr>
            <w:tcW w:w="441" w:type="pct"/>
            <w:vMerge/>
            <w:shd w:val="clear" w:color="auto" w:fill="D9D9D9" w:themeFill="background1" w:themeFillShade="D9"/>
            <w:vAlign w:val="center"/>
          </w:tcPr>
          <w:p w14:paraId="75F84B64"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51713F0D" w14:textId="77777777" w:rsidR="00AE4CD8" w:rsidRPr="00497F73" w:rsidRDefault="00AE4CD8" w:rsidP="00497F73">
            <w:pPr>
              <w:widowControl w:val="0"/>
              <w:autoSpaceDE w:val="0"/>
              <w:autoSpaceDN w:val="0"/>
              <w:adjustRightInd w:val="0"/>
              <w:jc w:val="left"/>
              <w:rPr>
                <w:sz w:val="20"/>
                <w:szCs w:val="20"/>
                <w:lang w:eastAsia="zh-CN"/>
              </w:rPr>
            </w:pPr>
          </w:p>
        </w:tc>
        <w:tc>
          <w:tcPr>
            <w:tcW w:w="1328" w:type="pct"/>
            <w:shd w:val="clear" w:color="auto" w:fill="FFFFFF" w:themeFill="background1"/>
          </w:tcPr>
          <w:p w14:paraId="008CBC27" w14:textId="77777777" w:rsidR="00AE4CD8" w:rsidRPr="00497F73" w:rsidRDefault="00AE4CD8" w:rsidP="00497F73">
            <w:pPr>
              <w:widowControl w:val="0"/>
              <w:autoSpaceDE w:val="0"/>
              <w:autoSpaceDN w:val="0"/>
              <w:adjustRightInd w:val="0"/>
              <w:jc w:val="left"/>
              <w:rPr>
                <w:sz w:val="20"/>
                <w:szCs w:val="20"/>
              </w:rPr>
            </w:pPr>
            <w:r w:rsidRPr="00497F73">
              <w:rPr>
                <w:sz w:val="20"/>
                <w:szCs w:val="20"/>
              </w:rPr>
              <w:t>Number of protocols on conducting investigations against perpetrators of crimes related to youths and women prepared and adopted</w:t>
            </w:r>
          </w:p>
        </w:tc>
        <w:tc>
          <w:tcPr>
            <w:tcW w:w="575" w:type="pct"/>
            <w:shd w:val="clear" w:color="auto" w:fill="FFFFFF" w:themeFill="background1"/>
            <w:vAlign w:val="center"/>
          </w:tcPr>
          <w:p w14:paraId="321AE342" w14:textId="77777777" w:rsidR="00AE4CD8" w:rsidRPr="00497F73" w:rsidRDefault="00AE4CD8" w:rsidP="00497F73">
            <w:pPr>
              <w:widowControl w:val="0"/>
              <w:rPr>
                <w:sz w:val="20"/>
                <w:szCs w:val="20"/>
                <w:lang w:eastAsia="zh-CN"/>
              </w:rPr>
            </w:pPr>
            <w:r w:rsidRPr="00497F73">
              <w:rPr>
                <w:sz w:val="20"/>
                <w:szCs w:val="20"/>
                <w:lang w:eastAsia="zh-CN"/>
              </w:rPr>
              <w:t>0 (2022)</w:t>
            </w:r>
          </w:p>
        </w:tc>
        <w:tc>
          <w:tcPr>
            <w:tcW w:w="531" w:type="pct"/>
            <w:shd w:val="clear" w:color="auto" w:fill="FFFFFF" w:themeFill="background1"/>
            <w:vAlign w:val="center"/>
          </w:tcPr>
          <w:p w14:paraId="4C8D3292" w14:textId="77777777" w:rsidR="00AE4CD8" w:rsidRPr="00497F73" w:rsidRDefault="00AE4CD8" w:rsidP="00497F73">
            <w:pPr>
              <w:widowControl w:val="0"/>
              <w:rPr>
                <w:sz w:val="20"/>
                <w:szCs w:val="20"/>
                <w:lang w:eastAsia="zh-CN"/>
              </w:rPr>
            </w:pPr>
            <w:r w:rsidRPr="00497F73">
              <w:rPr>
                <w:sz w:val="20"/>
                <w:szCs w:val="20"/>
                <w:lang w:eastAsia="zh-CN"/>
              </w:rPr>
              <w:t>≥ 2 (2026)</w:t>
            </w:r>
          </w:p>
        </w:tc>
        <w:tc>
          <w:tcPr>
            <w:tcW w:w="531" w:type="pct"/>
            <w:shd w:val="clear" w:color="auto" w:fill="FFFFFF" w:themeFill="background1"/>
            <w:vAlign w:val="center"/>
          </w:tcPr>
          <w:p w14:paraId="5FD9D6FA"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4319255D"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Project Report</w:t>
            </w:r>
          </w:p>
        </w:tc>
        <w:tc>
          <w:tcPr>
            <w:tcW w:w="708" w:type="pct"/>
            <w:vMerge/>
            <w:shd w:val="clear" w:color="auto" w:fill="auto"/>
            <w:vAlign w:val="center"/>
          </w:tcPr>
          <w:p w14:paraId="36BB33E2"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6F06EBE8" w14:textId="77777777" w:rsidTr="00497F73">
        <w:trPr>
          <w:trHeight w:val="418"/>
          <w:tblHeader/>
        </w:trPr>
        <w:tc>
          <w:tcPr>
            <w:tcW w:w="441" w:type="pct"/>
            <w:vMerge/>
            <w:shd w:val="clear" w:color="auto" w:fill="D9D9D9" w:themeFill="background1" w:themeFillShade="D9"/>
            <w:vAlign w:val="center"/>
          </w:tcPr>
          <w:p w14:paraId="21BC7A57"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56AE2E7A" w14:textId="77777777" w:rsidR="00AE4CD8" w:rsidRPr="00497F73" w:rsidRDefault="00AE4CD8" w:rsidP="00497F73">
            <w:pPr>
              <w:widowControl w:val="0"/>
              <w:autoSpaceDE w:val="0"/>
              <w:autoSpaceDN w:val="0"/>
              <w:adjustRightInd w:val="0"/>
              <w:jc w:val="left"/>
              <w:rPr>
                <w:sz w:val="20"/>
                <w:szCs w:val="20"/>
                <w:lang w:eastAsia="zh-CN"/>
              </w:rPr>
            </w:pPr>
          </w:p>
        </w:tc>
        <w:tc>
          <w:tcPr>
            <w:tcW w:w="1328" w:type="pct"/>
            <w:shd w:val="clear" w:color="auto" w:fill="FFFFFF" w:themeFill="background1"/>
          </w:tcPr>
          <w:p w14:paraId="7339D41C" w14:textId="77777777" w:rsidR="00AE4CD8" w:rsidRPr="00497F73" w:rsidRDefault="00AE4CD8" w:rsidP="00497F73">
            <w:pPr>
              <w:widowControl w:val="0"/>
              <w:autoSpaceDE w:val="0"/>
              <w:autoSpaceDN w:val="0"/>
              <w:adjustRightInd w:val="0"/>
              <w:jc w:val="left"/>
              <w:rPr>
                <w:sz w:val="20"/>
                <w:szCs w:val="20"/>
              </w:rPr>
            </w:pPr>
            <w:r w:rsidRPr="00497F73">
              <w:rPr>
                <w:sz w:val="20"/>
                <w:szCs w:val="20"/>
              </w:rPr>
              <w:t>Number of law enforcement agents trained on modern counter terrorism and hybrid investigations skills, with pre-emptive, preventive, strategic and tactical approaches</w:t>
            </w:r>
          </w:p>
        </w:tc>
        <w:tc>
          <w:tcPr>
            <w:tcW w:w="575" w:type="pct"/>
            <w:shd w:val="clear" w:color="auto" w:fill="FFFFFF" w:themeFill="background1"/>
            <w:vAlign w:val="center"/>
          </w:tcPr>
          <w:p w14:paraId="0C8B358E" w14:textId="77777777" w:rsidR="00AE4CD8" w:rsidRPr="00497F73" w:rsidRDefault="00AE4CD8" w:rsidP="00497F73">
            <w:pPr>
              <w:widowControl w:val="0"/>
              <w:rPr>
                <w:sz w:val="20"/>
                <w:szCs w:val="20"/>
                <w:lang w:eastAsia="zh-CN"/>
              </w:rPr>
            </w:pPr>
            <w:r w:rsidRPr="00497F73">
              <w:rPr>
                <w:iCs/>
                <w:sz w:val="20"/>
                <w:szCs w:val="20"/>
                <w:lang w:eastAsia="zh-CN"/>
              </w:rPr>
              <w:t>0 (2022)</w:t>
            </w:r>
          </w:p>
        </w:tc>
        <w:tc>
          <w:tcPr>
            <w:tcW w:w="531" w:type="pct"/>
            <w:shd w:val="clear" w:color="auto" w:fill="FFFFFF" w:themeFill="background1"/>
            <w:vAlign w:val="center"/>
          </w:tcPr>
          <w:p w14:paraId="539233F8" w14:textId="77777777" w:rsidR="00AE4CD8" w:rsidRPr="00497F73" w:rsidRDefault="00AE4CD8" w:rsidP="00497F73">
            <w:pPr>
              <w:widowControl w:val="0"/>
              <w:rPr>
                <w:sz w:val="20"/>
                <w:szCs w:val="20"/>
                <w:lang w:eastAsia="zh-CN"/>
              </w:rPr>
            </w:pPr>
            <w:r w:rsidRPr="00497F73">
              <w:rPr>
                <w:iCs/>
                <w:sz w:val="20"/>
                <w:szCs w:val="20"/>
                <w:lang w:eastAsia="zh-CN"/>
              </w:rPr>
              <w:t>≥ 30 (2026)</w:t>
            </w:r>
          </w:p>
        </w:tc>
        <w:tc>
          <w:tcPr>
            <w:tcW w:w="531" w:type="pct"/>
            <w:shd w:val="clear" w:color="auto" w:fill="FFFFFF" w:themeFill="background1"/>
            <w:vAlign w:val="center"/>
          </w:tcPr>
          <w:p w14:paraId="2AE09174"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0438D940"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Project Report</w:t>
            </w:r>
          </w:p>
        </w:tc>
        <w:tc>
          <w:tcPr>
            <w:tcW w:w="708" w:type="pct"/>
            <w:vMerge/>
            <w:shd w:val="clear" w:color="auto" w:fill="auto"/>
            <w:vAlign w:val="center"/>
          </w:tcPr>
          <w:p w14:paraId="13F31204"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2A685601" w14:textId="77777777" w:rsidTr="00497F73">
        <w:trPr>
          <w:trHeight w:val="418"/>
          <w:tblHeader/>
        </w:trPr>
        <w:tc>
          <w:tcPr>
            <w:tcW w:w="441" w:type="pct"/>
            <w:vMerge/>
            <w:shd w:val="clear" w:color="auto" w:fill="D9D9D9" w:themeFill="background1" w:themeFillShade="D9"/>
            <w:vAlign w:val="center"/>
          </w:tcPr>
          <w:p w14:paraId="779515EB"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2D76D547" w14:textId="77777777" w:rsidR="00AE4CD8" w:rsidRPr="00497F73" w:rsidRDefault="00AE4CD8" w:rsidP="00497F73">
            <w:pPr>
              <w:widowControl w:val="0"/>
              <w:autoSpaceDE w:val="0"/>
              <w:autoSpaceDN w:val="0"/>
              <w:adjustRightInd w:val="0"/>
              <w:jc w:val="left"/>
              <w:rPr>
                <w:sz w:val="20"/>
                <w:szCs w:val="20"/>
                <w:lang w:eastAsia="zh-CN"/>
              </w:rPr>
            </w:pPr>
          </w:p>
        </w:tc>
        <w:tc>
          <w:tcPr>
            <w:tcW w:w="1328" w:type="pct"/>
            <w:shd w:val="clear" w:color="auto" w:fill="FFFFFF" w:themeFill="background1"/>
            <w:vAlign w:val="center"/>
          </w:tcPr>
          <w:p w14:paraId="42E0D6D7" w14:textId="77777777" w:rsidR="00AE4CD8" w:rsidRPr="00497F73" w:rsidRDefault="00AE4CD8" w:rsidP="00497F73">
            <w:pPr>
              <w:widowControl w:val="0"/>
              <w:autoSpaceDE w:val="0"/>
              <w:autoSpaceDN w:val="0"/>
              <w:adjustRightInd w:val="0"/>
              <w:jc w:val="left"/>
              <w:rPr>
                <w:sz w:val="20"/>
                <w:szCs w:val="20"/>
              </w:rPr>
            </w:pPr>
            <w:r w:rsidRPr="00497F73">
              <w:rPr>
                <w:sz w:val="20"/>
                <w:szCs w:val="20"/>
                <w:lang w:eastAsia="zh-CN"/>
              </w:rPr>
              <w:t>Number of tabletop exercises (TTX) for terrorism (cumulative indicator)</w:t>
            </w:r>
          </w:p>
        </w:tc>
        <w:tc>
          <w:tcPr>
            <w:tcW w:w="575" w:type="pct"/>
            <w:shd w:val="clear" w:color="auto" w:fill="FFFFFF" w:themeFill="background1"/>
            <w:vAlign w:val="center"/>
          </w:tcPr>
          <w:p w14:paraId="469ECBF9" w14:textId="77777777" w:rsidR="00AE4CD8" w:rsidRPr="00497F73" w:rsidRDefault="00AE4CD8" w:rsidP="00497F73">
            <w:pPr>
              <w:widowControl w:val="0"/>
              <w:rPr>
                <w:iCs/>
                <w:sz w:val="20"/>
                <w:szCs w:val="20"/>
                <w:lang w:eastAsia="zh-CN"/>
              </w:rPr>
            </w:pPr>
            <w:r w:rsidRPr="00497F73">
              <w:rPr>
                <w:sz w:val="20"/>
                <w:szCs w:val="20"/>
                <w:lang w:eastAsia="zh-CN"/>
              </w:rPr>
              <w:t>0 (2022)</w:t>
            </w:r>
          </w:p>
        </w:tc>
        <w:tc>
          <w:tcPr>
            <w:tcW w:w="531" w:type="pct"/>
            <w:shd w:val="clear" w:color="auto" w:fill="FFFFFF" w:themeFill="background1"/>
            <w:vAlign w:val="center"/>
          </w:tcPr>
          <w:p w14:paraId="5503EF70" w14:textId="77777777" w:rsidR="00AE4CD8" w:rsidRPr="00497F73" w:rsidRDefault="00AE4CD8" w:rsidP="00497F73">
            <w:pPr>
              <w:widowControl w:val="0"/>
              <w:rPr>
                <w:iCs/>
                <w:sz w:val="20"/>
                <w:szCs w:val="20"/>
                <w:lang w:eastAsia="zh-CN"/>
              </w:rPr>
            </w:pPr>
            <w:r w:rsidRPr="00497F73">
              <w:rPr>
                <w:sz w:val="20"/>
                <w:szCs w:val="20"/>
                <w:lang w:eastAsia="zh-CN"/>
              </w:rPr>
              <w:t>≥ 2 (2026)</w:t>
            </w:r>
          </w:p>
        </w:tc>
        <w:tc>
          <w:tcPr>
            <w:tcW w:w="531" w:type="pct"/>
            <w:shd w:val="clear" w:color="auto" w:fill="FFFFFF" w:themeFill="background1"/>
            <w:vAlign w:val="center"/>
          </w:tcPr>
          <w:p w14:paraId="13058FAE"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Progress Report</w:t>
            </w:r>
          </w:p>
          <w:p w14:paraId="5765C094"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Project Report</w:t>
            </w:r>
          </w:p>
        </w:tc>
        <w:tc>
          <w:tcPr>
            <w:tcW w:w="708" w:type="pct"/>
            <w:vMerge/>
            <w:shd w:val="clear" w:color="auto" w:fill="auto"/>
            <w:vAlign w:val="center"/>
          </w:tcPr>
          <w:p w14:paraId="7599DAB5"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r w:rsidR="00AE4CD8" w:rsidRPr="000173FC" w14:paraId="06B8D8C7" w14:textId="77777777" w:rsidTr="00497F73">
        <w:trPr>
          <w:trHeight w:val="418"/>
          <w:tblHeader/>
        </w:trPr>
        <w:tc>
          <w:tcPr>
            <w:tcW w:w="441" w:type="pct"/>
            <w:vMerge/>
            <w:shd w:val="clear" w:color="auto" w:fill="D9D9D9" w:themeFill="background1" w:themeFillShade="D9"/>
            <w:vAlign w:val="center"/>
          </w:tcPr>
          <w:p w14:paraId="7FB82EC3" w14:textId="77777777" w:rsidR="00AE4CD8" w:rsidRPr="00497F73" w:rsidRDefault="00AE4CD8" w:rsidP="00497F73">
            <w:pPr>
              <w:widowControl w:val="0"/>
              <w:tabs>
                <w:tab w:val="left" w:pos="0"/>
                <w:tab w:val="left" w:pos="132"/>
              </w:tabs>
              <w:jc w:val="left"/>
              <w:rPr>
                <w:rFonts w:cs="Times New Roman"/>
                <w:b/>
                <w:color w:val="0D0D0D" w:themeColor="text1" w:themeTint="F2"/>
                <w:sz w:val="20"/>
                <w:szCs w:val="20"/>
                <w:lang w:val="en-IE"/>
              </w:rPr>
            </w:pPr>
          </w:p>
        </w:tc>
        <w:tc>
          <w:tcPr>
            <w:tcW w:w="885" w:type="pct"/>
            <w:vMerge/>
            <w:shd w:val="clear" w:color="auto" w:fill="auto"/>
            <w:vAlign w:val="center"/>
          </w:tcPr>
          <w:p w14:paraId="57E6FD34" w14:textId="77777777" w:rsidR="00AE4CD8" w:rsidRPr="00497F73" w:rsidRDefault="00AE4CD8" w:rsidP="00497F73">
            <w:pPr>
              <w:widowControl w:val="0"/>
              <w:autoSpaceDE w:val="0"/>
              <w:autoSpaceDN w:val="0"/>
              <w:adjustRightInd w:val="0"/>
              <w:jc w:val="left"/>
              <w:rPr>
                <w:sz w:val="20"/>
                <w:szCs w:val="20"/>
                <w:lang w:eastAsia="zh-CN"/>
              </w:rPr>
            </w:pPr>
          </w:p>
        </w:tc>
        <w:tc>
          <w:tcPr>
            <w:tcW w:w="1328" w:type="pct"/>
            <w:shd w:val="clear" w:color="auto" w:fill="FFFFFF" w:themeFill="background1"/>
          </w:tcPr>
          <w:p w14:paraId="538C9239" w14:textId="77777777" w:rsidR="00AE4CD8" w:rsidRPr="00497F73" w:rsidRDefault="00AE4CD8" w:rsidP="00497F73">
            <w:pPr>
              <w:widowControl w:val="0"/>
              <w:autoSpaceDE w:val="0"/>
              <w:autoSpaceDN w:val="0"/>
              <w:adjustRightInd w:val="0"/>
              <w:jc w:val="left"/>
              <w:rPr>
                <w:sz w:val="20"/>
                <w:szCs w:val="20"/>
                <w:lang w:eastAsia="zh-CN"/>
              </w:rPr>
            </w:pPr>
            <w:r w:rsidRPr="00497F73">
              <w:rPr>
                <w:sz w:val="20"/>
                <w:szCs w:val="20"/>
              </w:rPr>
              <w:t>Number of terrorists whose assets are frozen</w:t>
            </w:r>
          </w:p>
        </w:tc>
        <w:tc>
          <w:tcPr>
            <w:tcW w:w="575" w:type="pct"/>
            <w:shd w:val="clear" w:color="auto" w:fill="FFFFFF" w:themeFill="background1"/>
            <w:vAlign w:val="center"/>
          </w:tcPr>
          <w:p w14:paraId="52D288D8" w14:textId="77777777" w:rsidR="00AE4CD8" w:rsidRPr="00497F73" w:rsidRDefault="00AE4CD8" w:rsidP="00497F73">
            <w:pPr>
              <w:widowControl w:val="0"/>
              <w:rPr>
                <w:sz w:val="20"/>
                <w:szCs w:val="20"/>
                <w:lang w:eastAsia="zh-CN"/>
              </w:rPr>
            </w:pPr>
            <w:r w:rsidRPr="00497F73">
              <w:rPr>
                <w:iCs/>
                <w:sz w:val="20"/>
                <w:szCs w:val="20"/>
                <w:lang w:eastAsia="zh-CN"/>
              </w:rPr>
              <w:t>0 (2022)</w:t>
            </w:r>
          </w:p>
        </w:tc>
        <w:tc>
          <w:tcPr>
            <w:tcW w:w="531" w:type="pct"/>
            <w:shd w:val="clear" w:color="auto" w:fill="FFFFFF" w:themeFill="background1"/>
            <w:vAlign w:val="center"/>
          </w:tcPr>
          <w:p w14:paraId="71D8B523" w14:textId="77777777" w:rsidR="00AE4CD8" w:rsidRPr="00497F73" w:rsidRDefault="00AE4CD8" w:rsidP="00497F73">
            <w:pPr>
              <w:widowControl w:val="0"/>
              <w:rPr>
                <w:sz w:val="20"/>
                <w:szCs w:val="20"/>
                <w:lang w:eastAsia="zh-CN"/>
              </w:rPr>
            </w:pPr>
            <w:r w:rsidRPr="00497F73">
              <w:rPr>
                <w:iCs/>
                <w:sz w:val="20"/>
                <w:szCs w:val="20"/>
                <w:lang w:eastAsia="zh-CN"/>
              </w:rPr>
              <w:t>≥ 5 (2026)</w:t>
            </w:r>
          </w:p>
        </w:tc>
        <w:tc>
          <w:tcPr>
            <w:tcW w:w="531" w:type="pct"/>
            <w:shd w:val="clear" w:color="auto" w:fill="FFFFFF" w:themeFill="background1"/>
            <w:vAlign w:val="center"/>
          </w:tcPr>
          <w:p w14:paraId="21A9E46C" w14:textId="77777777" w:rsidR="00AE4CD8" w:rsidRPr="00497F73" w:rsidRDefault="00AE4CD8" w:rsidP="00497F73">
            <w:pPr>
              <w:widowControl w:val="0"/>
              <w:shd w:val="solid" w:color="FFFFFF" w:fill="auto"/>
              <w:jc w:val="left"/>
              <w:rPr>
                <w:sz w:val="20"/>
                <w:szCs w:val="20"/>
                <w:lang w:eastAsia="zh-CN"/>
              </w:rPr>
            </w:pPr>
            <w:r w:rsidRPr="00497F73">
              <w:rPr>
                <w:sz w:val="20"/>
                <w:szCs w:val="20"/>
                <w:lang w:eastAsia="zh-CN"/>
              </w:rPr>
              <w:t>Progress Report</w:t>
            </w:r>
          </w:p>
          <w:p w14:paraId="0DACBB82" w14:textId="77777777" w:rsidR="00AE4CD8" w:rsidRPr="00497F73" w:rsidRDefault="00AE4CD8" w:rsidP="00497F73">
            <w:pPr>
              <w:widowControl w:val="0"/>
              <w:shd w:val="solid" w:color="FFFFFF" w:fill="auto"/>
              <w:spacing w:before="40" w:after="40"/>
              <w:jc w:val="left"/>
              <w:rPr>
                <w:sz w:val="20"/>
                <w:szCs w:val="20"/>
                <w:lang w:eastAsia="zh-CN"/>
              </w:rPr>
            </w:pPr>
            <w:r w:rsidRPr="00497F73">
              <w:rPr>
                <w:sz w:val="20"/>
                <w:szCs w:val="20"/>
                <w:lang w:eastAsia="zh-CN"/>
              </w:rPr>
              <w:t>Project Report</w:t>
            </w:r>
          </w:p>
        </w:tc>
        <w:tc>
          <w:tcPr>
            <w:tcW w:w="708" w:type="pct"/>
            <w:vMerge/>
            <w:shd w:val="clear" w:color="auto" w:fill="auto"/>
            <w:vAlign w:val="center"/>
          </w:tcPr>
          <w:p w14:paraId="36A22D83" w14:textId="77777777" w:rsidR="00AE4CD8" w:rsidRPr="00497F73" w:rsidRDefault="00AE4CD8" w:rsidP="00497F73">
            <w:pPr>
              <w:widowControl w:val="0"/>
              <w:autoSpaceDE w:val="0"/>
              <w:autoSpaceDN w:val="0"/>
              <w:adjustRightInd w:val="0"/>
              <w:rPr>
                <w:rFonts w:cs="Times New Roman"/>
                <w:color w:val="0D0D0D" w:themeColor="text1" w:themeTint="F2"/>
                <w:sz w:val="20"/>
                <w:szCs w:val="20"/>
                <w:highlight w:val="yellow"/>
                <w:lang w:val="en-IE"/>
              </w:rPr>
            </w:pPr>
          </w:p>
        </w:tc>
      </w:tr>
    </w:tbl>
    <w:p w14:paraId="59960802" w14:textId="77777777" w:rsidR="00D370B8" w:rsidRPr="003C0CD7" w:rsidRDefault="00D370B8" w:rsidP="00D370B8">
      <w:pPr>
        <w:rPr>
          <w:lang w:val="en-IE"/>
        </w:rPr>
        <w:sectPr w:rsidR="00D370B8" w:rsidRPr="003C0CD7" w:rsidSect="009D4EF1">
          <w:pgSz w:w="16838" w:h="11906" w:orient="landscape"/>
          <w:pgMar w:top="720" w:right="993" w:bottom="720" w:left="426" w:header="510" w:footer="483" w:gutter="0"/>
          <w:cols w:space="708"/>
          <w:docGrid w:linePitch="360"/>
        </w:sectPr>
      </w:pPr>
    </w:p>
    <w:p w14:paraId="6BBE1648" w14:textId="77777777" w:rsidR="008E6AFF" w:rsidRPr="009B333B" w:rsidRDefault="008E6AFF" w:rsidP="009B333B">
      <w:pPr>
        <w:pStyle w:val="Heading1"/>
      </w:pPr>
      <w:bookmarkStart w:id="204" w:name="_Toc47101964"/>
      <w:bookmarkStart w:id="205" w:name="_Toc51270459"/>
      <w:bookmarkStart w:id="206" w:name="_Toc59031675"/>
      <w:bookmarkStart w:id="207" w:name="_Toc73090757"/>
      <w:bookmarkStart w:id="208" w:name="_Ref58337274"/>
      <w:bookmarkStart w:id="209" w:name="_Toc47101982"/>
      <w:bookmarkStart w:id="210" w:name="_Toc51270477"/>
      <w:bookmarkStart w:id="211" w:name="_Ref58359378"/>
      <w:bookmarkEnd w:id="182"/>
      <w:bookmarkEnd w:id="183"/>
      <w:bookmarkEnd w:id="184"/>
      <w:bookmarkEnd w:id="185"/>
      <w:bookmarkEnd w:id="186"/>
      <w:bookmarkEnd w:id="187"/>
      <w:bookmarkEnd w:id="188"/>
      <w:bookmarkEnd w:id="189"/>
      <w:r w:rsidRPr="009B333B">
        <w:lastRenderedPageBreak/>
        <w:t xml:space="preserve">IMPLEMENTATION </w:t>
      </w:r>
      <w:bookmarkEnd w:id="204"/>
      <w:bookmarkEnd w:id="205"/>
      <w:r w:rsidRPr="009B333B">
        <w:t>ARRANGEMENTS</w:t>
      </w:r>
      <w:bookmarkEnd w:id="206"/>
      <w:bookmarkEnd w:id="207"/>
      <w:r w:rsidR="00635A0A">
        <w:rPr>
          <w:rStyle w:val="FootnoteReference"/>
          <w:lang w:val="en-IE"/>
        </w:rPr>
        <w:footnoteReference w:id="28"/>
      </w:r>
      <w:r w:rsidRPr="009B333B">
        <w:t xml:space="preserve"> </w:t>
      </w:r>
      <w:bookmarkStart w:id="212" w:name="_Toc59023374"/>
      <w:bookmarkStart w:id="213" w:name="_Toc59029543"/>
      <w:bookmarkStart w:id="214" w:name="_Toc59030359"/>
      <w:bookmarkStart w:id="215" w:name="_Toc59031676"/>
      <w:bookmarkStart w:id="216" w:name="_Toc62247175"/>
      <w:bookmarkStart w:id="217" w:name="_Toc62247232"/>
      <w:bookmarkStart w:id="218" w:name="_Toc62459274"/>
      <w:bookmarkStart w:id="219" w:name="_Toc62476938"/>
      <w:bookmarkStart w:id="220" w:name="_Toc63235846"/>
      <w:bookmarkStart w:id="221" w:name="_Toc63248952"/>
      <w:bookmarkStart w:id="222" w:name="_Toc63263281"/>
      <w:bookmarkStart w:id="223" w:name="_Toc64043058"/>
      <w:bookmarkStart w:id="224" w:name="_Toc65663771"/>
      <w:bookmarkStart w:id="225" w:name="_Toc65665587"/>
      <w:bookmarkStart w:id="226" w:name="_Toc65665949"/>
      <w:bookmarkStart w:id="227" w:name="_Toc65666126"/>
      <w:bookmarkStart w:id="228" w:name="_Toc65671203"/>
      <w:bookmarkStart w:id="229" w:name="_Toc65671262"/>
      <w:bookmarkStart w:id="230" w:name="_Toc65671919"/>
      <w:bookmarkStart w:id="231" w:name="_Toc65674775"/>
      <w:bookmarkStart w:id="232" w:name="_Toc65676425"/>
      <w:bookmarkStart w:id="233" w:name="_Toc65688262"/>
      <w:bookmarkStart w:id="234" w:name="_Toc66465152"/>
      <w:bookmarkStart w:id="235" w:name="_Toc66465605"/>
      <w:bookmarkStart w:id="236" w:name="_Toc66465664"/>
      <w:bookmarkStart w:id="237" w:name="_Toc66696390"/>
      <w:bookmarkStart w:id="238" w:name="_Toc67665938"/>
      <w:bookmarkStart w:id="239" w:name="_Toc69384766"/>
      <w:bookmarkStart w:id="240" w:name="_Toc69384897"/>
      <w:bookmarkStart w:id="241" w:name="_Toc69385025"/>
      <w:bookmarkStart w:id="242" w:name="_Toc69385153"/>
      <w:bookmarkStart w:id="243" w:name="_Toc69460902"/>
      <w:bookmarkStart w:id="244" w:name="_Toc69461029"/>
      <w:bookmarkStart w:id="245" w:name="_Toc69469921"/>
      <w:bookmarkStart w:id="246" w:name="_Toc69485784"/>
      <w:bookmarkStart w:id="247" w:name="_Toc69487659"/>
      <w:bookmarkStart w:id="248" w:name="_Toc72142249"/>
      <w:bookmarkStart w:id="249" w:name="_Toc72142335"/>
      <w:bookmarkStart w:id="250" w:name="_Toc73090675"/>
      <w:bookmarkStart w:id="251" w:name="_Toc73090758"/>
      <w:bookmarkStart w:id="252" w:name="_Toc47101965"/>
      <w:bookmarkStart w:id="253" w:name="_Toc51270460"/>
      <w:bookmarkStart w:id="254" w:name="_Ref58359167"/>
      <w:bookmarkEnd w:id="208"/>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669B506" w14:textId="77777777" w:rsidR="008E6AFF" w:rsidRPr="003C0CD7" w:rsidRDefault="008E6AFF" w:rsidP="003C0CD7">
      <w:pPr>
        <w:pStyle w:val="Heading1"/>
        <w:numPr>
          <w:ilvl w:val="1"/>
          <w:numId w:val="1"/>
        </w:numPr>
        <w:rPr>
          <w:lang w:val="en-IE"/>
        </w:rPr>
      </w:pPr>
      <w:bookmarkStart w:id="255" w:name="_Toc59031677"/>
      <w:bookmarkStart w:id="256" w:name="_Ref65665776"/>
      <w:bookmarkStart w:id="257" w:name="_Toc73090759"/>
      <w:r w:rsidRPr="003C0CD7">
        <w:rPr>
          <w:lang w:val="en-IE"/>
        </w:rPr>
        <w:t>Financing Agreement</w:t>
      </w:r>
      <w:bookmarkEnd w:id="252"/>
      <w:bookmarkEnd w:id="253"/>
      <w:bookmarkEnd w:id="254"/>
      <w:bookmarkEnd w:id="255"/>
      <w:bookmarkEnd w:id="256"/>
      <w:bookmarkEnd w:id="257"/>
    </w:p>
    <w:p w14:paraId="7230EA11" w14:textId="7D729708" w:rsidR="004A3EFD" w:rsidRPr="003C0CD7" w:rsidRDefault="004A3EFD" w:rsidP="0023277A">
      <w:pPr>
        <w:ind w:left="720"/>
        <w:rPr>
          <w:lang w:val="en-IE"/>
        </w:rPr>
      </w:pPr>
      <w:bookmarkStart w:id="258" w:name="_Toc47101966"/>
      <w:bookmarkStart w:id="259" w:name="_Toc51270461"/>
      <w:bookmarkStart w:id="260" w:name="_Toc59031678"/>
      <w:r w:rsidRPr="003C0CD7">
        <w:rPr>
          <w:lang w:val="en-IE"/>
        </w:rPr>
        <w:t xml:space="preserve">In order to implement this </w:t>
      </w:r>
      <w:r w:rsidR="00B677EA">
        <w:rPr>
          <w:lang w:val="en-IE"/>
        </w:rPr>
        <w:t>A</w:t>
      </w:r>
      <w:r w:rsidRPr="003C0CD7">
        <w:rPr>
          <w:lang w:val="en-IE"/>
        </w:rPr>
        <w:t xml:space="preserve">ction, it is envisaged to conclude a financing agreement with </w:t>
      </w:r>
      <w:r w:rsidR="00ED4650">
        <w:rPr>
          <w:lang w:val="en-IE"/>
        </w:rPr>
        <w:t>North Macedonia.</w:t>
      </w:r>
    </w:p>
    <w:p w14:paraId="16A5142A" w14:textId="28DD878F" w:rsidR="008E6AFF" w:rsidRPr="003C0CD7" w:rsidRDefault="008E6AFF" w:rsidP="003C0CD7">
      <w:pPr>
        <w:pStyle w:val="Heading1"/>
        <w:numPr>
          <w:ilvl w:val="1"/>
          <w:numId w:val="1"/>
        </w:numPr>
        <w:rPr>
          <w:color w:val="auto"/>
          <w:lang w:val="en-IE"/>
        </w:rPr>
      </w:pPr>
      <w:bookmarkStart w:id="261" w:name="_Toc73090760"/>
      <w:r w:rsidRPr="00DC3DEB">
        <w:rPr>
          <w:lang w:val="en-IE"/>
        </w:rPr>
        <w:t>Indicative</w:t>
      </w:r>
      <w:r w:rsidRPr="00DC3DEB">
        <w:rPr>
          <w:color w:val="auto"/>
          <w:lang w:val="en-IE"/>
        </w:rPr>
        <w:t xml:space="preserve"> </w:t>
      </w:r>
      <w:r w:rsidRPr="00A112B0">
        <w:rPr>
          <w:color w:val="auto"/>
          <w:lang w:val="en-IE"/>
        </w:rPr>
        <w:t>Implementation</w:t>
      </w:r>
      <w:r w:rsidR="00E655AA" w:rsidRPr="00A112B0">
        <w:rPr>
          <w:color w:val="auto"/>
          <w:lang w:val="en-IE"/>
        </w:rPr>
        <w:t xml:space="preserve"> </w:t>
      </w:r>
      <w:r w:rsidRPr="003C0CD7">
        <w:rPr>
          <w:color w:val="auto"/>
          <w:lang w:val="en-IE"/>
        </w:rPr>
        <w:t>Period</w:t>
      </w:r>
      <w:bookmarkEnd w:id="258"/>
      <w:bookmarkEnd w:id="259"/>
      <w:bookmarkEnd w:id="260"/>
      <w:bookmarkEnd w:id="261"/>
      <w:r w:rsidRPr="003C0CD7">
        <w:rPr>
          <w:color w:val="auto"/>
          <w:lang w:val="en-IE"/>
        </w:rPr>
        <w:t xml:space="preserve"> </w:t>
      </w:r>
    </w:p>
    <w:p w14:paraId="4F73F51A" w14:textId="21E9FB97" w:rsidR="00A32BB1" w:rsidRDefault="00A32BB1" w:rsidP="0023277A">
      <w:pPr>
        <w:ind w:left="720"/>
        <w:rPr>
          <w:rFonts w:cs="Times New Roman"/>
          <w:lang w:val="en-IE"/>
        </w:rPr>
      </w:pPr>
      <w:bookmarkStart w:id="262" w:name="_Toc47101967"/>
      <w:bookmarkStart w:id="263" w:name="_Toc51270462"/>
      <w:bookmarkStart w:id="264" w:name="_Ref58357974"/>
      <w:bookmarkStart w:id="265" w:name="_Ref58360386"/>
      <w:bookmarkStart w:id="266" w:name="_Ref58360539"/>
      <w:bookmarkStart w:id="267" w:name="_Ref58440441"/>
      <w:bookmarkStart w:id="268" w:name="_Ref58878099"/>
      <w:bookmarkStart w:id="269" w:name="_Ref58878176"/>
      <w:bookmarkStart w:id="270" w:name="_Ref58878177"/>
      <w:bookmarkStart w:id="271" w:name="_Ref58878225"/>
      <w:bookmarkStart w:id="272" w:name="_Toc59031679"/>
      <w:r w:rsidRPr="003C0CD7">
        <w:rPr>
          <w:rFonts w:cs="Times New Roman"/>
          <w:lang w:val="en-IE"/>
        </w:rPr>
        <w:t xml:space="preserve">The indicative operational implementation period of this </w:t>
      </w:r>
      <w:r w:rsidR="00ED4650">
        <w:rPr>
          <w:rFonts w:cs="Times New Roman"/>
          <w:lang w:val="en-IE"/>
        </w:rPr>
        <w:t>A</w:t>
      </w:r>
      <w:r w:rsidRPr="003C0CD7">
        <w:rPr>
          <w:rFonts w:cs="Times New Roman"/>
          <w:lang w:val="en-IE"/>
        </w:rPr>
        <w:t xml:space="preserve">ction, during which the activities described in section </w:t>
      </w:r>
      <w:r w:rsidR="00C242E3">
        <w:rPr>
          <w:rFonts w:cs="Times New Roman"/>
          <w:lang w:val="en-IE"/>
        </w:rPr>
        <w:t>3</w:t>
      </w:r>
      <w:r w:rsidRPr="003C0CD7">
        <w:rPr>
          <w:rFonts w:cs="Times New Roman"/>
          <w:lang w:val="en-IE"/>
        </w:rPr>
        <w:t xml:space="preserve"> will be carried out and the corresponding contracts and agreements implemented, is </w:t>
      </w:r>
      <w:r w:rsidR="00ED4650">
        <w:rPr>
          <w:rFonts w:cs="Times New Roman"/>
          <w:lang w:val="en-IE"/>
        </w:rPr>
        <w:t>72</w:t>
      </w:r>
      <w:r w:rsidRPr="003C0CD7">
        <w:rPr>
          <w:rFonts w:cs="Times New Roman"/>
          <w:lang w:val="en-IE"/>
        </w:rPr>
        <w:t xml:space="preserve"> months from the date </w:t>
      </w:r>
      <w:r w:rsidRPr="009C1E3C">
        <w:rPr>
          <w:rFonts w:cs="Times New Roman"/>
          <w:lang w:val="en-IE"/>
        </w:rPr>
        <w:t xml:space="preserve">of </w:t>
      </w:r>
      <w:r w:rsidR="00646C98" w:rsidRPr="009C1E3C">
        <w:rPr>
          <w:rFonts w:cs="Times New Roman"/>
          <w:lang w:val="en-IE"/>
        </w:rPr>
        <w:t>conclusion</w:t>
      </w:r>
      <w:r w:rsidRPr="009C1E3C">
        <w:rPr>
          <w:rFonts w:cs="Times New Roman"/>
          <w:lang w:val="en-IE"/>
        </w:rPr>
        <w:t xml:space="preserve"> of the financing agreement</w:t>
      </w:r>
      <w:r w:rsidR="009C1E3C" w:rsidRPr="009C1E3C">
        <w:rPr>
          <w:rFonts w:cs="Times New Roman"/>
          <w:lang w:val="en-IE"/>
        </w:rPr>
        <w:t>.</w:t>
      </w:r>
      <w:r w:rsidRPr="003C0CD7">
        <w:rPr>
          <w:rFonts w:cs="Times New Roman"/>
          <w:lang w:val="en-IE"/>
        </w:rPr>
        <w:t xml:space="preserve"> </w:t>
      </w:r>
    </w:p>
    <w:p w14:paraId="2E8ED09F" w14:textId="77777777" w:rsidR="00A32BB1" w:rsidRPr="003C0CD7" w:rsidRDefault="00A32BB1" w:rsidP="00497F73">
      <w:pPr>
        <w:spacing w:before="120"/>
        <w:ind w:left="720"/>
        <w:rPr>
          <w:rFonts w:cs="Times New Roman"/>
          <w:lang w:val="en-IE"/>
        </w:rPr>
      </w:pPr>
      <w:r w:rsidRPr="003C0CD7">
        <w:rPr>
          <w:rFonts w:cs="Times New Roman"/>
          <w:lang w:val="en-IE"/>
        </w:rPr>
        <w:t>Extensions of the implementation period may be agreed by the Commission’s responsible authorising officer by amending this Financing Decision and the relevant contracts and agreements.</w:t>
      </w:r>
    </w:p>
    <w:p w14:paraId="2D812006" w14:textId="25198276" w:rsidR="008E6AFF" w:rsidRPr="003C0CD7" w:rsidRDefault="00240ECF" w:rsidP="003C0CD7">
      <w:pPr>
        <w:pStyle w:val="Heading1"/>
        <w:numPr>
          <w:ilvl w:val="1"/>
          <w:numId w:val="1"/>
        </w:numPr>
        <w:rPr>
          <w:lang w:val="en-IE"/>
        </w:rPr>
      </w:pPr>
      <w:bookmarkStart w:id="273" w:name="_Toc73090765"/>
      <w:bookmarkEnd w:id="262"/>
      <w:bookmarkEnd w:id="263"/>
      <w:bookmarkEnd w:id="264"/>
      <w:bookmarkEnd w:id="265"/>
      <w:bookmarkEnd w:id="266"/>
      <w:bookmarkEnd w:id="267"/>
      <w:bookmarkEnd w:id="268"/>
      <w:bookmarkEnd w:id="269"/>
      <w:bookmarkEnd w:id="270"/>
      <w:bookmarkEnd w:id="271"/>
      <w:bookmarkEnd w:id="272"/>
      <w:r>
        <w:rPr>
          <w:lang w:val="en-IE"/>
        </w:rPr>
        <w:t>Implementation Modalities</w:t>
      </w:r>
      <w:r w:rsidR="008E6AFF" w:rsidRPr="003C0CD7">
        <w:rPr>
          <w:lang w:val="en-IE"/>
        </w:rPr>
        <w:t xml:space="preserve"> </w:t>
      </w:r>
      <w:bookmarkEnd w:id="273"/>
    </w:p>
    <w:p w14:paraId="28174481" w14:textId="77777777" w:rsidR="00A32BB1" w:rsidRDefault="00A32BB1" w:rsidP="0023277A">
      <w:pPr>
        <w:spacing w:before="120" w:after="120"/>
        <w:ind w:left="720"/>
        <w:rPr>
          <w:rFonts w:cs="Times New Roman"/>
          <w:lang w:val="en-IE"/>
        </w:rPr>
      </w:pPr>
      <w:r w:rsidRPr="003C0CD7">
        <w:rPr>
          <w:rFonts w:cs="Times New Roman"/>
          <w:lang w:val="en-IE"/>
        </w:rPr>
        <w:t>The Commission will ensure that the EU appropriate rules and procedures for providing financing to third parties are respected, including review procedures, where appropriate, and compliance of the action with EU restrictive measures</w:t>
      </w:r>
      <w:r w:rsidRPr="003C0CD7">
        <w:rPr>
          <w:rFonts w:cs="Times New Roman"/>
          <w:vertAlign w:val="superscript"/>
          <w:lang w:val="en-IE"/>
        </w:rPr>
        <w:footnoteReference w:id="29"/>
      </w:r>
      <w:r w:rsidRPr="003C0CD7">
        <w:rPr>
          <w:rFonts w:cs="Times New Roman"/>
          <w:lang w:val="en-IE"/>
        </w:rPr>
        <w:t>.</w:t>
      </w:r>
    </w:p>
    <w:p w14:paraId="1DAC8184" w14:textId="77777777" w:rsidR="008E6AFF" w:rsidRPr="003C0CD7" w:rsidRDefault="008E6AFF" w:rsidP="003C0CD7">
      <w:pPr>
        <w:pStyle w:val="Heading1"/>
        <w:numPr>
          <w:ilvl w:val="2"/>
          <w:numId w:val="1"/>
        </w:numPr>
        <w:rPr>
          <w:lang w:val="en-IE"/>
        </w:rPr>
      </w:pPr>
      <w:bookmarkStart w:id="274" w:name="_Toc47101972"/>
      <w:bookmarkStart w:id="275" w:name="_Toc51270467"/>
      <w:bookmarkStart w:id="276" w:name="_Ref58360228"/>
      <w:bookmarkStart w:id="277" w:name="_Ref58360553"/>
      <w:bookmarkStart w:id="278" w:name="_Ref58360670"/>
      <w:bookmarkStart w:id="279" w:name="_Ref58360706"/>
      <w:bookmarkStart w:id="280" w:name="_Ref58678954"/>
      <w:bookmarkStart w:id="281" w:name="_Ref58875949"/>
      <w:bookmarkStart w:id="282" w:name="_Toc59031684"/>
      <w:bookmarkStart w:id="283" w:name="_Toc73090766"/>
      <w:r w:rsidRPr="003C0CD7">
        <w:rPr>
          <w:lang w:val="en-IE"/>
        </w:rPr>
        <w:t>Direct Management (Grants</w:t>
      </w:r>
      <w:r w:rsidR="00994F13">
        <w:rPr>
          <w:lang w:val="en-IE"/>
        </w:rPr>
        <w:t>)</w:t>
      </w:r>
      <w:bookmarkEnd w:id="274"/>
      <w:bookmarkEnd w:id="275"/>
      <w:bookmarkEnd w:id="276"/>
      <w:bookmarkEnd w:id="277"/>
      <w:bookmarkEnd w:id="278"/>
      <w:bookmarkEnd w:id="279"/>
      <w:bookmarkEnd w:id="280"/>
      <w:bookmarkEnd w:id="281"/>
      <w:bookmarkEnd w:id="282"/>
      <w:bookmarkEnd w:id="283"/>
    </w:p>
    <w:p w14:paraId="27862F70" w14:textId="546854E4" w:rsidR="002D1EF5" w:rsidRPr="00E8555B" w:rsidRDefault="002D1EF5" w:rsidP="00E01FEF">
      <w:pPr>
        <w:pStyle w:val="Heading1"/>
        <w:numPr>
          <w:ilvl w:val="0"/>
          <w:numId w:val="19"/>
        </w:numPr>
        <w:rPr>
          <w:i/>
          <w:iCs/>
          <w:lang w:val="en-IE"/>
        </w:rPr>
      </w:pPr>
      <w:bookmarkStart w:id="284" w:name="_Ref399941359"/>
      <w:r w:rsidRPr="00E8555B">
        <w:rPr>
          <w:i/>
          <w:iCs/>
          <w:lang w:val="en-IE"/>
        </w:rPr>
        <w:t>Grant-Twinning-Call for proposals “Strengthening the cyber security capacities of North Macedonia”</w:t>
      </w:r>
      <w:bookmarkEnd w:id="284"/>
    </w:p>
    <w:p w14:paraId="434BC62F" w14:textId="77777777" w:rsidR="00A32BB1" w:rsidRPr="003C0CD7" w:rsidRDefault="00A32BB1" w:rsidP="0023277A">
      <w:pPr>
        <w:ind w:left="1440"/>
        <w:rPr>
          <w:rFonts w:cs="Times New Roman"/>
          <w:b/>
          <w:lang w:val="en-IE"/>
        </w:rPr>
      </w:pPr>
      <w:r w:rsidRPr="003C0CD7">
        <w:rPr>
          <w:rFonts w:cs="Times New Roman"/>
          <w:b/>
          <w:lang w:val="en-IE"/>
        </w:rPr>
        <w:t>(a) Purpose of the grant(s)</w:t>
      </w:r>
    </w:p>
    <w:p w14:paraId="1E080EF3" w14:textId="0EAE62FC" w:rsidR="00E8555B" w:rsidRPr="002A758D" w:rsidRDefault="00E8555B" w:rsidP="00497F73">
      <w:pPr>
        <w:spacing w:before="120"/>
        <w:ind w:left="1440"/>
        <w:rPr>
          <w:szCs w:val="24"/>
        </w:rPr>
      </w:pPr>
      <w:r w:rsidRPr="00D81BB8">
        <w:rPr>
          <w:rFonts w:cs="Times New Roman"/>
          <w:szCs w:val="24"/>
          <w:lang w:val="en-IE"/>
        </w:rPr>
        <w:t xml:space="preserve">This call for proposals will aim at the implementation of </w:t>
      </w:r>
      <w:r w:rsidR="00420318" w:rsidRPr="00D81BB8">
        <w:rPr>
          <w:rFonts w:cs="Times New Roman"/>
          <w:i/>
          <w:szCs w:val="24"/>
          <w:lang w:val="en-IE"/>
        </w:rPr>
        <w:t xml:space="preserve">Output 1: </w:t>
      </w:r>
      <w:r w:rsidR="00420318" w:rsidRPr="00D81BB8">
        <w:rPr>
          <w:rFonts w:cs="Times New Roman"/>
          <w:i/>
          <w:color w:val="0D0D0D" w:themeColor="text1" w:themeTint="F2"/>
          <w:szCs w:val="24"/>
        </w:rPr>
        <w:t>Introduced operational tools for improving cyber-security and resilience and responding effectively to cyber-attacks, challenges and risks</w:t>
      </w:r>
    </w:p>
    <w:p w14:paraId="074796BF" w14:textId="77777777" w:rsidR="001B258E" w:rsidRPr="00E8555B" w:rsidRDefault="001B258E" w:rsidP="0023277A">
      <w:pPr>
        <w:ind w:left="1440"/>
        <w:rPr>
          <w:rFonts w:cs="Times New Roman"/>
          <w:b/>
        </w:rPr>
      </w:pPr>
    </w:p>
    <w:p w14:paraId="606ECE9D" w14:textId="77777777" w:rsidR="00A32BB1" w:rsidRPr="003C0CD7" w:rsidRDefault="00A32BB1" w:rsidP="0023277A">
      <w:pPr>
        <w:ind w:left="1440"/>
        <w:rPr>
          <w:rFonts w:cs="Times New Roman"/>
          <w:b/>
          <w:lang w:val="en-IE"/>
        </w:rPr>
      </w:pPr>
      <w:r w:rsidRPr="003C0CD7">
        <w:rPr>
          <w:rFonts w:cs="Times New Roman"/>
          <w:b/>
          <w:lang w:val="en-IE"/>
        </w:rPr>
        <w:t>(b) Type of applicants targeted</w:t>
      </w:r>
    </w:p>
    <w:p w14:paraId="326A7ACD" w14:textId="4FFC7348" w:rsidR="00E8555B" w:rsidRDefault="00E8555B" w:rsidP="0023277A">
      <w:pPr>
        <w:autoSpaceDE w:val="0"/>
        <w:autoSpaceDN w:val="0"/>
        <w:adjustRightInd w:val="0"/>
        <w:spacing w:before="120" w:after="120"/>
        <w:ind w:left="1440"/>
        <w:rPr>
          <w:rFonts w:eastAsia="Arial Unicode MS"/>
          <w:szCs w:val="24"/>
          <w:lang w:eastAsia="de-DE"/>
        </w:rPr>
      </w:pPr>
      <w:r w:rsidRPr="00AD76FB">
        <w:rPr>
          <w:color w:val="000000"/>
          <w:szCs w:val="24"/>
          <w:lang w:eastAsia="mk-MK"/>
        </w:rPr>
        <w:t xml:space="preserve">The </w:t>
      </w:r>
      <w:r w:rsidRPr="00AD76FB">
        <w:rPr>
          <w:rFonts w:eastAsia="Arial Unicode MS"/>
          <w:szCs w:val="24"/>
          <w:lang w:eastAsia="de-DE"/>
        </w:rPr>
        <w:t>applicants must be</w:t>
      </w:r>
      <w:r>
        <w:rPr>
          <w:rFonts w:eastAsia="Arial Unicode MS"/>
          <w:szCs w:val="24"/>
          <w:lang w:eastAsia="de-DE"/>
        </w:rPr>
        <w:t xml:space="preserve"> </w:t>
      </w:r>
      <w:r w:rsidRPr="00AD76FB">
        <w:rPr>
          <w:rFonts w:eastAsia="Arial Unicode MS"/>
          <w:szCs w:val="24"/>
          <w:lang w:eastAsia="de-DE"/>
        </w:rPr>
        <w:t>EU Member State administrations or mandated bodies.</w:t>
      </w:r>
      <w:r>
        <w:rPr>
          <w:rFonts w:eastAsia="Arial Unicode MS"/>
          <w:szCs w:val="24"/>
          <w:lang w:eastAsia="de-DE"/>
        </w:rPr>
        <w:t xml:space="preserve"> </w:t>
      </w:r>
      <w:r w:rsidRPr="00AD76FB">
        <w:rPr>
          <w:rFonts w:eastAsia="Arial Unicode MS"/>
          <w:szCs w:val="24"/>
          <w:lang w:eastAsia="de-DE"/>
        </w:rPr>
        <w:t>The essential selection criterion is the operational capacity of the applicant.</w:t>
      </w:r>
      <w:r>
        <w:rPr>
          <w:rFonts w:eastAsia="Arial Unicode MS"/>
          <w:szCs w:val="24"/>
          <w:lang w:eastAsia="de-DE"/>
        </w:rPr>
        <w:t xml:space="preserve"> </w:t>
      </w:r>
      <w:r w:rsidRPr="00AD76FB">
        <w:rPr>
          <w:rFonts w:eastAsia="Arial Unicode MS"/>
          <w:szCs w:val="24"/>
          <w:lang w:eastAsia="de-DE"/>
        </w:rPr>
        <w:t xml:space="preserve">The essential award criteria are </w:t>
      </w:r>
      <w:r>
        <w:rPr>
          <w:rFonts w:eastAsia="Arial Unicode MS"/>
          <w:szCs w:val="24"/>
          <w:lang w:eastAsia="de-DE"/>
        </w:rPr>
        <w:t xml:space="preserve">the </w:t>
      </w:r>
      <w:r w:rsidRPr="00AD76FB">
        <w:rPr>
          <w:rFonts w:eastAsia="Arial Unicode MS"/>
          <w:szCs w:val="24"/>
          <w:lang w:eastAsia="de-DE"/>
        </w:rPr>
        <w:t>technical expertise of the applicant and the relevance, methodology and sustainability of the proposed action.</w:t>
      </w:r>
      <w:r>
        <w:rPr>
          <w:rFonts w:eastAsia="Arial Unicode MS"/>
          <w:szCs w:val="24"/>
          <w:lang w:eastAsia="de-DE"/>
        </w:rPr>
        <w:t xml:space="preserve"> </w:t>
      </w:r>
      <w:r w:rsidRPr="00AD76FB">
        <w:rPr>
          <w:rFonts w:eastAsia="Arial Unicode MS"/>
          <w:szCs w:val="24"/>
          <w:lang w:eastAsia="de-DE"/>
        </w:rPr>
        <w:t xml:space="preserve">The maximum possible rate of EU financing may be up to 100% of the total cost of the action in accordance with Article 192 of </w:t>
      </w:r>
      <w:r>
        <w:rPr>
          <w:rFonts w:eastAsia="Arial Unicode MS"/>
          <w:szCs w:val="24"/>
          <w:lang w:eastAsia="de-DE"/>
        </w:rPr>
        <w:t xml:space="preserve">the </w:t>
      </w:r>
      <w:r w:rsidRPr="00AD76FB">
        <w:rPr>
          <w:rFonts w:eastAsia="Arial Unicode MS"/>
          <w:szCs w:val="24"/>
          <w:lang w:eastAsia="de-DE"/>
        </w:rPr>
        <w:t xml:space="preserve">Financial Regulation if full funding is essential for the action to be carried out. </w:t>
      </w:r>
    </w:p>
    <w:p w14:paraId="4BAC7753" w14:textId="485BCBE0" w:rsidR="00E8555B" w:rsidRDefault="00E8555B" w:rsidP="00A32BB1"/>
    <w:p w14:paraId="66AEA9B4" w14:textId="0B8B113A" w:rsidR="00E8555B" w:rsidRPr="00E8555B" w:rsidRDefault="00E8555B" w:rsidP="00E01FEF">
      <w:pPr>
        <w:pStyle w:val="ListParagraph"/>
        <w:numPr>
          <w:ilvl w:val="0"/>
          <w:numId w:val="19"/>
        </w:numPr>
        <w:rPr>
          <w:b/>
          <w:bCs/>
          <w:i/>
          <w:iCs/>
          <w:lang w:val="en-IE"/>
        </w:rPr>
      </w:pPr>
      <w:r w:rsidRPr="00E8555B">
        <w:rPr>
          <w:rFonts w:cs="Times New Roman"/>
          <w:b/>
          <w:bCs/>
          <w:i/>
          <w:iCs/>
          <w:u w:val="single"/>
          <w:lang w:val="en-IE"/>
        </w:rPr>
        <w:t>Grant-Twinning-Call for proposals “Improving performance of the police and law enforcement agencies”</w:t>
      </w:r>
    </w:p>
    <w:p w14:paraId="55B15D65" w14:textId="77777777" w:rsidR="00E8555B" w:rsidRPr="00D90091" w:rsidRDefault="00E8555B" w:rsidP="00E8555B">
      <w:pPr>
        <w:pStyle w:val="ListParagraph"/>
        <w:rPr>
          <w:lang w:val="en-IE"/>
        </w:rPr>
      </w:pPr>
    </w:p>
    <w:p w14:paraId="1058C0F7" w14:textId="77777777" w:rsidR="00E8555B" w:rsidRPr="00B44FA6" w:rsidRDefault="00E8555B" w:rsidP="0023277A">
      <w:pPr>
        <w:ind w:left="1080"/>
        <w:rPr>
          <w:rFonts w:cs="Times New Roman"/>
          <w:b/>
          <w:lang w:val="en-IE"/>
        </w:rPr>
      </w:pPr>
      <w:r w:rsidRPr="00B44FA6">
        <w:rPr>
          <w:rFonts w:cs="Times New Roman"/>
          <w:b/>
          <w:lang w:val="en-IE"/>
        </w:rPr>
        <w:t>(a) Purpose of the grant</w:t>
      </w:r>
    </w:p>
    <w:p w14:paraId="37EF6BF8" w14:textId="72D69322" w:rsidR="00E8555B" w:rsidRPr="00497F73" w:rsidRDefault="00E8555B" w:rsidP="00497F73">
      <w:pPr>
        <w:spacing w:before="120"/>
        <w:ind w:left="1077"/>
        <w:rPr>
          <w:i/>
          <w:sz w:val="22"/>
        </w:rPr>
      </w:pPr>
      <w:r w:rsidRPr="00D81BB8">
        <w:rPr>
          <w:rFonts w:cs="Times New Roman"/>
          <w:szCs w:val="24"/>
          <w:lang w:val="en-IE"/>
        </w:rPr>
        <w:lastRenderedPageBreak/>
        <w:t xml:space="preserve">This call for proposals will aim at the implementation of </w:t>
      </w:r>
      <w:r w:rsidR="00420318" w:rsidRPr="00D81BB8">
        <w:rPr>
          <w:rFonts w:cs="Times New Roman"/>
          <w:i/>
          <w:szCs w:val="24"/>
          <w:lang w:val="en-IE"/>
        </w:rPr>
        <w:t xml:space="preserve">Output 2. </w:t>
      </w:r>
      <w:r w:rsidR="00420318" w:rsidRPr="00D81BB8">
        <w:rPr>
          <w:rFonts w:cs="Times New Roman"/>
          <w:i/>
          <w:color w:val="0D0D0D" w:themeColor="text1" w:themeTint="F2"/>
          <w:szCs w:val="24"/>
        </w:rPr>
        <w:t>Strengthened capabilities of the police and law enforcement agencies to combat and prevent crime, terrorism and radicalisation and manage security-related incidents, risks and crises</w:t>
      </w:r>
      <w:r w:rsidRPr="00D81BB8">
        <w:rPr>
          <w:i/>
          <w:szCs w:val="24"/>
        </w:rPr>
        <w:t>.</w:t>
      </w:r>
    </w:p>
    <w:p w14:paraId="770DD152" w14:textId="77777777" w:rsidR="00E8555B" w:rsidRPr="00497F73" w:rsidRDefault="00E8555B" w:rsidP="0023277A">
      <w:pPr>
        <w:ind w:left="1080"/>
        <w:rPr>
          <w:sz w:val="22"/>
        </w:rPr>
      </w:pPr>
    </w:p>
    <w:p w14:paraId="68243AE3" w14:textId="77777777" w:rsidR="00E8555B" w:rsidRDefault="00E8555B" w:rsidP="0023277A">
      <w:pPr>
        <w:ind w:left="1080"/>
        <w:rPr>
          <w:rFonts w:cs="Times New Roman"/>
          <w:b/>
          <w:lang w:val="en-IE"/>
        </w:rPr>
      </w:pPr>
      <w:r w:rsidRPr="003C0CD7">
        <w:rPr>
          <w:rFonts w:cs="Times New Roman"/>
          <w:b/>
          <w:lang w:val="en-IE"/>
        </w:rPr>
        <w:t>(b) Type of applicants targeted</w:t>
      </w:r>
    </w:p>
    <w:p w14:paraId="50F3F94B" w14:textId="09429C6E" w:rsidR="00E8555B" w:rsidRDefault="00E8555B" w:rsidP="00497F73">
      <w:pPr>
        <w:autoSpaceDE w:val="0"/>
        <w:autoSpaceDN w:val="0"/>
        <w:adjustRightInd w:val="0"/>
        <w:spacing w:before="120"/>
        <w:ind w:left="1077"/>
        <w:rPr>
          <w:rFonts w:eastAsia="Arial Unicode MS"/>
          <w:szCs w:val="24"/>
          <w:lang w:eastAsia="de-DE"/>
        </w:rPr>
      </w:pPr>
      <w:r w:rsidRPr="00AD76FB">
        <w:rPr>
          <w:color w:val="000000"/>
          <w:szCs w:val="24"/>
          <w:lang w:eastAsia="mk-MK"/>
        </w:rPr>
        <w:t xml:space="preserve">The </w:t>
      </w:r>
      <w:r w:rsidRPr="00AD76FB">
        <w:rPr>
          <w:rFonts w:eastAsia="Arial Unicode MS"/>
          <w:szCs w:val="24"/>
          <w:lang w:eastAsia="de-DE"/>
        </w:rPr>
        <w:t>applicants must be</w:t>
      </w:r>
      <w:r>
        <w:rPr>
          <w:rFonts w:eastAsia="Arial Unicode MS"/>
          <w:szCs w:val="24"/>
          <w:lang w:eastAsia="de-DE"/>
        </w:rPr>
        <w:t xml:space="preserve"> </w:t>
      </w:r>
      <w:r w:rsidRPr="00AD76FB">
        <w:rPr>
          <w:rFonts w:eastAsia="Arial Unicode MS"/>
          <w:szCs w:val="24"/>
          <w:lang w:eastAsia="de-DE"/>
        </w:rPr>
        <w:t>EU Member State administrations or mandated bodies.</w:t>
      </w:r>
      <w:r>
        <w:rPr>
          <w:rFonts w:eastAsia="Arial Unicode MS"/>
          <w:szCs w:val="24"/>
          <w:lang w:eastAsia="de-DE"/>
        </w:rPr>
        <w:t xml:space="preserve"> </w:t>
      </w:r>
      <w:r w:rsidRPr="00AD76FB">
        <w:rPr>
          <w:rFonts w:eastAsia="Arial Unicode MS"/>
          <w:szCs w:val="24"/>
          <w:lang w:eastAsia="de-DE"/>
        </w:rPr>
        <w:t>The essential selection criterion is the operational capacity of the applicant.</w:t>
      </w:r>
      <w:r>
        <w:rPr>
          <w:rFonts w:eastAsia="Arial Unicode MS"/>
          <w:szCs w:val="24"/>
          <w:lang w:eastAsia="de-DE"/>
        </w:rPr>
        <w:t xml:space="preserve"> </w:t>
      </w:r>
      <w:r w:rsidRPr="00AD76FB">
        <w:rPr>
          <w:rFonts w:eastAsia="Arial Unicode MS"/>
          <w:szCs w:val="24"/>
          <w:lang w:eastAsia="de-DE"/>
        </w:rPr>
        <w:t xml:space="preserve">The essential award criteria are </w:t>
      </w:r>
      <w:r>
        <w:rPr>
          <w:rFonts w:eastAsia="Arial Unicode MS"/>
          <w:szCs w:val="24"/>
          <w:lang w:eastAsia="de-DE"/>
        </w:rPr>
        <w:t xml:space="preserve">the </w:t>
      </w:r>
      <w:r w:rsidRPr="00AD76FB">
        <w:rPr>
          <w:rFonts w:eastAsia="Arial Unicode MS"/>
          <w:szCs w:val="24"/>
          <w:lang w:eastAsia="de-DE"/>
        </w:rPr>
        <w:t>technical expertise of the applicant and the relevance, methodology and sustainability of the proposed action.</w:t>
      </w:r>
      <w:r>
        <w:rPr>
          <w:rFonts w:eastAsia="Arial Unicode MS"/>
          <w:szCs w:val="24"/>
          <w:lang w:eastAsia="de-DE"/>
        </w:rPr>
        <w:t xml:space="preserve"> </w:t>
      </w:r>
      <w:r w:rsidRPr="00AD76FB">
        <w:rPr>
          <w:rFonts w:eastAsia="Arial Unicode MS"/>
          <w:szCs w:val="24"/>
          <w:lang w:eastAsia="de-DE"/>
        </w:rPr>
        <w:t xml:space="preserve">The maximum possible rate of EU financing may be up to 100% of the total cost of the action in accordance with Article 192 of </w:t>
      </w:r>
      <w:r>
        <w:rPr>
          <w:rFonts w:eastAsia="Arial Unicode MS"/>
          <w:szCs w:val="24"/>
          <w:lang w:eastAsia="de-DE"/>
        </w:rPr>
        <w:t xml:space="preserve">the </w:t>
      </w:r>
      <w:r w:rsidRPr="00AD76FB">
        <w:rPr>
          <w:rFonts w:eastAsia="Arial Unicode MS"/>
          <w:szCs w:val="24"/>
          <w:lang w:eastAsia="de-DE"/>
        </w:rPr>
        <w:t xml:space="preserve">Financial Regulation if full funding is essential for the action to be carried out. </w:t>
      </w:r>
    </w:p>
    <w:p w14:paraId="587C4700" w14:textId="77777777" w:rsidR="008E6AFF" w:rsidRPr="003C0CD7" w:rsidRDefault="008E6AFF" w:rsidP="002E40C7">
      <w:pPr>
        <w:pStyle w:val="Heading1"/>
        <w:numPr>
          <w:ilvl w:val="2"/>
          <w:numId w:val="1"/>
        </w:numPr>
        <w:spacing w:before="360"/>
        <w:ind w:left="1225" w:hanging="505"/>
        <w:rPr>
          <w:lang w:val="en-IE"/>
        </w:rPr>
      </w:pPr>
      <w:bookmarkStart w:id="285" w:name="_Toc47101974"/>
      <w:bookmarkStart w:id="286" w:name="_Toc51270469"/>
      <w:bookmarkStart w:id="287" w:name="_Ref58360241"/>
      <w:bookmarkStart w:id="288" w:name="_Ref58360566"/>
      <w:bookmarkStart w:id="289" w:name="_Ref58360631"/>
      <w:bookmarkStart w:id="290" w:name="_Ref58360683"/>
      <w:bookmarkStart w:id="291" w:name="_Ref58678977"/>
      <w:bookmarkStart w:id="292" w:name="_Toc59031686"/>
      <w:bookmarkStart w:id="293" w:name="_Toc73090768"/>
      <w:r w:rsidRPr="003C0CD7">
        <w:rPr>
          <w:lang w:val="en-IE"/>
        </w:rPr>
        <w:t>Direct Management (Procurement)</w:t>
      </w:r>
      <w:bookmarkEnd w:id="285"/>
      <w:bookmarkEnd w:id="286"/>
      <w:bookmarkEnd w:id="287"/>
      <w:bookmarkEnd w:id="288"/>
      <w:bookmarkEnd w:id="289"/>
      <w:bookmarkEnd w:id="290"/>
      <w:bookmarkEnd w:id="291"/>
      <w:bookmarkEnd w:id="292"/>
      <w:bookmarkEnd w:id="293"/>
    </w:p>
    <w:p w14:paraId="00F4A856" w14:textId="6EC0EED3" w:rsidR="008E6AFF" w:rsidRPr="003C0CD7" w:rsidRDefault="001B5A74" w:rsidP="0023277A">
      <w:pPr>
        <w:ind w:left="720"/>
        <w:rPr>
          <w:rFonts w:cs="Times New Roman"/>
          <w:lang w:val="en-IE"/>
        </w:rPr>
      </w:pPr>
      <w:r w:rsidRPr="00D81BB8">
        <w:rPr>
          <w:rFonts w:cs="Calibri"/>
          <w:lang w:val="en-IE"/>
        </w:rPr>
        <w:t>Procurement will be used for achieving the activity related to the ICT hardware and software</w:t>
      </w:r>
      <w:r w:rsidR="002A758D" w:rsidRPr="00D81BB8">
        <w:rPr>
          <w:rFonts w:cs="Calibri"/>
          <w:lang w:val="en-IE"/>
        </w:rPr>
        <w:t xml:space="preserve"> for the implementation of outcome 1</w:t>
      </w:r>
      <w:r w:rsidRPr="00D81BB8">
        <w:rPr>
          <w:i/>
          <w:iCs/>
          <w:szCs w:val="24"/>
        </w:rPr>
        <w:t>.</w:t>
      </w:r>
    </w:p>
    <w:p w14:paraId="4B43CBD8" w14:textId="77777777" w:rsidR="008E6AFF" w:rsidRPr="003C0CD7" w:rsidRDefault="008E6AFF" w:rsidP="003C0CD7">
      <w:pPr>
        <w:pStyle w:val="Heading1"/>
        <w:numPr>
          <w:ilvl w:val="1"/>
          <w:numId w:val="1"/>
        </w:numPr>
        <w:rPr>
          <w:lang w:val="en-IE"/>
        </w:rPr>
      </w:pPr>
      <w:bookmarkStart w:id="294" w:name="_Toc47101979"/>
      <w:bookmarkStart w:id="295" w:name="_Toc51270474"/>
      <w:bookmarkStart w:id="296" w:name="_Ref58440353"/>
      <w:bookmarkStart w:id="297" w:name="_Toc73090774"/>
      <w:r w:rsidRPr="003C0CD7">
        <w:rPr>
          <w:lang w:val="en-IE"/>
        </w:rPr>
        <w:t>Scope of geographical eligibility for procurement and grants</w:t>
      </w:r>
      <w:bookmarkEnd w:id="294"/>
      <w:bookmarkEnd w:id="295"/>
      <w:bookmarkEnd w:id="296"/>
      <w:bookmarkEnd w:id="297"/>
    </w:p>
    <w:p w14:paraId="02EFF3A4" w14:textId="77777777" w:rsidR="00E360A2" w:rsidRPr="003C0CD7" w:rsidRDefault="00E360A2" w:rsidP="0023277A">
      <w:pPr>
        <w:pStyle w:val="Text2"/>
        <w:ind w:left="720"/>
        <w:rPr>
          <w:lang w:val="en-IE"/>
        </w:rPr>
      </w:pPr>
      <w:r w:rsidRPr="003C0CD7">
        <w:rPr>
          <w:lang w:val="en-IE"/>
        </w:rPr>
        <w:t>The geographical eligibility in terms of place of establishment for participating in procurement and grant award procedures and in terms of origin of supplies purchased as established in the basic act and set out in the relevant contractual documents shall apply, subject to the following provisions.</w:t>
      </w:r>
    </w:p>
    <w:p w14:paraId="4A6289B5" w14:textId="61B0FF90" w:rsidR="00622FAE" w:rsidRDefault="00622FAE" w:rsidP="0023277A">
      <w:pPr>
        <w:pStyle w:val="Text2"/>
        <w:ind w:left="720"/>
        <w:rPr>
          <w:szCs w:val="22"/>
          <w:lang w:val="en-IE" w:eastAsia="en-GB"/>
        </w:rPr>
      </w:pPr>
      <w:r w:rsidRPr="003C0CD7">
        <w:rPr>
          <w:szCs w:val="22"/>
          <w:lang w:val="en-IE"/>
        </w:rPr>
        <w:t xml:space="preserve">The Commission’s authorising officer responsible may extend the geographical eligibility </w:t>
      </w:r>
      <w:r w:rsidRPr="003C0CD7">
        <w:rPr>
          <w:szCs w:val="22"/>
          <w:lang w:val="en-IE" w:eastAsia="en-GB"/>
        </w:rPr>
        <w:t>on the basis of urgency or of unavailability of services in the markets of the countries or territories concerned, or in other duly substantiated cases where application of the eligibility rules would make the realisation of this action impossible or exceedingly difficult (Article 28(10) NDICI-Global Europe</w:t>
      </w:r>
      <w:r w:rsidRPr="003C0CD7">
        <w:rPr>
          <w:szCs w:val="22"/>
          <w:lang w:val="en-IE"/>
        </w:rPr>
        <w:t xml:space="preserve"> Regulation</w:t>
      </w:r>
      <w:r w:rsidRPr="003C0CD7">
        <w:rPr>
          <w:szCs w:val="22"/>
          <w:lang w:val="en-IE" w:eastAsia="en-GB"/>
        </w:rPr>
        <w:t>).</w:t>
      </w:r>
    </w:p>
    <w:p w14:paraId="4AC73E69" w14:textId="77777777" w:rsidR="008E6AFF" w:rsidRPr="003C0CD7" w:rsidRDefault="008E6AFF" w:rsidP="003C0CD7">
      <w:pPr>
        <w:pStyle w:val="Heading1"/>
        <w:numPr>
          <w:ilvl w:val="1"/>
          <w:numId w:val="1"/>
        </w:numPr>
        <w:rPr>
          <w:lang w:val="en-IE"/>
        </w:rPr>
      </w:pPr>
      <w:bookmarkStart w:id="298" w:name="_Toc47101980"/>
      <w:bookmarkStart w:id="299" w:name="_Toc51270475"/>
      <w:bookmarkStart w:id="300" w:name="_Ref58357938"/>
      <w:bookmarkStart w:id="301" w:name="_Ref58358953"/>
      <w:bookmarkStart w:id="302" w:name="_Ref58359519"/>
      <w:bookmarkStart w:id="303" w:name="_Ref58360787"/>
      <w:bookmarkStart w:id="304" w:name="_Ref58360817"/>
      <w:bookmarkStart w:id="305" w:name="_Toc59031692"/>
      <w:bookmarkStart w:id="306" w:name="_Toc73090775"/>
      <w:r w:rsidRPr="003C0CD7">
        <w:rPr>
          <w:lang w:val="en-IE"/>
        </w:rPr>
        <w:t>Indicative Budget</w:t>
      </w:r>
      <w:bookmarkEnd w:id="298"/>
      <w:bookmarkEnd w:id="299"/>
      <w:bookmarkEnd w:id="300"/>
      <w:bookmarkEnd w:id="301"/>
      <w:bookmarkEnd w:id="302"/>
      <w:bookmarkEnd w:id="303"/>
      <w:bookmarkEnd w:id="304"/>
      <w:bookmarkEnd w:id="305"/>
      <w:bookmarkEnd w:id="306"/>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268"/>
        <w:gridCol w:w="2126"/>
      </w:tblGrid>
      <w:tr w:rsidR="00C25EBB" w:rsidRPr="006104D5" w14:paraId="0579AEF9" w14:textId="77777777" w:rsidTr="0023277A">
        <w:tc>
          <w:tcPr>
            <w:tcW w:w="5245" w:type="dxa"/>
            <w:shd w:val="clear" w:color="auto" w:fill="auto"/>
          </w:tcPr>
          <w:p w14:paraId="0015D57F" w14:textId="77777777" w:rsidR="00C25EBB" w:rsidRPr="00D81BB8" w:rsidRDefault="00C25EBB" w:rsidP="005364BC">
            <w:pPr>
              <w:pStyle w:val="Text2"/>
              <w:spacing w:before="60" w:after="60"/>
              <w:ind w:left="0"/>
              <w:jc w:val="center"/>
              <w:rPr>
                <w:b/>
                <w:bCs/>
                <w:lang w:val="en-IE"/>
              </w:rPr>
            </w:pPr>
            <w:r w:rsidRPr="00D81BB8">
              <w:rPr>
                <w:b/>
                <w:bCs/>
                <w:lang w:val="en-IE"/>
              </w:rPr>
              <w:t>Indicative Budget components</w:t>
            </w:r>
          </w:p>
        </w:tc>
        <w:tc>
          <w:tcPr>
            <w:tcW w:w="2268" w:type="dxa"/>
            <w:shd w:val="clear" w:color="auto" w:fill="auto"/>
          </w:tcPr>
          <w:p w14:paraId="60AC2620" w14:textId="77777777" w:rsidR="00C25EBB" w:rsidRPr="00D81BB8" w:rsidRDefault="00C25EBB" w:rsidP="005364BC">
            <w:pPr>
              <w:pStyle w:val="Text2"/>
              <w:spacing w:before="60" w:after="60"/>
              <w:ind w:left="0"/>
              <w:jc w:val="center"/>
              <w:rPr>
                <w:b/>
                <w:lang w:val="en-IE"/>
              </w:rPr>
            </w:pPr>
            <w:r w:rsidRPr="00D81BB8">
              <w:rPr>
                <w:b/>
                <w:lang w:val="en-IE"/>
              </w:rPr>
              <w:t>EU contribution</w:t>
            </w:r>
          </w:p>
          <w:p w14:paraId="473F9449" w14:textId="77777777" w:rsidR="00C25EBB" w:rsidRPr="00D81BB8" w:rsidRDefault="00C25EBB" w:rsidP="005364BC">
            <w:pPr>
              <w:pStyle w:val="Text2"/>
              <w:spacing w:before="60" w:after="60"/>
              <w:ind w:left="0"/>
              <w:jc w:val="center"/>
              <w:rPr>
                <w:b/>
                <w:lang w:val="en-IE"/>
              </w:rPr>
            </w:pPr>
            <w:r w:rsidRPr="00D81BB8">
              <w:rPr>
                <w:b/>
                <w:lang w:val="en-IE"/>
              </w:rPr>
              <w:t>(amount in EUR)</w:t>
            </w:r>
          </w:p>
          <w:p w14:paraId="6D2882E4" w14:textId="77777777" w:rsidR="00C25EBB" w:rsidRPr="00D81BB8" w:rsidRDefault="00C25EBB" w:rsidP="005364BC">
            <w:pPr>
              <w:pStyle w:val="Text2"/>
              <w:spacing w:before="60" w:after="60"/>
              <w:ind w:left="0"/>
              <w:jc w:val="center"/>
              <w:rPr>
                <w:b/>
                <w:lang w:val="en-IE"/>
              </w:rPr>
            </w:pPr>
          </w:p>
          <w:p w14:paraId="546AD43E" w14:textId="61B9CBCB" w:rsidR="00C25EBB" w:rsidRPr="00D81BB8" w:rsidRDefault="00C25EBB" w:rsidP="005364BC">
            <w:pPr>
              <w:pStyle w:val="Text2"/>
              <w:spacing w:before="60" w:after="60"/>
              <w:ind w:left="0"/>
              <w:jc w:val="center"/>
              <w:rPr>
                <w:b/>
                <w:lang w:val="en-IE"/>
              </w:rPr>
            </w:pPr>
            <w:r w:rsidRPr="00D81BB8">
              <w:rPr>
                <w:b/>
                <w:lang w:val="en-IE"/>
              </w:rPr>
              <w:t xml:space="preserve"> </w:t>
            </w:r>
          </w:p>
        </w:tc>
        <w:tc>
          <w:tcPr>
            <w:tcW w:w="2126" w:type="dxa"/>
          </w:tcPr>
          <w:p w14:paraId="1129A3B2" w14:textId="7A96F8C1" w:rsidR="00C25EBB" w:rsidRPr="00D81BB8" w:rsidRDefault="00C25EBB" w:rsidP="00497F73">
            <w:pPr>
              <w:pStyle w:val="Text2"/>
              <w:spacing w:before="60" w:after="60"/>
              <w:ind w:left="0"/>
              <w:jc w:val="center"/>
              <w:rPr>
                <w:lang w:val="en-IE"/>
              </w:rPr>
            </w:pPr>
            <w:r w:rsidRPr="00D81BB8">
              <w:rPr>
                <w:b/>
                <w:bCs/>
                <w:lang w:val="en-IE"/>
              </w:rPr>
              <w:t>Indicative third-party contribution, in currency identified</w:t>
            </w:r>
          </w:p>
        </w:tc>
      </w:tr>
      <w:tr w:rsidR="00C25EBB" w:rsidRPr="006104D5" w14:paraId="01159A86" w14:textId="77777777" w:rsidTr="0023277A">
        <w:tc>
          <w:tcPr>
            <w:tcW w:w="5245" w:type="dxa"/>
            <w:shd w:val="clear" w:color="auto" w:fill="auto"/>
          </w:tcPr>
          <w:p w14:paraId="21F2A5C7" w14:textId="08A6F4DE" w:rsidR="00C25EBB" w:rsidRPr="00D81BB8" w:rsidRDefault="006602B2" w:rsidP="00497F73">
            <w:pPr>
              <w:rPr>
                <w:lang w:val="en-IE"/>
              </w:rPr>
            </w:pPr>
            <w:r w:rsidRPr="00D81BB8">
              <w:rPr>
                <w:b/>
                <w:szCs w:val="24"/>
                <w:lang w:val="en-IE"/>
              </w:rPr>
              <w:t>Output 1.</w:t>
            </w:r>
            <w:r w:rsidR="00C25EBB" w:rsidRPr="00D81BB8">
              <w:rPr>
                <w:b/>
                <w:szCs w:val="24"/>
                <w:lang w:val="en-IE"/>
              </w:rPr>
              <w:t>1</w:t>
            </w:r>
            <w:r w:rsidR="001B5A74" w:rsidRPr="00D81BB8">
              <w:rPr>
                <w:b/>
                <w:szCs w:val="24"/>
                <w:lang w:val="en-IE"/>
              </w:rPr>
              <w:t xml:space="preserve">: </w:t>
            </w:r>
            <w:r w:rsidR="00C25EBB" w:rsidRPr="00D81BB8">
              <w:rPr>
                <w:szCs w:val="24"/>
                <w:lang w:val="en-IE"/>
              </w:rPr>
              <w:t xml:space="preserve"> </w:t>
            </w:r>
            <w:r w:rsidR="009960D7" w:rsidRPr="00D81BB8">
              <w:rPr>
                <w:rFonts w:cs="Times New Roman"/>
                <w:iCs/>
                <w:color w:val="0D0D0D" w:themeColor="text1" w:themeTint="F2"/>
                <w:szCs w:val="24"/>
                <w:lang w:val="en-IE"/>
              </w:rPr>
              <w:t xml:space="preserve">Strengthened state response to security threats and risks, posed by cyber-crime, organised crime, terrorism, </w:t>
            </w:r>
            <w:r w:rsidR="009960D7" w:rsidRPr="00D81BB8">
              <w:rPr>
                <w:szCs w:val="24"/>
              </w:rPr>
              <w:t>radicalisation and violent extremism.</w:t>
            </w:r>
            <w:r w:rsidR="009960D7" w:rsidRPr="00D81BB8">
              <w:rPr>
                <w:i/>
                <w:szCs w:val="24"/>
              </w:rPr>
              <w:t xml:space="preserve"> </w:t>
            </w:r>
          </w:p>
        </w:tc>
        <w:tc>
          <w:tcPr>
            <w:tcW w:w="2268" w:type="dxa"/>
            <w:shd w:val="clear" w:color="auto" w:fill="auto"/>
          </w:tcPr>
          <w:p w14:paraId="74CE806E" w14:textId="080C9EAD" w:rsidR="00C25EBB" w:rsidRPr="00D81BB8" w:rsidRDefault="006602B2" w:rsidP="005A7732">
            <w:pPr>
              <w:pStyle w:val="Text2"/>
              <w:spacing w:before="60" w:after="60"/>
              <w:ind w:left="0"/>
              <w:jc w:val="center"/>
              <w:rPr>
                <w:b/>
                <w:bCs/>
                <w:lang w:val="en-IE"/>
              </w:rPr>
            </w:pPr>
            <w:r w:rsidRPr="00D81BB8">
              <w:rPr>
                <w:b/>
                <w:bCs/>
                <w:lang w:val="en-IE"/>
              </w:rPr>
              <w:t xml:space="preserve">3 </w:t>
            </w:r>
            <w:r w:rsidR="00D82FAA" w:rsidRPr="00D81BB8">
              <w:rPr>
                <w:b/>
                <w:bCs/>
                <w:lang w:val="en-IE"/>
              </w:rPr>
              <w:t>000 000</w:t>
            </w:r>
          </w:p>
        </w:tc>
        <w:tc>
          <w:tcPr>
            <w:tcW w:w="2126" w:type="dxa"/>
          </w:tcPr>
          <w:p w14:paraId="3122048E" w14:textId="189A0FD7" w:rsidR="00C25EBB" w:rsidRPr="00D81BB8" w:rsidRDefault="00D82FAA" w:rsidP="005A7732">
            <w:pPr>
              <w:pStyle w:val="Text2"/>
              <w:spacing w:before="60" w:after="60"/>
              <w:ind w:left="0"/>
              <w:jc w:val="center"/>
              <w:rPr>
                <w:b/>
                <w:bCs/>
                <w:lang w:val="en-IE"/>
              </w:rPr>
            </w:pPr>
            <w:r w:rsidRPr="00D81BB8">
              <w:rPr>
                <w:b/>
                <w:bCs/>
                <w:lang w:val="en-IE"/>
              </w:rPr>
              <w:t>200 000</w:t>
            </w:r>
          </w:p>
        </w:tc>
      </w:tr>
      <w:tr w:rsidR="00D82FAA" w:rsidRPr="006104D5" w14:paraId="12A498EE" w14:textId="77777777" w:rsidTr="0023277A">
        <w:tc>
          <w:tcPr>
            <w:tcW w:w="5245" w:type="dxa"/>
            <w:shd w:val="clear" w:color="auto" w:fill="auto"/>
          </w:tcPr>
          <w:p w14:paraId="071F7907" w14:textId="210363B2" w:rsidR="00D82FAA" w:rsidRPr="00D81BB8" w:rsidRDefault="00D82FAA" w:rsidP="005364BC">
            <w:pPr>
              <w:pStyle w:val="Text2"/>
              <w:spacing w:before="60" w:after="60"/>
              <w:ind w:left="0"/>
              <w:rPr>
                <w:lang w:val="en-IE"/>
              </w:rPr>
            </w:pPr>
            <w:r w:rsidRPr="00D81BB8">
              <w:rPr>
                <w:lang w:val="en-IE"/>
              </w:rPr>
              <w:t>Grants (direct management) – cf. section 4.3.1</w:t>
            </w:r>
          </w:p>
        </w:tc>
        <w:tc>
          <w:tcPr>
            <w:tcW w:w="2268" w:type="dxa"/>
            <w:shd w:val="clear" w:color="auto" w:fill="auto"/>
          </w:tcPr>
          <w:p w14:paraId="37883AED" w14:textId="673004E6" w:rsidR="00D82FAA" w:rsidRPr="00D81BB8" w:rsidRDefault="006602B2" w:rsidP="005A7732">
            <w:pPr>
              <w:pStyle w:val="Text2"/>
              <w:spacing w:before="60" w:after="60"/>
              <w:ind w:left="0"/>
              <w:jc w:val="center"/>
              <w:rPr>
                <w:lang w:val="en-IE"/>
              </w:rPr>
            </w:pPr>
            <w:r w:rsidRPr="00D81BB8">
              <w:rPr>
                <w:lang w:val="en-IE"/>
              </w:rPr>
              <w:t xml:space="preserve">2 </w:t>
            </w:r>
            <w:r w:rsidR="00D82FAA" w:rsidRPr="00D81BB8">
              <w:rPr>
                <w:lang w:val="en-IE"/>
              </w:rPr>
              <w:t>000 000</w:t>
            </w:r>
          </w:p>
        </w:tc>
        <w:tc>
          <w:tcPr>
            <w:tcW w:w="2126" w:type="dxa"/>
            <w:shd w:val="clear" w:color="auto" w:fill="auto"/>
          </w:tcPr>
          <w:p w14:paraId="5D72A804" w14:textId="1DF0BCD0" w:rsidR="00D82FAA" w:rsidRPr="00D81BB8" w:rsidRDefault="00D82FAA" w:rsidP="005A7732">
            <w:pPr>
              <w:pStyle w:val="Text2"/>
              <w:spacing w:before="60" w:after="60"/>
              <w:ind w:left="0"/>
              <w:jc w:val="center"/>
              <w:rPr>
                <w:lang w:val="en-IE"/>
              </w:rPr>
            </w:pPr>
          </w:p>
        </w:tc>
      </w:tr>
      <w:tr w:rsidR="00D82FAA" w:rsidRPr="006104D5" w14:paraId="1C3B0678" w14:textId="77777777" w:rsidTr="0023277A">
        <w:trPr>
          <w:trHeight w:val="495"/>
        </w:trPr>
        <w:tc>
          <w:tcPr>
            <w:tcW w:w="5245" w:type="dxa"/>
            <w:shd w:val="clear" w:color="auto" w:fill="auto"/>
          </w:tcPr>
          <w:p w14:paraId="4F8B9ACE" w14:textId="0EEF7E92" w:rsidR="00D82FAA" w:rsidRPr="00D81BB8" w:rsidRDefault="00D82FAA" w:rsidP="005364BC">
            <w:pPr>
              <w:pStyle w:val="Text2"/>
              <w:spacing w:before="60" w:after="60"/>
              <w:ind w:left="0"/>
              <w:rPr>
                <w:lang w:val="fr-BE"/>
              </w:rPr>
            </w:pPr>
            <w:r w:rsidRPr="00D81BB8">
              <w:t>Procurement (direct management)</w:t>
            </w:r>
            <w:r w:rsidRPr="00D81BB8">
              <w:rPr>
                <w:lang w:eastAsia="en-GB"/>
              </w:rPr>
              <w:t xml:space="preserve"> </w:t>
            </w:r>
            <w:r w:rsidRPr="00D81BB8">
              <w:t xml:space="preserve">– cf. section </w:t>
            </w:r>
            <w:r w:rsidRPr="00D81BB8">
              <w:rPr>
                <w:lang w:val="en-IE"/>
              </w:rPr>
              <w:fldChar w:fldCharType="begin"/>
            </w:r>
            <w:r w:rsidRPr="00D81BB8">
              <w:instrText xml:space="preserve"> </w:instrText>
            </w:r>
            <w:r w:rsidRPr="00D81BB8">
              <w:rPr>
                <w:lang w:val="fr-BE"/>
              </w:rPr>
              <w:instrText xml:space="preserve">REF _Ref58360566 \r \h  \* MERGEFORMAT </w:instrText>
            </w:r>
            <w:r w:rsidRPr="00D81BB8">
              <w:rPr>
                <w:lang w:val="en-IE"/>
              </w:rPr>
            </w:r>
            <w:r w:rsidRPr="00D81BB8">
              <w:rPr>
                <w:lang w:val="en-IE"/>
              </w:rPr>
              <w:fldChar w:fldCharType="separate"/>
            </w:r>
            <w:r w:rsidR="005556EE" w:rsidRPr="00D81BB8">
              <w:rPr>
                <w:lang w:val="fr-BE"/>
              </w:rPr>
              <w:t>4.3.2</w:t>
            </w:r>
            <w:r w:rsidRPr="00D81BB8">
              <w:rPr>
                <w:lang w:val="en-IE"/>
              </w:rPr>
              <w:fldChar w:fldCharType="end"/>
            </w:r>
          </w:p>
        </w:tc>
        <w:tc>
          <w:tcPr>
            <w:tcW w:w="2268" w:type="dxa"/>
            <w:shd w:val="clear" w:color="auto" w:fill="auto"/>
          </w:tcPr>
          <w:p w14:paraId="0C192AF0" w14:textId="63A19B4C" w:rsidR="00D82FAA" w:rsidRPr="00D81BB8" w:rsidRDefault="00D82FAA" w:rsidP="00D82FAA">
            <w:pPr>
              <w:pStyle w:val="Text2"/>
              <w:spacing w:before="60" w:after="60"/>
              <w:ind w:left="0"/>
              <w:jc w:val="center"/>
              <w:rPr>
                <w:lang w:val="en-IE"/>
              </w:rPr>
            </w:pPr>
            <w:r w:rsidRPr="00D81BB8">
              <w:rPr>
                <w:lang w:val="en-IE"/>
              </w:rPr>
              <w:t>1 000 000</w:t>
            </w:r>
          </w:p>
        </w:tc>
        <w:tc>
          <w:tcPr>
            <w:tcW w:w="2126" w:type="dxa"/>
            <w:shd w:val="clear" w:color="auto" w:fill="auto"/>
          </w:tcPr>
          <w:p w14:paraId="66105934" w14:textId="6650A024" w:rsidR="00D82FAA" w:rsidRPr="00D81BB8" w:rsidRDefault="00EE74D8" w:rsidP="00497F73">
            <w:pPr>
              <w:pStyle w:val="Text2"/>
              <w:spacing w:before="60" w:after="60"/>
              <w:ind w:left="0"/>
              <w:jc w:val="center"/>
              <w:rPr>
                <w:lang w:val="en-IE"/>
              </w:rPr>
            </w:pPr>
            <w:r w:rsidRPr="00D81BB8">
              <w:rPr>
                <w:lang w:val="en-IE"/>
              </w:rPr>
              <w:t>200 000</w:t>
            </w:r>
          </w:p>
        </w:tc>
      </w:tr>
      <w:tr w:rsidR="00EE74D8" w:rsidRPr="006104D5" w14:paraId="371DE449" w14:textId="77777777" w:rsidTr="0023277A">
        <w:tc>
          <w:tcPr>
            <w:tcW w:w="5245" w:type="dxa"/>
            <w:shd w:val="clear" w:color="auto" w:fill="auto"/>
          </w:tcPr>
          <w:p w14:paraId="0449344F" w14:textId="77777777" w:rsidR="00EE74D8" w:rsidRPr="00D81BB8" w:rsidRDefault="00EE74D8" w:rsidP="00A15807">
            <w:pPr>
              <w:pStyle w:val="Text2"/>
              <w:spacing w:before="60" w:after="60"/>
              <w:ind w:left="0"/>
              <w:rPr>
                <w:b/>
                <w:lang w:val="en-IE"/>
              </w:rPr>
            </w:pPr>
          </w:p>
        </w:tc>
        <w:tc>
          <w:tcPr>
            <w:tcW w:w="2268" w:type="dxa"/>
            <w:shd w:val="clear" w:color="auto" w:fill="auto"/>
          </w:tcPr>
          <w:p w14:paraId="0768718D" w14:textId="77777777" w:rsidR="00EE74D8" w:rsidRPr="00D81BB8" w:rsidRDefault="00EE74D8" w:rsidP="00A15807">
            <w:pPr>
              <w:pStyle w:val="Text2"/>
              <w:spacing w:before="60" w:after="60"/>
              <w:ind w:left="0"/>
              <w:jc w:val="center"/>
              <w:rPr>
                <w:lang w:val="en-IE"/>
              </w:rPr>
            </w:pPr>
          </w:p>
        </w:tc>
        <w:tc>
          <w:tcPr>
            <w:tcW w:w="2126" w:type="dxa"/>
          </w:tcPr>
          <w:p w14:paraId="4CD8E033" w14:textId="77777777" w:rsidR="00EE74D8" w:rsidRPr="00D81BB8" w:rsidRDefault="00EE74D8" w:rsidP="00A15807">
            <w:pPr>
              <w:pStyle w:val="Text2"/>
              <w:spacing w:before="60" w:after="60"/>
              <w:ind w:left="0"/>
              <w:jc w:val="center"/>
            </w:pPr>
          </w:p>
        </w:tc>
      </w:tr>
      <w:tr w:rsidR="006602B2" w:rsidRPr="006104D5" w14:paraId="00A978F3" w14:textId="77777777" w:rsidTr="006602B2">
        <w:tc>
          <w:tcPr>
            <w:tcW w:w="5245" w:type="dxa"/>
            <w:tcBorders>
              <w:top w:val="single" w:sz="4" w:space="0" w:color="auto"/>
              <w:left w:val="single" w:sz="4" w:space="0" w:color="auto"/>
              <w:bottom w:val="single" w:sz="4" w:space="0" w:color="auto"/>
              <w:right w:val="single" w:sz="4" w:space="0" w:color="auto"/>
            </w:tcBorders>
            <w:shd w:val="clear" w:color="auto" w:fill="auto"/>
          </w:tcPr>
          <w:p w14:paraId="3B94064A" w14:textId="47A8456A" w:rsidR="006602B2" w:rsidRPr="00D81BB8" w:rsidRDefault="006602B2" w:rsidP="00497F73">
            <w:pPr>
              <w:rPr>
                <w:color w:val="0D0D0D" w:themeColor="text1" w:themeTint="F2"/>
              </w:rPr>
            </w:pPr>
            <w:r w:rsidRPr="00D81BB8">
              <w:rPr>
                <w:b/>
                <w:szCs w:val="24"/>
                <w:lang w:val="en-IE"/>
              </w:rPr>
              <w:t xml:space="preserve">Output 1.2:  </w:t>
            </w:r>
            <w:r w:rsidRPr="00D81BB8">
              <w:rPr>
                <w:rFonts w:cs="Times New Roman"/>
                <w:color w:val="0D0D0D" w:themeColor="text1" w:themeTint="F2"/>
                <w:szCs w:val="24"/>
              </w:rPr>
              <w:t>Strengthened capabilities of the police and law enforcement agencies to combat and prevent crime, terrorism and radicalisation and manage security-related incidents, risks and crises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C229D0" w14:textId="4F940187" w:rsidR="006602B2" w:rsidRPr="00D81BB8" w:rsidRDefault="006602B2" w:rsidP="00497F73">
            <w:pPr>
              <w:pStyle w:val="Text2"/>
              <w:spacing w:before="60" w:after="60"/>
              <w:ind w:left="0"/>
              <w:jc w:val="center"/>
              <w:rPr>
                <w:b/>
                <w:lang w:val="en-IE"/>
              </w:rPr>
            </w:pPr>
            <w:r w:rsidRPr="00D81BB8">
              <w:rPr>
                <w:b/>
                <w:lang w:val="en-IE"/>
              </w:rPr>
              <w:t>2 000 000</w:t>
            </w:r>
          </w:p>
        </w:tc>
        <w:tc>
          <w:tcPr>
            <w:tcW w:w="2126" w:type="dxa"/>
            <w:tcBorders>
              <w:top w:val="single" w:sz="4" w:space="0" w:color="auto"/>
              <w:left w:val="single" w:sz="4" w:space="0" w:color="auto"/>
              <w:bottom w:val="single" w:sz="4" w:space="0" w:color="auto"/>
              <w:right w:val="single" w:sz="4" w:space="0" w:color="auto"/>
            </w:tcBorders>
          </w:tcPr>
          <w:p w14:paraId="0BCADDBE" w14:textId="2988E89D" w:rsidR="006602B2" w:rsidRPr="00D81BB8" w:rsidRDefault="006602B2" w:rsidP="00497F73">
            <w:pPr>
              <w:pStyle w:val="Text2"/>
              <w:spacing w:before="60" w:after="60"/>
              <w:ind w:left="0"/>
              <w:jc w:val="center"/>
            </w:pPr>
          </w:p>
        </w:tc>
      </w:tr>
      <w:tr w:rsidR="006602B2" w:rsidRPr="006104D5" w14:paraId="7B93946D" w14:textId="77777777" w:rsidTr="006602B2">
        <w:tc>
          <w:tcPr>
            <w:tcW w:w="5245" w:type="dxa"/>
            <w:tcBorders>
              <w:top w:val="single" w:sz="4" w:space="0" w:color="auto"/>
              <w:left w:val="single" w:sz="4" w:space="0" w:color="auto"/>
              <w:bottom w:val="single" w:sz="4" w:space="0" w:color="auto"/>
              <w:right w:val="single" w:sz="4" w:space="0" w:color="auto"/>
            </w:tcBorders>
            <w:shd w:val="clear" w:color="auto" w:fill="auto"/>
          </w:tcPr>
          <w:p w14:paraId="0091BB3A" w14:textId="77777777" w:rsidR="006602B2" w:rsidRPr="00D81BB8" w:rsidRDefault="006602B2" w:rsidP="00497F73">
            <w:pPr>
              <w:pStyle w:val="Text2"/>
              <w:spacing w:before="60" w:after="60"/>
              <w:ind w:left="0"/>
              <w:rPr>
                <w:b/>
                <w:lang w:val="en-IE"/>
              </w:rPr>
            </w:pPr>
            <w:r w:rsidRPr="00D81BB8">
              <w:rPr>
                <w:b/>
                <w:lang w:val="en-IE"/>
              </w:rPr>
              <w:t>Grants (direct management) – cf. section 4.3.1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C85558" w14:textId="06E3A2A1" w:rsidR="006602B2" w:rsidRPr="00D81BB8" w:rsidRDefault="006602B2" w:rsidP="00497F73">
            <w:pPr>
              <w:pStyle w:val="Text2"/>
              <w:spacing w:before="60" w:after="60"/>
              <w:ind w:left="0"/>
              <w:jc w:val="center"/>
              <w:rPr>
                <w:lang w:val="en-IE"/>
              </w:rPr>
            </w:pPr>
            <w:r w:rsidRPr="00D81BB8">
              <w:rPr>
                <w:lang w:val="en-IE"/>
              </w:rPr>
              <w:t>2 000 000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7EFBEE" w14:textId="77777777" w:rsidR="006602B2" w:rsidRPr="00D81BB8" w:rsidRDefault="006602B2" w:rsidP="00497F73">
            <w:pPr>
              <w:pStyle w:val="Text2"/>
              <w:spacing w:before="60" w:after="60"/>
              <w:ind w:left="0"/>
              <w:jc w:val="center"/>
            </w:pPr>
          </w:p>
        </w:tc>
      </w:tr>
      <w:tr w:rsidR="006602B2" w:rsidRPr="006104D5" w14:paraId="4E1AF864" w14:textId="77777777" w:rsidTr="0023277A">
        <w:tc>
          <w:tcPr>
            <w:tcW w:w="5245" w:type="dxa"/>
            <w:shd w:val="clear" w:color="auto" w:fill="auto"/>
          </w:tcPr>
          <w:p w14:paraId="7C7DE880" w14:textId="77777777" w:rsidR="006602B2" w:rsidRPr="00D81BB8" w:rsidRDefault="006602B2" w:rsidP="00A15807">
            <w:pPr>
              <w:pStyle w:val="Text2"/>
              <w:spacing w:before="60" w:after="60"/>
              <w:ind w:left="0"/>
              <w:rPr>
                <w:b/>
                <w:lang w:val="en-IE"/>
              </w:rPr>
            </w:pPr>
          </w:p>
        </w:tc>
        <w:tc>
          <w:tcPr>
            <w:tcW w:w="2268" w:type="dxa"/>
            <w:shd w:val="clear" w:color="auto" w:fill="auto"/>
          </w:tcPr>
          <w:p w14:paraId="054D8431" w14:textId="77777777" w:rsidR="006602B2" w:rsidRPr="00D81BB8" w:rsidRDefault="006602B2" w:rsidP="00A15807">
            <w:pPr>
              <w:pStyle w:val="Text2"/>
              <w:spacing w:before="60" w:after="60"/>
              <w:ind w:left="0"/>
              <w:jc w:val="center"/>
              <w:rPr>
                <w:lang w:val="en-IE"/>
              </w:rPr>
            </w:pPr>
          </w:p>
        </w:tc>
        <w:tc>
          <w:tcPr>
            <w:tcW w:w="2126" w:type="dxa"/>
          </w:tcPr>
          <w:p w14:paraId="09D511DD" w14:textId="77777777" w:rsidR="006602B2" w:rsidRPr="00D81BB8" w:rsidRDefault="006602B2" w:rsidP="00A15807">
            <w:pPr>
              <w:pStyle w:val="Text2"/>
              <w:spacing w:before="60" w:after="60"/>
              <w:ind w:left="0"/>
              <w:jc w:val="center"/>
            </w:pPr>
          </w:p>
        </w:tc>
      </w:tr>
      <w:tr w:rsidR="00A15807" w:rsidRPr="006104D5" w14:paraId="01D052DC" w14:textId="77777777" w:rsidTr="0023277A">
        <w:tc>
          <w:tcPr>
            <w:tcW w:w="5245" w:type="dxa"/>
            <w:shd w:val="clear" w:color="auto" w:fill="auto"/>
          </w:tcPr>
          <w:p w14:paraId="08E310A5" w14:textId="46E1B1F2" w:rsidR="00A15807" w:rsidRPr="00D81BB8" w:rsidRDefault="00A15807" w:rsidP="00A15807">
            <w:pPr>
              <w:pStyle w:val="Text2"/>
              <w:spacing w:before="60" w:after="60"/>
              <w:ind w:left="0"/>
              <w:rPr>
                <w:lang w:val="en-IE"/>
              </w:rPr>
            </w:pPr>
            <w:r w:rsidRPr="00D81BB8">
              <w:rPr>
                <w:b/>
                <w:lang w:val="en-IE"/>
              </w:rPr>
              <w:t>Grants</w:t>
            </w:r>
            <w:r w:rsidRPr="00D81BB8">
              <w:rPr>
                <w:lang w:val="en-IE"/>
              </w:rPr>
              <w:t xml:space="preserve"> – total envelope under section 4.</w:t>
            </w:r>
            <w:r w:rsidR="006B4C27" w:rsidRPr="00D81BB8">
              <w:rPr>
                <w:lang w:val="en-IE"/>
              </w:rPr>
              <w:t>3</w:t>
            </w:r>
            <w:r w:rsidRPr="00D81BB8">
              <w:rPr>
                <w:lang w:val="en-IE"/>
              </w:rPr>
              <w:t xml:space="preserve">.1 </w:t>
            </w:r>
          </w:p>
        </w:tc>
        <w:tc>
          <w:tcPr>
            <w:tcW w:w="2268" w:type="dxa"/>
            <w:shd w:val="clear" w:color="auto" w:fill="auto"/>
          </w:tcPr>
          <w:p w14:paraId="0A023C12" w14:textId="05262963" w:rsidR="00A15807" w:rsidRPr="00D81BB8" w:rsidRDefault="006B4C27" w:rsidP="00A15807">
            <w:pPr>
              <w:pStyle w:val="Text2"/>
              <w:spacing w:before="60" w:after="60"/>
              <w:ind w:left="0"/>
              <w:jc w:val="center"/>
              <w:rPr>
                <w:lang w:val="en-IE"/>
              </w:rPr>
            </w:pPr>
            <w:r w:rsidRPr="00D81BB8">
              <w:rPr>
                <w:lang w:val="en-IE"/>
              </w:rPr>
              <w:t>4 000 000</w:t>
            </w:r>
          </w:p>
        </w:tc>
        <w:tc>
          <w:tcPr>
            <w:tcW w:w="2126" w:type="dxa"/>
          </w:tcPr>
          <w:p w14:paraId="12C745E0" w14:textId="240E6C45" w:rsidR="00A15807" w:rsidRPr="00D81BB8" w:rsidRDefault="00A15807" w:rsidP="00A15807">
            <w:pPr>
              <w:pStyle w:val="Text2"/>
              <w:spacing w:before="60" w:after="60"/>
              <w:ind w:left="0"/>
              <w:jc w:val="center"/>
            </w:pPr>
          </w:p>
        </w:tc>
      </w:tr>
      <w:tr w:rsidR="00A15807" w:rsidRPr="006104D5" w14:paraId="0085ED37" w14:textId="77777777" w:rsidTr="0023277A">
        <w:tc>
          <w:tcPr>
            <w:tcW w:w="5245" w:type="dxa"/>
            <w:shd w:val="clear" w:color="auto" w:fill="auto"/>
          </w:tcPr>
          <w:p w14:paraId="3007630B" w14:textId="6652DCCD" w:rsidR="00A15807" w:rsidRPr="00D81BB8" w:rsidRDefault="00A15807" w:rsidP="00A15807">
            <w:pPr>
              <w:pStyle w:val="Text2"/>
              <w:spacing w:before="60" w:after="60"/>
              <w:ind w:left="0"/>
              <w:rPr>
                <w:lang w:val="en-IE"/>
              </w:rPr>
            </w:pPr>
            <w:r w:rsidRPr="00D81BB8">
              <w:rPr>
                <w:b/>
                <w:lang w:val="en-IE"/>
              </w:rPr>
              <w:lastRenderedPageBreak/>
              <w:t>Procurement</w:t>
            </w:r>
            <w:r w:rsidRPr="00D81BB8">
              <w:rPr>
                <w:lang w:val="en-IE"/>
              </w:rPr>
              <w:t xml:space="preserve"> – total envelope under section </w:t>
            </w:r>
            <w:r w:rsidR="006B4C27" w:rsidRPr="00D81BB8">
              <w:rPr>
                <w:lang w:val="en-IE"/>
              </w:rPr>
              <w:t>4.3.2</w:t>
            </w:r>
          </w:p>
        </w:tc>
        <w:tc>
          <w:tcPr>
            <w:tcW w:w="2268" w:type="dxa"/>
            <w:shd w:val="clear" w:color="auto" w:fill="auto"/>
          </w:tcPr>
          <w:p w14:paraId="266F5B6A" w14:textId="3912CB93" w:rsidR="00A15807" w:rsidRPr="00D81BB8" w:rsidRDefault="006B4C27" w:rsidP="00A15807">
            <w:pPr>
              <w:pStyle w:val="Text2"/>
              <w:spacing w:before="60" w:after="60"/>
              <w:ind w:left="0"/>
              <w:jc w:val="center"/>
              <w:rPr>
                <w:lang w:val="en-IE"/>
              </w:rPr>
            </w:pPr>
            <w:r w:rsidRPr="00D81BB8">
              <w:rPr>
                <w:lang w:val="en-IE"/>
              </w:rPr>
              <w:t>1 000 000</w:t>
            </w:r>
          </w:p>
        </w:tc>
        <w:tc>
          <w:tcPr>
            <w:tcW w:w="2126" w:type="dxa"/>
          </w:tcPr>
          <w:p w14:paraId="1912C7C1" w14:textId="184676D2" w:rsidR="00A15807" w:rsidRPr="00D81BB8" w:rsidRDefault="00EE74D8" w:rsidP="00A15807">
            <w:pPr>
              <w:pStyle w:val="Text2"/>
              <w:spacing w:before="60" w:after="60"/>
              <w:ind w:left="0"/>
              <w:jc w:val="center"/>
              <w:rPr>
                <w:lang w:val="en-IE"/>
              </w:rPr>
            </w:pPr>
            <w:r w:rsidRPr="00D81BB8">
              <w:rPr>
                <w:lang w:val="en-IE"/>
              </w:rPr>
              <w:t>200 000</w:t>
            </w:r>
          </w:p>
        </w:tc>
      </w:tr>
      <w:tr w:rsidR="006B4C27" w:rsidRPr="006104D5" w14:paraId="5D98A4E6" w14:textId="77777777" w:rsidTr="0023277A">
        <w:tc>
          <w:tcPr>
            <w:tcW w:w="5245" w:type="dxa"/>
            <w:shd w:val="clear" w:color="auto" w:fill="auto"/>
          </w:tcPr>
          <w:p w14:paraId="30FDF30F" w14:textId="35A6D268" w:rsidR="006B4C27" w:rsidRPr="00D81BB8" w:rsidRDefault="006B4C27" w:rsidP="00A15807">
            <w:pPr>
              <w:pStyle w:val="Text2"/>
              <w:spacing w:before="60" w:after="60"/>
              <w:ind w:left="0"/>
              <w:rPr>
                <w:lang w:val="en-IE"/>
              </w:rPr>
            </w:pPr>
            <w:r w:rsidRPr="00D81BB8">
              <w:rPr>
                <w:b/>
                <w:lang w:val="en-IE"/>
              </w:rPr>
              <w:t xml:space="preserve">Evaluation </w:t>
            </w:r>
            <w:r w:rsidRPr="00D81BB8">
              <w:rPr>
                <w:lang w:val="en-IE"/>
              </w:rPr>
              <w:t>– cf. section 5.2</w:t>
            </w:r>
          </w:p>
        </w:tc>
        <w:tc>
          <w:tcPr>
            <w:tcW w:w="2268" w:type="dxa"/>
            <w:shd w:val="clear" w:color="auto" w:fill="auto"/>
          </w:tcPr>
          <w:p w14:paraId="196261B7" w14:textId="24C6D120" w:rsidR="006B4C27" w:rsidRPr="00D81BB8" w:rsidRDefault="006B4C27" w:rsidP="00A15807">
            <w:pPr>
              <w:pStyle w:val="Text2"/>
              <w:spacing w:before="60" w:after="60"/>
              <w:ind w:left="0"/>
              <w:jc w:val="center"/>
              <w:rPr>
                <w:lang w:val="en-IE"/>
              </w:rPr>
            </w:pPr>
            <w:r w:rsidRPr="00D81BB8">
              <w:rPr>
                <w:lang w:val="en-IE"/>
              </w:rPr>
              <w:t>Will be covered by another Decision</w:t>
            </w:r>
          </w:p>
        </w:tc>
        <w:tc>
          <w:tcPr>
            <w:tcW w:w="2126" w:type="dxa"/>
          </w:tcPr>
          <w:p w14:paraId="6E4B6618" w14:textId="3DBA1AEA" w:rsidR="006B4C27" w:rsidRPr="00D81BB8" w:rsidRDefault="006B4C27" w:rsidP="00A15807">
            <w:pPr>
              <w:pStyle w:val="Text2"/>
              <w:spacing w:before="60" w:after="60"/>
              <w:ind w:left="0"/>
              <w:jc w:val="center"/>
              <w:rPr>
                <w:lang w:val="en-IE"/>
              </w:rPr>
            </w:pPr>
            <w:r w:rsidRPr="00D81BB8">
              <w:rPr>
                <w:lang w:val="en-IE"/>
              </w:rPr>
              <w:t>N.A.</w:t>
            </w:r>
          </w:p>
        </w:tc>
      </w:tr>
      <w:tr w:rsidR="00A15807" w:rsidRPr="006104D5" w14:paraId="49EE1548" w14:textId="77777777" w:rsidTr="0023277A">
        <w:tc>
          <w:tcPr>
            <w:tcW w:w="5245" w:type="dxa"/>
            <w:shd w:val="clear" w:color="auto" w:fill="auto"/>
          </w:tcPr>
          <w:p w14:paraId="4A0B8D96" w14:textId="365FB149" w:rsidR="00A15807" w:rsidRPr="00D81BB8" w:rsidRDefault="00A15807" w:rsidP="00A15807">
            <w:pPr>
              <w:pStyle w:val="Text2"/>
              <w:spacing w:before="60" w:after="60"/>
              <w:ind w:left="0"/>
              <w:rPr>
                <w:b/>
                <w:lang w:val="en-IE"/>
              </w:rPr>
            </w:pPr>
            <w:r w:rsidRPr="00D81BB8">
              <w:rPr>
                <w:b/>
                <w:lang w:val="en-IE"/>
              </w:rPr>
              <w:t>Audit</w:t>
            </w:r>
            <w:r w:rsidR="006B4C27" w:rsidRPr="00D81BB8">
              <w:rPr>
                <w:b/>
                <w:lang w:val="en-IE"/>
              </w:rPr>
              <w:t>/Expenditure verification</w:t>
            </w:r>
            <w:r w:rsidRPr="00D81BB8">
              <w:rPr>
                <w:b/>
                <w:lang w:val="en-IE"/>
              </w:rPr>
              <w:t xml:space="preserve"> </w:t>
            </w:r>
            <w:r w:rsidRPr="00D81BB8">
              <w:rPr>
                <w:lang w:val="en-IE"/>
              </w:rPr>
              <w:t>– cf. section 5.3</w:t>
            </w:r>
          </w:p>
        </w:tc>
        <w:tc>
          <w:tcPr>
            <w:tcW w:w="2268" w:type="dxa"/>
            <w:shd w:val="clear" w:color="auto" w:fill="auto"/>
          </w:tcPr>
          <w:p w14:paraId="3843974C" w14:textId="1769F9A7" w:rsidR="00A15807" w:rsidRPr="00D81BB8" w:rsidRDefault="006B4C27" w:rsidP="00A15807">
            <w:pPr>
              <w:pStyle w:val="Text2"/>
              <w:spacing w:before="60" w:after="60"/>
              <w:ind w:left="0"/>
              <w:jc w:val="center"/>
              <w:rPr>
                <w:lang w:val="en-IE"/>
              </w:rPr>
            </w:pPr>
            <w:r w:rsidRPr="00D81BB8">
              <w:rPr>
                <w:lang w:val="en-IE"/>
              </w:rPr>
              <w:t>Will be covered by another Decision</w:t>
            </w:r>
          </w:p>
        </w:tc>
        <w:tc>
          <w:tcPr>
            <w:tcW w:w="2126" w:type="dxa"/>
          </w:tcPr>
          <w:p w14:paraId="141021D1" w14:textId="77777777" w:rsidR="00A15807" w:rsidRPr="00D81BB8" w:rsidRDefault="00A15807" w:rsidP="00A15807">
            <w:pPr>
              <w:pStyle w:val="Text2"/>
              <w:spacing w:before="60" w:after="60"/>
              <w:ind w:left="0"/>
              <w:jc w:val="center"/>
              <w:rPr>
                <w:lang w:val="en-IE"/>
              </w:rPr>
            </w:pPr>
            <w:r w:rsidRPr="00D81BB8">
              <w:rPr>
                <w:lang w:val="en-IE"/>
              </w:rPr>
              <w:t>N.A.</w:t>
            </w:r>
          </w:p>
        </w:tc>
      </w:tr>
      <w:tr w:rsidR="00A15807" w:rsidRPr="006104D5" w14:paraId="6D4FB6C6" w14:textId="77777777" w:rsidTr="0023277A">
        <w:tc>
          <w:tcPr>
            <w:tcW w:w="5245" w:type="dxa"/>
            <w:shd w:val="clear" w:color="auto" w:fill="auto"/>
          </w:tcPr>
          <w:p w14:paraId="4DB35A80" w14:textId="73BAD7BE" w:rsidR="00A15807" w:rsidRPr="00D81BB8" w:rsidRDefault="006F4A3A" w:rsidP="00A15807">
            <w:pPr>
              <w:pStyle w:val="Text2"/>
              <w:spacing w:before="60" w:after="60"/>
              <w:ind w:left="0"/>
              <w:rPr>
                <w:lang w:val="en-IE"/>
              </w:rPr>
            </w:pPr>
            <w:r w:rsidRPr="00D81BB8">
              <w:rPr>
                <w:b/>
                <w:lang w:val="en-IE"/>
              </w:rPr>
              <w:t xml:space="preserve">Strategic </w:t>
            </w:r>
            <w:r w:rsidR="00A15807" w:rsidRPr="00D81BB8">
              <w:rPr>
                <w:b/>
                <w:lang w:val="en-IE"/>
              </w:rPr>
              <w:t xml:space="preserve">Communication and </w:t>
            </w:r>
            <w:r w:rsidRPr="00D81BB8">
              <w:rPr>
                <w:b/>
                <w:lang w:val="en-IE"/>
              </w:rPr>
              <w:t xml:space="preserve">Public Diplomacy </w:t>
            </w:r>
            <w:r w:rsidR="00A15807" w:rsidRPr="00D81BB8">
              <w:rPr>
                <w:lang w:val="en-IE"/>
              </w:rPr>
              <w:t>– cf. section 6</w:t>
            </w:r>
          </w:p>
        </w:tc>
        <w:tc>
          <w:tcPr>
            <w:tcW w:w="2268" w:type="dxa"/>
            <w:shd w:val="clear" w:color="auto" w:fill="auto"/>
          </w:tcPr>
          <w:p w14:paraId="74A3B730" w14:textId="04FC211A" w:rsidR="00A15807" w:rsidRPr="00D81BB8" w:rsidRDefault="0094528D" w:rsidP="00A15807">
            <w:pPr>
              <w:pStyle w:val="Text2"/>
              <w:spacing w:before="60" w:after="60"/>
              <w:ind w:left="0"/>
              <w:jc w:val="center"/>
              <w:rPr>
                <w:lang w:val="en-IE"/>
              </w:rPr>
            </w:pPr>
            <w:r w:rsidRPr="00D81BB8">
              <w:rPr>
                <w:lang w:val="en-IE"/>
              </w:rPr>
              <w:t>Will be covered by another Decision</w:t>
            </w:r>
          </w:p>
        </w:tc>
        <w:tc>
          <w:tcPr>
            <w:tcW w:w="2126" w:type="dxa"/>
          </w:tcPr>
          <w:p w14:paraId="47B7B2B5" w14:textId="77777777" w:rsidR="00A15807" w:rsidRPr="00D81BB8" w:rsidRDefault="00A15807" w:rsidP="00A15807">
            <w:pPr>
              <w:pStyle w:val="Text2"/>
              <w:spacing w:before="60" w:after="60"/>
              <w:ind w:left="0"/>
              <w:jc w:val="center"/>
              <w:rPr>
                <w:lang w:val="en-IE"/>
              </w:rPr>
            </w:pPr>
            <w:r w:rsidRPr="00D81BB8">
              <w:rPr>
                <w:lang w:val="en-IE"/>
              </w:rPr>
              <w:t>N.A.</w:t>
            </w:r>
          </w:p>
        </w:tc>
      </w:tr>
      <w:tr w:rsidR="00A15807" w:rsidRPr="006104D5" w14:paraId="658F3809" w14:textId="77777777" w:rsidTr="0023277A">
        <w:tc>
          <w:tcPr>
            <w:tcW w:w="5245" w:type="dxa"/>
            <w:shd w:val="clear" w:color="auto" w:fill="auto"/>
          </w:tcPr>
          <w:p w14:paraId="2623AEC9" w14:textId="77777777" w:rsidR="00A15807" w:rsidRPr="00D81BB8" w:rsidRDefault="00A15807" w:rsidP="00A15807">
            <w:pPr>
              <w:pStyle w:val="Text2"/>
              <w:spacing w:before="60" w:after="60"/>
              <w:ind w:left="0"/>
              <w:rPr>
                <w:lang w:val="en-IE"/>
              </w:rPr>
            </w:pPr>
            <w:r w:rsidRPr="00D81BB8">
              <w:rPr>
                <w:b/>
                <w:bCs/>
                <w:lang w:val="en-IE"/>
              </w:rPr>
              <w:t>Contingencies</w:t>
            </w:r>
            <w:r w:rsidRPr="00D81BB8">
              <w:rPr>
                <w:rStyle w:val="FootnoteReference"/>
                <w:lang w:val="en-IE"/>
              </w:rPr>
              <w:footnoteReference w:id="30"/>
            </w:r>
          </w:p>
        </w:tc>
        <w:tc>
          <w:tcPr>
            <w:tcW w:w="2268" w:type="dxa"/>
            <w:shd w:val="clear" w:color="auto" w:fill="auto"/>
          </w:tcPr>
          <w:p w14:paraId="41F51B61" w14:textId="143CCEDB" w:rsidR="00A15807" w:rsidRPr="00D81BB8" w:rsidRDefault="0094528D" w:rsidP="00A15807">
            <w:pPr>
              <w:pStyle w:val="Text2"/>
              <w:spacing w:before="60" w:after="60"/>
              <w:ind w:left="0"/>
              <w:jc w:val="center"/>
              <w:rPr>
                <w:b/>
              </w:rPr>
            </w:pPr>
            <w:r w:rsidRPr="00D81BB8">
              <w:rPr>
                <w:b/>
                <w:lang w:val="en-IE"/>
              </w:rPr>
              <w:t>0</w:t>
            </w:r>
            <w:r w:rsidR="000113D1" w:rsidRPr="00D81BB8">
              <w:rPr>
                <w:b/>
                <w:lang w:val="en-IE"/>
              </w:rPr>
              <w:t xml:space="preserve"> </w:t>
            </w:r>
          </w:p>
        </w:tc>
        <w:tc>
          <w:tcPr>
            <w:tcW w:w="2126" w:type="dxa"/>
          </w:tcPr>
          <w:p w14:paraId="73282137" w14:textId="77777777" w:rsidR="00A15807" w:rsidRPr="00D81BB8" w:rsidRDefault="00A15807" w:rsidP="00A15807">
            <w:pPr>
              <w:pStyle w:val="Text2"/>
              <w:spacing w:before="60" w:after="60"/>
              <w:ind w:left="0"/>
              <w:jc w:val="center"/>
              <w:rPr>
                <w:lang w:val="en-IE"/>
              </w:rPr>
            </w:pPr>
            <w:r w:rsidRPr="00D81BB8">
              <w:rPr>
                <w:lang w:val="en-IE"/>
              </w:rPr>
              <w:t>N.A.</w:t>
            </w:r>
          </w:p>
        </w:tc>
      </w:tr>
      <w:tr w:rsidR="00A15807" w:rsidRPr="008704EA" w14:paraId="7D5C83C5" w14:textId="77777777" w:rsidTr="0023277A">
        <w:tc>
          <w:tcPr>
            <w:tcW w:w="5245" w:type="dxa"/>
            <w:shd w:val="clear" w:color="auto" w:fill="auto"/>
          </w:tcPr>
          <w:p w14:paraId="42659141" w14:textId="7BD875DB" w:rsidR="00A15807" w:rsidRPr="00D81BB8" w:rsidRDefault="00A15807" w:rsidP="00A15807">
            <w:pPr>
              <w:pStyle w:val="Text2"/>
              <w:spacing w:before="60" w:after="60"/>
              <w:ind w:left="0"/>
              <w:rPr>
                <w:lang w:val="en-IE"/>
              </w:rPr>
            </w:pPr>
            <w:r w:rsidRPr="00D81BB8">
              <w:rPr>
                <w:b/>
                <w:lang w:val="en-IE"/>
              </w:rPr>
              <w:t xml:space="preserve">Totals </w:t>
            </w:r>
          </w:p>
        </w:tc>
        <w:tc>
          <w:tcPr>
            <w:tcW w:w="2268" w:type="dxa"/>
            <w:shd w:val="clear" w:color="auto" w:fill="auto"/>
          </w:tcPr>
          <w:p w14:paraId="4D82383D" w14:textId="54F0A4BA" w:rsidR="00A15807" w:rsidRPr="00D81BB8" w:rsidRDefault="0094528D" w:rsidP="00A15807">
            <w:pPr>
              <w:pStyle w:val="Text2"/>
              <w:spacing w:before="60" w:after="60"/>
              <w:ind w:left="0"/>
              <w:jc w:val="center"/>
              <w:rPr>
                <w:b/>
                <w:bCs/>
                <w:lang w:val="en-IE"/>
              </w:rPr>
            </w:pPr>
            <w:r w:rsidRPr="00D81BB8">
              <w:rPr>
                <w:b/>
                <w:bCs/>
                <w:lang w:val="en-IE"/>
              </w:rPr>
              <w:t>5 000 000</w:t>
            </w:r>
          </w:p>
        </w:tc>
        <w:tc>
          <w:tcPr>
            <w:tcW w:w="2126" w:type="dxa"/>
          </w:tcPr>
          <w:p w14:paraId="17B45CE5" w14:textId="2972091A" w:rsidR="00A15807" w:rsidRPr="00D81BB8" w:rsidRDefault="0094528D" w:rsidP="00A15807">
            <w:pPr>
              <w:pStyle w:val="Text2"/>
              <w:spacing w:before="60" w:after="60"/>
              <w:ind w:left="0"/>
              <w:jc w:val="center"/>
              <w:rPr>
                <w:b/>
                <w:bCs/>
                <w:lang w:val="en-IE"/>
              </w:rPr>
            </w:pPr>
            <w:r w:rsidRPr="00D81BB8">
              <w:rPr>
                <w:b/>
                <w:bCs/>
                <w:lang w:val="en-IE"/>
              </w:rPr>
              <w:t>200 000</w:t>
            </w:r>
          </w:p>
        </w:tc>
      </w:tr>
    </w:tbl>
    <w:p w14:paraId="613820D0" w14:textId="77777777" w:rsidR="008E6AFF" w:rsidRPr="003C0CD7" w:rsidRDefault="008E6AFF" w:rsidP="003C0CD7">
      <w:pPr>
        <w:pStyle w:val="Heading1"/>
        <w:numPr>
          <w:ilvl w:val="1"/>
          <w:numId w:val="1"/>
        </w:numPr>
        <w:rPr>
          <w:lang w:val="en-IE"/>
        </w:rPr>
      </w:pPr>
      <w:bookmarkStart w:id="307" w:name="_Toc47101981"/>
      <w:bookmarkStart w:id="308" w:name="_Toc51270476"/>
      <w:bookmarkStart w:id="309" w:name="_Toc59031693"/>
      <w:bookmarkStart w:id="310" w:name="_Toc73090776"/>
      <w:r w:rsidRPr="003C0CD7">
        <w:rPr>
          <w:lang w:val="en-IE"/>
        </w:rPr>
        <w:t>Organisational Set-up and Responsibilities</w:t>
      </w:r>
      <w:bookmarkEnd w:id="307"/>
      <w:bookmarkEnd w:id="308"/>
      <w:bookmarkEnd w:id="309"/>
      <w:bookmarkEnd w:id="310"/>
    </w:p>
    <w:p w14:paraId="22B881A2" w14:textId="4D745B78" w:rsidR="0094528D" w:rsidRPr="0094528D" w:rsidRDefault="0094528D" w:rsidP="0023277A">
      <w:pPr>
        <w:pStyle w:val="Heading1"/>
        <w:numPr>
          <w:ilvl w:val="0"/>
          <w:numId w:val="0"/>
        </w:numPr>
        <w:ind w:left="360"/>
        <w:rPr>
          <w:b w:val="0"/>
          <w:bCs/>
          <w:lang w:val="en-IE"/>
        </w:rPr>
      </w:pPr>
      <w:r w:rsidRPr="0094528D">
        <w:rPr>
          <w:b w:val="0"/>
          <w:bCs/>
          <w:lang w:val="en-IE"/>
        </w:rPr>
        <w:t xml:space="preserve">The Delegation of the European Union (EUD) to North Macedonia is in charge of the implementation of the Action, and will collaborate with the </w:t>
      </w:r>
      <w:r w:rsidR="00B42840">
        <w:rPr>
          <w:b w:val="0"/>
          <w:bCs/>
          <w:lang w:val="en-IE"/>
        </w:rPr>
        <w:t>NIPAC Office within the Secretariat for European Affairs (SEA)</w:t>
      </w:r>
      <w:r w:rsidRPr="0094528D">
        <w:rPr>
          <w:b w:val="0"/>
          <w:bCs/>
          <w:lang w:val="en-IE"/>
        </w:rPr>
        <w:t>, the line ministries involved and all stakeholders and implementing partners.</w:t>
      </w:r>
    </w:p>
    <w:p w14:paraId="2F343260" w14:textId="2AACE991" w:rsidR="0094528D" w:rsidRPr="0094528D" w:rsidRDefault="0094528D" w:rsidP="0023277A">
      <w:pPr>
        <w:pStyle w:val="Heading1"/>
        <w:numPr>
          <w:ilvl w:val="0"/>
          <w:numId w:val="0"/>
        </w:numPr>
        <w:ind w:left="360"/>
        <w:rPr>
          <w:b w:val="0"/>
          <w:bCs/>
          <w:lang w:val="en-IE"/>
        </w:rPr>
      </w:pPr>
      <w:r w:rsidRPr="0094528D">
        <w:rPr>
          <w:b w:val="0"/>
          <w:bCs/>
          <w:lang w:val="en-IE"/>
        </w:rPr>
        <w:t>At the policy level, the implementing partners will be accountable to the relevant Sector Working Group (Home Affairs), as well as the IPA Monitoring Committee.</w:t>
      </w:r>
    </w:p>
    <w:p w14:paraId="357F7DC1" w14:textId="46891FD0" w:rsidR="00E360A2" w:rsidRPr="0094528D" w:rsidRDefault="0094528D" w:rsidP="0023277A">
      <w:pPr>
        <w:pStyle w:val="Heading1"/>
        <w:numPr>
          <w:ilvl w:val="0"/>
          <w:numId w:val="0"/>
        </w:numPr>
        <w:ind w:left="360"/>
        <w:rPr>
          <w:b w:val="0"/>
          <w:bCs/>
          <w:lang w:val="en-IE"/>
        </w:rPr>
      </w:pPr>
      <w:r w:rsidRPr="0094528D">
        <w:rPr>
          <w:b w:val="0"/>
          <w:bCs/>
          <w:lang w:val="en-IE"/>
        </w:rPr>
        <w:t>At the contract level, the implementation arrangements will be discussed through the project Steering Committees having advisory functions and composed of EUD, the relevant national authorities and all relevant implementing partners.</w:t>
      </w:r>
    </w:p>
    <w:p w14:paraId="77081673" w14:textId="57BA8CD1" w:rsidR="00384709" w:rsidRDefault="00E360A2" w:rsidP="0023277A">
      <w:pPr>
        <w:ind w:left="360"/>
        <w:rPr>
          <w:szCs w:val="24"/>
          <w:lang w:val="en-IE"/>
        </w:rPr>
      </w:pPr>
      <w:r w:rsidRPr="003C0CD7">
        <w:rPr>
          <w:szCs w:val="24"/>
          <w:lang w:val="en-IE"/>
        </w:rPr>
        <w:t>As part of its prerogative of budget implementation and to safeguard the financial interests of the Union, the Commission may participate in the above governance structures set up for governing the implementation of the action.</w:t>
      </w:r>
    </w:p>
    <w:p w14:paraId="2AB915EE" w14:textId="77777777" w:rsidR="00E85049" w:rsidRPr="003C0CD7" w:rsidRDefault="00E85049" w:rsidP="00E360A2">
      <w:pPr>
        <w:rPr>
          <w:lang w:val="en-IE"/>
        </w:rPr>
      </w:pPr>
    </w:p>
    <w:p w14:paraId="43117A76" w14:textId="77777777" w:rsidR="000827CD" w:rsidRPr="0006347F" w:rsidRDefault="001706D6" w:rsidP="0006347F">
      <w:pPr>
        <w:pStyle w:val="Heading1"/>
      </w:pPr>
      <w:bookmarkStart w:id="311" w:name="_Toc73090777"/>
      <w:r w:rsidRPr="0006347F">
        <w:t>PERFORMANCE</w:t>
      </w:r>
      <w:bookmarkEnd w:id="209"/>
      <w:bookmarkEnd w:id="210"/>
      <w:bookmarkEnd w:id="211"/>
      <w:r w:rsidR="00D07ECD" w:rsidRPr="0006347F">
        <w:t xml:space="preserve"> MEASUREMENT</w:t>
      </w:r>
      <w:bookmarkEnd w:id="311"/>
      <w:r w:rsidR="00D23527" w:rsidRPr="0006347F">
        <w:t xml:space="preserve"> </w:t>
      </w:r>
      <w:bookmarkStart w:id="312" w:name="_Toc59023393"/>
      <w:bookmarkStart w:id="313" w:name="_Toc59029562"/>
      <w:bookmarkStart w:id="314" w:name="_Toc59030378"/>
      <w:bookmarkStart w:id="315" w:name="_Toc59031695"/>
      <w:bookmarkStart w:id="316" w:name="_Toc62247194"/>
      <w:bookmarkStart w:id="317" w:name="_Toc62247251"/>
      <w:bookmarkStart w:id="318" w:name="_Toc62459293"/>
      <w:bookmarkStart w:id="319" w:name="_Toc62476957"/>
      <w:bookmarkStart w:id="320" w:name="_Toc63235865"/>
      <w:bookmarkStart w:id="321" w:name="_Toc63248971"/>
      <w:bookmarkStart w:id="322" w:name="_Toc63263300"/>
      <w:bookmarkStart w:id="323" w:name="_Toc64043077"/>
      <w:bookmarkStart w:id="324" w:name="_Toc65663790"/>
      <w:bookmarkStart w:id="325" w:name="_Toc65665606"/>
      <w:bookmarkStart w:id="326" w:name="_Toc65665968"/>
      <w:bookmarkStart w:id="327" w:name="_Toc65666145"/>
      <w:bookmarkStart w:id="328" w:name="_Toc65671222"/>
      <w:bookmarkStart w:id="329" w:name="_Toc65671281"/>
      <w:bookmarkStart w:id="330" w:name="_Toc65671938"/>
      <w:bookmarkStart w:id="331" w:name="_Toc65674794"/>
      <w:bookmarkStart w:id="332" w:name="_Toc65676444"/>
      <w:bookmarkStart w:id="333" w:name="_Toc65688281"/>
      <w:bookmarkStart w:id="334" w:name="_Toc66465171"/>
      <w:bookmarkStart w:id="335" w:name="_Toc66465624"/>
      <w:bookmarkStart w:id="336" w:name="_Toc66465683"/>
      <w:bookmarkStart w:id="337" w:name="_Toc66696409"/>
      <w:bookmarkStart w:id="338" w:name="_Toc67665957"/>
      <w:bookmarkStart w:id="339" w:name="_Toc69384786"/>
      <w:bookmarkStart w:id="340" w:name="_Toc69384917"/>
      <w:bookmarkStart w:id="341" w:name="_Toc69385045"/>
      <w:bookmarkStart w:id="342" w:name="_Toc69385173"/>
      <w:bookmarkStart w:id="343" w:name="_Toc69460921"/>
      <w:bookmarkStart w:id="344" w:name="_Toc69461048"/>
      <w:bookmarkStart w:id="345" w:name="_Toc69469940"/>
      <w:bookmarkStart w:id="346" w:name="_Toc69485803"/>
      <w:bookmarkStart w:id="347" w:name="_Toc69487678"/>
      <w:bookmarkStart w:id="348" w:name="_Toc72142271"/>
      <w:bookmarkStart w:id="349" w:name="_Toc72142356"/>
      <w:bookmarkStart w:id="350" w:name="_Toc73090695"/>
      <w:bookmarkStart w:id="351" w:name="_Toc73090778"/>
      <w:bookmarkStart w:id="352" w:name="_Toc47101983"/>
      <w:bookmarkStart w:id="353" w:name="_Toc51270478"/>
      <w:bookmarkStart w:id="354" w:name="_Ref58359135"/>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093D371" w14:textId="77777777" w:rsidR="00811AA9" w:rsidRPr="003C0CD7" w:rsidRDefault="00811AA9" w:rsidP="003C0CD7">
      <w:pPr>
        <w:pStyle w:val="Heading1"/>
        <w:numPr>
          <w:ilvl w:val="1"/>
          <w:numId w:val="1"/>
        </w:numPr>
        <w:rPr>
          <w:lang w:val="en-IE"/>
        </w:rPr>
      </w:pPr>
      <w:bookmarkStart w:id="355" w:name="_Toc73090779"/>
      <w:r w:rsidRPr="003C0CD7">
        <w:rPr>
          <w:lang w:val="en-IE"/>
        </w:rPr>
        <w:t>Monitoring</w:t>
      </w:r>
      <w:bookmarkEnd w:id="352"/>
      <w:bookmarkEnd w:id="353"/>
      <w:bookmarkEnd w:id="354"/>
      <w:r w:rsidRPr="003C0CD7">
        <w:rPr>
          <w:lang w:val="en-IE"/>
        </w:rPr>
        <w:t xml:space="preserve"> and Reporting</w:t>
      </w:r>
      <w:bookmarkEnd w:id="355"/>
    </w:p>
    <w:p w14:paraId="19FD03D7" w14:textId="1D973BD3" w:rsidR="003F0B77" w:rsidRDefault="003F0B77" w:rsidP="00BE7359">
      <w:pPr>
        <w:pStyle w:val="Text2"/>
        <w:spacing w:after="0"/>
        <w:ind w:left="357"/>
      </w:pPr>
      <w:bookmarkStart w:id="356" w:name="_Toc391992328"/>
      <w:bookmarkStart w:id="357" w:name="_Toc391999078"/>
      <w:r w:rsidRPr="00C85643">
        <w:t xml:space="preserve">The day-to-day technical and financial monitoring of the implementation of this action will be a continuous process, and part of the implementing partner’s responsibilities. To this aim, the implementing partner shall establish a permanent internal, technical and financial monitoring system for the action and elaborate regular progress reports (not less than annual) and final reports. </w:t>
      </w:r>
      <w:bookmarkEnd w:id="356"/>
      <w:bookmarkEnd w:id="357"/>
      <w:r w:rsidRPr="00C85643">
        <w:t xml:space="preserve">Every report shall provide an accurate account of implementation of the action, difficulties encountered, changes introduced, as well as the degree of achievement of its Outputs and </w:t>
      </w:r>
      <w:r>
        <w:t>contribution to the achievement of</w:t>
      </w:r>
      <w:r w:rsidRPr="005D6559">
        <w:t xml:space="preserve"> </w:t>
      </w:r>
      <w:r>
        <w:t>its</w:t>
      </w:r>
      <w:r w:rsidRPr="00C85643">
        <w:t xml:space="preserve"> Outcomes</w:t>
      </w:r>
      <w:r>
        <w:t xml:space="preserve">, and if possible at the time of reporting, contribution to the achievement of its Impacts, </w:t>
      </w:r>
      <w:r w:rsidRPr="00C85643">
        <w:t xml:space="preserve"> as measured by corresponding indicators, using as reference </w:t>
      </w:r>
      <w:r w:rsidRPr="0039212A">
        <w:t xml:space="preserve">the logframe matrix </w:t>
      </w:r>
      <w:r w:rsidRPr="0039212A" w:rsidDel="0008697A">
        <w:t>(</w:t>
      </w:r>
      <w:r w:rsidRPr="0039212A">
        <w:t>for project modality</w:t>
      </w:r>
      <w:r w:rsidRPr="0039212A" w:rsidDel="0008697A">
        <w:t>)</w:t>
      </w:r>
      <w:r w:rsidRPr="0039212A" w:rsidDel="000C475F">
        <w:t xml:space="preserve"> </w:t>
      </w:r>
      <w:r w:rsidRPr="0039212A">
        <w:t>and [the partner’s strategy, policy or reform action plan</w:t>
      </w:r>
      <w:r w:rsidRPr="0039212A" w:rsidDel="00E52AC2">
        <w:t xml:space="preserve"> </w:t>
      </w:r>
      <w:r w:rsidRPr="0039212A">
        <w:t xml:space="preserve">list </w:t>
      </w:r>
      <w:r w:rsidRPr="0039212A" w:rsidDel="0008697A">
        <w:t>(</w:t>
      </w:r>
      <w:r w:rsidRPr="0039212A">
        <w:t>for budget support</w:t>
      </w:r>
      <w:r w:rsidRPr="0039212A" w:rsidDel="0008697A">
        <w:t>)</w:t>
      </w:r>
      <w:r w:rsidRPr="0039212A">
        <w:t>.</w:t>
      </w:r>
      <w:r w:rsidRPr="005D6559">
        <w:t xml:space="preserve"> </w:t>
      </w:r>
    </w:p>
    <w:p w14:paraId="1A8905BB" w14:textId="77777777" w:rsidR="00335DC3" w:rsidRPr="003C0CD7" w:rsidRDefault="00335DC3" w:rsidP="00BE7359">
      <w:pPr>
        <w:spacing w:before="120"/>
        <w:ind w:left="357"/>
        <w:rPr>
          <w:lang w:val="en-IE"/>
        </w:rPr>
      </w:pPr>
      <w:bookmarkStart w:id="358" w:name="_Toc391992329"/>
      <w:bookmarkStart w:id="359" w:name="_Toc391999079"/>
      <w:r w:rsidRPr="003C0CD7">
        <w:rPr>
          <w:rFonts w:cs="Times New Roman"/>
          <w:lang w:val="en-IE"/>
        </w:rPr>
        <w:t>The Commission may undertake additional project monitoring visits both through its own staff and through independent consultants recruited directly by the Commission for independent monitoring reviews (or recruited by the responsible agent contracted by the Commission for implementing such reviews).</w:t>
      </w:r>
      <w:bookmarkEnd w:id="358"/>
      <w:bookmarkEnd w:id="359"/>
      <w:r w:rsidRPr="003C0CD7">
        <w:rPr>
          <w:rFonts w:cs="Times New Roman"/>
          <w:lang w:val="en-IE"/>
        </w:rPr>
        <w:t xml:space="preserve"> </w:t>
      </w:r>
    </w:p>
    <w:p w14:paraId="42AEA038" w14:textId="532B3DE6" w:rsidR="00D016D2" w:rsidRPr="00D35465" w:rsidRDefault="000113D1" w:rsidP="00BE7359">
      <w:pPr>
        <w:spacing w:before="120"/>
        <w:ind w:left="357"/>
        <w:rPr>
          <w:rFonts w:cs="Times New Roman"/>
        </w:rPr>
      </w:pPr>
      <w:r>
        <w:rPr>
          <w:rFonts w:cs="Times New Roman"/>
          <w:szCs w:val="24"/>
        </w:rPr>
        <w:lastRenderedPageBreak/>
        <w:t>Arrangements for monitoring and reporting, including r</w:t>
      </w:r>
      <w:r w:rsidR="00335DC3" w:rsidRPr="003C0CD7">
        <w:rPr>
          <w:rFonts w:cs="Times New Roman"/>
          <w:lang w:val="en-IE"/>
        </w:rPr>
        <w:t>oles and responsibilities for data collection, analysis and monitoring:</w:t>
      </w:r>
      <w:r w:rsidR="00D016D2">
        <w:rPr>
          <w:rFonts w:cs="Times New Roman"/>
          <w:lang w:val="en-IE"/>
        </w:rPr>
        <w:t xml:space="preserve"> </w:t>
      </w:r>
      <w:r w:rsidR="00D016D2">
        <w:rPr>
          <w:rFonts w:cs="Times New Roman"/>
        </w:rPr>
        <w:t>t</w:t>
      </w:r>
      <w:r w:rsidR="00D016D2" w:rsidRPr="00D35465">
        <w:rPr>
          <w:rFonts w:cs="Times New Roman"/>
        </w:rPr>
        <w:t xml:space="preserve">he progress in the implementation of the Action will be monitored at </w:t>
      </w:r>
      <w:r w:rsidR="00D016D2">
        <w:rPr>
          <w:rFonts w:cs="Times New Roman"/>
        </w:rPr>
        <w:t xml:space="preserve">the </w:t>
      </w:r>
      <w:r w:rsidR="00D016D2" w:rsidRPr="00D35465">
        <w:rPr>
          <w:rFonts w:cs="Times New Roman"/>
        </w:rPr>
        <w:t xml:space="preserve">sector level through the established 2020 Performance Assessment Framework (PAF), which includes outcome and impact indicators, targets and baseline data. PAF has been established as a web-based application (backed up by a government decision on responsibilities and deadlines), allowing regular electronic data input, </w:t>
      </w:r>
      <w:r w:rsidR="00D016D2">
        <w:rPr>
          <w:rFonts w:cs="Times New Roman"/>
        </w:rPr>
        <w:t>processing, and</w:t>
      </w:r>
      <w:r w:rsidR="00D016D2" w:rsidRPr="00D35465">
        <w:rPr>
          <w:rFonts w:cs="Times New Roman"/>
        </w:rPr>
        <w:t xml:space="preserve"> analytics. The PAF data will be used in the Sector Working Group on </w:t>
      </w:r>
      <w:r w:rsidR="00D016D2">
        <w:rPr>
          <w:rFonts w:cs="Times New Roman"/>
        </w:rPr>
        <w:t>Home Affairs</w:t>
      </w:r>
      <w:r w:rsidR="00D016D2" w:rsidRPr="00D35465">
        <w:rPr>
          <w:rFonts w:cs="Times New Roman"/>
        </w:rPr>
        <w:t xml:space="preserve">, which is also the inclusive platform </w:t>
      </w:r>
      <w:r w:rsidR="00D016D2">
        <w:rPr>
          <w:rFonts w:cs="Times New Roman"/>
        </w:rPr>
        <w:t>for</w:t>
      </w:r>
      <w:r w:rsidR="00D016D2" w:rsidRPr="00D35465">
        <w:rPr>
          <w:rFonts w:cs="Times New Roman"/>
        </w:rPr>
        <w:t xml:space="preserve"> all stakeholders to monitor the implementation of the sector priorities. </w:t>
      </w:r>
    </w:p>
    <w:p w14:paraId="470BBD67" w14:textId="77777777" w:rsidR="00143C18" w:rsidRPr="003C0CD7" w:rsidRDefault="00FD7FCD" w:rsidP="003C0CD7">
      <w:pPr>
        <w:pStyle w:val="Heading1"/>
        <w:numPr>
          <w:ilvl w:val="1"/>
          <w:numId w:val="1"/>
        </w:numPr>
        <w:rPr>
          <w:lang w:val="en-IE"/>
        </w:rPr>
      </w:pPr>
      <w:bookmarkStart w:id="360" w:name="_Toc47101985"/>
      <w:bookmarkStart w:id="361" w:name="_Toc51270480"/>
      <w:bookmarkStart w:id="362" w:name="_Ref58841072"/>
      <w:bookmarkStart w:id="363" w:name="_Toc73090780"/>
      <w:r w:rsidRPr="003C0CD7">
        <w:rPr>
          <w:lang w:val="en-IE"/>
        </w:rPr>
        <w:t>Evaluation</w:t>
      </w:r>
      <w:bookmarkEnd w:id="360"/>
      <w:bookmarkEnd w:id="361"/>
      <w:bookmarkEnd w:id="362"/>
      <w:bookmarkEnd w:id="363"/>
    </w:p>
    <w:p w14:paraId="63210778" w14:textId="12CE1A9B" w:rsidR="00D54B6E" w:rsidRPr="00C85643" w:rsidRDefault="00D54B6E" w:rsidP="0023277A">
      <w:pPr>
        <w:ind w:left="360"/>
      </w:pPr>
      <w:r w:rsidRPr="00D016D2">
        <w:t>Having regard to the importance</w:t>
      </w:r>
      <w:r w:rsidR="00D016D2" w:rsidRPr="00D016D2">
        <w:t xml:space="preserve"> </w:t>
      </w:r>
      <w:r w:rsidRPr="00D016D2">
        <w:t>of the action, a</w:t>
      </w:r>
      <w:r w:rsidR="00D016D2" w:rsidRPr="00D016D2">
        <w:t xml:space="preserve"> </w:t>
      </w:r>
      <w:r w:rsidRPr="00D016D2">
        <w:t>final</w:t>
      </w:r>
      <w:r w:rsidR="00D016D2" w:rsidRPr="00D016D2">
        <w:t xml:space="preserve"> </w:t>
      </w:r>
      <w:r w:rsidRPr="00D016D2">
        <w:t>evaluation will</w:t>
      </w:r>
      <w:r w:rsidR="00D016D2" w:rsidRPr="00D016D2">
        <w:t xml:space="preserve"> </w:t>
      </w:r>
      <w:r w:rsidRPr="00D016D2">
        <w:t xml:space="preserve">be carried out for this </w:t>
      </w:r>
      <w:r w:rsidR="00D016D2" w:rsidRPr="00D016D2">
        <w:t>A</w:t>
      </w:r>
      <w:r w:rsidRPr="00D016D2">
        <w:t xml:space="preserve">ction or </w:t>
      </w:r>
      <w:r w:rsidRPr="00D016D2">
        <w:rPr>
          <w:snapToGrid w:val="0"/>
          <w:szCs w:val="24"/>
        </w:rPr>
        <w:t>its components</w:t>
      </w:r>
      <w:r w:rsidRPr="00D016D2">
        <w:t xml:space="preserve"> via independent consultants</w:t>
      </w:r>
      <w:r w:rsidR="00D016D2" w:rsidRPr="00D016D2">
        <w:t>.</w:t>
      </w:r>
      <w:r w:rsidRPr="00D016D2">
        <w:t xml:space="preserve"> </w:t>
      </w:r>
      <w:r w:rsidRPr="00CC78AE">
        <w:t>It will be carried out for accountability and learning purposes at various levels (including for policy revision)</w:t>
      </w:r>
      <w:r w:rsidR="00CC78AE" w:rsidRPr="00CC78AE">
        <w:t xml:space="preserve">. </w:t>
      </w:r>
    </w:p>
    <w:p w14:paraId="05285F9D" w14:textId="77777777" w:rsidR="00D54B6E" w:rsidRPr="00C85643" w:rsidRDefault="00D54B6E" w:rsidP="0023277A">
      <w:pPr>
        <w:ind w:left="360"/>
        <w:rPr>
          <w:highlight w:val="yellow"/>
        </w:rPr>
      </w:pPr>
    </w:p>
    <w:p w14:paraId="4528B394" w14:textId="71B0B480" w:rsidR="00D54B6E" w:rsidRPr="00CC78AE" w:rsidRDefault="00D54B6E" w:rsidP="0023277A">
      <w:pPr>
        <w:spacing w:line="280" w:lineRule="atLeast"/>
        <w:ind w:left="360"/>
        <w:rPr>
          <w:snapToGrid w:val="0"/>
          <w:szCs w:val="24"/>
        </w:rPr>
      </w:pPr>
      <w:r w:rsidRPr="00046EBD">
        <w:rPr>
          <w:szCs w:val="24"/>
        </w:rPr>
        <w:t>The Commission shall form a Reference Group (RG) composed by representatives from the main stakeholders at both EU and national (representatives from the government, from civil society organisations (private sector, NGOs, etc.), etc.) levels. If deemed necessary, other donors will be invited to join</w:t>
      </w:r>
      <w:r w:rsidRPr="00CC78AE">
        <w:rPr>
          <w:szCs w:val="24"/>
        </w:rPr>
        <w:t xml:space="preserve">. </w:t>
      </w:r>
      <w:r w:rsidRPr="00CC78AE" w:rsidDel="00046EBD">
        <w:rPr>
          <w:szCs w:val="24"/>
        </w:rPr>
        <w:t xml:space="preserve"> </w:t>
      </w:r>
      <w:r w:rsidRPr="00CC78AE">
        <w:t xml:space="preserve">The Commission shall inform the implementing partner at least </w:t>
      </w:r>
      <w:r w:rsidR="00CC78AE" w:rsidRPr="00CC78AE">
        <w:t xml:space="preserve">2 </w:t>
      </w:r>
      <w:r w:rsidRPr="00CC78AE">
        <w:t xml:space="preserve">months in advance of the dates envisaged for the evaluation </w:t>
      </w:r>
      <w:r w:rsidRPr="00CC78AE">
        <w:rPr>
          <w:snapToGrid w:val="0"/>
          <w:szCs w:val="24"/>
        </w:rPr>
        <w:t xml:space="preserve">exercise and </w:t>
      </w:r>
      <w:r w:rsidRPr="00CC78AE">
        <w:t>missions. The implementing partner shall collaborate efficiently and effectively with the evaluation experts, and inter alia provide them with all necessary information and documentation, as well as access to the project premises and activities].</w:t>
      </w:r>
      <w:r w:rsidRPr="00CC78AE">
        <w:rPr>
          <w:snapToGrid w:val="0"/>
          <w:szCs w:val="24"/>
        </w:rPr>
        <w:t xml:space="preserve"> </w:t>
      </w:r>
    </w:p>
    <w:p w14:paraId="457E01DE" w14:textId="77777777" w:rsidR="00D54B6E" w:rsidRDefault="00D54B6E" w:rsidP="0023277A">
      <w:pPr>
        <w:spacing w:line="280" w:lineRule="atLeast"/>
        <w:ind w:left="360"/>
        <w:rPr>
          <w:snapToGrid w:val="0"/>
          <w:szCs w:val="24"/>
        </w:rPr>
      </w:pPr>
    </w:p>
    <w:p w14:paraId="0E1A77F8" w14:textId="79DF000A" w:rsidR="00D54B6E" w:rsidRPr="00C85643" w:rsidRDefault="00D54B6E" w:rsidP="0023277A">
      <w:pPr>
        <w:spacing w:line="280" w:lineRule="atLeast"/>
        <w:ind w:left="360"/>
      </w:pPr>
      <w:r w:rsidRPr="00C85643">
        <w:t xml:space="preserve">The evaluation reports shall be shared with the partner country and other key stakeholders following the best practice of evaluation dissemination.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 </w:t>
      </w:r>
    </w:p>
    <w:p w14:paraId="3BE06045" w14:textId="77777777" w:rsidR="00143C18" w:rsidRPr="003C0CD7" w:rsidRDefault="00BA0E8A" w:rsidP="003C0CD7">
      <w:pPr>
        <w:pStyle w:val="Heading1"/>
        <w:numPr>
          <w:ilvl w:val="1"/>
          <w:numId w:val="1"/>
        </w:numPr>
        <w:rPr>
          <w:lang w:val="en-IE"/>
        </w:rPr>
      </w:pPr>
      <w:bookmarkStart w:id="364" w:name="_Ref58841050"/>
      <w:bookmarkStart w:id="365" w:name="_Toc73090781"/>
      <w:r w:rsidRPr="003C0CD7">
        <w:rPr>
          <w:lang w:val="en-IE"/>
        </w:rPr>
        <w:t xml:space="preserve">Audit and </w:t>
      </w:r>
      <w:r w:rsidR="0079347D" w:rsidRPr="003C0CD7">
        <w:rPr>
          <w:lang w:val="en-IE"/>
        </w:rPr>
        <w:t>V</w:t>
      </w:r>
      <w:r w:rsidR="000F408A" w:rsidRPr="003C0CD7">
        <w:rPr>
          <w:lang w:val="en-IE"/>
        </w:rPr>
        <w:t>erifications</w:t>
      </w:r>
      <w:bookmarkEnd w:id="364"/>
      <w:bookmarkEnd w:id="365"/>
    </w:p>
    <w:p w14:paraId="29DA0225" w14:textId="77777777" w:rsidR="00E360A2" w:rsidRPr="006477D1" w:rsidRDefault="00E360A2" w:rsidP="0023277A">
      <w:pPr>
        <w:ind w:left="360"/>
        <w:rPr>
          <w:rFonts w:cs="Times New Roman"/>
          <w:lang w:val="en-IE"/>
        </w:rPr>
      </w:pPr>
      <w:r w:rsidRPr="003C0CD7">
        <w:rPr>
          <w:rFonts w:cs="Times New Roman"/>
          <w:lang w:val="en-IE"/>
        </w:rPr>
        <w:t>Without prejudice to the obligations applicable to contracts concluded for the implementation of this action, the Commission may, on the basis of a risk assessment, contract independent audit or verification assignments for one or s</w:t>
      </w:r>
      <w:r w:rsidR="006477D1">
        <w:rPr>
          <w:rFonts w:cs="Times New Roman"/>
          <w:lang w:val="en-IE"/>
        </w:rPr>
        <w:t>everal contracts or agreements.</w:t>
      </w:r>
    </w:p>
    <w:p w14:paraId="2B911F6F" w14:textId="77777777" w:rsidR="00143C18" w:rsidRDefault="00B85F70" w:rsidP="007540C6">
      <w:pPr>
        <w:pStyle w:val="Heading1"/>
        <w:rPr>
          <w:lang w:val="en-IE"/>
        </w:rPr>
      </w:pPr>
      <w:bookmarkStart w:id="366" w:name="_Toc47101987"/>
      <w:bookmarkStart w:id="367" w:name="_Toc51270482"/>
      <w:bookmarkStart w:id="368" w:name="_Ref58359370"/>
      <w:bookmarkStart w:id="369" w:name="_Ref58841100"/>
      <w:bookmarkStart w:id="370" w:name="_Toc73090782"/>
      <w:r>
        <w:rPr>
          <w:lang w:val="en-IE"/>
        </w:rPr>
        <w:t xml:space="preserve">STRATEGIC </w:t>
      </w:r>
      <w:r w:rsidR="00BE77D6" w:rsidRPr="003C0CD7">
        <w:rPr>
          <w:lang w:val="en-IE"/>
        </w:rPr>
        <w:t xml:space="preserve">COMMUNICATION AND </w:t>
      </w:r>
      <w:bookmarkEnd w:id="366"/>
      <w:bookmarkEnd w:id="367"/>
      <w:bookmarkEnd w:id="368"/>
      <w:bookmarkEnd w:id="369"/>
      <w:bookmarkEnd w:id="370"/>
      <w:r>
        <w:rPr>
          <w:lang w:val="en-IE"/>
        </w:rPr>
        <w:t>PUBLIC DIPLOMACY</w:t>
      </w:r>
      <w:r w:rsidRPr="003C0CD7">
        <w:rPr>
          <w:lang w:val="en-IE"/>
        </w:rPr>
        <w:t xml:space="preserve"> </w:t>
      </w:r>
    </w:p>
    <w:p w14:paraId="4FB1BA5D" w14:textId="77777777" w:rsidR="000F68AF" w:rsidRPr="00923F6B" w:rsidRDefault="000F68AF" w:rsidP="00923F6B">
      <w:pPr>
        <w:spacing w:before="120"/>
        <w:ind w:left="360"/>
        <w:rPr>
          <w:rFonts w:cs="Times New Roman"/>
          <w:color w:val="0D0D0D" w:themeColor="text1" w:themeTint="F2"/>
          <w:szCs w:val="24"/>
        </w:rPr>
      </w:pPr>
      <w:r w:rsidRPr="00923F6B">
        <w:rPr>
          <w:szCs w:val="24"/>
        </w:rPr>
        <w:t>A</w:t>
      </w:r>
      <w:r w:rsidRPr="00923F6B">
        <w:rPr>
          <w:szCs w:val="24"/>
          <w:lang w:val="en-US"/>
        </w:rPr>
        <w:t xml:space="preserve">ll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00812A64" w:rsidRPr="00923F6B">
        <w:rPr>
          <w:rFonts w:cs="Times New Roman"/>
          <w:color w:val="0D0D0D" w:themeColor="text1" w:themeTint="F2"/>
          <w:szCs w:val="24"/>
        </w:rPr>
        <w:t xml:space="preserve">To that end they must comply with the instructions given in the 2022 guidance document </w:t>
      </w:r>
      <w:hyperlink r:id="rId13" w:history="1">
        <w:r w:rsidR="00812A64" w:rsidRPr="00923F6B">
          <w:rPr>
            <w:rStyle w:val="Hyperlink"/>
            <w:rFonts w:cs="Times New Roman"/>
            <w:i/>
            <w:szCs w:val="24"/>
          </w:rPr>
          <w:t>Communicating and raising EU visibility: Guidance for external actions</w:t>
        </w:r>
      </w:hyperlink>
      <w:r w:rsidR="00812A64" w:rsidRPr="00923F6B">
        <w:rPr>
          <w:rFonts w:cs="Times New Roman"/>
          <w:color w:val="0D0D0D" w:themeColor="text1" w:themeTint="F2"/>
          <w:szCs w:val="24"/>
        </w:rPr>
        <w:t xml:space="preserve"> (or any successor document).</w:t>
      </w:r>
      <w:r w:rsidRPr="00923F6B">
        <w:rPr>
          <w:rFonts w:cs="Times New Roman"/>
          <w:color w:val="0D0D0D" w:themeColor="text1" w:themeTint="F2"/>
          <w:szCs w:val="24"/>
        </w:rPr>
        <w:t xml:space="preserve">  </w:t>
      </w:r>
    </w:p>
    <w:p w14:paraId="40546603" w14:textId="77777777" w:rsidR="00923F6B" w:rsidRPr="00923F6B" w:rsidRDefault="000F68AF" w:rsidP="00923F6B">
      <w:pPr>
        <w:spacing w:before="120"/>
        <w:ind w:left="357"/>
        <w:rPr>
          <w:rFonts w:cs="Times New Roman"/>
          <w:color w:val="0D0D0D" w:themeColor="text1" w:themeTint="F2"/>
          <w:szCs w:val="24"/>
        </w:rPr>
      </w:pPr>
      <w:r w:rsidRPr="00923F6B">
        <w:rPr>
          <w:rFonts w:cs="Times New Roman"/>
          <w:color w:val="0D0D0D" w:themeColor="text1" w:themeTint="F2"/>
          <w:szCs w:val="24"/>
        </w:rPr>
        <w:t>This obligation will apply equally, regardless of whether</w:t>
      </w:r>
      <w:r w:rsidRPr="00923F6B">
        <w:rPr>
          <w:color w:val="0D0D0D" w:themeColor="text1" w:themeTint="F2"/>
        </w:rPr>
        <w:t xml:space="preserve"> the </w:t>
      </w:r>
      <w:r w:rsidRPr="00923F6B">
        <w:rPr>
          <w:rFonts w:cs="Times New Roman"/>
          <w:color w:val="0D0D0D" w:themeColor="text1" w:themeTint="F2"/>
          <w:szCs w:val="24"/>
        </w:rPr>
        <w:t>actions concerned are</w:t>
      </w:r>
      <w:r w:rsidRPr="00923F6B">
        <w:rPr>
          <w:color w:val="0D0D0D" w:themeColor="text1" w:themeTint="F2"/>
        </w:rPr>
        <w:t xml:space="preserve"> implemented by the </w:t>
      </w:r>
      <w:r w:rsidRPr="00923F6B">
        <w:rPr>
          <w:rFonts w:cs="Times New Roman"/>
          <w:color w:val="0D0D0D" w:themeColor="text1" w:themeTint="F2"/>
          <w:szCs w:val="24"/>
        </w:rPr>
        <w:t>Commission,</w:t>
      </w:r>
      <w:r w:rsidRPr="00923F6B">
        <w:rPr>
          <w:color w:val="0D0D0D" w:themeColor="text1" w:themeTint="F2"/>
        </w:rPr>
        <w:t xml:space="preserve"> the </w:t>
      </w:r>
      <w:r w:rsidRPr="00923F6B">
        <w:rPr>
          <w:rFonts w:cs="Times New Roman"/>
          <w:color w:val="0D0D0D" w:themeColor="text1" w:themeTint="F2"/>
          <w:szCs w:val="24"/>
        </w:rPr>
        <w:t xml:space="preserve">partner country, service providers, </w:t>
      </w:r>
      <w:r w:rsidRPr="00923F6B">
        <w:rPr>
          <w:color w:val="0D0D0D" w:themeColor="text1" w:themeTint="F2"/>
        </w:rPr>
        <w:t>grant beneficiaries</w:t>
      </w:r>
      <w:r w:rsidRPr="00923F6B">
        <w:rPr>
          <w:rFonts w:cs="Times New Roman"/>
          <w:color w:val="0D0D0D" w:themeColor="text1" w:themeTint="F2"/>
          <w:szCs w:val="24"/>
        </w:rPr>
        <w:t xml:space="preserve"> or entrusted or delegated entities such as UN agencies, international financial institutions and agencies of EU Member States. In each case, a reference to the relevant </w:t>
      </w:r>
      <w:r w:rsidRPr="00923F6B">
        <w:rPr>
          <w:color w:val="0D0D0D" w:themeColor="text1" w:themeTint="F2"/>
        </w:rPr>
        <w:t xml:space="preserve">contractual obligations </w:t>
      </w:r>
      <w:r w:rsidRPr="00923F6B">
        <w:rPr>
          <w:rFonts w:cs="Times New Roman"/>
          <w:color w:val="0D0D0D" w:themeColor="text1" w:themeTint="F2"/>
          <w:szCs w:val="24"/>
        </w:rPr>
        <w:t>must</w:t>
      </w:r>
      <w:r w:rsidRPr="00923F6B">
        <w:rPr>
          <w:color w:val="0D0D0D" w:themeColor="text1" w:themeTint="F2"/>
        </w:rPr>
        <w:t xml:space="preserve"> be included in </w:t>
      </w:r>
      <w:r w:rsidRPr="00923F6B">
        <w:rPr>
          <w:rFonts w:cs="Times New Roman"/>
          <w:color w:val="0D0D0D" w:themeColor="text1" w:themeTint="F2"/>
          <w:szCs w:val="24"/>
        </w:rPr>
        <w:t xml:space="preserve">the respective </w:t>
      </w:r>
      <w:r w:rsidRPr="00923F6B">
        <w:rPr>
          <w:color w:val="0D0D0D" w:themeColor="text1" w:themeTint="F2"/>
        </w:rPr>
        <w:t xml:space="preserve">financing </w:t>
      </w:r>
      <w:r w:rsidRPr="00923F6B">
        <w:rPr>
          <w:rFonts w:cs="Times New Roman"/>
          <w:color w:val="0D0D0D" w:themeColor="text1" w:themeTint="F2"/>
          <w:szCs w:val="24"/>
        </w:rPr>
        <w:t>agreement,</w:t>
      </w:r>
      <w:r w:rsidRPr="00923F6B">
        <w:rPr>
          <w:color w:val="0D0D0D" w:themeColor="text1" w:themeTint="F2"/>
        </w:rPr>
        <w:t xml:space="preserve"> procurement and grant contracts</w:t>
      </w:r>
      <w:r w:rsidRPr="00923F6B">
        <w:rPr>
          <w:rFonts w:cs="Times New Roman"/>
          <w:color w:val="0D0D0D" w:themeColor="text1" w:themeTint="F2"/>
          <w:szCs w:val="24"/>
        </w:rPr>
        <w:t xml:space="preserve">, and </w:t>
      </w:r>
      <w:r w:rsidR="0080791D" w:rsidRPr="00923F6B">
        <w:rPr>
          <w:rFonts w:cs="Times New Roman"/>
          <w:color w:val="0D0D0D" w:themeColor="text1" w:themeTint="F2"/>
          <w:szCs w:val="24"/>
        </w:rPr>
        <w:t>contribution</w:t>
      </w:r>
      <w:r w:rsidRPr="00923F6B">
        <w:rPr>
          <w:rFonts w:cs="Times New Roman"/>
          <w:color w:val="0D0D0D" w:themeColor="text1" w:themeTint="F2"/>
          <w:szCs w:val="24"/>
        </w:rPr>
        <w:t xml:space="preserve"> agreements</w:t>
      </w:r>
      <w:r w:rsidRPr="00923F6B">
        <w:rPr>
          <w:color w:val="0D0D0D" w:themeColor="text1" w:themeTint="F2"/>
        </w:rPr>
        <w:t>.</w:t>
      </w:r>
      <w:r w:rsidR="00923F6B" w:rsidRPr="00923F6B">
        <w:rPr>
          <w:rFonts w:cs="Times New Roman"/>
          <w:color w:val="0D0D0D" w:themeColor="text1" w:themeTint="F2"/>
          <w:szCs w:val="24"/>
        </w:rPr>
        <w:t xml:space="preserve"> </w:t>
      </w:r>
    </w:p>
    <w:p w14:paraId="24DB33BD" w14:textId="0C4D666F" w:rsidR="00923F6B" w:rsidRPr="00923F6B" w:rsidRDefault="00923F6B" w:rsidP="00923F6B">
      <w:pPr>
        <w:spacing w:before="120"/>
        <w:ind w:left="357"/>
        <w:rPr>
          <w:rFonts w:cs="Times New Roman"/>
          <w:color w:val="0D0D0D" w:themeColor="text1" w:themeTint="F2"/>
          <w:szCs w:val="24"/>
        </w:rPr>
      </w:pPr>
      <w:r w:rsidRPr="00923F6B">
        <w:rPr>
          <w:rFonts w:cs="Times New Roman"/>
          <w:color w:val="0D0D0D" w:themeColor="text1" w:themeTint="F2"/>
          <w:szCs w:val="24"/>
        </w:rPr>
        <w:t xml:space="preserve">Any actions related to communication and visibility will be coordinated with the strategic communication actions of the EU Delegations, to ensure coherence of narrative and message, as well as horizontal strategic communication. Implementing partners shall keep the Commission and the EU Delegation/Office fully informed of the planning and implementation of specific visibility and communication activities before the implementation. Implementing partners will ensure adequate visibility of EU financing and will report </w:t>
      </w:r>
      <w:r w:rsidRPr="00923F6B">
        <w:rPr>
          <w:rFonts w:cs="Times New Roman"/>
          <w:color w:val="0D0D0D" w:themeColor="text1" w:themeTint="F2"/>
          <w:szCs w:val="24"/>
        </w:rPr>
        <w:lastRenderedPageBreak/>
        <w:t>on visibility and communication actions as well as the results of the overall action to the relevant monitoring committees</w:t>
      </w:r>
    </w:p>
    <w:p w14:paraId="7E420765" w14:textId="5D5C8159" w:rsidR="000F68AF" w:rsidRPr="00C85643" w:rsidRDefault="00923F6B" w:rsidP="00923F6B">
      <w:pPr>
        <w:spacing w:before="120"/>
        <w:ind w:left="360"/>
        <w:rPr>
          <w:color w:val="0D0D0D" w:themeColor="text1" w:themeTint="F2"/>
        </w:rPr>
      </w:pPr>
      <w:r w:rsidRPr="00923F6B">
        <w:rPr>
          <w:rFonts w:cs="Times New Roman"/>
          <w:color w:val="0D0D0D" w:themeColor="text1" w:themeTint="F2"/>
          <w:szCs w:val="24"/>
        </w:rPr>
        <w:t>For the purpose of enhancing the visibility of the EU and its contribution to this action, the Commission may sign or enter into joint declarations or statements, as part of its prerogative of budget implementation and to safeguard the financial interests of the Union</w:t>
      </w:r>
    </w:p>
    <w:p w14:paraId="55EA88D8" w14:textId="77777777" w:rsidR="000F68AF" w:rsidRDefault="000F68AF"/>
    <w:p w14:paraId="6071410D" w14:textId="77777777" w:rsidR="0099058C" w:rsidRPr="003C0CD7" w:rsidRDefault="0099058C" w:rsidP="001B2E35">
      <w:pPr>
        <w:pStyle w:val="Heading1"/>
        <w:rPr>
          <w:sz w:val="32"/>
          <w:lang w:val="en-IE"/>
        </w:rPr>
      </w:pPr>
      <w:bookmarkStart w:id="371" w:name="_Toc72142276"/>
      <w:bookmarkStart w:id="372" w:name="_Toc72142361"/>
      <w:bookmarkStart w:id="373" w:name="_Toc73090700"/>
      <w:bookmarkStart w:id="374" w:name="_Toc73090783"/>
      <w:bookmarkStart w:id="375" w:name="_Toc72142277"/>
      <w:bookmarkStart w:id="376" w:name="_Toc72142362"/>
      <w:bookmarkStart w:id="377" w:name="_Toc73090701"/>
      <w:bookmarkStart w:id="378" w:name="_Toc73090784"/>
      <w:bookmarkStart w:id="379" w:name="_Toc72142278"/>
      <w:bookmarkStart w:id="380" w:name="_Toc72142363"/>
      <w:bookmarkStart w:id="381" w:name="_Toc73090702"/>
      <w:bookmarkStart w:id="382" w:name="_Toc73090785"/>
      <w:bookmarkStart w:id="383" w:name="_Toc72142279"/>
      <w:bookmarkStart w:id="384" w:name="_Toc72142364"/>
      <w:bookmarkStart w:id="385" w:name="_Toc73090703"/>
      <w:bookmarkStart w:id="386" w:name="_Toc73090786"/>
      <w:bookmarkStart w:id="387" w:name="_Toc72142280"/>
      <w:bookmarkStart w:id="388" w:name="_Toc72142365"/>
      <w:bookmarkStart w:id="389" w:name="_Toc73090704"/>
      <w:bookmarkStart w:id="390" w:name="_Toc73090787"/>
      <w:bookmarkStart w:id="391" w:name="_Toc72142281"/>
      <w:bookmarkStart w:id="392" w:name="_Toc72142366"/>
      <w:bookmarkStart w:id="393" w:name="_Toc73090705"/>
      <w:bookmarkStart w:id="394" w:name="_Toc73090788"/>
      <w:bookmarkStart w:id="395" w:name="_Toc72142285"/>
      <w:bookmarkStart w:id="396" w:name="_Toc72142370"/>
      <w:bookmarkStart w:id="397" w:name="_Toc73090709"/>
      <w:bookmarkStart w:id="398" w:name="_Toc73090792"/>
      <w:bookmarkStart w:id="399" w:name="_Toc72142286"/>
      <w:bookmarkStart w:id="400" w:name="_Toc72142371"/>
      <w:bookmarkStart w:id="401" w:name="_Toc73090710"/>
      <w:bookmarkStart w:id="402" w:name="_Toc73090793"/>
      <w:bookmarkStart w:id="403" w:name="_Toc72142287"/>
      <w:bookmarkStart w:id="404" w:name="_Toc72142372"/>
      <w:bookmarkStart w:id="405" w:name="_Toc73090711"/>
      <w:bookmarkStart w:id="406" w:name="_Toc73090794"/>
      <w:bookmarkStart w:id="407" w:name="_Toc72142291"/>
      <w:bookmarkStart w:id="408" w:name="_Toc72142376"/>
      <w:bookmarkStart w:id="409" w:name="_Toc73090715"/>
      <w:bookmarkStart w:id="410" w:name="_Toc73090798"/>
      <w:bookmarkStart w:id="411" w:name="_Toc72142292"/>
      <w:bookmarkStart w:id="412" w:name="_Toc72142377"/>
      <w:bookmarkStart w:id="413" w:name="_Toc73090716"/>
      <w:bookmarkStart w:id="414" w:name="_Toc73090799"/>
      <w:bookmarkStart w:id="415" w:name="_Toc72142293"/>
      <w:bookmarkStart w:id="416" w:name="_Toc72142378"/>
      <w:bookmarkStart w:id="417" w:name="_Toc73090717"/>
      <w:bookmarkStart w:id="418" w:name="_Toc73090800"/>
      <w:bookmarkStart w:id="419" w:name="_Toc72142297"/>
      <w:bookmarkStart w:id="420" w:name="_Toc72142382"/>
      <w:bookmarkStart w:id="421" w:name="_Toc73090721"/>
      <w:bookmarkStart w:id="422" w:name="_Toc73090804"/>
      <w:bookmarkStart w:id="423" w:name="_Toc72142298"/>
      <w:bookmarkStart w:id="424" w:name="_Toc72142383"/>
      <w:bookmarkStart w:id="425" w:name="_Toc73090722"/>
      <w:bookmarkStart w:id="426" w:name="_Toc73090805"/>
      <w:bookmarkStart w:id="427" w:name="_Toc72142299"/>
      <w:bookmarkStart w:id="428" w:name="_Toc72142384"/>
      <w:bookmarkStart w:id="429" w:name="_Toc73090723"/>
      <w:bookmarkStart w:id="430" w:name="_Toc73090806"/>
      <w:bookmarkStart w:id="431" w:name="_Toc57195485"/>
      <w:bookmarkStart w:id="432" w:name="_Toc57203809"/>
      <w:bookmarkStart w:id="433" w:name="_Toc57204007"/>
      <w:bookmarkStart w:id="434" w:name="_Toc57205822"/>
      <w:bookmarkStart w:id="435" w:name="_Toc73090807"/>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3C0CD7">
        <w:rPr>
          <w:lang w:val="en-IE"/>
        </w:rPr>
        <w:t>SUSTAINABILITY</w:t>
      </w:r>
      <w:bookmarkEnd w:id="431"/>
      <w:bookmarkEnd w:id="432"/>
      <w:bookmarkEnd w:id="433"/>
      <w:bookmarkEnd w:id="434"/>
      <w:bookmarkEnd w:id="435"/>
    </w:p>
    <w:p w14:paraId="2591F976" w14:textId="4806A8E5" w:rsidR="00C10A17" w:rsidRPr="003C0CD7" w:rsidRDefault="00772C94" w:rsidP="00497F73">
      <w:pPr>
        <w:ind w:left="360"/>
        <w:rPr>
          <w:rFonts w:cs="Times New Roman"/>
          <w:highlight w:val="yellow"/>
          <w:lang w:val="en-IE"/>
        </w:rPr>
      </w:pPr>
      <w:r w:rsidRPr="00B53BB1">
        <w:rPr>
          <w:rFonts w:cs="Times New Roman"/>
          <w:lang w:val="en-IE"/>
        </w:rPr>
        <w:t xml:space="preserve">Full ownership of the reform process in the home affair sector and the fight against organised crime and terrorism by the institutions of North Macedonia, </w:t>
      </w:r>
      <w:r>
        <w:rPr>
          <w:rFonts w:cs="Times New Roman"/>
          <w:lang w:val="en-IE"/>
        </w:rPr>
        <w:t>based on</w:t>
      </w:r>
      <w:r w:rsidRPr="00B53BB1">
        <w:rPr>
          <w:rFonts w:cs="Times New Roman"/>
          <w:lang w:val="en-IE"/>
        </w:rPr>
        <w:t xml:space="preserve"> coherent strategies that </w:t>
      </w:r>
      <w:r>
        <w:rPr>
          <w:rFonts w:cs="Times New Roman"/>
          <w:lang w:val="en-IE"/>
        </w:rPr>
        <w:t xml:space="preserve">align with the EU acquis and good international practices, is a cornerstone of </w:t>
      </w:r>
      <w:r w:rsidRPr="00B53BB1">
        <w:rPr>
          <w:rFonts w:cs="Times New Roman"/>
          <w:lang w:val="en-IE"/>
        </w:rPr>
        <w:t xml:space="preserve">its sustainability. </w:t>
      </w:r>
      <w:r w:rsidR="00B53BB1" w:rsidRPr="00B53BB1">
        <w:rPr>
          <w:rFonts w:cs="Times New Roman"/>
          <w:lang w:val="en-IE"/>
        </w:rPr>
        <w:t>The Action</w:t>
      </w:r>
      <w:r w:rsidR="00EE74D8">
        <w:rPr>
          <w:rFonts w:cs="Times New Roman"/>
          <w:lang w:val="en-IE"/>
        </w:rPr>
        <w:t>’s sustainability</w:t>
      </w:r>
      <w:r w:rsidR="00B53BB1" w:rsidRPr="00B53BB1">
        <w:rPr>
          <w:rFonts w:cs="Times New Roman"/>
          <w:lang w:val="en-IE"/>
        </w:rPr>
        <w:t xml:space="preserve"> is </w:t>
      </w:r>
      <w:r w:rsidR="00EE74D8">
        <w:rPr>
          <w:rFonts w:cs="Times New Roman"/>
          <w:lang w:val="en-IE"/>
        </w:rPr>
        <w:t>ensured through the improved capacities of the national authorities to fight cybercrime, organised crime and terrorism. Th</w:t>
      </w:r>
      <w:r w:rsidR="001013AF">
        <w:rPr>
          <w:rFonts w:cs="Times New Roman"/>
          <w:lang w:val="en-IE"/>
        </w:rPr>
        <w:t>is involves an</w:t>
      </w:r>
      <w:r w:rsidR="00EE74D8">
        <w:rPr>
          <w:rFonts w:cs="Times New Roman"/>
          <w:lang w:val="en-IE"/>
        </w:rPr>
        <w:t xml:space="preserve"> upgrade of the operational and leg</w:t>
      </w:r>
      <w:r w:rsidR="001013AF">
        <w:rPr>
          <w:rFonts w:cs="Times New Roman"/>
          <w:lang w:val="en-IE"/>
        </w:rPr>
        <w:t>al framework for fighting crime</w:t>
      </w:r>
      <w:r w:rsidR="00B53BB1" w:rsidRPr="00B53BB1">
        <w:rPr>
          <w:rFonts w:cs="Times New Roman"/>
          <w:lang w:val="en-IE"/>
        </w:rPr>
        <w:t xml:space="preserve"> </w:t>
      </w:r>
      <w:r w:rsidR="00EE74D8">
        <w:rPr>
          <w:rFonts w:cs="Times New Roman"/>
          <w:lang w:val="en-IE"/>
        </w:rPr>
        <w:t xml:space="preserve">through establishing and/or amending procedures, </w:t>
      </w:r>
      <w:r w:rsidR="00B53BB1" w:rsidRPr="00B53BB1">
        <w:rPr>
          <w:rFonts w:cs="Times New Roman"/>
          <w:lang w:val="en-IE"/>
        </w:rPr>
        <w:t>rules and strategic documents</w:t>
      </w:r>
      <w:r w:rsidR="001013AF">
        <w:rPr>
          <w:rFonts w:cs="Times New Roman"/>
          <w:lang w:val="en-IE"/>
        </w:rPr>
        <w:t xml:space="preserve">, which will define in a mid-term anti-crime activities </w:t>
      </w:r>
      <w:r w:rsidR="00923F6B">
        <w:rPr>
          <w:rFonts w:cs="Times New Roman"/>
          <w:lang w:val="en-IE"/>
        </w:rPr>
        <w:t xml:space="preserve"> </w:t>
      </w:r>
      <w:r w:rsidR="001013AF">
        <w:rPr>
          <w:rFonts w:cs="Times New Roman"/>
          <w:lang w:val="en-IE"/>
        </w:rPr>
        <w:t>and routine</w:t>
      </w:r>
      <w:r>
        <w:rPr>
          <w:rFonts w:cs="Times New Roman"/>
          <w:lang w:val="en-IE"/>
        </w:rPr>
        <w:t xml:space="preserve"> in the country</w:t>
      </w:r>
      <w:r w:rsidR="001013AF">
        <w:rPr>
          <w:rFonts w:cs="Times New Roman"/>
          <w:lang w:val="en-IE"/>
        </w:rPr>
        <w:t xml:space="preserve">. </w:t>
      </w:r>
      <w:r w:rsidR="00B53BB1" w:rsidRPr="00B53BB1">
        <w:rPr>
          <w:rFonts w:cs="Times New Roman"/>
          <w:lang w:val="en-IE"/>
        </w:rPr>
        <w:t xml:space="preserve">In addition, </w:t>
      </w:r>
      <w:r w:rsidR="001013AF">
        <w:rPr>
          <w:rFonts w:cs="Times New Roman"/>
          <w:lang w:val="en-IE"/>
        </w:rPr>
        <w:t xml:space="preserve">training of officers and staff engaged in fighting crime </w:t>
      </w:r>
      <w:r>
        <w:rPr>
          <w:rFonts w:cs="Times New Roman"/>
          <w:lang w:val="en-IE"/>
        </w:rPr>
        <w:t xml:space="preserve">will allow improving of the working methods in line with the EU standards allowing law enforcement bodies to participate in joint operations with EU and US and others peers, thus contributing to the country’s integration into the international anti-crime systems. </w:t>
      </w:r>
    </w:p>
    <w:p w14:paraId="68AC798A" w14:textId="77777777" w:rsidR="006B5FFC" w:rsidRDefault="00AA1275" w:rsidP="004D2C15">
      <w:pPr>
        <w:rPr>
          <w:lang w:val="en-IE"/>
        </w:rPr>
      </w:pPr>
      <w:r w:rsidRPr="003C0CD7">
        <w:rPr>
          <w:lang w:val="en-IE"/>
        </w:rPr>
        <w:br w:type="page"/>
      </w:r>
      <w:bookmarkStart w:id="436" w:name="_Ref58428013"/>
    </w:p>
    <w:p w14:paraId="3BBF85BD" w14:textId="4697DB09" w:rsidR="005F6437" w:rsidRPr="00C85643" w:rsidRDefault="005F6437" w:rsidP="005F6437">
      <w:pPr>
        <w:rPr>
          <w:b/>
        </w:rPr>
      </w:pPr>
      <w:r w:rsidRPr="00C85643">
        <w:rPr>
          <w:b/>
        </w:rPr>
        <w:lastRenderedPageBreak/>
        <w:t xml:space="preserve">Appendix </w:t>
      </w:r>
      <w:r w:rsidRPr="00C85643">
        <w:rPr>
          <w:b/>
        </w:rPr>
        <w:fldChar w:fldCharType="begin"/>
      </w:r>
      <w:r w:rsidRPr="00C85643">
        <w:rPr>
          <w:b/>
        </w:rPr>
        <w:instrText xml:space="preserve"> SEQ Appendix \* ARABIC </w:instrText>
      </w:r>
      <w:r w:rsidRPr="00C85643">
        <w:rPr>
          <w:b/>
        </w:rPr>
        <w:fldChar w:fldCharType="separate"/>
      </w:r>
      <w:r w:rsidR="005556EE">
        <w:rPr>
          <w:b/>
          <w:noProof/>
        </w:rPr>
        <w:t>1</w:t>
      </w:r>
      <w:r w:rsidRPr="00C85643">
        <w:rPr>
          <w:b/>
        </w:rPr>
        <w:fldChar w:fldCharType="end"/>
      </w:r>
      <w:r w:rsidRPr="00C85643">
        <w:rPr>
          <w:b/>
        </w:rPr>
        <w:t xml:space="preserve">: </w:t>
      </w:r>
      <w:r>
        <w:rPr>
          <w:b/>
          <w:szCs w:val="24"/>
        </w:rPr>
        <w:t xml:space="preserve">IDENTIFICATION OF THE PRIMARY INTERVENTION LEVEL FOR </w:t>
      </w:r>
      <w:r w:rsidRPr="00C85643">
        <w:rPr>
          <w:b/>
        </w:rPr>
        <w:t>REPORTING IN OPSYS</w:t>
      </w:r>
    </w:p>
    <w:p w14:paraId="3D7A7F00" w14:textId="77777777" w:rsidR="005F6437" w:rsidRPr="00C85643" w:rsidRDefault="005F6437" w:rsidP="005F6437">
      <w:pPr>
        <w:rPr>
          <w:b/>
          <w:i/>
        </w:rPr>
      </w:pPr>
    </w:p>
    <w:p w14:paraId="1F66E696" w14:textId="77777777" w:rsidR="005F6437" w:rsidRPr="00C85643" w:rsidRDefault="005F6437" w:rsidP="005F6437">
      <w:r w:rsidRPr="005F1DC7">
        <w:rPr>
          <w:rFonts w:cs="Times New Roman"/>
          <w:szCs w:val="24"/>
        </w:rPr>
        <w:t>A Primary intervention</w:t>
      </w:r>
      <w:r w:rsidRPr="000A76A6">
        <w:rPr>
          <w:rStyle w:val="FootnoteReference"/>
          <w:szCs w:val="24"/>
          <w:lang w:val="en-US"/>
        </w:rPr>
        <w:footnoteReference w:id="31"/>
      </w:r>
      <w:r w:rsidRPr="00AA3E2A">
        <w:rPr>
          <w:rFonts w:cs="Times New Roman"/>
          <w:szCs w:val="24"/>
        </w:rPr>
        <w:t xml:space="preserve"> </w:t>
      </w:r>
      <w:r w:rsidRPr="005F1DC7">
        <w:rPr>
          <w:rFonts w:cs="Times New Roman"/>
          <w:szCs w:val="24"/>
        </w:rPr>
        <w:t>(</w:t>
      </w:r>
      <w:r w:rsidRPr="00C85643">
        <w:t xml:space="preserve">project/programme) is a coherent set of results structured in a logical framework aiming at delivering development change or progress. </w:t>
      </w:r>
      <w:r w:rsidRPr="005F1DC7">
        <w:rPr>
          <w:rFonts w:cs="Times New Roman"/>
          <w:szCs w:val="24"/>
        </w:rPr>
        <w:t xml:space="preserve">Identifying the level of </w:t>
      </w:r>
      <w:r w:rsidRPr="00C85643">
        <w:t xml:space="preserve">the primary intervention </w:t>
      </w:r>
      <w:r w:rsidRPr="005F1DC7">
        <w:rPr>
          <w:rFonts w:cs="Times New Roman"/>
          <w:szCs w:val="24"/>
        </w:rPr>
        <w:t>will allow for:</w:t>
      </w:r>
      <w:r w:rsidRPr="005F1DC7" w:rsidDel="00B247CF">
        <w:rPr>
          <w:rFonts w:cs="Times New Roman"/>
          <w:szCs w:val="24"/>
        </w:rPr>
        <w:t xml:space="preserve"> </w:t>
      </w:r>
    </w:p>
    <w:p w14:paraId="49A8DC30" w14:textId="77777777" w:rsidR="005F6437" w:rsidRPr="00541660" w:rsidRDefault="005F6437" w:rsidP="005F6437">
      <w:pPr>
        <w:autoSpaceDE w:val="0"/>
        <w:autoSpaceDN w:val="0"/>
        <w:adjustRightInd w:val="0"/>
        <w:jc w:val="left"/>
        <w:rPr>
          <w:rFonts w:cs="Times New Roman"/>
          <w:color w:val="000000"/>
          <w:szCs w:val="23"/>
          <w:lang w:val="en-US"/>
        </w:rPr>
      </w:pPr>
    </w:p>
    <w:p w14:paraId="6E13F327" w14:textId="77777777" w:rsidR="005F6437" w:rsidRPr="00541660" w:rsidRDefault="005F6437" w:rsidP="00E01FEF">
      <w:pPr>
        <w:pStyle w:val="ListParagraph"/>
        <w:numPr>
          <w:ilvl w:val="0"/>
          <w:numId w:val="9"/>
        </w:numPr>
        <w:autoSpaceDE w:val="0"/>
        <w:autoSpaceDN w:val="0"/>
        <w:adjustRightInd w:val="0"/>
        <w:spacing w:after="169"/>
        <w:jc w:val="left"/>
        <w:rPr>
          <w:rFonts w:cs="Times New Roman"/>
          <w:color w:val="000000"/>
          <w:szCs w:val="23"/>
          <w:lang w:val="en-US"/>
        </w:rPr>
      </w:pPr>
      <w:r w:rsidRPr="00541660">
        <w:rPr>
          <w:rFonts w:cs="Times New Roman"/>
          <w:color w:val="000000"/>
          <w:szCs w:val="23"/>
          <w:lang w:val="en-US"/>
        </w:rPr>
        <w:t xml:space="preserve">Differentiating these Actions or Contracts from those that do not produce direct reportable development results, defined as support entities (i.e. audits, evaluations); </w:t>
      </w:r>
    </w:p>
    <w:p w14:paraId="0E641795" w14:textId="77777777" w:rsidR="005F6437" w:rsidRPr="00541660" w:rsidRDefault="005F6437" w:rsidP="00E01FEF">
      <w:pPr>
        <w:pStyle w:val="ListParagraph"/>
        <w:numPr>
          <w:ilvl w:val="0"/>
          <w:numId w:val="9"/>
        </w:numPr>
        <w:autoSpaceDE w:val="0"/>
        <w:autoSpaceDN w:val="0"/>
        <w:adjustRightInd w:val="0"/>
        <w:spacing w:after="169"/>
        <w:jc w:val="left"/>
        <w:rPr>
          <w:rFonts w:cs="Times New Roman"/>
          <w:color w:val="000000"/>
          <w:szCs w:val="23"/>
          <w:lang w:val="en-US"/>
        </w:rPr>
      </w:pPr>
      <w:r w:rsidRPr="00541660">
        <w:rPr>
          <w:rFonts w:cs="Times New Roman"/>
          <w:color w:val="000000"/>
          <w:szCs w:val="23"/>
          <w:lang w:val="en-US"/>
        </w:rPr>
        <w:t xml:space="preserve">Articulating Actions and/or Contracts according to an expected common chain of results and therefore allowing them to ensure a more efficient and aggregated monitoring and reporting of performance; </w:t>
      </w:r>
    </w:p>
    <w:p w14:paraId="30E95EB6" w14:textId="77777777" w:rsidR="005F6437" w:rsidRPr="00541660" w:rsidRDefault="005F6437" w:rsidP="00E01FEF">
      <w:pPr>
        <w:pStyle w:val="ListParagraph"/>
        <w:numPr>
          <w:ilvl w:val="0"/>
          <w:numId w:val="9"/>
        </w:numPr>
        <w:rPr>
          <w:rFonts w:cs="Times New Roman"/>
          <w:color w:val="000000"/>
          <w:szCs w:val="23"/>
          <w:lang w:val="en-US"/>
        </w:rPr>
      </w:pPr>
      <w:r w:rsidRPr="00541660">
        <w:rPr>
          <w:rFonts w:cs="Times New Roman"/>
          <w:color w:val="000000"/>
          <w:szCs w:val="23"/>
          <w:lang w:val="en-US"/>
        </w:rPr>
        <w:t>Having a complete and exhaustive mapping of all results-bearing Actions and Contracts.</w:t>
      </w:r>
    </w:p>
    <w:p w14:paraId="03E32CB6" w14:textId="77777777" w:rsidR="005F6437" w:rsidRPr="003C0CD7" w:rsidRDefault="005F6437" w:rsidP="004D2C15">
      <w:pPr>
        <w:rPr>
          <w:lang w:val="en-IE"/>
        </w:rPr>
      </w:pPr>
    </w:p>
    <w:p w14:paraId="06E32FC5" w14:textId="1DCFB2A9" w:rsidR="005F6437" w:rsidRPr="00AE4A5B" w:rsidRDefault="005F6437" w:rsidP="005F6437">
      <w:pPr>
        <w:rPr>
          <w:lang w:val="en-US"/>
        </w:rPr>
      </w:pPr>
      <w:r>
        <w:rPr>
          <w:lang w:val="en-US"/>
        </w:rPr>
        <w:t xml:space="preserve">The present Action identifies as </w:t>
      </w:r>
    </w:p>
    <w:p w14:paraId="54AC40F4" w14:textId="77777777" w:rsidR="005F6437" w:rsidRPr="003C0CD7" w:rsidRDefault="005F6437" w:rsidP="005F6437">
      <w:pPr>
        <w:rPr>
          <w:rFonts w:cs="Calibri"/>
          <w: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95"/>
        <w:gridCol w:w="7579"/>
      </w:tblGrid>
      <w:tr w:rsidR="005F6437" w:rsidRPr="008704EA" w14:paraId="61E5F1E1" w14:textId="77777777" w:rsidTr="00FD71E4">
        <w:trPr>
          <w:trHeight w:val="422"/>
        </w:trPr>
        <w:tc>
          <w:tcPr>
            <w:tcW w:w="10230" w:type="dxa"/>
            <w:gridSpan w:val="3"/>
            <w:tcBorders>
              <w:top w:val="single" w:sz="4" w:space="0" w:color="auto"/>
              <w:left w:val="single" w:sz="4" w:space="0" w:color="auto"/>
              <w:bottom w:val="single" w:sz="4" w:space="0" w:color="auto"/>
              <w:right w:val="single" w:sz="4" w:space="0" w:color="auto"/>
            </w:tcBorders>
          </w:tcPr>
          <w:p w14:paraId="6F44A6CE" w14:textId="77777777" w:rsidR="005F6437" w:rsidRDefault="005F6437" w:rsidP="00FD71E4">
            <w:r w:rsidRPr="003C0CD7">
              <w:rPr>
                <w:b/>
                <w:bCs/>
                <w:lang w:val="en-IE"/>
              </w:rPr>
              <w:t>Action level</w:t>
            </w:r>
            <w:r>
              <w:rPr>
                <w:b/>
                <w:bCs/>
                <w:lang w:val="en-IE"/>
              </w:rPr>
              <w:t xml:space="preserve"> </w:t>
            </w:r>
            <w:r w:rsidRPr="003775F2">
              <w:rPr>
                <w:bCs/>
              </w:rPr>
              <w:t>(i.e. Budget support, Blending)</w:t>
            </w:r>
          </w:p>
          <w:p w14:paraId="37C028B1" w14:textId="77777777" w:rsidR="005F6437" w:rsidRPr="00C85643" w:rsidRDefault="005F6437" w:rsidP="00FD71E4">
            <w:pPr>
              <w:pStyle w:val="Text1"/>
              <w:spacing w:before="60" w:after="60" w:line="254" w:lineRule="auto"/>
              <w:ind w:left="0" w:right="-25"/>
              <w:jc w:val="left"/>
              <w:rPr>
                <w:b/>
              </w:rPr>
            </w:pPr>
          </w:p>
        </w:tc>
      </w:tr>
      <w:tr w:rsidR="005F6437" w:rsidRPr="008704EA" w14:paraId="619AAE0E" w14:textId="77777777" w:rsidTr="00FD71E4">
        <w:trPr>
          <w:trHeight w:val="547"/>
        </w:trPr>
        <w:tc>
          <w:tcPr>
            <w:tcW w:w="456" w:type="dxa"/>
            <w:tcBorders>
              <w:top w:val="single" w:sz="4" w:space="0" w:color="auto"/>
              <w:left w:val="single" w:sz="4" w:space="0" w:color="auto"/>
              <w:bottom w:val="single" w:sz="4" w:space="0" w:color="auto"/>
              <w:right w:val="single" w:sz="4" w:space="0" w:color="auto"/>
            </w:tcBorders>
          </w:tcPr>
          <w:p w14:paraId="4D7D2DF0" w14:textId="0A14A9FA" w:rsidR="005F6437" w:rsidRPr="003C0CD7" w:rsidRDefault="00A86B61"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99083052"/>
                <w14:checkbox>
                  <w14:checked w14:val="1"/>
                  <w14:checkedState w14:val="2612" w14:font="MS Gothic"/>
                  <w14:uncheckedState w14:val="2610" w14:font="MS Gothic"/>
                </w14:checkbox>
              </w:sdtPr>
              <w:sdtEndPr/>
              <w:sdtContent>
                <w:r w:rsidR="00855574">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56582AED" w14:textId="77777777" w:rsidR="005F6437" w:rsidRPr="003C0CD7" w:rsidRDefault="005F6437" w:rsidP="00FD71E4">
            <w:pPr>
              <w:pStyle w:val="Text1"/>
              <w:spacing w:before="60" w:after="60" w:line="254" w:lineRule="auto"/>
              <w:ind w:left="0" w:right="-25"/>
              <w:jc w:val="left"/>
              <w:rPr>
                <w:lang w:val="en-IE"/>
              </w:rPr>
            </w:pPr>
            <w:r w:rsidRPr="003C0CD7">
              <w:rPr>
                <w:lang w:val="en-IE"/>
              </w:rPr>
              <w:t>Single action</w:t>
            </w:r>
          </w:p>
        </w:tc>
        <w:tc>
          <w:tcPr>
            <w:tcW w:w="7579" w:type="dxa"/>
            <w:tcBorders>
              <w:top w:val="single" w:sz="4" w:space="0" w:color="auto"/>
              <w:left w:val="single" w:sz="4" w:space="0" w:color="auto"/>
              <w:bottom w:val="single" w:sz="4" w:space="0" w:color="auto"/>
              <w:right w:val="single" w:sz="4" w:space="0" w:color="auto"/>
            </w:tcBorders>
          </w:tcPr>
          <w:p w14:paraId="0F739EAB" w14:textId="77777777" w:rsidR="005F6437" w:rsidRPr="003C0CD7" w:rsidRDefault="005F6437" w:rsidP="00FD71E4">
            <w:pPr>
              <w:pStyle w:val="Text1"/>
              <w:spacing w:before="60" w:after="60" w:line="254" w:lineRule="auto"/>
              <w:ind w:left="0" w:right="-25"/>
              <w:jc w:val="left"/>
              <w:rPr>
                <w:lang w:val="en-IE"/>
              </w:rPr>
            </w:pPr>
            <w:r w:rsidRPr="003C0CD7">
              <w:rPr>
                <w:lang w:val="en-IE"/>
              </w:rPr>
              <w:t>Present action: all contracts in the present action</w:t>
            </w:r>
          </w:p>
        </w:tc>
      </w:tr>
      <w:tr w:rsidR="005F6437" w:rsidRPr="008704EA" w14:paraId="532187D7" w14:textId="77777777" w:rsidTr="00FD71E4">
        <w:trPr>
          <w:trHeight w:val="408"/>
        </w:trPr>
        <w:tc>
          <w:tcPr>
            <w:tcW w:w="10230" w:type="dxa"/>
            <w:gridSpan w:val="3"/>
            <w:tcBorders>
              <w:top w:val="single" w:sz="4" w:space="0" w:color="auto"/>
              <w:left w:val="single" w:sz="4" w:space="0" w:color="auto"/>
              <w:bottom w:val="single" w:sz="4" w:space="0" w:color="auto"/>
              <w:right w:val="single" w:sz="4" w:space="0" w:color="auto"/>
            </w:tcBorders>
          </w:tcPr>
          <w:p w14:paraId="0614482D" w14:textId="77777777" w:rsidR="005F6437" w:rsidRPr="00C85643" w:rsidRDefault="005F6437" w:rsidP="00FD71E4">
            <w:r w:rsidRPr="003C0CD7">
              <w:rPr>
                <w:b/>
                <w:bCs/>
                <w:lang w:val="en-IE"/>
              </w:rPr>
              <w:t>Group of actions level</w:t>
            </w:r>
            <w:r>
              <w:rPr>
                <w:b/>
                <w:bCs/>
                <w:lang w:val="en-IE"/>
              </w:rPr>
              <w:t xml:space="preserve"> </w:t>
            </w:r>
            <w:r>
              <w:rPr>
                <w:bCs/>
              </w:rPr>
              <w:t>(i.e:</w:t>
            </w:r>
            <w:r w:rsidRPr="003775F2">
              <w:rPr>
                <w:bCs/>
              </w:rPr>
              <w:t xml:space="preserve"> i) top-up cases, ii) second, third, etc. phases of a programme)</w:t>
            </w:r>
          </w:p>
        </w:tc>
      </w:tr>
      <w:tr w:rsidR="005F6437" w:rsidRPr="008704EA" w14:paraId="424158C8" w14:textId="77777777" w:rsidTr="00FD71E4">
        <w:trPr>
          <w:trHeight w:val="1114"/>
        </w:trPr>
        <w:tc>
          <w:tcPr>
            <w:tcW w:w="456" w:type="dxa"/>
            <w:tcBorders>
              <w:top w:val="single" w:sz="4" w:space="0" w:color="auto"/>
              <w:left w:val="single" w:sz="4" w:space="0" w:color="auto"/>
              <w:bottom w:val="single" w:sz="4" w:space="0" w:color="auto"/>
              <w:right w:val="single" w:sz="4" w:space="0" w:color="auto"/>
            </w:tcBorders>
          </w:tcPr>
          <w:p w14:paraId="4865245D" w14:textId="77777777" w:rsidR="005F6437" w:rsidRPr="003C0CD7" w:rsidRDefault="00A86B61"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18776351"/>
                <w14:checkbox>
                  <w14:checked w14:val="0"/>
                  <w14:checkedState w14:val="2612" w14:font="MS Gothic"/>
                  <w14:uncheckedState w14:val="2610" w14:font="MS Gothic"/>
                </w14:checkbox>
              </w:sdtPr>
              <w:sdtEndPr/>
              <w:sdtContent>
                <w:r w:rsidR="005F6437"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6B30D4C8" w14:textId="77777777" w:rsidR="005F6437" w:rsidRPr="003C0CD7" w:rsidRDefault="005F6437" w:rsidP="00FD71E4">
            <w:pPr>
              <w:pStyle w:val="Text1"/>
              <w:spacing w:before="60" w:after="60" w:line="254" w:lineRule="auto"/>
              <w:ind w:left="0" w:right="-25"/>
              <w:jc w:val="left"/>
              <w:rPr>
                <w:color w:val="0D0D0D" w:themeColor="text1" w:themeTint="F2"/>
                <w:highlight w:val="yellow"/>
                <w:lang w:val="en-IE"/>
              </w:rPr>
            </w:pPr>
            <w:r w:rsidRPr="003C0CD7">
              <w:rPr>
                <w:lang w:val="en-IE"/>
              </w:rPr>
              <w:t>Group of actions</w:t>
            </w:r>
          </w:p>
        </w:tc>
        <w:tc>
          <w:tcPr>
            <w:tcW w:w="7579" w:type="dxa"/>
            <w:tcBorders>
              <w:top w:val="single" w:sz="4" w:space="0" w:color="auto"/>
              <w:left w:val="single" w:sz="4" w:space="0" w:color="auto"/>
              <w:bottom w:val="single" w:sz="4" w:space="0" w:color="auto"/>
              <w:right w:val="single" w:sz="4" w:space="0" w:color="auto"/>
            </w:tcBorders>
          </w:tcPr>
          <w:p w14:paraId="40F997CD" w14:textId="2F12231D" w:rsidR="005F6437" w:rsidRPr="003C0CD7" w:rsidRDefault="00855574" w:rsidP="00855574">
            <w:pPr>
              <w:pStyle w:val="Text1"/>
              <w:spacing w:before="60" w:after="60" w:line="254" w:lineRule="auto"/>
              <w:ind w:left="0" w:right="-25"/>
              <w:jc w:val="left"/>
              <w:rPr>
                <w:lang w:val="en-IE"/>
              </w:rPr>
            </w:pPr>
            <w:r>
              <w:rPr>
                <w:lang w:val="en-IE"/>
              </w:rPr>
              <w:t>N/A</w:t>
            </w:r>
          </w:p>
        </w:tc>
      </w:tr>
      <w:tr w:rsidR="005F6437" w:rsidRPr="008704EA" w14:paraId="403A1AA5" w14:textId="77777777" w:rsidTr="00FD71E4">
        <w:trPr>
          <w:trHeight w:val="483"/>
        </w:trPr>
        <w:tc>
          <w:tcPr>
            <w:tcW w:w="10230" w:type="dxa"/>
            <w:gridSpan w:val="3"/>
            <w:tcBorders>
              <w:top w:val="single" w:sz="4" w:space="0" w:color="auto"/>
              <w:left w:val="single" w:sz="4" w:space="0" w:color="auto"/>
              <w:bottom w:val="single" w:sz="4" w:space="0" w:color="auto"/>
              <w:right w:val="single" w:sz="4" w:space="0" w:color="auto"/>
            </w:tcBorders>
          </w:tcPr>
          <w:p w14:paraId="5FF7CB2B" w14:textId="77777777" w:rsidR="005F6437" w:rsidRPr="00C85643" w:rsidRDefault="005F6437" w:rsidP="00FD71E4">
            <w:r w:rsidRPr="003C0CD7">
              <w:rPr>
                <w:b/>
                <w:bCs/>
                <w:color w:val="0D0D0D" w:themeColor="text1" w:themeTint="F2"/>
                <w:lang w:val="en-IE"/>
              </w:rPr>
              <w:t>Contract level</w:t>
            </w:r>
            <w:r>
              <w:rPr>
                <w:b/>
                <w:bCs/>
                <w:color w:val="0D0D0D" w:themeColor="text1" w:themeTint="F2"/>
                <w:lang w:val="en-IE"/>
              </w:rPr>
              <w:t xml:space="preserve"> </w:t>
            </w:r>
            <w:r w:rsidRPr="003775F2">
              <w:rPr>
                <w:bCs/>
                <w:color w:val="0D0D0D" w:themeColor="text1" w:themeTint="F2"/>
              </w:rPr>
              <w:t>(i.e. Grants, Contribution Agreements, any case in which foreseen individual legal commitments identified in the budget will have different log frames, even if part of the same Action Document)</w:t>
            </w:r>
          </w:p>
        </w:tc>
      </w:tr>
      <w:tr w:rsidR="005F6437" w:rsidRPr="008704EA" w14:paraId="1B620ABD" w14:textId="77777777" w:rsidTr="00FD71E4">
        <w:trPr>
          <w:trHeight w:val="466"/>
        </w:trPr>
        <w:tc>
          <w:tcPr>
            <w:tcW w:w="456" w:type="dxa"/>
            <w:tcBorders>
              <w:top w:val="single" w:sz="4" w:space="0" w:color="auto"/>
              <w:left w:val="single" w:sz="4" w:space="0" w:color="auto"/>
              <w:bottom w:val="single" w:sz="4" w:space="0" w:color="auto"/>
              <w:right w:val="single" w:sz="4" w:space="0" w:color="auto"/>
            </w:tcBorders>
          </w:tcPr>
          <w:p w14:paraId="101D069C" w14:textId="77777777" w:rsidR="005F6437" w:rsidRPr="003C0CD7" w:rsidRDefault="00A86B61"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799881472"/>
                <w14:checkbox>
                  <w14:checked w14:val="0"/>
                  <w14:checkedState w14:val="2612" w14:font="MS Gothic"/>
                  <w14:uncheckedState w14:val="2610" w14:font="MS Gothic"/>
                </w14:checkbox>
              </w:sdtPr>
              <w:sdtEndPr/>
              <w:sdtContent>
                <w:r w:rsidR="005F6437"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49339E8" w14:textId="77777777" w:rsidR="005F6437" w:rsidRPr="003C0CD7" w:rsidRDefault="005F6437" w:rsidP="00FD71E4">
            <w:pPr>
              <w:pStyle w:val="Text1"/>
              <w:spacing w:before="60" w:after="60" w:line="254" w:lineRule="auto"/>
              <w:ind w:left="0" w:right="-25"/>
              <w:jc w:val="left"/>
              <w:rPr>
                <w:lang w:val="en-IE"/>
              </w:rPr>
            </w:pPr>
            <w:r w:rsidRPr="003C0CD7">
              <w:rPr>
                <w:lang w:val="en-IE"/>
              </w:rPr>
              <w:t>Single Contract 1</w:t>
            </w:r>
          </w:p>
        </w:tc>
        <w:tc>
          <w:tcPr>
            <w:tcW w:w="7579" w:type="dxa"/>
            <w:tcBorders>
              <w:top w:val="single" w:sz="4" w:space="0" w:color="auto"/>
              <w:left w:val="single" w:sz="4" w:space="0" w:color="auto"/>
              <w:bottom w:val="single" w:sz="4" w:space="0" w:color="auto"/>
              <w:right w:val="single" w:sz="4" w:space="0" w:color="auto"/>
            </w:tcBorders>
          </w:tcPr>
          <w:p w14:paraId="5F214BB3" w14:textId="7E0EE711" w:rsidR="005F6437" w:rsidRPr="003C0CD7" w:rsidRDefault="00855574" w:rsidP="00FD71E4">
            <w:pPr>
              <w:pStyle w:val="Text1"/>
              <w:spacing w:before="60" w:after="60" w:line="254" w:lineRule="auto"/>
              <w:ind w:left="0" w:right="-25"/>
              <w:jc w:val="left"/>
              <w:rPr>
                <w:lang w:val="en-IE"/>
              </w:rPr>
            </w:pPr>
            <w:r>
              <w:rPr>
                <w:lang w:val="en-IE"/>
              </w:rPr>
              <w:t>N/A</w:t>
            </w:r>
          </w:p>
        </w:tc>
      </w:tr>
      <w:tr w:rsidR="005F6437" w:rsidRPr="008704EA" w14:paraId="529A7DB2" w14:textId="77777777" w:rsidTr="00FD71E4">
        <w:trPr>
          <w:trHeight w:val="466"/>
        </w:trPr>
        <w:tc>
          <w:tcPr>
            <w:tcW w:w="10230" w:type="dxa"/>
            <w:gridSpan w:val="3"/>
            <w:tcBorders>
              <w:top w:val="single" w:sz="4" w:space="0" w:color="auto"/>
              <w:left w:val="single" w:sz="4" w:space="0" w:color="auto"/>
              <w:bottom w:val="single" w:sz="4" w:space="0" w:color="auto"/>
              <w:right w:val="single" w:sz="4" w:space="0" w:color="auto"/>
            </w:tcBorders>
          </w:tcPr>
          <w:p w14:paraId="1705BFC4" w14:textId="77777777" w:rsidR="005F6437" w:rsidRPr="00CA6227" w:rsidRDefault="005F6437" w:rsidP="00FD71E4">
            <w:r w:rsidRPr="00162DD2">
              <w:rPr>
                <w:b/>
                <w:bCs/>
              </w:rPr>
              <w:t xml:space="preserve">Group of contracts level </w:t>
            </w:r>
            <w:r w:rsidRPr="003775F2">
              <w:rPr>
                <w:bCs/>
              </w:rPr>
              <w:t>(i.e: i)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5F6437" w:rsidRPr="008704EA" w14:paraId="799836C3" w14:textId="77777777" w:rsidTr="00855574">
        <w:trPr>
          <w:trHeight w:val="466"/>
        </w:trPr>
        <w:tc>
          <w:tcPr>
            <w:tcW w:w="456" w:type="dxa"/>
            <w:tcBorders>
              <w:top w:val="single" w:sz="4" w:space="0" w:color="auto"/>
              <w:left w:val="single" w:sz="4" w:space="0" w:color="auto"/>
              <w:bottom w:val="single" w:sz="4" w:space="0" w:color="auto"/>
              <w:right w:val="single" w:sz="4" w:space="0" w:color="auto"/>
            </w:tcBorders>
          </w:tcPr>
          <w:p w14:paraId="0BD4F80C" w14:textId="77777777" w:rsidR="005F6437" w:rsidRDefault="00A86B61" w:rsidP="00FD71E4">
            <w:pPr>
              <w:pStyle w:val="Text1"/>
              <w:spacing w:before="60" w:after="60" w:line="254" w:lineRule="auto"/>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rPr>
                <w:id w:val="-357436702"/>
                <w14:checkbox>
                  <w14:checked w14:val="0"/>
                  <w14:checkedState w14:val="2612" w14:font="MS Gothic"/>
                  <w14:uncheckedState w14:val="2610" w14:font="MS Gothic"/>
                </w14:checkbox>
              </w:sdtPr>
              <w:sdtEndPr/>
              <w:sdtContent>
                <w:r w:rsidR="005F6437" w:rsidRPr="00AA3E2A">
                  <w:rPr>
                    <w:rFonts w:ascii="MS Gothic" w:eastAsia="MS Gothic" w:hAnsi="MS Gothic" w:cs="Segoe UI Symbol"/>
                    <w:color w:val="0D0D0D" w:themeColor="text1" w:themeTint="F2"/>
                  </w:rPr>
                  <w:t>☐</w:t>
                </w:r>
              </w:sdtContent>
            </w:sdt>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043CAACC" w14:textId="77777777" w:rsidR="005F6437" w:rsidRPr="00855574" w:rsidRDefault="005F6437" w:rsidP="00FD71E4">
            <w:pPr>
              <w:pStyle w:val="Text1"/>
              <w:spacing w:before="60" w:after="60" w:line="254" w:lineRule="auto"/>
              <w:ind w:left="0" w:right="-25"/>
              <w:jc w:val="left"/>
              <w:rPr>
                <w:lang w:val="en-IE"/>
              </w:rPr>
            </w:pPr>
            <w:r w:rsidRPr="00855574">
              <w:t>Group of contracts</w:t>
            </w:r>
          </w:p>
        </w:tc>
        <w:tc>
          <w:tcPr>
            <w:tcW w:w="7579" w:type="dxa"/>
            <w:tcBorders>
              <w:top w:val="single" w:sz="4" w:space="0" w:color="auto"/>
              <w:left w:val="single" w:sz="4" w:space="0" w:color="auto"/>
              <w:bottom w:val="single" w:sz="4" w:space="0" w:color="auto"/>
              <w:right w:val="single" w:sz="4" w:space="0" w:color="auto"/>
            </w:tcBorders>
            <w:shd w:val="clear" w:color="auto" w:fill="auto"/>
          </w:tcPr>
          <w:p w14:paraId="31C8A615" w14:textId="63376FC3" w:rsidR="005F6437" w:rsidRPr="00855574" w:rsidRDefault="00855574" w:rsidP="00FD71E4">
            <w:pPr>
              <w:pStyle w:val="Text1"/>
              <w:spacing w:before="60" w:after="60" w:line="254" w:lineRule="auto"/>
              <w:ind w:left="0" w:right="-25"/>
              <w:jc w:val="left"/>
              <w:rPr>
                <w:lang w:val="en-IE"/>
              </w:rPr>
            </w:pPr>
            <w:r w:rsidRPr="00855574">
              <w:t>N/A</w:t>
            </w:r>
          </w:p>
        </w:tc>
      </w:tr>
      <w:bookmarkEnd w:id="436"/>
    </w:tbl>
    <w:p w14:paraId="33DB0448" w14:textId="77777777" w:rsidR="00C43D26" w:rsidRPr="00C85643" w:rsidRDefault="00C43D26" w:rsidP="00855574">
      <w:pPr>
        <w:rPr>
          <w:b/>
          <w:sz w:val="22"/>
          <w:lang w:val="en-IE"/>
        </w:rPr>
      </w:pPr>
    </w:p>
    <w:sectPr w:rsidR="00C43D26" w:rsidRPr="00C85643" w:rsidSect="00855574">
      <w:pgSz w:w="11906" w:h="16838"/>
      <w:pgMar w:top="1135" w:right="720" w:bottom="567" w:left="72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DE9C5" w14:textId="77777777" w:rsidR="00A86B61" w:rsidRDefault="00A86B61" w:rsidP="0022259C">
      <w:r>
        <w:separator/>
      </w:r>
    </w:p>
    <w:p w14:paraId="271E08E7" w14:textId="77777777" w:rsidR="00A86B61" w:rsidRDefault="00A86B61"/>
    <w:p w14:paraId="464853B2" w14:textId="77777777" w:rsidR="00A86B61" w:rsidRDefault="00A86B61"/>
  </w:endnote>
  <w:endnote w:type="continuationSeparator" w:id="0">
    <w:p w14:paraId="54CF5DCC" w14:textId="77777777" w:rsidR="00A86B61" w:rsidRDefault="00A86B61" w:rsidP="0022259C">
      <w:r>
        <w:continuationSeparator/>
      </w:r>
    </w:p>
    <w:p w14:paraId="324E39BF" w14:textId="77777777" w:rsidR="00A86B61" w:rsidRDefault="00A86B61"/>
    <w:p w14:paraId="7E0A17AB" w14:textId="77777777" w:rsidR="00A86B61" w:rsidRDefault="00A86B61"/>
  </w:endnote>
  <w:endnote w:type="continuationNotice" w:id="1">
    <w:p w14:paraId="466F2966" w14:textId="77777777" w:rsidR="00A86B61" w:rsidRDefault="00A86B61"/>
    <w:p w14:paraId="31940592" w14:textId="77777777" w:rsidR="00A86B61" w:rsidRDefault="00A86B61"/>
    <w:p w14:paraId="16A691E0" w14:textId="77777777" w:rsidR="00A86B61" w:rsidRDefault="00A86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EC Square Sans Pro Thin">
    <w:altName w:val="Calibri"/>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72689"/>
      <w:docPartObj>
        <w:docPartGallery w:val="Page Numbers (Bottom of Page)"/>
        <w:docPartUnique/>
      </w:docPartObj>
    </w:sdtPr>
    <w:sdtEndPr>
      <w:rPr>
        <w:noProof/>
        <w:sz w:val="22"/>
      </w:rPr>
    </w:sdtEndPr>
    <w:sdtContent>
      <w:p w14:paraId="7AABFF9E" w14:textId="5A790857" w:rsidR="00497F73" w:rsidRPr="00A958DB" w:rsidRDefault="00497F73">
        <w:pPr>
          <w:pStyle w:val="Footer"/>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D81BB8">
          <w:rPr>
            <w:noProof/>
            <w:sz w:val="22"/>
          </w:rPr>
          <w:t>9</w:t>
        </w:r>
        <w:r w:rsidRPr="00A958DB">
          <w:rPr>
            <w:noProof/>
            <w:sz w:val="22"/>
          </w:rPr>
          <w:fldChar w:fldCharType="end"/>
        </w:r>
      </w:p>
    </w:sdtContent>
  </w:sdt>
  <w:p w14:paraId="337A5266" w14:textId="77777777" w:rsidR="00497F73" w:rsidRDefault="00497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3694" w14:textId="77777777" w:rsidR="00A86B61" w:rsidRDefault="00A86B61" w:rsidP="0022259C">
      <w:r>
        <w:separator/>
      </w:r>
    </w:p>
    <w:p w14:paraId="49CE8B61" w14:textId="77777777" w:rsidR="00A86B61" w:rsidRDefault="00A86B61"/>
    <w:p w14:paraId="13C5EA3F" w14:textId="77777777" w:rsidR="00A86B61" w:rsidRDefault="00A86B61"/>
  </w:footnote>
  <w:footnote w:type="continuationSeparator" w:id="0">
    <w:p w14:paraId="7902E8A8" w14:textId="77777777" w:rsidR="00A86B61" w:rsidRDefault="00A86B61" w:rsidP="0022259C">
      <w:r>
        <w:continuationSeparator/>
      </w:r>
    </w:p>
    <w:p w14:paraId="7FA46C17" w14:textId="77777777" w:rsidR="00A86B61" w:rsidRDefault="00A86B61"/>
    <w:p w14:paraId="61D3A052" w14:textId="77777777" w:rsidR="00A86B61" w:rsidRDefault="00A86B61"/>
  </w:footnote>
  <w:footnote w:type="continuationNotice" w:id="1">
    <w:p w14:paraId="1C5976CC" w14:textId="77777777" w:rsidR="00A86B61" w:rsidRDefault="00A86B61"/>
    <w:p w14:paraId="2F2F3FC2" w14:textId="77777777" w:rsidR="00A86B61" w:rsidRDefault="00A86B61"/>
    <w:p w14:paraId="42ADD28A" w14:textId="77777777" w:rsidR="00A86B61" w:rsidRDefault="00A86B61"/>
  </w:footnote>
  <w:footnote w:id="2">
    <w:p w14:paraId="52152329" w14:textId="77777777" w:rsidR="00497F73" w:rsidRPr="00001C85" w:rsidRDefault="00497F73" w:rsidP="004522C9">
      <w:pPr>
        <w:pStyle w:val="Style2"/>
      </w:pPr>
      <w:r w:rsidRPr="00AE4250">
        <w:rPr>
          <w:rStyle w:val="FootnoteReference"/>
        </w:rPr>
        <w:footnoteRef/>
      </w:r>
      <w:r w:rsidRPr="00AE4250">
        <w:t xml:space="preserve"> This section is to be complet</w:t>
      </w:r>
      <w:r w:rsidRPr="00B85F70">
        <w:t xml:space="preserve">ed by the </w:t>
      </w:r>
      <w:r w:rsidRPr="00001C85">
        <w:t>EU Office/Delegation.</w:t>
      </w:r>
    </w:p>
  </w:footnote>
  <w:footnote w:id="3">
    <w:p w14:paraId="0FF2B164" w14:textId="77777777" w:rsidR="00497F73" w:rsidRPr="00AE4250" w:rsidRDefault="00497F73" w:rsidP="004522C9">
      <w:pPr>
        <w:pStyle w:val="Style2"/>
      </w:pPr>
      <w:r w:rsidRPr="00AE4250">
        <w:rPr>
          <w:rStyle w:val="FootnoteReference"/>
        </w:rPr>
        <w:footnoteRef/>
      </w:r>
      <w:r w:rsidRPr="00AE4250">
        <w:t xml:space="preserve"> Depending on the availability of OPSYS at the time of encoding, a provisional CRIS number may need to be provided.</w:t>
      </w:r>
    </w:p>
  </w:footnote>
  <w:footnote w:id="4">
    <w:p w14:paraId="1E8F7C97" w14:textId="77777777" w:rsidR="00497F73" w:rsidRPr="00C85643" w:rsidRDefault="00497F73">
      <w:pPr>
        <w:pStyle w:val="Style2"/>
        <w:rPr>
          <w:lang w:val="en-IE"/>
        </w:rPr>
      </w:pPr>
      <w:r>
        <w:rPr>
          <w:rStyle w:val="FootnoteReference"/>
        </w:rPr>
        <w:footnoteRef/>
      </w:r>
      <w:r>
        <w:t xml:space="preserve"> </w:t>
      </w:r>
      <w:r w:rsidRPr="00C85643">
        <w:rPr>
          <w:lang w:val="en-IE"/>
        </w:rPr>
        <w:t xml:space="preserve">Please specify if this action </w:t>
      </w:r>
      <w:r>
        <w:rPr>
          <w:lang w:val="en-IE"/>
        </w:rPr>
        <w:t xml:space="preserve">is </w:t>
      </w:r>
      <w:r w:rsidRPr="00C85643">
        <w:rPr>
          <w:lang w:val="en-IE"/>
        </w:rPr>
        <w:t>going to be part of the Team Europe approach</w:t>
      </w:r>
      <w:r>
        <w:rPr>
          <w:lang w:val="en-IE"/>
        </w:rPr>
        <w:t>.</w:t>
      </w:r>
    </w:p>
  </w:footnote>
  <w:footnote w:id="5">
    <w:p w14:paraId="01AB65A8" w14:textId="77777777" w:rsidR="00497F73" w:rsidRPr="00B85F70" w:rsidRDefault="00497F73" w:rsidP="0082062A">
      <w:pPr>
        <w:pStyle w:val="Style2"/>
      </w:pPr>
      <w:r w:rsidRPr="00AE4250">
        <w:rPr>
          <w:rStyle w:val="FootnoteReference"/>
        </w:rPr>
        <w:footnoteRef/>
      </w:r>
      <w:r w:rsidRPr="00AE4250">
        <w:t xml:space="preserve"> Indicate the l</w:t>
      </w:r>
      <w:r w:rsidRPr="003775F2">
        <w:rPr>
          <w:shd w:val="clear" w:color="auto" w:fill="B4C6E7" w:themeFill="accent5" w:themeFillTint="66"/>
        </w:rPr>
        <w:t>ead window and thematic priority as identified in the relevant programming docu</w:t>
      </w:r>
      <w:r w:rsidRPr="00AE4250">
        <w:rPr>
          <w:shd w:val="clear" w:color="auto" w:fill="B4C6E7" w:themeFill="accent5" w:themeFillTint="66"/>
        </w:rPr>
        <w:t>ment. Please</w:t>
      </w:r>
      <w:r w:rsidRPr="00B85F70">
        <w:rPr>
          <w:shd w:val="clear" w:color="auto" w:fill="B4C6E7" w:themeFill="accent5" w:themeFillTint="66"/>
        </w:rPr>
        <w:t xml:space="preserve"> indicate for each thematic p</w:t>
      </w:r>
      <w:r w:rsidRPr="003775F2">
        <w:rPr>
          <w:shd w:val="clear" w:color="auto" w:fill="B4C6E7" w:themeFill="accent5" w:themeFillTint="66"/>
        </w:rPr>
        <w:t>riority the approximate share (%) of the window budget it represents</w:t>
      </w:r>
      <w:r w:rsidRPr="00AE4250">
        <w:rPr>
          <w:shd w:val="clear" w:color="auto" w:fill="B4C6E7" w:themeFill="accent5" w:themeFillTint="66"/>
        </w:rPr>
        <w:t>.</w:t>
      </w:r>
    </w:p>
  </w:footnote>
  <w:footnote w:id="6">
    <w:p w14:paraId="2767855F" w14:textId="77777777" w:rsidR="00497F73" w:rsidRPr="00001C85" w:rsidRDefault="00497F73" w:rsidP="0082062A">
      <w:pPr>
        <w:pStyle w:val="Style2"/>
      </w:pPr>
      <w:r w:rsidRPr="00AE4250">
        <w:rPr>
          <w:rStyle w:val="FootnoteReference"/>
        </w:rPr>
        <w:footnoteRef/>
      </w:r>
      <w:r w:rsidRPr="00AE4250">
        <w:t xml:space="preserve"> </w:t>
      </w:r>
      <w:bookmarkStart w:id="10" w:name="_Hlk115183886"/>
      <w:r w:rsidRPr="0034769F">
        <w:t>Development Assistance Committee</w:t>
      </w:r>
      <w:r>
        <w:t xml:space="preserve"> (</w:t>
      </w:r>
      <w:r w:rsidRPr="00AE4250">
        <w:t>DAC</w:t>
      </w:r>
      <w:r>
        <w:t>)</w:t>
      </w:r>
      <w:r w:rsidRPr="00AE4250">
        <w:t xml:space="preserve"> sectors (codes and descriptions) are indicated in the first and fourth columns of the tab ‘purpose codes’ in the following document: </w:t>
      </w:r>
      <w:hyperlink r:id="rId1" w:history="1">
        <w:r>
          <w:rPr>
            <w:rStyle w:val="Hyperlink"/>
            <w:rFonts w:eastAsiaTheme="majorEastAsia"/>
          </w:rPr>
          <w:t>DAC and CRS code lists - OECD</w:t>
        </w:r>
      </w:hyperlink>
      <w:r>
        <w:t xml:space="preserve"> </w:t>
      </w:r>
      <w:bookmarkEnd w:id="10"/>
    </w:p>
  </w:footnote>
  <w:footnote w:id="7">
    <w:p w14:paraId="49744EDA" w14:textId="77777777" w:rsidR="00497F73" w:rsidRPr="00E16935" w:rsidRDefault="00497F73" w:rsidP="00E16935">
      <w:pPr>
        <w:pStyle w:val="Style2"/>
        <w:ind w:left="142" w:hanging="142"/>
      </w:pPr>
      <w:r w:rsidRPr="00AE4250">
        <w:rPr>
          <w:rFonts w:eastAsia="Times New Roman"/>
          <w:vertAlign w:val="superscript"/>
        </w:rPr>
        <w:footnoteRef/>
      </w:r>
      <w:r w:rsidRPr="00AE4250">
        <w:rPr>
          <w:rFonts w:eastAsia="Times New Roman"/>
        </w:rPr>
        <w:t xml:space="preserve"> For guidance, see </w:t>
      </w:r>
      <w:hyperlink r:id="rId2" w:history="1">
        <w:r>
          <w:rPr>
            <w:rStyle w:val="Hyperlink"/>
          </w:rPr>
          <w:t>Development finance standards - OECD</w:t>
        </w:r>
      </w:hyperlink>
      <w:r w:rsidRPr="00AE4250">
        <w:rPr>
          <w:color w:val="1F497D"/>
        </w:rPr>
        <w:t xml:space="preserve"> </w:t>
      </w:r>
      <w:r>
        <w:rPr>
          <w:color w:val="1F497D"/>
        </w:rPr>
        <w:t>(</w:t>
      </w:r>
      <w:r w:rsidRPr="00B85F70">
        <w:t>G</w:t>
      </w:r>
      <w:r w:rsidRPr="00001C85">
        <w:t>o to “Data collection and resources for reporters”, select Addendum 2, annexes 18 (policy) and 19 (Rio) of the reporting directive.</w:t>
      </w:r>
      <w:r>
        <w:t xml:space="preserve"> </w:t>
      </w:r>
      <w:r w:rsidRPr="00001C85">
        <w:rPr>
          <w:rFonts w:eastAsia="Times New Roman"/>
        </w:rPr>
        <w:t>If an action is marked in the DAC form as contributing to one of the general policy objectives or to RIO principles as a principal objective or a significant objective, then this should be reflected in the logframe matrix (in the results chain and indicators).</w:t>
      </w:r>
    </w:p>
  </w:footnote>
  <w:footnote w:id="8">
    <w:p w14:paraId="0E01DAAA" w14:textId="77777777" w:rsidR="00497F73" w:rsidRPr="00B85F70" w:rsidRDefault="00497F73" w:rsidP="003C0CD7">
      <w:pPr>
        <w:pStyle w:val="FootnoteText"/>
        <w:shd w:val="clear" w:color="auto" w:fill="B4C6E7" w:themeFill="accent5" w:themeFillTint="66"/>
        <w:jc w:val="left"/>
      </w:pPr>
      <w:r w:rsidRPr="00AE4250">
        <w:rPr>
          <w:rStyle w:val="FootnoteReference"/>
        </w:rPr>
        <w:footnoteRef/>
      </w:r>
      <w:r w:rsidRPr="00AE4250">
        <w:t xml:space="preserve"> Please check the </w:t>
      </w:r>
      <w:hyperlink r:id="rId3" w:history="1">
        <w:r w:rsidRPr="00B85F70">
          <w:rPr>
            <w:rStyle w:val="Hyperlink"/>
          </w:rPr>
          <w:t>Handbook on the OECD-DAC Nutrition Policy Marker</w:t>
        </w:r>
      </w:hyperlink>
      <w:r w:rsidRPr="00AE4250">
        <w:rPr>
          <w:rStyle w:val="Hyperlink"/>
        </w:rPr>
        <w:t>.</w:t>
      </w:r>
    </w:p>
  </w:footnote>
  <w:footnote w:id="9">
    <w:p w14:paraId="782E5A96" w14:textId="77777777" w:rsidR="00497F73" w:rsidRPr="00001C85" w:rsidRDefault="00497F73" w:rsidP="005B0F6B">
      <w:pPr>
        <w:pStyle w:val="CommentText"/>
        <w:shd w:val="clear" w:color="auto" w:fill="B4C6E7" w:themeFill="accent5" w:themeFillTint="66"/>
        <w:ind w:left="142" w:hanging="142"/>
      </w:pPr>
      <w:r w:rsidRPr="00AE4250">
        <w:rPr>
          <w:rStyle w:val="FootnoteReference"/>
        </w:rPr>
        <w:footnoteRef/>
      </w:r>
      <w:r w:rsidRPr="00AE4250">
        <w:t xml:space="preserve"> T</w:t>
      </w:r>
      <w:r w:rsidRPr="00B85F70">
        <w:t xml:space="preserve">hese markers </w:t>
      </w:r>
      <w:r w:rsidRPr="00E204C7">
        <w:rPr>
          <w:rStyle w:val="Style1Char"/>
        </w:rPr>
        <w:t>have a different scope/rationale than the DAC codes. They are drawn from the level of budget allocation and emphasis</w:t>
      </w:r>
      <w:r>
        <w:rPr>
          <w:rStyle w:val="Style1Char"/>
        </w:rPr>
        <w:t>e</w:t>
      </w:r>
      <w:r w:rsidRPr="00E204C7">
        <w:rPr>
          <w:rStyle w:val="Style1Char"/>
        </w:rPr>
        <w:t xml:space="preserve"> the action in terms </w:t>
      </w:r>
      <w:r>
        <w:rPr>
          <w:rStyle w:val="Style1Char"/>
        </w:rPr>
        <w:t xml:space="preserve">of </w:t>
      </w:r>
      <w:r w:rsidRPr="00E204C7">
        <w:rPr>
          <w:rStyle w:val="Style1Char"/>
        </w:rPr>
        <w:t>main objective(s) selected. The definition of objectives</w:t>
      </w:r>
      <w:r>
        <w:rPr>
          <w:rStyle w:val="Style1Char"/>
        </w:rPr>
        <w:t xml:space="preserve"> and outputs</w:t>
      </w:r>
      <w:r w:rsidRPr="00E204C7">
        <w:rPr>
          <w:rStyle w:val="Style1Char"/>
        </w:rPr>
        <w:t xml:space="preserve"> in</w:t>
      </w:r>
      <w:r>
        <w:rPr>
          <w:rStyle w:val="Style1Char"/>
        </w:rPr>
        <w:t xml:space="preserve"> the </w:t>
      </w:r>
      <w:r w:rsidRPr="00E204C7">
        <w:rPr>
          <w:rStyle w:val="Style1Char"/>
        </w:rPr>
        <w:t>description of the action should be in line with this section.</w:t>
      </w:r>
    </w:p>
  </w:footnote>
  <w:footnote w:id="10">
    <w:p w14:paraId="25561A7D" w14:textId="77777777" w:rsidR="00497F73" w:rsidRDefault="00497F73" w:rsidP="0082062A">
      <w:pPr>
        <w:pStyle w:val="Style2"/>
      </w:pPr>
      <w:r>
        <w:rPr>
          <w:rStyle w:val="FootnoteReference"/>
        </w:rPr>
        <w:footnoteRef/>
      </w:r>
      <w:r>
        <w:t xml:space="preserve"> When a marker is Significant or Principal Objective, please indicate the relevant tags by selecting “YES” or “NO”.</w:t>
      </w:r>
    </w:p>
  </w:footnote>
  <w:footnote w:id="11">
    <w:p w14:paraId="7342F9C2" w14:textId="77777777" w:rsidR="00497F73" w:rsidRPr="0082062A" w:rsidRDefault="00497F73" w:rsidP="0082062A">
      <w:pPr>
        <w:pStyle w:val="Style1"/>
        <w:rPr>
          <w:lang w:val="en-IE"/>
        </w:rPr>
      </w:pPr>
      <w:r>
        <w:rPr>
          <w:rStyle w:val="FootnoteReference"/>
        </w:rPr>
        <w:footnoteRef/>
      </w:r>
      <w:r>
        <w:t xml:space="preserve"> </w:t>
      </w:r>
      <w:r w:rsidRPr="00411D72">
        <w:t>Please address the digitalisation marker in line with the note ARES(2019)7611708, which provides internal guidelines on the criteria to be used to assess the degree of relevance of the marker for the action (not targeted, significant or main objective).</w:t>
      </w:r>
    </w:p>
  </w:footnote>
  <w:footnote w:id="12">
    <w:p w14:paraId="6B748B33" w14:textId="77777777" w:rsidR="00497F73" w:rsidRPr="002548F3" w:rsidRDefault="00497F73" w:rsidP="00E204C7">
      <w:pPr>
        <w:pStyle w:val="Style1"/>
      </w:pPr>
      <w:r w:rsidRPr="00E204C7">
        <w:rPr>
          <w:vertAlign w:val="superscript"/>
          <w:lang w:val="en-IE"/>
        </w:rPr>
        <w:footnoteRef/>
      </w:r>
      <w:r w:rsidRPr="00E204C7">
        <w:rPr>
          <w:lang w:val="en-IE"/>
        </w:rPr>
        <w:t xml:space="preserve"> </w:t>
      </w:r>
      <w:bookmarkStart w:id="11" w:name="_Hlk115174995"/>
      <w:r w:rsidRPr="00E204C7">
        <w:rPr>
          <w:lang w:val="en-IE"/>
        </w:rPr>
        <w:t xml:space="preserve">When a marker is </w:t>
      </w:r>
      <w:r>
        <w:rPr>
          <w:lang w:val="en-IE"/>
        </w:rPr>
        <w:t>“</w:t>
      </w:r>
      <w:r w:rsidRPr="00E204C7">
        <w:rPr>
          <w:lang w:val="en-IE"/>
        </w:rPr>
        <w:t xml:space="preserve">Significant </w:t>
      </w:r>
      <w:r>
        <w:rPr>
          <w:lang w:val="en-IE"/>
        </w:rPr>
        <w:t xml:space="preserve">Objective“ </w:t>
      </w:r>
      <w:r w:rsidRPr="00E204C7">
        <w:rPr>
          <w:lang w:val="en-IE"/>
        </w:rPr>
        <w:t xml:space="preserve">or </w:t>
      </w:r>
      <w:r>
        <w:rPr>
          <w:lang w:val="en-IE"/>
        </w:rPr>
        <w:t>“</w:t>
      </w:r>
      <w:r w:rsidRPr="00E204C7">
        <w:rPr>
          <w:lang w:val="en-IE"/>
        </w:rPr>
        <w:t>Principal Objective</w:t>
      </w:r>
      <w:r>
        <w:rPr>
          <w:lang w:val="en-IE"/>
        </w:rPr>
        <w:t>”</w:t>
      </w:r>
      <w:r w:rsidRPr="00E204C7">
        <w:rPr>
          <w:lang w:val="en-IE"/>
        </w:rPr>
        <w:t>, please indicate the relevant tags by selecting “YES” or “NO</w:t>
      </w:r>
      <w:r>
        <w:t>”</w:t>
      </w:r>
      <w:bookmarkEnd w:id="11"/>
      <w:r w:rsidRPr="00BA237E">
        <w:t>.</w:t>
      </w:r>
    </w:p>
  </w:footnote>
  <w:footnote w:id="13">
    <w:p w14:paraId="710D09F4" w14:textId="77777777" w:rsidR="00497F73" w:rsidRDefault="00497F73" w:rsidP="0082062A">
      <w:pPr>
        <w:pStyle w:val="Style2"/>
      </w:pPr>
      <w:r>
        <w:rPr>
          <w:rStyle w:val="FootnoteReference"/>
        </w:rPr>
        <w:footnoteRef/>
      </w:r>
      <w:r>
        <w:t xml:space="preserve"> Please address the migration marker in line with the note Ares(2021)6077013. </w:t>
      </w:r>
    </w:p>
  </w:footnote>
  <w:footnote w:id="14">
    <w:p w14:paraId="5290252D" w14:textId="77777777" w:rsidR="00497F73" w:rsidRPr="00107B0E" w:rsidRDefault="00497F73" w:rsidP="003F4FE9">
      <w:pPr>
        <w:pStyle w:val="FootnoteText"/>
        <w:jc w:val="left"/>
      </w:pPr>
      <w:r>
        <w:rPr>
          <w:rStyle w:val="FootnoteReference"/>
        </w:rPr>
        <w:footnoteRef/>
      </w:r>
      <w:r>
        <w:t xml:space="preserve"> </w:t>
      </w:r>
      <w:r w:rsidRPr="00107B0E">
        <w:t>https://www.itu.int/en/ITU-D/Cybersecurity/Pages/global-cybersecurity-index.aspx</w:t>
      </w:r>
    </w:p>
  </w:footnote>
  <w:footnote w:id="15">
    <w:p w14:paraId="11E005F6" w14:textId="77777777" w:rsidR="00497F73" w:rsidRPr="00312462" w:rsidRDefault="00497F73" w:rsidP="00625A82">
      <w:pPr>
        <w:pStyle w:val="FootnoteText"/>
      </w:pPr>
      <w:r>
        <w:rPr>
          <w:rStyle w:val="FootnoteReference"/>
        </w:rPr>
        <w:footnoteRef/>
      </w:r>
      <w:r>
        <w:t xml:space="preserve"> </w:t>
      </w:r>
      <w:r w:rsidRPr="004C2EF6">
        <w:t>https://ncsi.ega.ee/country/mk/?fbclid=IwAR0-</w:t>
      </w:r>
    </w:p>
  </w:footnote>
  <w:footnote w:id="16">
    <w:p w14:paraId="72A7684C" w14:textId="77777777" w:rsidR="00497F73" w:rsidRPr="00325D50" w:rsidRDefault="00497F73" w:rsidP="008349EE">
      <w:pPr>
        <w:pStyle w:val="FootnoteText"/>
        <w:rPr>
          <w:sz w:val="16"/>
          <w:szCs w:val="16"/>
        </w:rPr>
      </w:pPr>
      <w:r w:rsidRPr="00B46DF5">
        <w:rPr>
          <w:rStyle w:val="FootnoteReference"/>
          <w:rFonts w:eastAsiaTheme="majorEastAsia"/>
          <w:sz w:val="16"/>
          <w:szCs w:val="16"/>
        </w:rPr>
        <w:footnoteRef/>
      </w:r>
      <w:r w:rsidRPr="00B46DF5">
        <w:rPr>
          <w:sz w:val="16"/>
          <w:szCs w:val="16"/>
        </w:rPr>
        <w:t xml:space="preserve"> https://www.consilium.europa.eu/media/36546/joint-action-plan-on-ct-for-wb.pdf</w:t>
      </w:r>
    </w:p>
  </w:footnote>
  <w:footnote w:id="17">
    <w:p w14:paraId="5D8BD29B" w14:textId="77777777" w:rsidR="00497F73" w:rsidRPr="00001C85" w:rsidRDefault="00497F73" w:rsidP="005D41BD">
      <w:pPr>
        <w:pStyle w:val="Style1"/>
      </w:pPr>
      <w:r w:rsidRPr="00AE4250">
        <w:rPr>
          <w:rStyle w:val="FootnoteReference"/>
        </w:rPr>
        <w:footnoteRef/>
      </w:r>
      <w:r w:rsidRPr="00AE4250">
        <w:t xml:space="preserve"> P</w:t>
      </w:r>
      <w:r w:rsidRPr="00B85F70">
        <w:t>rincipal object</w:t>
      </w:r>
      <w:r w:rsidRPr="00001C85">
        <w:t>ive / significant objective/ not targeted.</w:t>
      </w:r>
    </w:p>
  </w:footnote>
  <w:footnote w:id="18">
    <w:p w14:paraId="5BB37D95" w14:textId="77777777" w:rsidR="00497F73" w:rsidRPr="00497F73" w:rsidRDefault="00A86B61" w:rsidP="00AE4CD8">
      <w:pPr>
        <w:rPr>
          <w:rFonts w:cs="Times New Roman"/>
          <w:sz w:val="20"/>
          <w:szCs w:val="20"/>
        </w:rPr>
      </w:pPr>
      <w:hyperlink r:id="rId4" w:history="1">
        <w:r w:rsidR="00497F73" w:rsidRPr="00497F73">
          <w:rPr>
            <w:rStyle w:val="Hyperlink"/>
            <w:rFonts w:cs="Times New Roman"/>
            <w:sz w:val="20"/>
            <w:szCs w:val="20"/>
            <w:lang w:val="hu-HU"/>
          </w:rPr>
          <w:t>https://info.worldbank.org/governance/wgi/Home/Reports</w:t>
        </w:r>
      </w:hyperlink>
      <w:r w:rsidR="00497F73" w:rsidRPr="00497F73">
        <w:rPr>
          <w:rFonts w:cs="Times New Roman"/>
          <w:sz w:val="20"/>
          <w:szCs w:val="20"/>
          <w:lang w:val="hu-HU"/>
        </w:rPr>
        <w:t xml:space="preserve"> </w:t>
      </w:r>
    </w:p>
  </w:footnote>
  <w:footnote w:id="19">
    <w:p w14:paraId="0FE5A9C7" w14:textId="77777777" w:rsidR="00497F73" w:rsidRPr="00497F73" w:rsidRDefault="00497F73" w:rsidP="00AE4CD8">
      <w:pPr>
        <w:rPr>
          <w:rFonts w:cs="Times New Roman"/>
          <w:sz w:val="20"/>
          <w:szCs w:val="20"/>
        </w:rPr>
      </w:pPr>
      <w:r w:rsidRPr="00497F73">
        <w:rPr>
          <w:rStyle w:val="FootnoteCharacters"/>
          <w:rFonts w:cs="Times New Roman"/>
          <w:sz w:val="20"/>
          <w:szCs w:val="20"/>
        </w:rPr>
        <w:footnoteRef/>
      </w:r>
      <w:r w:rsidRPr="00497F73">
        <w:rPr>
          <w:rFonts w:cs="Times New Roman"/>
          <w:sz w:val="20"/>
          <w:szCs w:val="20"/>
          <w:lang w:val="mk-MK"/>
        </w:rPr>
        <w:t xml:space="preserve"> </w:t>
      </w:r>
      <w:hyperlink r:id="rId5" w:history="1">
        <w:r w:rsidRPr="00497F73">
          <w:rPr>
            <w:rStyle w:val="Hyperlink"/>
            <w:rFonts w:cs="Times New Roman"/>
            <w:sz w:val="20"/>
            <w:szCs w:val="20"/>
            <w:lang w:val="mk-MK"/>
          </w:rPr>
          <w:t>https://info.worldbank.org/governance/wgi/Home/Reports</w:t>
        </w:r>
      </w:hyperlink>
      <w:r w:rsidRPr="00497F73">
        <w:rPr>
          <w:rFonts w:cs="Times New Roman"/>
          <w:sz w:val="20"/>
          <w:szCs w:val="20"/>
          <w:lang w:val="mk-MK"/>
        </w:rPr>
        <w:t xml:space="preserve"> </w:t>
      </w:r>
    </w:p>
  </w:footnote>
  <w:footnote w:id="20">
    <w:p w14:paraId="78AEF94D" w14:textId="77777777" w:rsidR="00497F73" w:rsidRPr="00497F73" w:rsidRDefault="00497F73" w:rsidP="00AE4CD8">
      <w:pPr>
        <w:pStyle w:val="FootnoteText"/>
        <w:rPr>
          <w:lang w:val="hu-HU"/>
        </w:rPr>
      </w:pPr>
      <w:r w:rsidRPr="00497F73">
        <w:rPr>
          <w:rStyle w:val="FootnoteReference"/>
          <w:rFonts w:eastAsiaTheme="majorEastAsia"/>
        </w:rPr>
        <w:footnoteRef/>
      </w:r>
      <w:r w:rsidRPr="00497F73">
        <w:rPr>
          <w:lang w:val="hu-HU"/>
        </w:rPr>
        <w:t xml:space="preserve"> </w:t>
      </w:r>
      <w:hyperlink r:id="rId6" w:history="1">
        <w:r w:rsidRPr="00497F73">
          <w:rPr>
            <w:rStyle w:val="Hyperlink"/>
            <w:lang w:val="hu-HU"/>
          </w:rPr>
          <w:t>http://appsso.eurostat.ec.europa.eu/nui/show.do?dataset=crim_off_cat&amp;lang=en</w:t>
        </w:r>
      </w:hyperlink>
    </w:p>
  </w:footnote>
  <w:footnote w:id="21">
    <w:p w14:paraId="6B9F0026" w14:textId="77777777" w:rsidR="00497F73" w:rsidRPr="00497F73" w:rsidRDefault="00497F73" w:rsidP="00AE4CD8">
      <w:pPr>
        <w:pStyle w:val="FootnoteText"/>
        <w:rPr>
          <w:lang w:val="hu-HU"/>
        </w:rPr>
      </w:pPr>
      <w:r w:rsidRPr="00497F73">
        <w:rPr>
          <w:rStyle w:val="FootnoteReference"/>
          <w:rFonts w:eastAsiaTheme="majorEastAsia"/>
        </w:rPr>
        <w:footnoteRef/>
      </w:r>
      <w:r w:rsidRPr="00497F73">
        <w:rPr>
          <w:lang w:val="hu-HU"/>
        </w:rPr>
        <w:t xml:space="preserve"> PPO Annual Report</w:t>
      </w:r>
    </w:p>
  </w:footnote>
  <w:footnote w:id="22">
    <w:p w14:paraId="4DD59156" w14:textId="77777777" w:rsidR="00497F73" w:rsidRPr="00497F73" w:rsidRDefault="00497F73" w:rsidP="00AE4CD8">
      <w:pPr>
        <w:pStyle w:val="FootnoteText"/>
        <w:rPr>
          <w:lang w:val="hu-HU"/>
        </w:rPr>
      </w:pPr>
      <w:r w:rsidRPr="00497F73">
        <w:rPr>
          <w:rStyle w:val="FootnoteReference"/>
          <w:rFonts w:eastAsiaTheme="majorEastAsia"/>
        </w:rPr>
        <w:footnoteRef/>
      </w:r>
      <w:r w:rsidRPr="00497F73">
        <w:rPr>
          <w:lang w:val="hu-HU"/>
        </w:rPr>
        <w:t xml:space="preserve"> </w:t>
      </w:r>
      <w:hyperlink r:id="rId7" w:history="1">
        <w:r w:rsidRPr="00497F73">
          <w:rPr>
            <w:rStyle w:val="Hyperlink"/>
            <w:lang w:val="hu-HU"/>
          </w:rPr>
          <w:t>https://europa.eu/eurobarometer/surveys/browse/all/series/4961</w:t>
        </w:r>
      </w:hyperlink>
      <w:r w:rsidRPr="00497F73">
        <w:rPr>
          <w:lang w:val="hu-HU"/>
        </w:rPr>
        <w:t xml:space="preserve"> </w:t>
      </w:r>
    </w:p>
  </w:footnote>
  <w:footnote w:id="23">
    <w:p w14:paraId="153580DD" w14:textId="77777777" w:rsidR="00497F73" w:rsidRPr="00497F73" w:rsidRDefault="00497F73" w:rsidP="00AE4CD8">
      <w:pPr>
        <w:pStyle w:val="FootnoteText"/>
        <w:rPr>
          <w:lang w:val="hu-HU"/>
        </w:rPr>
      </w:pPr>
      <w:r w:rsidRPr="00497F73">
        <w:rPr>
          <w:rStyle w:val="FootnoteReference"/>
          <w:rFonts w:eastAsiaTheme="majorEastAsia"/>
        </w:rPr>
        <w:footnoteRef/>
      </w:r>
      <w:r w:rsidRPr="00497F73">
        <w:rPr>
          <w:lang w:val="fr-FR"/>
        </w:rPr>
        <w:t xml:space="preserve"> Financial Police-Criminal Intelligence Unit.</w:t>
      </w:r>
    </w:p>
  </w:footnote>
  <w:footnote w:id="24">
    <w:p w14:paraId="409D51FC" w14:textId="77777777" w:rsidR="00497F73" w:rsidRPr="00E417E6" w:rsidRDefault="00497F73" w:rsidP="00497F73">
      <w:pPr>
        <w:jc w:val="left"/>
        <w:outlineLvl w:val="1"/>
      </w:pPr>
      <w:r w:rsidRPr="00497F73">
        <w:rPr>
          <w:rStyle w:val="FootnoteReference"/>
          <w:rFonts w:cs="Times New Roman"/>
          <w:sz w:val="20"/>
          <w:szCs w:val="20"/>
        </w:rPr>
        <w:footnoteRef/>
      </w:r>
      <w:r w:rsidRPr="00497F73">
        <w:rPr>
          <w:rFonts w:cs="Times New Roman"/>
          <w:sz w:val="20"/>
          <w:szCs w:val="20"/>
        </w:rPr>
        <w:t xml:space="preserve"> Numerator: Number of people under financial investigation within DSOSC 57 (43 individuals and 14 legal entities) // Denominator: T</w:t>
      </w:r>
      <w:r w:rsidRPr="00497F73">
        <w:rPr>
          <w:rFonts w:cs="Times New Roman"/>
          <w:sz w:val="20"/>
          <w:szCs w:val="20"/>
          <w:lang w:eastAsia="mk-MK"/>
        </w:rPr>
        <w:t>otal number of persons under investigation within DSOSC</w:t>
      </w:r>
    </w:p>
  </w:footnote>
  <w:footnote w:id="25">
    <w:p w14:paraId="6E5F171F" w14:textId="77777777" w:rsidR="00497F73" w:rsidRPr="00497F73" w:rsidRDefault="00497F73" w:rsidP="00AE4CD8">
      <w:pPr>
        <w:pStyle w:val="FootnoteText"/>
        <w:rPr>
          <w:lang w:val="hu-HU"/>
        </w:rPr>
      </w:pPr>
      <w:r w:rsidRPr="00497F73">
        <w:rPr>
          <w:rStyle w:val="FootnoteReference"/>
          <w:rFonts w:eastAsiaTheme="majorEastAsia"/>
        </w:rPr>
        <w:footnoteRef/>
      </w:r>
      <w:r w:rsidRPr="00497F73">
        <w:rPr>
          <w:lang w:val="hu-HU"/>
        </w:rPr>
        <w:t xml:space="preserve"> Financial Police</w:t>
      </w:r>
    </w:p>
  </w:footnote>
  <w:footnote w:id="26">
    <w:p w14:paraId="5106F3A7" w14:textId="77777777" w:rsidR="00497F73" w:rsidRPr="00497F73" w:rsidRDefault="00497F73" w:rsidP="00AE4CD8">
      <w:pPr>
        <w:pStyle w:val="FootnoteText"/>
        <w:rPr>
          <w:lang w:val="hu-HU"/>
        </w:rPr>
      </w:pPr>
      <w:r w:rsidRPr="00497F73">
        <w:rPr>
          <w:rStyle w:val="FootnoteReference"/>
          <w:rFonts w:eastAsiaTheme="majorEastAsia"/>
        </w:rPr>
        <w:footnoteRef/>
      </w:r>
      <w:r w:rsidRPr="00497F73">
        <w:t xml:space="preserve"> Report of the Agency for confiscation of Assets</w:t>
      </w:r>
    </w:p>
  </w:footnote>
  <w:footnote w:id="27">
    <w:p w14:paraId="12BE1D05" w14:textId="77777777" w:rsidR="00497F73" w:rsidRPr="00FD2CB4" w:rsidRDefault="00497F73" w:rsidP="00AE4CD8">
      <w:pPr>
        <w:pStyle w:val="FootnoteText"/>
        <w:rPr>
          <w:lang w:val="hu-HU"/>
        </w:rPr>
      </w:pPr>
      <w:r w:rsidRPr="00FD2CB4">
        <w:rPr>
          <w:rStyle w:val="FootnoteReference"/>
          <w:rFonts w:eastAsiaTheme="majorEastAsia"/>
        </w:rPr>
        <w:footnoteRef/>
      </w:r>
      <w:r w:rsidRPr="00FD2CB4">
        <w:rPr>
          <w:lang w:val="hu-HU"/>
        </w:rPr>
        <w:t xml:space="preserve"> </w:t>
      </w:r>
      <w:hyperlink r:id="rId8" w:history="1">
        <w:r w:rsidRPr="00497F73">
          <w:rPr>
            <w:rStyle w:val="Hyperlink"/>
            <w:lang w:val="hu-HU"/>
          </w:rPr>
          <w:t>https://ec.europa.eu/neighbourhood-enlargement/system/files/2021-10/North-Macedonia-Report-2021.pdf</w:t>
        </w:r>
      </w:hyperlink>
      <w:r w:rsidRPr="00FD2CB4">
        <w:rPr>
          <w:lang w:val="hu-HU"/>
        </w:rPr>
        <w:t xml:space="preserve"> </w:t>
      </w:r>
    </w:p>
  </w:footnote>
  <w:footnote w:id="28">
    <w:p w14:paraId="24372EDB" w14:textId="77777777" w:rsidR="00497F73" w:rsidRPr="00AE4250" w:rsidRDefault="00497F73" w:rsidP="00635A0A">
      <w:pPr>
        <w:pStyle w:val="FootnoteText"/>
        <w:shd w:val="clear" w:color="auto" w:fill="B4C6E7" w:themeFill="accent5" w:themeFillTint="66"/>
      </w:pPr>
      <w:r w:rsidRPr="00001C85">
        <w:rPr>
          <w:rStyle w:val="FootnoteReference"/>
        </w:rPr>
        <w:footnoteRef/>
      </w:r>
      <w:r w:rsidRPr="00001C85">
        <w:t xml:space="preserve"> This section is to be completed by the EU Office/</w:t>
      </w:r>
      <w:r w:rsidRPr="00AE4250">
        <w:t>Delegation.</w:t>
      </w:r>
    </w:p>
  </w:footnote>
  <w:footnote w:id="29">
    <w:p w14:paraId="09890AAB" w14:textId="77777777" w:rsidR="00497F73" w:rsidRPr="00001C85" w:rsidRDefault="00497F73" w:rsidP="001B258E">
      <w:pPr>
        <w:pStyle w:val="FootnoteText"/>
        <w:shd w:val="clear" w:color="auto" w:fill="B4C6E7" w:themeFill="accent5" w:themeFillTint="66"/>
        <w:ind w:left="284" w:hanging="284"/>
      </w:pPr>
      <w:r w:rsidRPr="00001C85">
        <w:rPr>
          <w:rStyle w:val="FootnoteReference"/>
        </w:rPr>
        <w:footnoteRef/>
      </w:r>
      <w:r w:rsidRPr="00001C85">
        <w:t xml:space="preserve"> </w:t>
      </w:r>
      <w:r>
        <w:tab/>
      </w:r>
      <w:hyperlink r:id="rId9" w:anchor="/main" w:history="1">
        <w:r w:rsidRPr="001B258E">
          <w:rPr>
            <w:rStyle w:val="Hyperlink"/>
          </w:rPr>
          <w:t>EU Sanctions Map</w:t>
        </w:r>
      </w:hyperlink>
      <w:r>
        <w:t xml:space="preserve">. </w:t>
      </w:r>
      <w:r w:rsidRPr="00001C85">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30">
    <w:p w14:paraId="428EEE73" w14:textId="77777777" w:rsidR="00497F73" w:rsidRPr="00AE4250" w:rsidRDefault="00497F73" w:rsidP="003C0CD7">
      <w:pPr>
        <w:pStyle w:val="FootnoteText"/>
        <w:shd w:val="clear" w:color="auto" w:fill="B4C6E7" w:themeFill="accent5" w:themeFillTint="66"/>
      </w:pPr>
      <w:r w:rsidRPr="00001C85">
        <w:rPr>
          <w:rStyle w:val="FootnoteReference"/>
        </w:rPr>
        <w:footnoteRef/>
      </w:r>
      <w:r w:rsidRPr="00001C85">
        <w:t xml:space="preserve"> Consider that contracts where no financing agreement is concluded, contingencies have to be covered by individual and legal commitments by 31 December of N+1.</w:t>
      </w:r>
    </w:p>
  </w:footnote>
  <w:footnote w:id="31">
    <w:p w14:paraId="31B47CF4" w14:textId="77777777" w:rsidR="00497F73" w:rsidRPr="0089490C" w:rsidRDefault="00497F73" w:rsidP="005F6437">
      <w:pPr>
        <w:pStyle w:val="Style2"/>
      </w:pPr>
      <w:r w:rsidRPr="0089490C">
        <w:rPr>
          <w:rStyle w:val="FootnoteReference"/>
        </w:rPr>
        <w:footnoteRef/>
      </w:r>
      <w:r w:rsidRPr="0089490C">
        <w:t xml:space="preserve"> For the purpose of consistency between terms in OPSYS, DG INTPA, DG NEAR and FPI have harmonised 5 key terms, including ‘Action’ and ‘Intervention’ where an ‘Action’ is the content (or part of the content) of a Commission </w:t>
      </w:r>
      <w:r>
        <w:t>f</w:t>
      </w:r>
      <w:r w:rsidRPr="0089490C">
        <w:t xml:space="preserve">inancing Decision and ‘Intervention’ is a coherent set of activities and results which constitutes an effective level for the operational follow-up by the EC of its operations on the ground. See more on the </w:t>
      </w:r>
      <w:hyperlink r:id="rId10" w:history="1">
        <w:r w:rsidRPr="0089490C">
          <w:rPr>
            <w:rStyle w:val="Hyperlink"/>
          </w:rPr>
          <w:t>concept of intervention</w:t>
        </w:r>
      </w:hyperlink>
      <w:r>
        <w:rPr>
          <w:rStyle w:val="Hyperlink"/>
        </w:rPr>
        <w:t xml:space="preserve"> </w:t>
      </w:r>
      <w:r w:rsidRPr="0073170D">
        <w:rPr>
          <w:rStyle w:val="Hyperlink"/>
          <w:i/>
          <w:lang w:val="en-IE"/>
        </w:rPr>
        <w:t>[</w:t>
      </w:r>
      <w:r>
        <w:rPr>
          <w:rStyle w:val="Hyperlink"/>
          <w:i/>
          <w:lang w:val="en-IE"/>
        </w:rPr>
        <w:t xml:space="preserve">to access the link an </w:t>
      </w:r>
      <w:r w:rsidRPr="0073170D">
        <w:rPr>
          <w:rStyle w:val="Hyperlink"/>
          <w:i/>
          <w:lang w:val="en-IE"/>
        </w:rPr>
        <w:t>EU Login is needed]</w:t>
      </w:r>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168E" w14:textId="2D852688" w:rsidR="00497F73" w:rsidRPr="004257C0" w:rsidRDefault="00497F73">
    <w:pPr>
      <w:pStyle w:val="Header"/>
      <w:rPr>
        <w:lang w:val="en-IE"/>
      </w:rPr>
    </w:pPr>
    <w:r w:rsidRPr="004257C0">
      <w:rPr>
        <w:lang w:val="en-IE"/>
      </w:rPr>
      <w:t xml:space="preserve">IPA III Action Document template </w:t>
    </w:r>
    <w:r>
      <w:rPr>
        <w:lang w:val="en-IE"/>
      </w:rPr>
      <w:t xml:space="preserve">of January 2023 – For </w:t>
    </w:r>
    <w:r w:rsidRPr="004257C0">
      <w:rPr>
        <w:lang w:val="en-IE"/>
      </w:rPr>
      <w:t>202</w:t>
    </w:r>
    <w:r>
      <w:rPr>
        <w:lang w:val="en-IE"/>
      </w:rPr>
      <w:t>4</w:t>
    </w:r>
    <w:r w:rsidRPr="004257C0">
      <w:rPr>
        <w:lang w:val="en-IE"/>
      </w:rPr>
      <w:t xml:space="preserve"> and </w:t>
    </w:r>
    <w:r w:rsidRPr="00C85643">
      <w:rPr>
        <w:lang w:val="en-IE"/>
      </w:rPr>
      <w:t>subsequent</w:t>
    </w:r>
    <w:r w:rsidRPr="004257C0">
      <w:rPr>
        <w:lang w:val="en-IE"/>
      </w:rPr>
      <w:t xml:space="preserve"> years</w:t>
    </w:r>
    <w:r>
      <w:rPr>
        <w:lang w:val="en-IE"/>
      </w:rPr>
      <w:t xml:space="preserve"> (Western Balkans)</w:t>
    </w:r>
  </w:p>
  <w:p w14:paraId="359F39F3" w14:textId="77777777" w:rsidR="00497F73" w:rsidRPr="004257C0" w:rsidRDefault="00497F73">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1D45"/>
    <w:multiLevelType w:val="hybridMultilevel"/>
    <w:tmpl w:val="390A99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2E957BC"/>
    <w:multiLevelType w:val="hybridMultilevel"/>
    <w:tmpl w:val="23B06F9E"/>
    <w:lvl w:ilvl="0" w:tplc="7A5A5A44">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3D25FF"/>
    <w:multiLevelType w:val="hybridMultilevel"/>
    <w:tmpl w:val="AE80CF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68D7CE6"/>
    <w:multiLevelType w:val="hybridMultilevel"/>
    <w:tmpl w:val="8990D096"/>
    <w:lvl w:ilvl="0" w:tplc="7A5A5A44">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Heading2"/>
      <w:lvlText w:val="%1.%2."/>
      <w:lvlJc w:val="left"/>
      <w:pPr>
        <w:ind w:left="2417" w:hanging="432"/>
      </w:pPr>
      <w:rPr>
        <w:rFonts w:ascii="Times New Roman" w:hAnsi="Times New Roman" w:cs="Times New Roman" w:hint="default"/>
        <w:color w:val="auto"/>
      </w:rPr>
    </w:lvl>
    <w:lvl w:ilvl="2">
      <w:start w:val="1"/>
      <w:numFmt w:val="decimal"/>
      <w:pStyle w:val="Heading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722429E"/>
    <w:multiLevelType w:val="hybridMultilevel"/>
    <w:tmpl w:val="FFFFFFFF"/>
    <w:lvl w:ilvl="0" w:tplc="D5AA6CB0">
      <w:start w:val="1"/>
      <w:numFmt w:val="bullet"/>
      <w:lvlText w:val=""/>
      <w:lvlJc w:val="left"/>
      <w:pPr>
        <w:ind w:left="720" w:hanging="360"/>
      </w:pPr>
      <w:rPr>
        <w:rFonts w:ascii="Symbol" w:hAnsi="Symbol" w:hint="default"/>
      </w:rPr>
    </w:lvl>
    <w:lvl w:ilvl="1" w:tplc="FEB895E4">
      <w:start w:val="1"/>
      <w:numFmt w:val="bullet"/>
      <w:lvlText w:val="o"/>
      <w:lvlJc w:val="left"/>
      <w:pPr>
        <w:ind w:left="1440" w:hanging="360"/>
      </w:pPr>
      <w:rPr>
        <w:rFonts w:ascii="Courier New" w:hAnsi="Courier New" w:hint="default"/>
      </w:rPr>
    </w:lvl>
    <w:lvl w:ilvl="2" w:tplc="B0B80AF0">
      <w:start w:val="1"/>
      <w:numFmt w:val="bullet"/>
      <w:lvlText w:val=""/>
      <w:lvlJc w:val="left"/>
      <w:pPr>
        <w:ind w:left="2160" w:hanging="360"/>
      </w:pPr>
      <w:rPr>
        <w:rFonts w:ascii="Wingdings" w:hAnsi="Wingdings" w:hint="default"/>
      </w:rPr>
    </w:lvl>
    <w:lvl w:ilvl="3" w:tplc="E4F4E20E">
      <w:start w:val="1"/>
      <w:numFmt w:val="bullet"/>
      <w:lvlText w:val=""/>
      <w:lvlJc w:val="left"/>
      <w:pPr>
        <w:ind w:left="2880" w:hanging="360"/>
      </w:pPr>
      <w:rPr>
        <w:rFonts w:ascii="Symbol" w:hAnsi="Symbol" w:hint="default"/>
      </w:rPr>
    </w:lvl>
    <w:lvl w:ilvl="4" w:tplc="BB8C597C">
      <w:start w:val="1"/>
      <w:numFmt w:val="bullet"/>
      <w:lvlText w:val="o"/>
      <w:lvlJc w:val="left"/>
      <w:pPr>
        <w:ind w:left="3600" w:hanging="360"/>
      </w:pPr>
      <w:rPr>
        <w:rFonts w:ascii="Courier New" w:hAnsi="Courier New" w:hint="default"/>
      </w:rPr>
    </w:lvl>
    <w:lvl w:ilvl="5" w:tplc="636230D8">
      <w:start w:val="1"/>
      <w:numFmt w:val="bullet"/>
      <w:lvlText w:val=""/>
      <w:lvlJc w:val="left"/>
      <w:pPr>
        <w:ind w:left="4320" w:hanging="360"/>
      </w:pPr>
      <w:rPr>
        <w:rFonts w:ascii="Wingdings" w:hAnsi="Wingdings" w:hint="default"/>
      </w:rPr>
    </w:lvl>
    <w:lvl w:ilvl="6" w:tplc="4BDCCFF2">
      <w:start w:val="1"/>
      <w:numFmt w:val="bullet"/>
      <w:lvlText w:val=""/>
      <w:lvlJc w:val="left"/>
      <w:pPr>
        <w:ind w:left="5040" w:hanging="360"/>
      </w:pPr>
      <w:rPr>
        <w:rFonts w:ascii="Symbol" w:hAnsi="Symbol" w:hint="default"/>
      </w:rPr>
    </w:lvl>
    <w:lvl w:ilvl="7" w:tplc="2454FD78">
      <w:start w:val="1"/>
      <w:numFmt w:val="bullet"/>
      <w:lvlText w:val="o"/>
      <w:lvlJc w:val="left"/>
      <w:pPr>
        <w:ind w:left="5760" w:hanging="360"/>
      </w:pPr>
      <w:rPr>
        <w:rFonts w:ascii="Courier New" w:hAnsi="Courier New" w:hint="default"/>
      </w:rPr>
    </w:lvl>
    <w:lvl w:ilvl="8" w:tplc="75DABF3C">
      <w:start w:val="1"/>
      <w:numFmt w:val="bullet"/>
      <w:lvlText w:val=""/>
      <w:lvlJc w:val="left"/>
      <w:pPr>
        <w:ind w:left="6480" w:hanging="360"/>
      </w:pPr>
      <w:rPr>
        <w:rFonts w:ascii="Wingdings" w:hAnsi="Wingdings" w:hint="default"/>
      </w:rPr>
    </w:lvl>
  </w:abstractNum>
  <w:abstractNum w:abstractNumId="6">
    <w:nsid w:val="0B89387E"/>
    <w:multiLevelType w:val="multilevel"/>
    <w:tmpl w:val="0016B1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0B2841"/>
    <w:multiLevelType w:val="hybridMultilevel"/>
    <w:tmpl w:val="E90858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DB569B9"/>
    <w:multiLevelType w:val="hybridMultilevel"/>
    <w:tmpl w:val="53762E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E793AD0"/>
    <w:multiLevelType w:val="hybridMultilevel"/>
    <w:tmpl w:val="20FE208A"/>
    <w:lvl w:ilvl="0" w:tplc="3A5EAD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27C2395"/>
    <w:multiLevelType w:val="hybridMultilevel"/>
    <w:tmpl w:val="9C806080"/>
    <w:lvl w:ilvl="0" w:tplc="7A5A5A44">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F115E10"/>
    <w:multiLevelType w:val="hybridMultilevel"/>
    <w:tmpl w:val="8A4AA62C"/>
    <w:lvl w:ilvl="0" w:tplc="7A5A5A44">
      <w:numFmt w:val="bullet"/>
      <w:lvlText w:val="-"/>
      <w:lvlJc w:val="left"/>
      <w:pPr>
        <w:ind w:left="720" w:hanging="360"/>
      </w:pPr>
      <w:rPr>
        <w:rFonts w:ascii="Calibri" w:eastAsia="Calibri" w:hAnsi="Calibri"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FDE1317"/>
    <w:multiLevelType w:val="hybridMultilevel"/>
    <w:tmpl w:val="F9DC1414"/>
    <w:lvl w:ilvl="0" w:tplc="18608F6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D5278"/>
    <w:multiLevelType w:val="hybridMultilevel"/>
    <w:tmpl w:val="D45AFC5E"/>
    <w:name w:val="List Number 2__1"/>
    <w:lvl w:ilvl="0" w:tplc="1096906E">
      <w:start w:val="1"/>
      <w:numFmt w:val="decimal"/>
      <w:pStyle w:val="ListNumber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15">
    <w:nsid w:val="3B22380D"/>
    <w:multiLevelType w:val="hybridMultilevel"/>
    <w:tmpl w:val="FE7A5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8D6E13"/>
    <w:multiLevelType w:val="hybridMultilevel"/>
    <w:tmpl w:val="9CF25C82"/>
    <w:lvl w:ilvl="0" w:tplc="93F6BA3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nsid w:val="448D215A"/>
    <w:multiLevelType w:val="hybridMultilevel"/>
    <w:tmpl w:val="FFFFFFFF"/>
    <w:lvl w:ilvl="0" w:tplc="8024854E">
      <w:start w:val="1"/>
      <w:numFmt w:val="bullet"/>
      <w:lvlText w:val=""/>
      <w:lvlJc w:val="left"/>
      <w:pPr>
        <w:ind w:left="720" w:hanging="360"/>
      </w:pPr>
      <w:rPr>
        <w:rFonts w:ascii="Symbol" w:hAnsi="Symbol" w:hint="default"/>
      </w:rPr>
    </w:lvl>
    <w:lvl w:ilvl="1" w:tplc="A78C2C2A">
      <w:start w:val="1"/>
      <w:numFmt w:val="bullet"/>
      <w:lvlText w:val="o"/>
      <w:lvlJc w:val="left"/>
      <w:pPr>
        <w:ind w:left="1440" w:hanging="360"/>
      </w:pPr>
      <w:rPr>
        <w:rFonts w:ascii="Courier New" w:hAnsi="Courier New" w:hint="default"/>
      </w:rPr>
    </w:lvl>
    <w:lvl w:ilvl="2" w:tplc="B8E0DF3A">
      <w:start w:val="1"/>
      <w:numFmt w:val="bullet"/>
      <w:lvlText w:val=""/>
      <w:lvlJc w:val="left"/>
      <w:pPr>
        <w:ind w:left="2160" w:hanging="360"/>
      </w:pPr>
      <w:rPr>
        <w:rFonts w:ascii="Wingdings" w:hAnsi="Wingdings" w:hint="default"/>
      </w:rPr>
    </w:lvl>
    <w:lvl w:ilvl="3" w:tplc="4DA05976">
      <w:start w:val="1"/>
      <w:numFmt w:val="bullet"/>
      <w:lvlText w:val=""/>
      <w:lvlJc w:val="left"/>
      <w:pPr>
        <w:ind w:left="2880" w:hanging="360"/>
      </w:pPr>
      <w:rPr>
        <w:rFonts w:ascii="Symbol" w:hAnsi="Symbol" w:hint="default"/>
      </w:rPr>
    </w:lvl>
    <w:lvl w:ilvl="4" w:tplc="8EF02F2C">
      <w:start w:val="1"/>
      <w:numFmt w:val="bullet"/>
      <w:lvlText w:val="o"/>
      <w:lvlJc w:val="left"/>
      <w:pPr>
        <w:ind w:left="3600" w:hanging="360"/>
      </w:pPr>
      <w:rPr>
        <w:rFonts w:ascii="Courier New" w:hAnsi="Courier New" w:hint="default"/>
      </w:rPr>
    </w:lvl>
    <w:lvl w:ilvl="5" w:tplc="250C9EC6">
      <w:start w:val="1"/>
      <w:numFmt w:val="bullet"/>
      <w:lvlText w:val=""/>
      <w:lvlJc w:val="left"/>
      <w:pPr>
        <w:ind w:left="4320" w:hanging="360"/>
      </w:pPr>
      <w:rPr>
        <w:rFonts w:ascii="Wingdings" w:hAnsi="Wingdings" w:hint="default"/>
      </w:rPr>
    </w:lvl>
    <w:lvl w:ilvl="6" w:tplc="C1405AF6">
      <w:start w:val="1"/>
      <w:numFmt w:val="bullet"/>
      <w:lvlText w:val=""/>
      <w:lvlJc w:val="left"/>
      <w:pPr>
        <w:ind w:left="5040" w:hanging="360"/>
      </w:pPr>
      <w:rPr>
        <w:rFonts w:ascii="Symbol" w:hAnsi="Symbol" w:hint="default"/>
      </w:rPr>
    </w:lvl>
    <w:lvl w:ilvl="7" w:tplc="F8322A42">
      <w:start w:val="1"/>
      <w:numFmt w:val="bullet"/>
      <w:lvlText w:val="o"/>
      <w:lvlJc w:val="left"/>
      <w:pPr>
        <w:ind w:left="5760" w:hanging="360"/>
      </w:pPr>
      <w:rPr>
        <w:rFonts w:ascii="Courier New" w:hAnsi="Courier New" w:hint="default"/>
      </w:rPr>
    </w:lvl>
    <w:lvl w:ilvl="8" w:tplc="8158A8BA">
      <w:start w:val="1"/>
      <w:numFmt w:val="bullet"/>
      <w:lvlText w:val=""/>
      <w:lvlJc w:val="left"/>
      <w:pPr>
        <w:ind w:left="6480" w:hanging="360"/>
      </w:pPr>
      <w:rPr>
        <w:rFonts w:ascii="Wingdings" w:hAnsi="Wingdings" w:hint="default"/>
      </w:rPr>
    </w:lvl>
  </w:abstractNum>
  <w:abstractNum w:abstractNumId="18">
    <w:nsid w:val="46B54B15"/>
    <w:multiLevelType w:val="hybridMultilevel"/>
    <w:tmpl w:val="656AEC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C8B2B92"/>
    <w:multiLevelType w:val="hybridMultilevel"/>
    <w:tmpl w:val="67885C1C"/>
    <w:lvl w:ilvl="0" w:tplc="7A5A5A44">
      <w:numFmt w:val="bullet"/>
      <w:lvlText w:val="-"/>
      <w:lvlJc w:val="left"/>
      <w:pPr>
        <w:ind w:left="1437" w:hanging="360"/>
      </w:pPr>
      <w:rPr>
        <w:rFonts w:ascii="Calibri" w:eastAsia="Calibri" w:hAnsi="Calibri" w:cs="Times New Roman" w:hint="default"/>
      </w:rPr>
    </w:lvl>
    <w:lvl w:ilvl="1" w:tplc="A78C2C2A">
      <w:start w:val="1"/>
      <w:numFmt w:val="bullet"/>
      <w:lvlText w:val="o"/>
      <w:lvlJc w:val="left"/>
      <w:pPr>
        <w:ind w:left="2157" w:hanging="360"/>
      </w:pPr>
      <w:rPr>
        <w:rFonts w:ascii="Courier New" w:hAnsi="Courier New" w:hint="default"/>
      </w:rPr>
    </w:lvl>
    <w:lvl w:ilvl="2" w:tplc="B8E0DF3A">
      <w:start w:val="1"/>
      <w:numFmt w:val="bullet"/>
      <w:lvlText w:val=""/>
      <w:lvlJc w:val="left"/>
      <w:pPr>
        <w:ind w:left="2877" w:hanging="360"/>
      </w:pPr>
      <w:rPr>
        <w:rFonts w:ascii="Wingdings" w:hAnsi="Wingdings" w:hint="default"/>
      </w:rPr>
    </w:lvl>
    <w:lvl w:ilvl="3" w:tplc="4DA05976">
      <w:start w:val="1"/>
      <w:numFmt w:val="bullet"/>
      <w:lvlText w:val=""/>
      <w:lvlJc w:val="left"/>
      <w:pPr>
        <w:ind w:left="3597" w:hanging="360"/>
      </w:pPr>
      <w:rPr>
        <w:rFonts w:ascii="Symbol" w:hAnsi="Symbol" w:hint="default"/>
      </w:rPr>
    </w:lvl>
    <w:lvl w:ilvl="4" w:tplc="8EF02F2C">
      <w:start w:val="1"/>
      <w:numFmt w:val="bullet"/>
      <w:lvlText w:val="o"/>
      <w:lvlJc w:val="left"/>
      <w:pPr>
        <w:ind w:left="4317" w:hanging="360"/>
      </w:pPr>
      <w:rPr>
        <w:rFonts w:ascii="Courier New" w:hAnsi="Courier New" w:hint="default"/>
      </w:rPr>
    </w:lvl>
    <w:lvl w:ilvl="5" w:tplc="250C9EC6">
      <w:start w:val="1"/>
      <w:numFmt w:val="bullet"/>
      <w:lvlText w:val=""/>
      <w:lvlJc w:val="left"/>
      <w:pPr>
        <w:ind w:left="5037" w:hanging="360"/>
      </w:pPr>
      <w:rPr>
        <w:rFonts w:ascii="Wingdings" w:hAnsi="Wingdings" w:hint="default"/>
      </w:rPr>
    </w:lvl>
    <w:lvl w:ilvl="6" w:tplc="C1405AF6">
      <w:start w:val="1"/>
      <w:numFmt w:val="bullet"/>
      <w:lvlText w:val=""/>
      <w:lvlJc w:val="left"/>
      <w:pPr>
        <w:ind w:left="5757" w:hanging="360"/>
      </w:pPr>
      <w:rPr>
        <w:rFonts w:ascii="Symbol" w:hAnsi="Symbol" w:hint="default"/>
      </w:rPr>
    </w:lvl>
    <w:lvl w:ilvl="7" w:tplc="F8322A42">
      <w:start w:val="1"/>
      <w:numFmt w:val="bullet"/>
      <w:lvlText w:val="o"/>
      <w:lvlJc w:val="left"/>
      <w:pPr>
        <w:ind w:left="6477" w:hanging="360"/>
      </w:pPr>
      <w:rPr>
        <w:rFonts w:ascii="Courier New" w:hAnsi="Courier New" w:hint="default"/>
      </w:rPr>
    </w:lvl>
    <w:lvl w:ilvl="8" w:tplc="8158A8BA">
      <w:start w:val="1"/>
      <w:numFmt w:val="bullet"/>
      <w:lvlText w:val=""/>
      <w:lvlJc w:val="left"/>
      <w:pPr>
        <w:ind w:left="7197" w:hanging="360"/>
      </w:pPr>
      <w:rPr>
        <w:rFonts w:ascii="Wingdings" w:hAnsi="Wingdings" w:hint="default"/>
      </w:rPr>
    </w:lvl>
  </w:abstractNum>
  <w:abstractNum w:abstractNumId="20">
    <w:nsid w:val="51A2765F"/>
    <w:multiLevelType w:val="hybridMultilevel"/>
    <w:tmpl w:val="EA1A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3A3EF5"/>
    <w:multiLevelType w:val="multilevel"/>
    <w:tmpl w:val="1E12E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D9725E8"/>
    <w:multiLevelType w:val="multilevel"/>
    <w:tmpl w:val="1E065536"/>
    <w:lvl w:ilvl="0">
      <w:start w:val="1"/>
      <w:numFmt w:val="decimal"/>
      <w:pStyle w:val="Heading1"/>
      <w:lvlText w:val="%1."/>
      <w:lvlJc w:val="left"/>
      <w:pPr>
        <w:ind w:left="360" w:hanging="360"/>
      </w:pPr>
      <w:rPr>
        <w:color w:val="auto"/>
        <w:sz w:val="24"/>
      </w:rPr>
    </w:lvl>
    <w:lvl w:ilvl="1">
      <w:start w:val="1"/>
      <w:numFmt w:val="decimal"/>
      <w:lvlText w:val="%1.%2."/>
      <w:lvlJc w:val="left"/>
      <w:pPr>
        <w:ind w:left="792" w:hanging="432"/>
      </w:p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219301F"/>
    <w:multiLevelType w:val="hybridMultilevel"/>
    <w:tmpl w:val="684E17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64F43316"/>
    <w:multiLevelType w:val="hybridMultilevel"/>
    <w:tmpl w:val="2578CC3E"/>
    <w:lvl w:ilvl="0" w:tplc="3A5EAD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56F68AF"/>
    <w:multiLevelType w:val="hybridMultilevel"/>
    <w:tmpl w:val="AB10F818"/>
    <w:lvl w:ilvl="0" w:tplc="99141F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abstractNum w:abstractNumId="27">
    <w:nsid w:val="7B3D13D7"/>
    <w:multiLevelType w:val="hybridMultilevel"/>
    <w:tmpl w:val="9DFAE8C6"/>
    <w:lvl w:ilvl="0" w:tplc="99141F5E">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5"/>
  </w:num>
  <w:num w:numId="6">
    <w:abstractNumId w:val="21"/>
  </w:num>
  <w:num w:numId="7">
    <w:abstractNumId w:val="22"/>
  </w:num>
  <w:num w:numId="8">
    <w:abstractNumId w:val="22"/>
  </w:num>
  <w:num w:numId="9">
    <w:abstractNumId w:val="11"/>
  </w:num>
  <w:num w:numId="10">
    <w:abstractNumId w:val="6"/>
  </w:num>
  <w:num w:numId="11">
    <w:abstractNumId w:val="20"/>
  </w:num>
  <w:num w:numId="12">
    <w:abstractNumId w:val="18"/>
  </w:num>
  <w:num w:numId="13">
    <w:abstractNumId w:val="0"/>
  </w:num>
  <w:num w:numId="14">
    <w:abstractNumId w:val="23"/>
  </w:num>
  <w:num w:numId="15">
    <w:abstractNumId w:val="7"/>
  </w:num>
  <w:num w:numId="16">
    <w:abstractNumId w:val="10"/>
  </w:num>
  <w:num w:numId="17">
    <w:abstractNumId w:val="12"/>
  </w:num>
  <w:num w:numId="18">
    <w:abstractNumId w:val="8"/>
  </w:num>
  <w:num w:numId="19">
    <w:abstractNumId w:val="16"/>
  </w:num>
  <w:num w:numId="20">
    <w:abstractNumId w:val="27"/>
  </w:num>
  <w:num w:numId="21">
    <w:abstractNumId w:val="17"/>
  </w:num>
  <w:num w:numId="22">
    <w:abstractNumId w:val="5"/>
  </w:num>
  <w:num w:numId="23">
    <w:abstractNumId w:val="9"/>
  </w:num>
  <w:num w:numId="24">
    <w:abstractNumId w:val="24"/>
  </w:num>
  <w:num w:numId="25">
    <w:abstractNumId w:val="3"/>
  </w:num>
  <w:num w:numId="26">
    <w:abstractNumId w:val="1"/>
  </w:num>
  <w:num w:numId="27">
    <w:abstractNumId w:val="19"/>
  </w:num>
  <w:num w:numId="28">
    <w:abstractNumId w:val="13"/>
  </w:num>
  <w:num w:numId="29">
    <w:abstractNumId w:val="2"/>
  </w:num>
  <w:num w:numId="3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hu-H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1C85"/>
    <w:rsid w:val="000021DC"/>
    <w:rsid w:val="0000303F"/>
    <w:rsid w:val="00004F47"/>
    <w:rsid w:val="000052CA"/>
    <w:rsid w:val="000057DC"/>
    <w:rsid w:val="00005D65"/>
    <w:rsid w:val="00006C1E"/>
    <w:rsid w:val="000113D1"/>
    <w:rsid w:val="00011B68"/>
    <w:rsid w:val="00012BFC"/>
    <w:rsid w:val="000132E5"/>
    <w:rsid w:val="00013440"/>
    <w:rsid w:val="0001347C"/>
    <w:rsid w:val="000141C3"/>
    <w:rsid w:val="00014B0D"/>
    <w:rsid w:val="000154BA"/>
    <w:rsid w:val="000158DC"/>
    <w:rsid w:val="00015AC9"/>
    <w:rsid w:val="00015CF3"/>
    <w:rsid w:val="000173FC"/>
    <w:rsid w:val="00017F02"/>
    <w:rsid w:val="000204A8"/>
    <w:rsid w:val="000216AB"/>
    <w:rsid w:val="00021A09"/>
    <w:rsid w:val="0002366B"/>
    <w:rsid w:val="00023BD3"/>
    <w:rsid w:val="00025242"/>
    <w:rsid w:val="0002592B"/>
    <w:rsid w:val="00030C23"/>
    <w:rsid w:val="00030FF8"/>
    <w:rsid w:val="0003129E"/>
    <w:rsid w:val="00031765"/>
    <w:rsid w:val="00031831"/>
    <w:rsid w:val="00032C27"/>
    <w:rsid w:val="00033C82"/>
    <w:rsid w:val="000342BE"/>
    <w:rsid w:val="000345C8"/>
    <w:rsid w:val="000368A6"/>
    <w:rsid w:val="00037227"/>
    <w:rsid w:val="00040E35"/>
    <w:rsid w:val="00041660"/>
    <w:rsid w:val="000416DC"/>
    <w:rsid w:val="000418A1"/>
    <w:rsid w:val="000422FC"/>
    <w:rsid w:val="00042AA5"/>
    <w:rsid w:val="00042F66"/>
    <w:rsid w:val="000434F1"/>
    <w:rsid w:val="00043C0F"/>
    <w:rsid w:val="00044310"/>
    <w:rsid w:val="000451E7"/>
    <w:rsid w:val="0004548E"/>
    <w:rsid w:val="0005032F"/>
    <w:rsid w:val="00050ADF"/>
    <w:rsid w:val="00051ACD"/>
    <w:rsid w:val="00051F07"/>
    <w:rsid w:val="000531F1"/>
    <w:rsid w:val="00053C4A"/>
    <w:rsid w:val="000540F7"/>
    <w:rsid w:val="00054E58"/>
    <w:rsid w:val="00055152"/>
    <w:rsid w:val="00055A04"/>
    <w:rsid w:val="00055BB2"/>
    <w:rsid w:val="00055CC4"/>
    <w:rsid w:val="00055FE3"/>
    <w:rsid w:val="00056B72"/>
    <w:rsid w:val="00057858"/>
    <w:rsid w:val="000578E7"/>
    <w:rsid w:val="00062893"/>
    <w:rsid w:val="00063372"/>
    <w:rsid w:val="0006347F"/>
    <w:rsid w:val="0006455D"/>
    <w:rsid w:val="000648C4"/>
    <w:rsid w:val="00064A87"/>
    <w:rsid w:val="000652D8"/>
    <w:rsid w:val="000662EC"/>
    <w:rsid w:val="0006685B"/>
    <w:rsid w:val="00066F68"/>
    <w:rsid w:val="00067493"/>
    <w:rsid w:val="000714D2"/>
    <w:rsid w:val="00071637"/>
    <w:rsid w:val="00071D1E"/>
    <w:rsid w:val="0007227F"/>
    <w:rsid w:val="00073FCE"/>
    <w:rsid w:val="00077A3A"/>
    <w:rsid w:val="00077FDB"/>
    <w:rsid w:val="000807D6"/>
    <w:rsid w:val="00080DFD"/>
    <w:rsid w:val="000810D6"/>
    <w:rsid w:val="00081731"/>
    <w:rsid w:val="000826E9"/>
    <w:rsid w:val="000827CD"/>
    <w:rsid w:val="00083BC4"/>
    <w:rsid w:val="00083E7B"/>
    <w:rsid w:val="000848FD"/>
    <w:rsid w:val="00085DBE"/>
    <w:rsid w:val="000870C0"/>
    <w:rsid w:val="0008748D"/>
    <w:rsid w:val="00091845"/>
    <w:rsid w:val="00091F48"/>
    <w:rsid w:val="00095EDA"/>
    <w:rsid w:val="00096B6C"/>
    <w:rsid w:val="00097767"/>
    <w:rsid w:val="00097773"/>
    <w:rsid w:val="0009789C"/>
    <w:rsid w:val="000A22C9"/>
    <w:rsid w:val="000A4275"/>
    <w:rsid w:val="000A480B"/>
    <w:rsid w:val="000A4DBF"/>
    <w:rsid w:val="000A61EE"/>
    <w:rsid w:val="000A7A06"/>
    <w:rsid w:val="000B11ED"/>
    <w:rsid w:val="000B2EE3"/>
    <w:rsid w:val="000B3212"/>
    <w:rsid w:val="000B384F"/>
    <w:rsid w:val="000B45DC"/>
    <w:rsid w:val="000B4FF6"/>
    <w:rsid w:val="000B53E8"/>
    <w:rsid w:val="000B7060"/>
    <w:rsid w:val="000B73BD"/>
    <w:rsid w:val="000B7A9C"/>
    <w:rsid w:val="000C16B2"/>
    <w:rsid w:val="000C2A0F"/>
    <w:rsid w:val="000C381D"/>
    <w:rsid w:val="000C3F44"/>
    <w:rsid w:val="000C41E2"/>
    <w:rsid w:val="000C45F3"/>
    <w:rsid w:val="000C4B0E"/>
    <w:rsid w:val="000C5767"/>
    <w:rsid w:val="000C743D"/>
    <w:rsid w:val="000C763F"/>
    <w:rsid w:val="000D1439"/>
    <w:rsid w:val="000D2E50"/>
    <w:rsid w:val="000D30EC"/>
    <w:rsid w:val="000D38C0"/>
    <w:rsid w:val="000D3D83"/>
    <w:rsid w:val="000D5FD0"/>
    <w:rsid w:val="000D69D1"/>
    <w:rsid w:val="000E093C"/>
    <w:rsid w:val="000E1D5D"/>
    <w:rsid w:val="000E239E"/>
    <w:rsid w:val="000E3120"/>
    <w:rsid w:val="000E3B69"/>
    <w:rsid w:val="000E3FC9"/>
    <w:rsid w:val="000E5C39"/>
    <w:rsid w:val="000E675E"/>
    <w:rsid w:val="000E6992"/>
    <w:rsid w:val="000E748E"/>
    <w:rsid w:val="000E79AD"/>
    <w:rsid w:val="000E7AB5"/>
    <w:rsid w:val="000F01BF"/>
    <w:rsid w:val="000F296F"/>
    <w:rsid w:val="000F2E7A"/>
    <w:rsid w:val="000F329E"/>
    <w:rsid w:val="000F3DA3"/>
    <w:rsid w:val="000F408A"/>
    <w:rsid w:val="000F63B5"/>
    <w:rsid w:val="000F68AF"/>
    <w:rsid w:val="001002B2"/>
    <w:rsid w:val="0010038C"/>
    <w:rsid w:val="00100BAF"/>
    <w:rsid w:val="001013AF"/>
    <w:rsid w:val="001033DE"/>
    <w:rsid w:val="00104963"/>
    <w:rsid w:val="001052F7"/>
    <w:rsid w:val="00105AB4"/>
    <w:rsid w:val="00105D53"/>
    <w:rsid w:val="00105F28"/>
    <w:rsid w:val="00105FD8"/>
    <w:rsid w:val="0010620D"/>
    <w:rsid w:val="00106254"/>
    <w:rsid w:val="00106C9D"/>
    <w:rsid w:val="0010779E"/>
    <w:rsid w:val="00111498"/>
    <w:rsid w:val="001115B7"/>
    <w:rsid w:val="00113846"/>
    <w:rsid w:val="00114E6A"/>
    <w:rsid w:val="00115432"/>
    <w:rsid w:val="00115A9D"/>
    <w:rsid w:val="0011656B"/>
    <w:rsid w:val="001174D7"/>
    <w:rsid w:val="00120208"/>
    <w:rsid w:val="00121842"/>
    <w:rsid w:val="001218E0"/>
    <w:rsid w:val="00121B65"/>
    <w:rsid w:val="00122150"/>
    <w:rsid w:val="00122503"/>
    <w:rsid w:val="00122B47"/>
    <w:rsid w:val="0012558E"/>
    <w:rsid w:val="001260D7"/>
    <w:rsid w:val="00126B51"/>
    <w:rsid w:val="00131036"/>
    <w:rsid w:val="00133B61"/>
    <w:rsid w:val="00134AF5"/>
    <w:rsid w:val="0013501D"/>
    <w:rsid w:val="001356DF"/>
    <w:rsid w:val="0013744C"/>
    <w:rsid w:val="00140835"/>
    <w:rsid w:val="0014180A"/>
    <w:rsid w:val="00141967"/>
    <w:rsid w:val="00142EC1"/>
    <w:rsid w:val="00143C18"/>
    <w:rsid w:val="00143D0C"/>
    <w:rsid w:val="00143E77"/>
    <w:rsid w:val="001441BB"/>
    <w:rsid w:val="001455C9"/>
    <w:rsid w:val="001456D1"/>
    <w:rsid w:val="00145F6F"/>
    <w:rsid w:val="001477BA"/>
    <w:rsid w:val="00147CFF"/>
    <w:rsid w:val="0015034D"/>
    <w:rsid w:val="00151047"/>
    <w:rsid w:val="00151C9F"/>
    <w:rsid w:val="001521BE"/>
    <w:rsid w:val="00152B1D"/>
    <w:rsid w:val="00152CAE"/>
    <w:rsid w:val="00155AA9"/>
    <w:rsid w:val="00156199"/>
    <w:rsid w:val="001562D8"/>
    <w:rsid w:val="00156748"/>
    <w:rsid w:val="00156E41"/>
    <w:rsid w:val="00161D98"/>
    <w:rsid w:val="001620A4"/>
    <w:rsid w:val="00162278"/>
    <w:rsid w:val="00162F5A"/>
    <w:rsid w:val="001649E8"/>
    <w:rsid w:val="00165C5C"/>
    <w:rsid w:val="001669B6"/>
    <w:rsid w:val="001669DF"/>
    <w:rsid w:val="00166C20"/>
    <w:rsid w:val="00166F2A"/>
    <w:rsid w:val="00167092"/>
    <w:rsid w:val="00167422"/>
    <w:rsid w:val="001706D6"/>
    <w:rsid w:val="00170DDA"/>
    <w:rsid w:val="00170FB2"/>
    <w:rsid w:val="00171393"/>
    <w:rsid w:val="001722F0"/>
    <w:rsid w:val="00172B02"/>
    <w:rsid w:val="00172C88"/>
    <w:rsid w:val="00173BB8"/>
    <w:rsid w:val="00174E00"/>
    <w:rsid w:val="00175983"/>
    <w:rsid w:val="00175AB6"/>
    <w:rsid w:val="0017625D"/>
    <w:rsid w:val="00177439"/>
    <w:rsid w:val="00182C3B"/>
    <w:rsid w:val="0018436A"/>
    <w:rsid w:val="001845C5"/>
    <w:rsid w:val="00184874"/>
    <w:rsid w:val="0018579B"/>
    <w:rsid w:val="0018608C"/>
    <w:rsid w:val="00186278"/>
    <w:rsid w:val="0018689C"/>
    <w:rsid w:val="00190D5A"/>
    <w:rsid w:val="00191072"/>
    <w:rsid w:val="001930C7"/>
    <w:rsid w:val="0019325D"/>
    <w:rsid w:val="0019347F"/>
    <w:rsid w:val="001935E9"/>
    <w:rsid w:val="00193E63"/>
    <w:rsid w:val="00195D17"/>
    <w:rsid w:val="00196D6B"/>
    <w:rsid w:val="001A182B"/>
    <w:rsid w:val="001A2578"/>
    <w:rsid w:val="001A3E76"/>
    <w:rsid w:val="001A459D"/>
    <w:rsid w:val="001A5F20"/>
    <w:rsid w:val="001A6BD9"/>
    <w:rsid w:val="001A78EF"/>
    <w:rsid w:val="001B258E"/>
    <w:rsid w:val="001B2E35"/>
    <w:rsid w:val="001B2E73"/>
    <w:rsid w:val="001B5A4C"/>
    <w:rsid w:val="001B5A74"/>
    <w:rsid w:val="001C05CA"/>
    <w:rsid w:val="001C1796"/>
    <w:rsid w:val="001C2269"/>
    <w:rsid w:val="001C241D"/>
    <w:rsid w:val="001C3485"/>
    <w:rsid w:val="001C3CCE"/>
    <w:rsid w:val="001C43B9"/>
    <w:rsid w:val="001C5528"/>
    <w:rsid w:val="001C66F5"/>
    <w:rsid w:val="001C7EB4"/>
    <w:rsid w:val="001D041D"/>
    <w:rsid w:val="001D0FFE"/>
    <w:rsid w:val="001D1855"/>
    <w:rsid w:val="001D20D6"/>
    <w:rsid w:val="001D3BD6"/>
    <w:rsid w:val="001D3FC9"/>
    <w:rsid w:val="001D4187"/>
    <w:rsid w:val="001D442B"/>
    <w:rsid w:val="001D527B"/>
    <w:rsid w:val="001D52A1"/>
    <w:rsid w:val="001D6165"/>
    <w:rsid w:val="001D61AF"/>
    <w:rsid w:val="001D6990"/>
    <w:rsid w:val="001D7106"/>
    <w:rsid w:val="001E0154"/>
    <w:rsid w:val="001E1F3F"/>
    <w:rsid w:val="001E3362"/>
    <w:rsid w:val="001E3DCB"/>
    <w:rsid w:val="001E3F35"/>
    <w:rsid w:val="001E3FBF"/>
    <w:rsid w:val="001E4707"/>
    <w:rsid w:val="001E5709"/>
    <w:rsid w:val="001E683C"/>
    <w:rsid w:val="001E6ADE"/>
    <w:rsid w:val="001E704E"/>
    <w:rsid w:val="001F110E"/>
    <w:rsid w:val="001F256F"/>
    <w:rsid w:val="001F2792"/>
    <w:rsid w:val="001F3A7D"/>
    <w:rsid w:val="001F3BC4"/>
    <w:rsid w:val="001F40FF"/>
    <w:rsid w:val="001F58ED"/>
    <w:rsid w:val="001F7538"/>
    <w:rsid w:val="0020000F"/>
    <w:rsid w:val="0020052C"/>
    <w:rsid w:val="002037E1"/>
    <w:rsid w:val="00204357"/>
    <w:rsid w:val="002046A8"/>
    <w:rsid w:val="00206EE4"/>
    <w:rsid w:val="00207114"/>
    <w:rsid w:val="00207D7E"/>
    <w:rsid w:val="00211577"/>
    <w:rsid w:val="00211EE8"/>
    <w:rsid w:val="0021200B"/>
    <w:rsid w:val="00212B20"/>
    <w:rsid w:val="002134C7"/>
    <w:rsid w:val="00214EB1"/>
    <w:rsid w:val="00215D7D"/>
    <w:rsid w:val="00216924"/>
    <w:rsid w:val="00217532"/>
    <w:rsid w:val="00217C64"/>
    <w:rsid w:val="0022163F"/>
    <w:rsid w:val="002216C9"/>
    <w:rsid w:val="00221903"/>
    <w:rsid w:val="0022259C"/>
    <w:rsid w:val="00222D5C"/>
    <w:rsid w:val="00222F0F"/>
    <w:rsid w:val="002245DE"/>
    <w:rsid w:val="0022521F"/>
    <w:rsid w:val="00225914"/>
    <w:rsid w:val="002271E1"/>
    <w:rsid w:val="0022770E"/>
    <w:rsid w:val="00227737"/>
    <w:rsid w:val="00227B49"/>
    <w:rsid w:val="00227BCD"/>
    <w:rsid w:val="00230BC4"/>
    <w:rsid w:val="0023277A"/>
    <w:rsid w:val="002331D5"/>
    <w:rsid w:val="0023328F"/>
    <w:rsid w:val="00233D5D"/>
    <w:rsid w:val="002346A2"/>
    <w:rsid w:val="00235867"/>
    <w:rsid w:val="00236889"/>
    <w:rsid w:val="00236B9F"/>
    <w:rsid w:val="00237FB8"/>
    <w:rsid w:val="002408E3"/>
    <w:rsid w:val="00240ECF"/>
    <w:rsid w:val="00243206"/>
    <w:rsid w:val="00244D99"/>
    <w:rsid w:val="00245697"/>
    <w:rsid w:val="00246473"/>
    <w:rsid w:val="0024699B"/>
    <w:rsid w:val="00247759"/>
    <w:rsid w:val="00247809"/>
    <w:rsid w:val="00251636"/>
    <w:rsid w:val="0025299A"/>
    <w:rsid w:val="002531D5"/>
    <w:rsid w:val="00253E32"/>
    <w:rsid w:val="002548F3"/>
    <w:rsid w:val="002555C3"/>
    <w:rsid w:val="002559ED"/>
    <w:rsid w:val="00256293"/>
    <w:rsid w:val="00257261"/>
    <w:rsid w:val="0025735B"/>
    <w:rsid w:val="00260EB6"/>
    <w:rsid w:val="00261420"/>
    <w:rsid w:val="002629C0"/>
    <w:rsid w:val="00263832"/>
    <w:rsid w:val="00263E9C"/>
    <w:rsid w:val="00264450"/>
    <w:rsid w:val="0026682D"/>
    <w:rsid w:val="00267088"/>
    <w:rsid w:val="0027028A"/>
    <w:rsid w:val="0027110D"/>
    <w:rsid w:val="00271FE8"/>
    <w:rsid w:val="002722C5"/>
    <w:rsid w:val="00272418"/>
    <w:rsid w:val="002727D9"/>
    <w:rsid w:val="00272C00"/>
    <w:rsid w:val="00273356"/>
    <w:rsid w:val="00274A75"/>
    <w:rsid w:val="00275713"/>
    <w:rsid w:val="00276DC9"/>
    <w:rsid w:val="0027704C"/>
    <w:rsid w:val="00277B23"/>
    <w:rsid w:val="00280976"/>
    <w:rsid w:val="002809C9"/>
    <w:rsid w:val="00280AD8"/>
    <w:rsid w:val="00281092"/>
    <w:rsid w:val="00282B67"/>
    <w:rsid w:val="0028370B"/>
    <w:rsid w:val="00283FBF"/>
    <w:rsid w:val="0028457E"/>
    <w:rsid w:val="002853BE"/>
    <w:rsid w:val="00285B6F"/>
    <w:rsid w:val="0028675E"/>
    <w:rsid w:val="002874F0"/>
    <w:rsid w:val="002879A4"/>
    <w:rsid w:val="00287C7C"/>
    <w:rsid w:val="00287E16"/>
    <w:rsid w:val="00291413"/>
    <w:rsid w:val="002933A2"/>
    <w:rsid w:val="00294694"/>
    <w:rsid w:val="00294728"/>
    <w:rsid w:val="002951A6"/>
    <w:rsid w:val="002955A0"/>
    <w:rsid w:val="002957F5"/>
    <w:rsid w:val="00295D68"/>
    <w:rsid w:val="00296064"/>
    <w:rsid w:val="00296A63"/>
    <w:rsid w:val="0029784F"/>
    <w:rsid w:val="002A11F2"/>
    <w:rsid w:val="002A15C3"/>
    <w:rsid w:val="002A17B6"/>
    <w:rsid w:val="002A1AF2"/>
    <w:rsid w:val="002A1B45"/>
    <w:rsid w:val="002A2B60"/>
    <w:rsid w:val="002A2C32"/>
    <w:rsid w:val="002A3DBD"/>
    <w:rsid w:val="002A4D87"/>
    <w:rsid w:val="002A555E"/>
    <w:rsid w:val="002A61A2"/>
    <w:rsid w:val="002A687A"/>
    <w:rsid w:val="002A758D"/>
    <w:rsid w:val="002B378B"/>
    <w:rsid w:val="002B3971"/>
    <w:rsid w:val="002B4B2A"/>
    <w:rsid w:val="002B6204"/>
    <w:rsid w:val="002B7FCA"/>
    <w:rsid w:val="002C1847"/>
    <w:rsid w:val="002C191F"/>
    <w:rsid w:val="002C1DAC"/>
    <w:rsid w:val="002C1F04"/>
    <w:rsid w:val="002C1F1B"/>
    <w:rsid w:val="002C2B3A"/>
    <w:rsid w:val="002C48D5"/>
    <w:rsid w:val="002C4FF5"/>
    <w:rsid w:val="002C51A9"/>
    <w:rsid w:val="002C5B6E"/>
    <w:rsid w:val="002C60EB"/>
    <w:rsid w:val="002C7371"/>
    <w:rsid w:val="002D0776"/>
    <w:rsid w:val="002D0C9F"/>
    <w:rsid w:val="002D14D4"/>
    <w:rsid w:val="002D1EF5"/>
    <w:rsid w:val="002D27B3"/>
    <w:rsid w:val="002D282D"/>
    <w:rsid w:val="002D2908"/>
    <w:rsid w:val="002D2B77"/>
    <w:rsid w:val="002D3AA3"/>
    <w:rsid w:val="002D5B4D"/>
    <w:rsid w:val="002D7485"/>
    <w:rsid w:val="002E076F"/>
    <w:rsid w:val="002E14D3"/>
    <w:rsid w:val="002E1C3C"/>
    <w:rsid w:val="002E2E9E"/>
    <w:rsid w:val="002E4011"/>
    <w:rsid w:val="002E40C7"/>
    <w:rsid w:val="002E427C"/>
    <w:rsid w:val="002E5AE9"/>
    <w:rsid w:val="002E65AB"/>
    <w:rsid w:val="002E6C67"/>
    <w:rsid w:val="002E6CF7"/>
    <w:rsid w:val="002E7160"/>
    <w:rsid w:val="002F0E4A"/>
    <w:rsid w:val="002F0E62"/>
    <w:rsid w:val="002F152E"/>
    <w:rsid w:val="002F1D1B"/>
    <w:rsid w:val="002F2C3D"/>
    <w:rsid w:val="002F445B"/>
    <w:rsid w:val="002F520D"/>
    <w:rsid w:val="002F5D6D"/>
    <w:rsid w:val="002F6ADE"/>
    <w:rsid w:val="002F71AC"/>
    <w:rsid w:val="002F745A"/>
    <w:rsid w:val="00301975"/>
    <w:rsid w:val="0030343A"/>
    <w:rsid w:val="003048AE"/>
    <w:rsid w:val="00304FCE"/>
    <w:rsid w:val="0030521A"/>
    <w:rsid w:val="00305B86"/>
    <w:rsid w:val="00307011"/>
    <w:rsid w:val="00311C99"/>
    <w:rsid w:val="00311F4D"/>
    <w:rsid w:val="00313272"/>
    <w:rsid w:val="0031415F"/>
    <w:rsid w:val="00314C78"/>
    <w:rsid w:val="00314DA5"/>
    <w:rsid w:val="00316940"/>
    <w:rsid w:val="00320033"/>
    <w:rsid w:val="00321A53"/>
    <w:rsid w:val="00321ECD"/>
    <w:rsid w:val="00321F5A"/>
    <w:rsid w:val="003221ED"/>
    <w:rsid w:val="0032253E"/>
    <w:rsid w:val="00322575"/>
    <w:rsid w:val="0032271C"/>
    <w:rsid w:val="00323A14"/>
    <w:rsid w:val="003243AF"/>
    <w:rsid w:val="0032510A"/>
    <w:rsid w:val="00325A57"/>
    <w:rsid w:val="00326E7A"/>
    <w:rsid w:val="00331C5A"/>
    <w:rsid w:val="00331D0F"/>
    <w:rsid w:val="00332AFA"/>
    <w:rsid w:val="00332C76"/>
    <w:rsid w:val="00333E6E"/>
    <w:rsid w:val="003351CA"/>
    <w:rsid w:val="00335B4D"/>
    <w:rsid w:val="00335DC3"/>
    <w:rsid w:val="00337C7E"/>
    <w:rsid w:val="0033C93B"/>
    <w:rsid w:val="00341EF7"/>
    <w:rsid w:val="00341FDC"/>
    <w:rsid w:val="00344490"/>
    <w:rsid w:val="003445E3"/>
    <w:rsid w:val="00344EF1"/>
    <w:rsid w:val="0034769F"/>
    <w:rsid w:val="00350326"/>
    <w:rsid w:val="003514A8"/>
    <w:rsid w:val="00351F6B"/>
    <w:rsid w:val="0035261A"/>
    <w:rsid w:val="003529B8"/>
    <w:rsid w:val="00353320"/>
    <w:rsid w:val="003536F2"/>
    <w:rsid w:val="003536F8"/>
    <w:rsid w:val="00354F89"/>
    <w:rsid w:val="00354F90"/>
    <w:rsid w:val="00356580"/>
    <w:rsid w:val="003616A2"/>
    <w:rsid w:val="00361F52"/>
    <w:rsid w:val="0036280B"/>
    <w:rsid w:val="003637A7"/>
    <w:rsid w:val="00364D0D"/>
    <w:rsid w:val="0036593B"/>
    <w:rsid w:val="003660E9"/>
    <w:rsid w:val="00366618"/>
    <w:rsid w:val="00366A09"/>
    <w:rsid w:val="00366E5F"/>
    <w:rsid w:val="00367403"/>
    <w:rsid w:val="00367B20"/>
    <w:rsid w:val="00372B55"/>
    <w:rsid w:val="00373914"/>
    <w:rsid w:val="00374530"/>
    <w:rsid w:val="00374746"/>
    <w:rsid w:val="0037642C"/>
    <w:rsid w:val="003775F2"/>
    <w:rsid w:val="003778EE"/>
    <w:rsid w:val="0037790F"/>
    <w:rsid w:val="0038181F"/>
    <w:rsid w:val="00382CE8"/>
    <w:rsid w:val="00384709"/>
    <w:rsid w:val="00384CB0"/>
    <w:rsid w:val="00386218"/>
    <w:rsid w:val="00386870"/>
    <w:rsid w:val="003909BD"/>
    <w:rsid w:val="003911FE"/>
    <w:rsid w:val="00391790"/>
    <w:rsid w:val="00391C28"/>
    <w:rsid w:val="0039212A"/>
    <w:rsid w:val="00392543"/>
    <w:rsid w:val="00394C55"/>
    <w:rsid w:val="00395878"/>
    <w:rsid w:val="003966AA"/>
    <w:rsid w:val="003971AC"/>
    <w:rsid w:val="003A002B"/>
    <w:rsid w:val="003A0048"/>
    <w:rsid w:val="003A1E5E"/>
    <w:rsid w:val="003A30BE"/>
    <w:rsid w:val="003A31F8"/>
    <w:rsid w:val="003A426F"/>
    <w:rsid w:val="003A4418"/>
    <w:rsid w:val="003A44D3"/>
    <w:rsid w:val="003A56E7"/>
    <w:rsid w:val="003A5803"/>
    <w:rsid w:val="003A705B"/>
    <w:rsid w:val="003B1A43"/>
    <w:rsid w:val="003B1AD0"/>
    <w:rsid w:val="003B21AE"/>
    <w:rsid w:val="003B2C4A"/>
    <w:rsid w:val="003B3762"/>
    <w:rsid w:val="003B3950"/>
    <w:rsid w:val="003B4547"/>
    <w:rsid w:val="003B4F21"/>
    <w:rsid w:val="003B50D3"/>
    <w:rsid w:val="003B564E"/>
    <w:rsid w:val="003B6047"/>
    <w:rsid w:val="003B6089"/>
    <w:rsid w:val="003B6560"/>
    <w:rsid w:val="003B7431"/>
    <w:rsid w:val="003B7C3D"/>
    <w:rsid w:val="003B7FBF"/>
    <w:rsid w:val="003C0CD7"/>
    <w:rsid w:val="003C32D9"/>
    <w:rsid w:val="003C3445"/>
    <w:rsid w:val="003C4495"/>
    <w:rsid w:val="003C488B"/>
    <w:rsid w:val="003C547B"/>
    <w:rsid w:val="003C5C45"/>
    <w:rsid w:val="003C7748"/>
    <w:rsid w:val="003C78F4"/>
    <w:rsid w:val="003D0612"/>
    <w:rsid w:val="003D17FC"/>
    <w:rsid w:val="003D42EA"/>
    <w:rsid w:val="003D7A92"/>
    <w:rsid w:val="003E12B9"/>
    <w:rsid w:val="003E2F35"/>
    <w:rsid w:val="003E347F"/>
    <w:rsid w:val="003E36CC"/>
    <w:rsid w:val="003E3B6F"/>
    <w:rsid w:val="003E3C67"/>
    <w:rsid w:val="003E48EB"/>
    <w:rsid w:val="003E5176"/>
    <w:rsid w:val="003E5202"/>
    <w:rsid w:val="003E5A9C"/>
    <w:rsid w:val="003E6366"/>
    <w:rsid w:val="003E6D62"/>
    <w:rsid w:val="003E79E3"/>
    <w:rsid w:val="003F05B8"/>
    <w:rsid w:val="003F0738"/>
    <w:rsid w:val="003F0B77"/>
    <w:rsid w:val="003F2666"/>
    <w:rsid w:val="003F31D4"/>
    <w:rsid w:val="003F3700"/>
    <w:rsid w:val="003F47E0"/>
    <w:rsid w:val="003F49A2"/>
    <w:rsid w:val="003F4B2B"/>
    <w:rsid w:val="003F4FE9"/>
    <w:rsid w:val="003F6474"/>
    <w:rsid w:val="003F6730"/>
    <w:rsid w:val="003F6D49"/>
    <w:rsid w:val="003F710F"/>
    <w:rsid w:val="003F73A5"/>
    <w:rsid w:val="003F7DAA"/>
    <w:rsid w:val="00400797"/>
    <w:rsid w:val="00400849"/>
    <w:rsid w:val="00401382"/>
    <w:rsid w:val="00402042"/>
    <w:rsid w:val="0040265B"/>
    <w:rsid w:val="00402A30"/>
    <w:rsid w:val="00402A74"/>
    <w:rsid w:val="0040358D"/>
    <w:rsid w:val="00404253"/>
    <w:rsid w:val="00404592"/>
    <w:rsid w:val="00404DF1"/>
    <w:rsid w:val="00405BCF"/>
    <w:rsid w:val="00405D2C"/>
    <w:rsid w:val="00407048"/>
    <w:rsid w:val="004079BF"/>
    <w:rsid w:val="00407B27"/>
    <w:rsid w:val="00407EC3"/>
    <w:rsid w:val="0041044D"/>
    <w:rsid w:val="00411121"/>
    <w:rsid w:val="0041133E"/>
    <w:rsid w:val="00411D72"/>
    <w:rsid w:val="00414674"/>
    <w:rsid w:val="00414678"/>
    <w:rsid w:val="004173AB"/>
    <w:rsid w:val="00417A74"/>
    <w:rsid w:val="00417A80"/>
    <w:rsid w:val="00417B4C"/>
    <w:rsid w:val="00417D9E"/>
    <w:rsid w:val="0042010C"/>
    <w:rsid w:val="00420318"/>
    <w:rsid w:val="00422EAB"/>
    <w:rsid w:val="00422EF1"/>
    <w:rsid w:val="0042321C"/>
    <w:rsid w:val="0042330A"/>
    <w:rsid w:val="0042385A"/>
    <w:rsid w:val="0042413C"/>
    <w:rsid w:val="00424CA5"/>
    <w:rsid w:val="004257C0"/>
    <w:rsid w:val="00426F77"/>
    <w:rsid w:val="00427AB1"/>
    <w:rsid w:val="004301BA"/>
    <w:rsid w:val="00430638"/>
    <w:rsid w:val="004306B5"/>
    <w:rsid w:val="00431B97"/>
    <w:rsid w:val="00431F38"/>
    <w:rsid w:val="00432515"/>
    <w:rsid w:val="00433309"/>
    <w:rsid w:val="0043376F"/>
    <w:rsid w:val="00433FAE"/>
    <w:rsid w:val="00435155"/>
    <w:rsid w:val="004351C9"/>
    <w:rsid w:val="004354EF"/>
    <w:rsid w:val="00437445"/>
    <w:rsid w:val="00437D77"/>
    <w:rsid w:val="00440727"/>
    <w:rsid w:val="00440B81"/>
    <w:rsid w:val="0044183E"/>
    <w:rsid w:val="004432C1"/>
    <w:rsid w:val="004459C2"/>
    <w:rsid w:val="0044713F"/>
    <w:rsid w:val="00451421"/>
    <w:rsid w:val="004518B4"/>
    <w:rsid w:val="00451B3B"/>
    <w:rsid w:val="004522C9"/>
    <w:rsid w:val="00453C7D"/>
    <w:rsid w:val="00454ABC"/>
    <w:rsid w:val="0045742A"/>
    <w:rsid w:val="00457490"/>
    <w:rsid w:val="004602CD"/>
    <w:rsid w:val="00461309"/>
    <w:rsid w:val="0046153E"/>
    <w:rsid w:val="00461A35"/>
    <w:rsid w:val="00461C15"/>
    <w:rsid w:val="004620C8"/>
    <w:rsid w:val="00462710"/>
    <w:rsid w:val="00463737"/>
    <w:rsid w:val="00465E7C"/>
    <w:rsid w:val="00466A7A"/>
    <w:rsid w:val="004703F9"/>
    <w:rsid w:val="004734DF"/>
    <w:rsid w:val="00473A79"/>
    <w:rsid w:val="0047526B"/>
    <w:rsid w:val="004757E8"/>
    <w:rsid w:val="00476024"/>
    <w:rsid w:val="004774FB"/>
    <w:rsid w:val="00477A71"/>
    <w:rsid w:val="00477AA9"/>
    <w:rsid w:val="0048058A"/>
    <w:rsid w:val="00481C3F"/>
    <w:rsid w:val="0048209D"/>
    <w:rsid w:val="004821F0"/>
    <w:rsid w:val="0048246B"/>
    <w:rsid w:val="004829EC"/>
    <w:rsid w:val="00483A9D"/>
    <w:rsid w:val="00483C78"/>
    <w:rsid w:val="004844E0"/>
    <w:rsid w:val="004846ED"/>
    <w:rsid w:val="0048565F"/>
    <w:rsid w:val="004857DB"/>
    <w:rsid w:val="00487333"/>
    <w:rsid w:val="004875D9"/>
    <w:rsid w:val="00487C82"/>
    <w:rsid w:val="00490124"/>
    <w:rsid w:val="00491D22"/>
    <w:rsid w:val="00492129"/>
    <w:rsid w:val="004922C8"/>
    <w:rsid w:val="00492B32"/>
    <w:rsid w:val="00493FBB"/>
    <w:rsid w:val="00494135"/>
    <w:rsid w:val="004943B3"/>
    <w:rsid w:val="00494B1E"/>
    <w:rsid w:val="004954AF"/>
    <w:rsid w:val="00495863"/>
    <w:rsid w:val="00496DCC"/>
    <w:rsid w:val="00497C0B"/>
    <w:rsid w:val="00497F73"/>
    <w:rsid w:val="004A08D0"/>
    <w:rsid w:val="004A1A1F"/>
    <w:rsid w:val="004A258D"/>
    <w:rsid w:val="004A389D"/>
    <w:rsid w:val="004A390B"/>
    <w:rsid w:val="004A3D71"/>
    <w:rsid w:val="004A3EFD"/>
    <w:rsid w:val="004A5150"/>
    <w:rsid w:val="004A64EB"/>
    <w:rsid w:val="004A6505"/>
    <w:rsid w:val="004A7CB2"/>
    <w:rsid w:val="004A7D0E"/>
    <w:rsid w:val="004B00C9"/>
    <w:rsid w:val="004B14A4"/>
    <w:rsid w:val="004B1E34"/>
    <w:rsid w:val="004B1FF4"/>
    <w:rsid w:val="004B2B1F"/>
    <w:rsid w:val="004B4CF5"/>
    <w:rsid w:val="004B6766"/>
    <w:rsid w:val="004BD306"/>
    <w:rsid w:val="004C0132"/>
    <w:rsid w:val="004C0EF3"/>
    <w:rsid w:val="004C1112"/>
    <w:rsid w:val="004C1498"/>
    <w:rsid w:val="004C2950"/>
    <w:rsid w:val="004C39E1"/>
    <w:rsid w:val="004C51DD"/>
    <w:rsid w:val="004C57F3"/>
    <w:rsid w:val="004C6762"/>
    <w:rsid w:val="004C7433"/>
    <w:rsid w:val="004D2C15"/>
    <w:rsid w:val="004D48FC"/>
    <w:rsid w:val="004D4EF5"/>
    <w:rsid w:val="004D664C"/>
    <w:rsid w:val="004D6B3A"/>
    <w:rsid w:val="004D70D3"/>
    <w:rsid w:val="004D7A89"/>
    <w:rsid w:val="004E1337"/>
    <w:rsid w:val="004E2458"/>
    <w:rsid w:val="004E2D18"/>
    <w:rsid w:val="004E30F4"/>
    <w:rsid w:val="004E5953"/>
    <w:rsid w:val="004E5BC0"/>
    <w:rsid w:val="004E73F6"/>
    <w:rsid w:val="004F1591"/>
    <w:rsid w:val="004F1638"/>
    <w:rsid w:val="004F2475"/>
    <w:rsid w:val="004F2509"/>
    <w:rsid w:val="004F39F2"/>
    <w:rsid w:val="004F3F2D"/>
    <w:rsid w:val="004F4AF0"/>
    <w:rsid w:val="004F5063"/>
    <w:rsid w:val="004F568C"/>
    <w:rsid w:val="004F5D0E"/>
    <w:rsid w:val="004F6C71"/>
    <w:rsid w:val="004F71E6"/>
    <w:rsid w:val="005013D0"/>
    <w:rsid w:val="00501B87"/>
    <w:rsid w:val="00503E30"/>
    <w:rsid w:val="00504B65"/>
    <w:rsid w:val="00505E8F"/>
    <w:rsid w:val="00506B8C"/>
    <w:rsid w:val="005115BE"/>
    <w:rsid w:val="00511928"/>
    <w:rsid w:val="00512959"/>
    <w:rsid w:val="00512EBC"/>
    <w:rsid w:val="00513A36"/>
    <w:rsid w:val="00514639"/>
    <w:rsid w:val="0051477C"/>
    <w:rsid w:val="00520531"/>
    <w:rsid w:val="00520DE7"/>
    <w:rsid w:val="00522223"/>
    <w:rsid w:val="00523560"/>
    <w:rsid w:val="00523EDE"/>
    <w:rsid w:val="005258A7"/>
    <w:rsid w:val="00526133"/>
    <w:rsid w:val="005262CF"/>
    <w:rsid w:val="005263F4"/>
    <w:rsid w:val="005264FD"/>
    <w:rsid w:val="00526B75"/>
    <w:rsid w:val="00530245"/>
    <w:rsid w:val="0053095E"/>
    <w:rsid w:val="00531110"/>
    <w:rsid w:val="00532695"/>
    <w:rsid w:val="00532F00"/>
    <w:rsid w:val="0053300B"/>
    <w:rsid w:val="005334A5"/>
    <w:rsid w:val="005336DA"/>
    <w:rsid w:val="00534EF1"/>
    <w:rsid w:val="0053554A"/>
    <w:rsid w:val="005359A3"/>
    <w:rsid w:val="00535A57"/>
    <w:rsid w:val="005364BC"/>
    <w:rsid w:val="00536F1E"/>
    <w:rsid w:val="00537261"/>
    <w:rsid w:val="00537308"/>
    <w:rsid w:val="00537556"/>
    <w:rsid w:val="0053763E"/>
    <w:rsid w:val="00537855"/>
    <w:rsid w:val="00540A68"/>
    <w:rsid w:val="0054144E"/>
    <w:rsid w:val="00541660"/>
    <w:rsid w:val="0054191B"/>
    <w:rsid w:val="00541D64"/>
    <w:rsid w:val="00541DAD"/>
    <w:rsid w:val="005431BF"/>
    <w:rsid w:val="005439A6"/>
    <w:rsid w:val="005447F9"/>
    <w:rsid w:val="00544BA2"/>
    <w:rsid w:val="00545017"/>
    <w:rsid w:val="0054596E"/>
    <w:rsid w:val="00545C89"/>
    <w:rsid w:val="00547104"/>
    <w:rsid w:val="005472AC"/>
    <w:rsid w:val="00554193"/>
    <w:rsid w:val="00554F79"/>
    <w:rsid w:val="005553DF"/>
    <w:rsid w:val="005556EE"/>
    <w:rsid w:val="00556220"/>
    <w:rsid w:val="0055686F"/>
    <w:rsid w:val="00557210"/>
    <w:rsid w:val="00557663"/>
    <w:rsid w:val="0055790A"/>
    <w:rsid w:val="00557A1C"/>
    <w:rsid w:val="00557EB8"/>
    <w:rsid w:val="0056017F"/>
    <w:rsid w:val="00561272"/>
    <w:rsid w:val="00561BFF"/>
    <w:rsid w:val="005621B2"/>
    <w:rsid w:val="00563304"/>
    <w:rsid w:val="00563354"/>
    <w:rsid w:val="0056397C"/>
    <w:rsid w:val="00563E4B"/>
    <w:rsid w:val="00564199"/>
    <w:rsid w:val="00565F6C"/>
    <w:rsid w:val="00566D84"/>
    <w:rsid w:val="005670A7"/>
    <w:rsid w:val="00570047"/>
    <w:rsid w:val="00570448"/>
    <w:rsid w:val="00571763"/>
    <w:rsid w:val="00571B07"/>
    <w:rsid w:val="00571D82"/>
    <w:rsid w:val="00571E65"/>
    <w:rsid w:val="00571F46"/>
    <w:rsid w:val="00572274"/>
    <w:rsid w:val="00572837"/>
    <w:rsid w:val="00573630"/>
    <w:rsid w:val="005750BA"/>
    <w:rsid w:val="00575F71"/>
    <w:rsid w:val="00576E23"/>
    <w:rsid w:val="00577F85"/>
    <w:rsid w:val="00580DFD"/>
    <w:rsid w:val="00581A14"/>
    <w:rsid w:val="00581ACE"/>
    <w:rsid w:val="00581EF3"/>
    <w:rsid w:val="005836D3"/>
    <w:rsid w:val="0058392F"/>
    <w:rsid w:val="005842FC"/>
    <w:rsid w:val="00585E9F"/>
    <w:rsid w:val="005867E9"/>
    <w:rsid w:val="00586C2A"/>
    <w:rsid w:val="00587B7D"/>
    <w:rsid w:val="00590444"/>
    <w:rsid w:val="005914A5"/>
    <w:rsid w:val="005914F3"/>
    <w:rsid w:val="00594B0F"/>
    <w:rsid w:val="00595998"/>
    <w:rsid w:val="005961B0"/>
    <w:rsid w:val="00596BE3"/>
    <w:rsid w:val="005A04F4"/>
    <w:rsid w:val="005A062F"/>
    <w:rsid w:val="005A0C92"/>
    <w:rsid w:val="005A0D43"/>
    <w:rsid w:val="005A1961"/>
    <w:rsid w:val="005A1AFD"/>
    <w:rsid w:val="005A20A5"/>
    <w:rsid w:val="005A2502"/>
    <w:rsid w:val="005A3A67"/>
    <w:rsid w:val="005A3AD3"/>
    <w:rsid w:val="005A46E4"/>
    <w:rsid w:val="005A5409"/>
    <w:rsid w:val="005A7732"/>
    <w:rsid w:val="005A7973"/>
    <w:rsid w:val="005B0454"/>
    <w:rsid w:val="005B0E27"/>
    <w:rsid w:val="005B0E90"/>
    <w:rsid w:val="005B0F6B"/>
    <w:rsid w:val="005B1A56"/>
    <w:rsid w:val="005B1C2D"/>
    <w:rsid w:val="005B2F62"/>
    <w:rsid w:val="005B5CB0"/>
    <w:rsid w:val="005C0410"/>
    <w:rsid w:val="005C0776"/>
    <w:rsid w:val="005C0F38"/>
    <w:rsid w:val="005C2008"/>
    <w:rsid w:val="005C2C9B"/>
    <w:rsid w:val="005C39E4"/>
    <w:rsid w:val="005C4260"/>
    <w:rsid w:val="005C5C73"/>
    <w:rsid w:val="005C5E09"/>
    <w:rsid w:val="005C7E5D"/>
    <w:rsid w:val="005D02B5"/>
    <w:rsid w:val="005D1B5D"/>
    <w:rsid w:val="005D2009"/>
    <w:rsid w:val="005D21BA"/>
    <w:rsid w:val="005D2687"/>
    <w:rsid w:val="005D2997"/>
    <w:rsid w:val="005D2A67"/>
    <w:rsid w:val="005D41BD"/>
    <w:rsid w:val="005D4ED1"/>
    <w:rsid w:val="005D5B2F"/>
    <w:rsid w:val="005D7854"/>
    <w:rsid w:val="005E040F"/>
    <w:rsid w:val="005E0917"/>
    <w:rsid w:val="005E106D"/>
    <w:rsid w:val="005E1A57"/>
    <w:rsid w:val="005E393F"/>
    <w:rsid w:val="005E3D1F"/>
    <w:rsid w:val="005E439E"/>
    <w:rsid w:val="005E74A2"/>
    <w:rsid w:val="005F03AF"/>
    <w:rsid w:val="005F0702"/>
    <w:rsid w:val="005F0B63"/>
    <w:rsid w:val="005F0B6D"/>
    <w:rsid w:val="005F0C97"/>
    <w:rsid w:val="005F1567"/>
    <w:rsid w:val="005F39C0"/>
    <w:rsid w:val="005F407C"/>
    <w:rsid w:val="005F5371"/>
    <w:rsid w:val="005F6391"/>
    <w:rsid w:val="005F6437"/>
    <w:rsid w:val="005F6F24"/>
    <w:rsid w:val="006002C1"/>
    <w:rsid w:val="00601A47"/>
    <w:rsid w:val="006030C3"/>
    <w:rsid w:val="006031C9"/>
    <w:rsid w:val="006038F4"/>
    <w:rsid w:val="00603C62"/>
    <w:rsid w:val="00606A04"/>
    <w:rsid w:val="006104D5"/>
    <w:rsid w:val="006107DF"/>
    <w:rsid w:val="00613836"/>
    <w:rsid w:val="00613AD4"/>
    <w:rsid w:val="0061401E"/>
    <w:rsid w:val="006151DC"/>
    <w:rsid w:val="00616524"/>
    <w:rsid w:val="006168C5"/>
    <w:rsid w:val="00616904"/>
    <w:rsid w:val="00617172"/>
    <w:rsid w:val="00617EE9"/>
    <w:rsid w:val="00620453"/>
    <w:rsid w:val="0062270F"/>
    <w:rsid w:val="00622FAE"/>
    <w:rsid w:val="00623275"/>
    <w:rsid w:val="00623688"/>
    <w:rsid w:val="00623B54"/>
    <w:rsid w:val="00623D0C"/>
    <w:rsid w:val="00623EA0"/>
    <w:rsid w:val="00624CD6"/>
    <w:rsid w:val="006256EF"/>
    <w:rsid w:val="00625A82"/>
    <w:rsid w:val="006266C0"/>
    <w:rsid w:val="006309DD"/>
    <w:rsid w:val="006327AA"/>
    <w:rsid w:val="00632FBE"/>
    <w:rsid w:val="00633CA0"/>
    <w:rsid w:val="0063552B"/>
    <w:rsid w:val="00635A0A"/>
    <w:rsid w:val="00637533"/>
    <w:rsid w:val="00637D55"/>
    <w:rsid w:val="006403E1"/>
    <w:rsid w:val="00640D51"/>
    <w:rsid w:val="00640DAF"/>
    <w:rsid w:val="0064251A"/>
    <w:rsid w:val="006425A4"/>
    <w:rsid w:val="00643937"/>
    <w:rsid w:val="006465A6"/>
    <w:rsid w:val="00646C98"/>
    <w:rsid w:val="006477D1"/>
    <w:rsid w:val="00647CE1"/>
    <w:rsid w:val="0065000D"/>
    <w:rsid w:val="00651251"/>
    <w:rsid w:val="00653DDC"/>
    <w:rsid w:val="00654B07"/>
    <w:rsid w:val="00656F6C"/>
    <w:rsid w:val="00657EF8"/>
    <w:rsid w:val="006602B2"/>
    <w:rsid w:val="00661585"/>
    <w:rsid w:val="00663683"/>
    <w:rsid w:val="00663DFF"/>
    <w:rsid w:val="00663E79"/>
    <w:rsid w:val="006651B3"/>
    <w:rsid w:val="00665DE6"/>
    <w:rsid w:val="00666B2C"/>
    <w:rsid w:val="00670026"/>
    <w:rsid w:val="00670CD8"/>
    <w:rsid w:val="00671DA8"/>
    <w:rsid w:val="00673D66"/>
    <w:rsid w:val="006745A4"/>
    <w:rsid w:val="00674FF5"/>
    <w:rsid w:val="0067513A"/>
    <w:rsid w:val="0067733C"/>
    <w:rsid w:val="00681F4E"/>
    <w:rsid w:val="0068475A"/>
    <w:rsid w:val="00684A41"/>
    <w:rsid w:val="00685109"/>
    <w:rsid w:val="00685B56"/>
    <w:rsid w:val="00685FDE"/>
    <w:rsid w:val="006867CF"/>
    <w:rsid w:val="00690AC3"/>
    <w:rsid w:val="00691656"/>
    <w:rsid w:val="00692037"/>
    <w:rsid w:val="00693567"/>
    <w:rsid w:val="00693790"/>
    <w:rsid w:val="006944BD"/>
    <w:rsid w:val="00695346"/>
    <w:rsid w:val="00696520"/>
    <w:rsid w:val="0069699A"/>
    <w:rsid w:val="006976B5"/>
    <w:rsid w:val="006A0076"/>
    <w:rsid w:val="006A0BDA"/>
    <w:rsid w:val="006A2771"/>
    <w:rsid w:val="006A3749"/>
    <w:rsid w:val="006A3781"/>
    <w:rsid w:val="006A4FDD"/>
    <w:rsid w:val="006A502F"/>
    <w:rsid w:val="006A625D"/>
    <w:rsid w:val="006A6F9B"/>
    <w:rsid w:val="006B351C"/>
    <w:rsid w:val="006B35BC"/>
    <w:rsid w:val="006B4016"/>
    <w:rsid w:val="006B46A1"/>
    <w:rsid w:val="006B4C27"/>
    <w:rsid w:val="006B5FFC"/>
    <w:rsid w:val="006B6017"/>
    <w:rsid w:val="006B6B80"/>
    <w:rsid w:val="006C1A80"/>
    <w:rsid w:val="006C31F7"/>
    <w:rsid w:val="006C3F4D"/>
    <w:rsid w:val="006C4F01"/>
    <w:rsid w:val="006C7D22"/>
    <w:rsid w:val="006D134D"/>
    <w:rsid w:val="006D1582"/>
    <w:rsid w:val="006D22DD"/>
    <w:rsid w:val="006D22EE"/>
    <w:rsid w:val="006D23FC"/>
    <w:rsid w:val="006D24F1"/>
    <w:rsid w:val="006D282E"/>
    <w:rsid w:val="006D294E"/>
    <w:rsid w:val="006D431E"/>
    <w:rsid w:val="006D51C5"/>
    <w:rsid w:val="006D7281"/>
    <w:rsid w:val="006E1E7C"/>
    <w:rsid w:val="006E22E2"/>
    <w:rsid w:val="006E38D7"/>
    <w:rsid w:val="006E3DD3"/>
    <w:rsid w:val="006E4950"/>
    <w:rsid w:val="006E4F2E"/>
    <w:rsid w:val="006E5252"/>
    <w:rsid w:val="006E658E"/>
    <w:rsid w:val="006E682C"/>
    <w:rsid w:val="006E71EC"/>
    <w:rsid w:val="006E7B23"/>
    <w:rsid w:val="006E7B3A"/>
    <w:rsid w:val="006F0700"/>
    <w:rsid w:val="006F14D3"/>
    <w:rsid w:val="006F2130"/>
    <w:rsid w:val="006F2143"/>
    <w:rsid w:val="006F28CF"/>
    <w:rsid w:val="006F29CC"/>
    <w:rsid w:val="006F3575"/>
    <w:rsid w:val="006F4A3A"/>
    <w:rsid w:val="006F5AC7"/>
    <w:rsid w:val="006F7658"/>
    <w:rsid w:val="006F7C9D"/>
    <w:rsid w:val="006F7D59"/>
    <w:rsid w:val="00701620"/>
    <w:rsid w:val="00702AF3"/>
    <w:rsid w:val="00702EB6"/>
    <w:rsid w:val="007031E1"/>
    <w:rsid w:val="00703F89"/>
    <w:rsid w:val="00704B2E"/>
    <w:rsid w:val="00705EDF"/>
    <w:rsid w:val="007103E9"/>
    <w:rsid w:val="0071078C"/>
    <w:rsid w:val="00711279"/>
    <w:rsid w:val="00711B83"/>
    <w:rsid w:val="007123E3"/>
    <w:rsid w:val="00712F7B"/>
    <w:rsid w:val="007135ED"/>
    <w:rsid w:val="0071370F"/>
    <w:rsid w:val="0071498B"/>
    <w:rsid w:val="00714E27"/>
    <w:rsid w:val="007151E8"/>
    <w:rsid w:val="007152DC"/>
    <w:rsid w:val="00716EE8"/>
    <w:rsid w:val="00717FD8"/>
    <w:rsid w:val="00720086"/>
    <w:rsid w:val="00720337"/>
    <w:rsid w:val="007204BE"/>
    <w:rsid w:val="00720FAE"/>
    <w:rsid w:val="00722828"/>
    <w:rsid w:val="007230DA"/>
    <w:rsid w:val="00723CDC"/>
    <w:rsid w:val="00725628"/>
    <w:rsid w:val="007269DE"/>
    <w:rsid w:val="00727233"/>
    <w:rsid w:val="0073170D"/>
    <w:rsid w:val="0073277E"/>
    <w:rsid w:val="00732B57"/>
    <w:rsid w:val="00733DBB"/>
    <w:rsid w:val="00733DEE"/>
    <w:rsid w:val="00734D77"/>
    <w:rsid w:val="00734FE4"/>
    <w:rsid w:val="0073529C"/>
    <w:rsid w:val="0073605A"/>
    <w:rsid w:val="00737409"/>
    <w:rsid w:val="0073798F"/>
    <w:rsid w:val="00737FD5"/>
    <w:rsid w:val="00740085"/>
    <w:rsid w:val="00740BAB"/>
    <w:rsid w:val="00740C08"/>
    <w:rsid w:val="007428C5"/>
    <w:rsid w:val="007429DC"/>
    <w:rsid w:val="00742FE0"/>
    <w:rsid w:val="0074357F"/>
    <w:rsid w:val="00745E59"/>
    <w:rsid w:val="0074692C"/>
    <w:rsid w:val="007469C3"/>
    <w:rsid w:val="00746EBB"/>
    <w:rsid w:val="00747321"/>
    <w:rsid w:val="00750281"/>
    <w:rsid w:val="00751388"/>
    <w:rsid w:val="00751469"/>
    <w:rsid w:val="00752440"/>
    <w:rsid w:val="0075256D"/>
    <w:rsid w:val="007525A0"/>
    <w:rsid w:val="00752CCB"/>
    <w:rsid w:val="00753176"/>
    <w:rsid w:val="00753501"/>
    <w:rsid w:val="00753CAB"/>
    <w:rsid w:val="007540C6"/>
    <w:rsid w:val="0075492A"/>
    <w:rsid w:val="00754C59"/>
    <w:rsid w:val="00756329"/>
    <w:rsid w:val="00756C7E"/>
    <w:rsid w:val="00757077"/>
    <w:rsid w:val="00760B48"/>
    <w:rsid w:val="00760CC2"/>
    <w:rsid w:val="007612F8"/>
    <w:rsid w:val="007627BB"/>
    <w:rsid w:val="00762BAC"/>
    <w:rsid w:val="0076499A"/>
    <w:rsid w:val="007653D2"/>
    <w:rsid w:val="00765B6C"/>
    <w:rsid w:val="00765FA4"/>
    <w:rsid w:val="007669DF"/>
    <w:rsid w:val="00767AE4"/>
    <w:rsid w:val="00770774"/>
    <w:rsid w:val="00772C94"/>
    <w:rsid w:val="00773097"/>
    <w:rsid w:val="00773C54"/>
    <w:rsid w:val="00773E98"/>
    <w:rsid w:val="0077538E"/>
    <w:rsid w:val="00775D24"/>
    <w:rsid w:val="00777221"/>
    <w:rsid w:val="00777E08"/>
    <w:rsid w:val="0078147D"/>
    <w:rsid w:val="00781BA0"/>
    <w:rsid w:val="0078247F"/>
    <w:rsid w:val="00782A5E"/>
    <w:rsid w:val="00785247"/>
    <w:rsid w:val="00785D96"/>
    <w:rsid w:val="007867DC"/>
    <w:rsid w:val="00786AE6"/>
    <w:rsid w:val="00787E27"/>
    <w:rsid w:val="0078A9FA"/>
    <w:rsid w:val="007902EF"/>
    <w:rsid w:val="00791A4A"/>
    <w:rsid w:val="0079347D"/>
    <w:rsid w:val="00793CC9"/>
    <w:rsid w:val="007941D6"/>
    <w:rsid w:val="0079450A"/>
    <w:rsid w:val="0079461E"/>
    <w:rsid w:val="00795C40"/>
    <w:rsid w:val="00796284"/>
    <w:rsid w:val="00796C27"/>
    <w:rsid w:val="007A043C"/>
    <w:rsid w:val="007A0617"/>
    <w:rsid w:val="007A10ED"/>
    <w:rsid w:val="007A16C9"/>
    <w:rsid w:val="007A5B16"/>
    <w:rsid w:val="007A6311"/>
    <w:rsid w:val="007A6B41"/>
    <w:rsid w:val="007B133B"/>
    <w:rsid w:val="007B18A8"/>
    <w:rsid w:val="007B29E7"/>
    <w:rsid w:val="007B3F25"/>
    <w:rsid w:val="007B3F9C"/>
    <w:rsid w:val="007B3FB7"/>
    <w:rsid w:val="007B4D32"/>
    <w:rsid w:val="007B57BB"/>
    <w:rsid w:val="007B5AD9"/>
    <w:rsid w:val="007B5EF8"/>
    <w:rsid w:val="007B7549"/>
    <w:rsid w:val="007B757D"/>
    <w:rsid w:val="007B7A18"/>
    <w:rsid w:val="007C0A40"/>
    <w:rsid w:val="007C22A0"/>
    <w:rsid w:val="007C3D11"/>
    <w:rsid w:val="007C3E5D"/>
    <w:rsid w:val="007C4B46"/>
    <w:rsid w:val="007C4C89"/>
    <w:rsid w:val="007C5095"/>
    <w:rsid w:val="007C5C4B"/>
    <w:rsid w:val="007C6E5B"/>
    <w:rsid w:val="007D0FC6"/>
    <w:rsid w:val="007D1101"/>
    <w:rsid w:val="007D1BA8"/>
    <w:rsid w:val="007D2B46"/>
    <w:rsid w:val="007D2E89"/>
    <w:rsid w:val="007D2FA4"/>
    <w:rsid w:val="007D4225"/>
    <w:rsid w:val="007D4F56"/>
    <w:rsid w:val="007D5203"/>
    <w:rsid w:val="007D55A9"/>
    <w:rsid w:val="007D6EC5"/>
    <w:rsid w:val="007E0810"/>
    <w:rsid w:val="007E0A88"/>
    <w:rsid w:val="007E1126"/>
    <w:rsid w:val="007E120E"/>
    <w:rsid w:val="007E14BB"/>
    <w:rsid w:val="007E2036"/>
    <w:rsid w:val="007E3B3B"/>
    <w:rsid w:val="007E6E72"/>
    <w:rsid w:val="007E7E39"/>
    <w:rsid w:val="007E7F43"/>
    <w:rsid w:val="007F3829"/>
    <w:rsid w:val="007F4064"/>
    <w:rsid w:val="007F45FF"/>
    <w:rsid w:val="007F4DD9"/>
    <w:rsid w:val="007F4E85"/>
    <w:rsid w:val="007F5099"/>
    <w:rsid w:val="007F5998"/>
    <w:rsid w:val="007F5D34"/>
    <w:rsid w:val="007F6CCC"/>
    <w:rsid w:val="007F6DD8"/>
    <w:rsid w:val="007F7D8A"/>
    <w:rsid w:val="00800635"/>
    <w:rsid w:val="00800BD7"/>
    <w:rsid w:val="008028F0"/>
    <w:rsid w:val="00806ACF"/>
    <w:rsid w:val="00806D69"/>
    <w:rsid w:val="008076CA"/>
    <w:rsid w:val="008077F2"/>
    <w:rsid w:val="0080791D"/>
    <w:rsid w:val="008101FC"/>
    <w:rsid w:val="00811027"/>
    <w:rsid w:val="00811470"/>
    <w:rsid w:val="00811AA9"/>
    <w:rsid w:val="00812A64"/>
    <w:rsid w:val="0081434E"/>
    <w:rsid w:val="008160B1"/>
    <w:rsid w:val="0081619C"/>
    <w:rsid w:val="00816D3F"/>
    <w:rsid w:val="008175C4"/>
    <w:rsid w:val="0082062A"/>
    <w:rsid w:val="00820F94"/>
    <w:rsid w:val="008220EA"/>
    <w:rsid w:val="00822162"/>
    <w:rsid w:val="00822B2D"/>
    <w:rsid w:val="00823AB8"/>
    <w:rsid w:val="0082469B"/>
    <w:rsid w:val="00827313"/>
    <w:rsid w:val="00827999"/>
    <w:rsid w:val="00827C91"/>
    <w:rsid w:val="00830304"/>
    <w:rsid w:val="00831B8B"/>
    <w:rsid w:val="00831FC2"/>
    <w:rsid w:val="00832712"/>
    <w:rsid w:val="00833133"/>
    <w:rsid w:val="008349EE"/>
    <w:rsid w:val="00835F85"/>
    <w:rsid w:val="008360C8"/>
    <w:rsid w:val="008369E8"/>
    <w:rsid w:val="00836F3B"/>
    <w:rsid w:val="00837430"/>
    <w:rsid w:val="00841758"/>
    <w:rsid w:val="00841C12"/>
    <w:rsid w:val="008421E8"/>
    <w:rsid w:val="0084220F"/>
    <w:rsid w:val="00843653"/>
    <w:rsid w:val="00844AB1"/>
    <w:rsid w:val="00845D0A"/>
    <w:rsid w:val="00846AF4"/>
    <w:rsid w:val="00847C15"/>
    <w:rsid w:val="00851428"/>
    <w:rsid w:val="0085207A"/>
    <w:rsid w:val="00854661"/>
    <w:rsid w:val="00854FF3"/>
    <w:rsid w:val="00855574"/>
    <w:rsid w:val="00855B88"/>
    <w:rsid w:val="008561AE"/>
    <w:rsid w:val="0086058A"/>
    <w:rsid w:val="00860C9E"/>
    <w:rsid w:val="00861CAF"/>
    <w:rsid w:val="00861FE5"/>
    <w:rsid w:val="008637E9"/>
    <w:rsid w:val="00863CE9"/>
    <w:rsid w:val="00863FC0"/>
    <w:rsid w:val="008640DB"/>
    <w:rsid w:val="00866698"/>
    <w:rsid w:val="0086771D"/>
    <w:rsid w:val="008704EA"/>
    <w:rsid w:val="00870BE2"/>
    <w:rsid w:val="00870DDA"/>
    <w:rsid w:val="0087343D"/>
    <w:rsid w:val="00874639"/>
    <w:rsid w:val="008760A2"/>
    <w:rsid w:val="0087708E"/>
    <w:rsid w:val="008770AF"/>
    <w:rsid w:val="00880BFE"/>
    <w:rsid w:val="00882341"/>
    <w:rsid w:val="00882845"/>
    <w:rsid w:val="00883404"/>
    <w:rsid w:val="0088544A"/>
    <w:rsid w:val="008858A5"/>
    <w:rsid w:val="00885C16"/>
    <w:rsid w:val="00885CA8"/>
    <w:rsid w:val="00886210"/>
    <w:rsid w:val="008865FE"/>
    <w:rsid w:val="008902A8"/>
    <w:rsid w:val="008906E0"/>
    <w:rsid w:val="00891C36"/>
    <w:rsid w:val="00891D0A"/>
    <w:rsid w:val="00893578"/>
    <w:rsid w:val="00893F4F"/>
    <w:rsid w:val="008942A4"/>
    <w:rsid w:val="00894C0D"/>
    <w:rsid w:val="0089545F"/>
    <w:rsid w:val="008955BA"/>
    <w:rsid w:val="008961F5"/>
    <w:rsid w:val="008978FB"/>
    <w:rsid w:val="00897992"/>
    <w:rsid w:val="0089D356"/>
    <w:rsid w:val="008A060C"/>
    <w:rsid w:val="008A1E1D"/>
    <w:rsid w:val="008A2AE5"/>
    <w:rsid w:val="008A2D9F"/>
    <w:rsid w:val="008A32D9"/>
    <w:rsid w:val="008A3E35"/>
    <w:rsid w:val="008A42A2"/>
    <w:rsid w:val="008A5740"/>
    <w:rsid w:val="008A7382"/>
    <w:rsid w:val="008A7F83"/>
    <w:rsid w:val="008B0C3D"/>
    <w:rsid w:val="008B0EC7"/>
    <w:rsid w:val="008B0EE5"/>
    <w:rsid w:val="008B15AE"/>
    <w:rsid w:val="008B3237"/>
    <w:rsid w:val="008B3A16"/>
    <w:rsid w:val="008B5EC6"/>
    <w:rsid w:val="008B5FCE"/>
    <w:rsid w:val="008B60ED"/>
    <w:rsid w:val="008B654E"/>
    <w:rsid w:val="008B6A5B"/>
    <w:rsid w:val="008C00B8"/>
    <w:rsid w:val="008C0401"/>
    <w:rsid w:val="008C0ADF"/>
    <w:rsid w:val="008C3750"/>
    <w:rsid w:val="008C382F"/>
    <w:rsid w:val="008C3D72"/>
    <w:rsid w:val="008C3E20"/>
    <w:rsid w:val="008C4FA4"/>
    <w:rsid w:val="008C5435"/>
    <w:rsid w:val="008C7247"/>
    <w:rsid w:val="008C7601"/>
    <w:rsid w:val="008D195E"/>
    <w:rsid w:val="008D31BE"/>
    <w:rsid w:val="008D481E"/>
    <w:rsid w:val="008D4A5B"/>
    <w:rsid w:val="008D72BB"/>
    <w:rsid w:val="008D766E"/>
    <w:rsid w:val="008E03C2"/>
    <w:rsid w:val="008E1D0E"/>
    <w:rsid w:val="008E3833"/>
    <w:rsid w:val="008E5BE4"/>
    <w:rsid w:val="008E5E13"/>
    <w:rsid w:val="008E6AFF"/>
    <w:rsid w:val="008E6B5C"/>
    <w:rsid w:val="008F4E2E"/>
    <w:rsid w:val="008F50B6"/>
    <w:rsid w:val="008F51B6"/>
    <w:rsid w:val="008F589E"/>
    <w:rsid w:val="008F5A7C"/>
    <w:rsid w:val="008F5FA6"/>
    <w:rsid w:val="008F64B9"/>
    <w:rsid w:val="008F7EB6"/>
    <w:rsid w:val="00901442"/>
    <w:rsid w:val="009019DA"/>
    <w:rsid w:val="00902FA2"/>
    <w:rsid w:val="0090576A"/>
    <w:rsid w:val="0090619B"/>
    <w:rsid w:val="00906766"/>
    <w:rsid w:val="0090729C"/>
    <w:rsid w:val="00907956"/>
    <w:rsid w:val="009105D0"/>
    <w:rsid w:val="00910860"/>
    <w:rsid w:val="00911473"/>
    <w:rsid w:val="0091328A"/>
    <w:rsid w:val="009139BA"/>
    <w:rsid w:val="00914316"/>
    <w:rsid w:val="00914D15"/>
    <w:rsid w:val="0091585F"/>
    <w:rsid w:val="0091798F"/>
    <w:rsid w:val="009217FD"/>
    <w:rsid w:val="0092182A"/>
    <w:rsid w:val="009229BA"/>
    <w:rsid w:val="009229C7"/>
    <w:rsid w:val="00923AD6"/>
    <w:rsid w:val="00923D24"/>
    <w:rsid w:val="00923F6B"/>
    <w:rsid w:val="00924BA6"/>
    <w:rsid w:val="00924EA1"/>
    <w:rsid w:val="00925691"/>
    <w:rsid w:val="00927C0E"/>
    <w:rsid w:val="009317E1"/>
    <w:rsid w:val="00934D0E"/>
    <w:rsid w:val="00934E16"/>
    <w:rsid w:val="00935C62"/>
    <w:rsid w:val="0093639E"/>
    <w:rsid w:val="0093662A"/>
    <w:rsid w:val="009411EA"/>
    <w:rsid w:val="00941D8B"/>
    <w:rsid w:val="009428F7"/>
    <w:rsid w:val="00943198"/>
    <w:rsid w:val="00943FCD"/>
    <w:rsid w:val="0094420C"/>
    <w:rsid w:val="0094528D"/>
    <w:rsid w:val="00945B8B"/>
    <w:rsid w:val="009465AC"/>
    <w:rsid w:val="009468DC"/>
    <w:rsid w:val="00951379"/>
    <w:rsid w:val="00952745"/>
    <w:rsid w:val="00953631"/>
    <w:rsid w:val="00954058"/>
    <w:rsid w:val="00955173"/>
    <w:rsid w:val="00955545"/>
    <w:rsid w:val="0095657C"/>
    <w:rsid w:val="009566EB"/>
    <w:rsid w:val="009572AC"/>
    <w:rsid w:val="00957762"/>
    <w:rsid w:val="00960438"/>
    <w:rsid w:val="00960BE8"/>
    <w:rsid w:val="009615A7"/>
    <w:rsid w:val="00965D68"/>
    <w:rsid w:val="009662B6"/>
    <w:rsid w:val="00966983"/>
    <w:rsid w:val="00967247"/>
    <w:rsid w:val="00970826"/>
    <w:rsid w:val="00970FCC"/>
    <w:rsid w:val="00972294"/>
    <w:rsid w:val="009722CC"/>
    <w:rsid w:val="00973120"/>
    <w:rsid w:val="00973494"/>
    <w:rsid w:val="00974541"/>
    <w:rsid w:val="009747E0"/>
    <w:rsid w:val="00974A5F"/>
    <w:rsid w:val="00974FBE"/>
    <w:rsid w:val="00975BA2"/>
    <w:rsid w:val="00975BE7"/>
    <w:rsid w:val="00976E72"/>
    <w:rsid w:val="009779DF"/>
    <w:rsid w:val="00977D5D"/>
    <w:rsid w:val="00980AC6"/>
    <w:rsid w:val="009810BF"/>
    <w:rsid w:val="0098448A"/>
    <w:rsid w:val="009846DD"/>
    <w:rsid w:val="00984D73"/>
    <w:rsid w:val="00985614"/>
    <w:rsid w:val="0098679F"/>
    <w:rsid w:val="009876C2"/>
    <w:rsid w:val="009879C2"/>
    <w:rsid w:val="0099003A"/>
    <w:rsid w:val="0099052A"/>
    <w:rsid w:val="0099058C"/>
    <w:rsid w:val="00990C6B"/>
    <w:rsid w:val="00990EC8"/>
    <w:rsid w:val="009910E1"/>
    <w:rsid w:val="009937DF"/>
    <w:rsid w:val="009945B7"/>
    <w:rsid w:val="00994EF3"/>
    <w:rsid w:val="00994F13"/>
    <w:rsid w:val="009960D7"/>
    <w:rsid w:val="009A07A4"/>
    <w:rsid w:val="009A1D32"/>
    <w:rsid w:val="009A1F0C"/>
    <w:rsid w:val="009A23A6"/>
    <w:rsid w:val="009A2E98"/>
    <w:rsid w:val="009A4C52"/>
    <w:rsid w:val="009A5EDE"/>
    <w:rsid w:val="009A5F7F"/>
    <w:rsid w:val="009A6FBA"/>
    <w:rsid w:val="009A7C74"/>
    <w:rsid w:val="009B0B40"/>
    <w:rsid w:val="009B1F38"/>
    <w:rsid w:val="009B3181"/>
    <w:rsid w:val="009B333B"/>
    <w:rsid w:val="009B481C"/>
    <w:rsid w:val="009B63BD"/>
    <w:rsid w:val="009B6A00"/>
    <w:rsid w:val="009B6C2A"/>
    <w:rsid w:val="009B7308"/>
    <w:rsid w:val="009B7498"/>
    <w:rsid w:val="009C0822"/>
    <w:rsid w:val="009C1E3C"/>
    <w:rsid w:val="009C25EF"/>
    <w:rsid w:val="009C2639"/>
    <w:rsid w:val="009C2C07"/>
    <w:rsid w:val="009C43AF"/>
    <w:rsid w:val="009C4437"/>
    <w:rsid w:val="009C4AE0"/>
    <w:rsid w:val="009C6991"/>
    <w:rsid w:val="009C6C26"/>
    <w:rsid w:val="009C71A0"/>
    <w:rsid w:val="009C7C24"/>
    <w:rsid w:val="009D21BD"/>
    <w:rsid w:val="009D243C"/>
    <w:rsid w:val="009D2E6C"/>
    <w:rsid w:val="009D3C44"/>
    <w:rsid w:val="009D4D5E"/>
    <w:rsid w:val="009D4EF1"/>
    <w:rsid w:val="009D53DA"/>
    <w:rsid w:val="009D5677"/>
    <w:rsid w:val="009E0D91"/>
    <w:rsid w:val="009E0EFF"/>
    <w:rsid w:val="009E0FFD"/>
    <w:rsid w:val="009E2099"/>
    <w:rsid w:val="009E4CA5"/>
    <w:rsid w:val="009E539E"/>
    <w:rsid w:val="009E6424"/>
    <w:rsid w:val="009E65B6"/>
    <w:rsid w:val="009E6A27"/>
    <w:rsid w:val="009F1578"/>
    <w:rsid w:val="009F1C3C"/>
    <w:rsid w:val="009F2103"/>
    <w:rsid w:val="009F222C"/>
    <w:rsid w:val="009F256A"/>
    <w:rsid w:val="009F278F"/>
    <w:rsid w:val="009F3F58"/>
    <w:rsid w:val="009F4924"/>
    <w:rsid w:val="009F4B35"/>
    <w:rsid w:val="009F6355"/>
    <w:rsid w:val="009F63FB"/>
    <w:rsid w:val="009F6456"/>
    <w:rsid w:val="009F6B33"/>
    <w:rsid w:val="009F6BC6"/>
    <w:rsid w:val="009F78BC"/>
    <w:rsid w:val="00A009C0"/>
    <w:rsid w:val="00A010C6"/>
    <w:rsid w:val="00A01853"/>
    <w:rsid w:val="00A021D3"/>
    <w:rsid w:val="00A021D7"/>
    <w:rsid w:val="00A0251C"/>
    <w:rsid w:val="00A033C4"/>
    <w:rsid w:val="00A03C73"/>
    <w:rsid w:val="00A03FD7"/>
    <w:rsid w:val="00A04245"/>
    <w:rsid w:val="00A0598A"/>
    <w:rsid w:val="00A05D91"/>
    <w:rsid w:val="00A064E4"/>
    <w:rsid w:val="00A066B4"/>
    <w:rsid w:val="00A06964"/>
    <w:rsid w:val="00A074EA"/>
    <w:rsid w:val="00A0771E"/>
    <w:rsid w:val="00A106EB"/>
    <w:rsid w:val="00A107A4"/>
    <w:rsid w:val="00A112B0"/>
    <w:rsid w:val="00A13451"/>
    <w:rsid w:val="00A139A5"/>
    <w:rsid w:val="00A1475A"/>
    <w:rsid w:val="00A15807"/>
    <w:rsid w:val="00A15C15"/>
    <w:rsid w:val="00A20F18"/>
    <w:rsid w:val="00A210F5"/>
    <w:rsid w:val="00A215FA"/>
    <w:rsid w:val="00A21830"/>
    <w:rsid w:val="00A2189E"/>
    <w:rsid w:val="00A2207A"/>
    <w:rsid w:val="00A22604"/>
    <w:rsid w:val="00A22BBD"/>
    <w:rsid w:val="00A273D6"/>
    <w:rsid w:val="00A278A3"/>
    <w:rsid w:val="00A27E49"/>
    <w:rsid w:val="00A32BB1"/>
    <w:rsid w:val="00A330AB"/>
    <w:rsid w:val="00A33B8F"/>
    <w:rsid w:val="00A34E0C"/>
    <w:rsid w:val="00A37196"/>
    <w:rsid w:val="00A374C5"/>
    <w:rsid w:val="00A41190"/>
    <w:rsid w:val="00A41AED"/>
    <w:rsid w:val="00A4290D"/>
    <w:rsid w:val="00A429B4"/>
    <w:rsid w:val="00A43557"/>
    <w:rsid w:val="00A45437"/>
    <w:rsid w:val="00A46DCC"/>
    <w:rsid w:val="00A46F5B"/>
    <w:rsid w:val="00A50028"/>
    <w:rsid w:val="00A51D95"/>
    <w:rsid w:val="00A521FB"/>
    <w:rsid w:val="00A52587"/>
    <w:rsid w:val="00A53728"/>
    <w:rsid w:val="00A53A1B"/>
    <w:rsid w:val="00A53C6E"/>
    <w:rsid w:val="00A607CB"/>
    <w:rsid w:val="00A61A96"/>
    <w:rsid w:val="00A62595"/>
    <w:rsid w:val="00A63DD8"/>
    <w:rsid w:val="00A65498"/>
    <w:rsid w:val="00A669C0"/>
    <w:rsid w:val="00A67F53"/>
    <w:rsid w:val="00A70C36"/>
    <w:rsid w:val="00A71AE6"/>
    <w:rsid w:val="00A726DD"/>
    <w:rsid w:val="00A72B38"/>
    <w:rsid w:val="00A7344E"/>
    <w:rsid w:val="00A73AD0"/>
    <w:rsid w:val="00A748A0"/>
    <w:rsid w:val="00A755C1"/>
    <w:rsid w:val="00A75AD4"/>
    <w:rsid w:val="00A762DB"/>
    <w:rsid w:val="00A76967"/>
    <w:rsid w:val="00A76E37"/>
    <w:rsid w:val="00A77CEC"/>
    <w:rsid w:val="00A81641"/>
    <w:rsid w:val="00A81B57"/>
    <w:rsid w:val="00A82C60"/>
    <w:rsid w:val="00A84852"/>
    <w:rsid w:val="00A8547B"/>
    <w:rsid w:val="00A8571E"/>
    <w:rsid w:val="00A86256"/>
    <w:rsid w:val="00A86B61"/>
    <w:rsid w:val="00A87D4E"/>
    <w:rsid w:val="00A9008E"/>
    <w:rsid w:val="00A903A5"/>
    <w:rsid w:val="00A91CC1"/>
    <w:rsid w:val="00A91FF1"/>
    <w:rsid w:val="00A925A3"/>
    <w:rsid w:val="00A92FAE"/>
    <w:rsid w:val="00A954A5"/>
    <w:rsid w:val="00A958DB"/>
    <w:rsid w:val="00A95D75"/>
    <w:rsid w:val="00A97985"/>
    <w:rsid w:val="00AA0075"/>
    <w:rsid w:val="00AA078D"/>
    <w:rsid w:val="00AA1275"/>
    <w:rsid w:val="00AA503D"/>
    <w:rsid w:val="00AA5A48"/>
    <w:rsid w:val="00AA717B"/>
    <w:rsid w:val="00AB0CBB"/>
    <w:rsid w:val="00AB109A"/>
    <w:rsid w:val="00AB1A09"/>
    <w:rsid w:val="00AB3860"/>
    <w:rsid w:val="00AB3AC1"/>
    <w:rsid w:val="00AB57C7"/>
    <w:rsid w:val="00AB5B92"/>
    <w:rsid w:val="00AB5C86"/>
    <w:rsid w:val="00AB5CE8"/>
    <w:rsid w:val="00AB6F8E"/>
    <w:rsid w:val="00AB7382"/>
    <w:rsid w:val="00AB750E"/>
    <w:rsid w:val="00AB7EEC"/>
    <w:rsid w:val="00AC0391"/>
    <w:rsid w:val="00AC1C88"/>
    <w:rsid w:val="00AC26AD"/>
    <w:rsid w:val="00AC2E01"/>
    <w:rsid w:val="00AC2F04"/>
    <w:rsid w:val="00AC313C"/>
    <w:rsid w:val="00AC42C9"/>
    <w:rsid w:val="00AC44F4"/>
    <w:rsid w:val="00AC5B2D"/>
    <w:rsid w:val="00AC5CAB"/>
    <w:rsid w:val="00AC5EEA"/>
    <w:rsid w:val="00AC6677"/>
    <w:rsid w:val="00AC6FCD"/>
    <w:rsid w:val="00AC77C5"/>
    <w:rsid w:val="00AC77F4"/>
    <w:rsid w:val="00AD1246"/>
    <w:rsid w:val="00AD1366"/>
    <w:rsid w:val="00AD19DA"/>
    <w:rsid w:val="00AD316E"/>
    <w:rsid w:val="00AD3819"/>
    <w:rsid w:val="00AD4B5E"/>
    <w:rsid w:val="00AD4C56"/>
    <w:rsid w:val="00AD570C"/>
    <w:rsid w:val="00AD66FE"/>
    <w:rsid w:val="00AD7036"/>
    <w:rsid w:val="00AD72B7"/>
    <w:rsid w:val="00AD793C"/>
    <w:rsid w:val="00AD7F9C"/>
    <w:rsid w:val="00AE15F7"/>
    <w:rsid w:val="00AE1C07"/>
    <w:rsid w:val="00AE1CCF"/>
    <w:rsid w:val="00AE3526"/>
    <w:rsid w:val="00AE4250"/>
    <w:rsid w:val="00AE4312"/>
    <w:rsid w:val="00AE4CD8"/>
    <w:rsid w:val="00AE4D9E"/>
    <w:rsid w:val="00AE696A"/>
    <w:rsid w:val="00AE6F24"/>
    <w:rsid w:val="00AF1524"/>
    <w:rsid w:val="00AF441D"/>
    <w:rsid w:val="00AF4C20"/>
    <w:rsid w:val="00AF50AD"/>
    <w:rsid w:val="00AF578E"/>
    <w:rsid w:val="00AF5D78"/>
    <w:rsid w:val="00AF6513"/>
    <w:rsid w:val="00AF78C2"/>
    <w:rsid w:val="00B00D1C"/>
    <w:rsid w:val="00B026F8"/>
    <w:rsid w:val="00B06AF2"/>
    <w:rsid w:val="00B107D8"/>
    <w:rsid w:val="00B12C8C"/>
    <w:rsid w:val="00B13103"/>
    <w:rsid w:val="00B13DB4"/>
    <w:rsid w:val="00B14414"/>
    <w:rsid w:val="00B14BE2"/>
    <w:rsid w:val="00B15624"/>
    <w:rsid w:val="00B1637B"/>
    <w:rsid w:val="00B165E5"/>
    <w:rsid w:val="00B16F32"/>
    <w:rsid w:val="00B2067A"/>
    <w:rsid w:val="00B22B86"/>
    <w:rsid w:val="00B24946"/>
    <w:rsid w:val="00B2508D"/>
    <w:rsid w:val="00B2552D"/>
    <w:rsid w:val="00B25C5C"/>
    <w:rsid w:val="00B25D40"/>
    <w:rsid w:val="00B26447"/>
    <w:rsid w:val="00B26534"/>
    <w:rsid w:val="00B26539"/>
    <w:rsid w:val="00B2680B"/>
    <w:rsid w:val="00B27F72"/>
    <w:rsid w:val="00B302EE"/>
    <w:rsid w:val="00B31571"/>
    <w:rsid w:val="00B32287"/>
    <w:rsid w:val="00B340CF"/>
    <w:rsid w:val="00B3422F"/>
    <w:rsid w:val="00B366DD"/>
    <w:rsid w:val="00B36FA3"/>
    <w:rsid w:val="00B4033E"/>
    <w:rsid w:val="00B40531"/>
    <w:rsid w:val="00B414CF"/>
    <w:rsid w:val="00B42840"/>
    <w:rsid w:val="00B42A3F"/>
    <w:rsid w:val="00B46D50"/>
    <w:rsid w:val="00B474D8"/>
    <w:rsid w:val="00B4790B"/>
    <w:rsid w:val="00B500F2"/>
    <w:rsid w:val="00B52589"/>
    <w:rsid w:val="00B52B8D"/>
    <w:rsid w:val="00B53BB1"/>
    <w:rsid w:val="00B56654"/>
    <w:rsid w:val="00B56951"/>
    <w:rsid w:val="00B603A2"/>
    <w:rsid w:val="00B611F2"/>
    <w:rsid w:val="00B62325"/>
    <w:rsid w:val="00B66551"/>
    <w:rsid w:val="00B666E5"/>
    <w:rsid w:val="00B66FD1"/>
    <w:rsid w:val="00B67449"/>
    <w:rsid w:val="00B677EA"/>
    <w:rsid w:val="00B708F4"/>
    <w:rsid w:val="00B71990"/>
    <w:rsid w:val="00B71EB9"/>
    <w:rsid w:val="00B723A4"/>
    <w:rsid w:val="00B72B03"/>
    <w:rsid w:val="00B73DF6"/>
    <w:rsid w:val="00B74AF2"/>
    <w:rsid w:val="00B7649E"/>
    <w:rsid w:val="00B76992"/>
    <w:rsid w:val="00B76AC3"/>
    <w:rsid w:val="00B76EF8"/>
    <w:rsid w:val="00B77FB1"/>
    <w:rsid w:val="00B806E2"/>
    <w:rsid w:val="00B8197E"/>
    <w:rsid w:val="00B81D62"/>
    <w:rsid w:val="00B81E8D"/>
    <w:rsid w:val="00B82937"/>
    <w:rsid w:val="00B84694"/>
    <w:rsid w:val="00B84701"/>
    <w:rsid w:val="00B8489C"/>
    <w:rsid w:val="00B85F70"/>
    <w:rsid w:val="00B8664E"/>
    <w:rsid w:val="00B90113"/>
    <w:rsid w:val="00B902CC"/>
    <w:rsid w:val="00B90303"/>
    <w:rsid w:val="00B90BAA"/>
    <w:rsid w:val="00B90EB0"/>
    <w:rsid w:val="00B9456E"/>
    <w:rsid w:val="00B95E1C"/>
    <w:rsid w:val="00B96944"/>
    <w:rsid w:val="00B97C91"/>
    <w:rsid w:val="00BA000B"/>
    <w:rsid w:val="00BA0E8A"/>
    <w:rsid w:val="00BA155D"/>
    <w:rsid w:val="00BA24DC"/>
    <w:rsid w:val="00BA4171"/>
    <w:rsid w:val="00BA4BE0"/>
    <w:rsid w:val="00BA5223"/>
    <w:rsid w:val="00BA54C8"/>
    <w:rsid w:val="00BA5990"/>
    <w:rsid w:val="00BA59CC"/>
    <w:rsid w:val="00BA7FAF"/>
    <w:rsid w:val="00BB1273"/>
    <w:rsid w:val="00BB1EA0"/>
    <w:rsid w:val="00BB2F5A"/>
    <w:rsid w:val="00BB3C28"/>
    <w:rsid w:val="00BB4274"/>
    <w:rsid w:val="00BB46D4"/>
    <w:rsid w:val="00BB4ECD"/>
    <w:rsid w:val="00BB54A0"/>
    <w:rsid w:val="00BB628F"/>
    <w:rsid w:val="00BB69B6"/>
    <w:rsid w:val="00BB6DEB"/>
    <w:rsid w:val="00BC0CE5"/>
    <w:rsid w:val="00BC1A94"/>
    <w:rsid w:val="00BC4DB5"/>
    <w:rsid w:val="00BC4FE4"/>
    <w:rsid w:val="00BC51E5"/>
    <w:rsid w:val="00BC624C"/>
    <w:rsid w:val="00BC62B0"/>
    <w:rsid w:val="00BC731E"/>
    <w:rsid w:val="00BD3147"/>
    <w:rsid w:val="00BD3472"/>
    <w:rsid w:val="00BD73D5"/>
    <w:rsid w:val="00BD7595"/>
    <w:rsid w:val="00BD7B3A"/>
    <w:rsid w:val="00BD7FDE"/>
    <w:rsid w:val="00BE0DF9"/>
    <w:rsid w:val="00BE2BAD"/>
    <w:rsid w:val="00BE47C8"/>
    <w:rsid w:val="00BE48FB"/>
    <w:rsid w:val="00BE6DC9"/>
    <w:rsid w:val="00BE7359"/>
    <w:rsid w:val="00BE77D6"/>
    <w:rsid w:val="00BE7BFD"/>
    <w:rsid w:val="00BE7D49"/>
    <w:rsid w:val="00BF0259"/>
    <w:rsid w:val="00BF051C"/>
    <w:rsid w:val="00BF0E27"/>
    <w:rsid w:val="00BF2642"/>
    <w:rsid w:val="00BF2DBB"/>
    <w:rsid w:val="00BF5625"/>
    <w:rsid w:val="00BF6C08"/>
    <w:rsid w:val="00BF6D58"/>
    <w:rsid w:val="00BF72F9"/>
    <w:rsid w:val="00C000C0"/>
    <w:rsid w:val="00C0224C"/>
    <w:rsid w:val="00C038A4"/>
    <w:rsid w:val="00C03E39"/>
    <w:rsid w:val="00C04581"/>
    <w:rsid w:val="00C0470E"/>
    <w:rsid w:val="00C04E65"/>
    <w:rsid w:val="00C053E0"/>
    <w:rsid w:val="00C05537"/>
    <w:rsid w:val="00C05587"/>
    <w:rsid w:val="00C0666F"/>
    <w:rsid w:val="00C06DB3"/>
    <w:rsid w:val="00C10A17"/>
    <w:rsid w:val="00C10DD8"/>
    <w:rsid w:val="00C11AE1"/>
    <w:rsid w:val="00C136F6"/>
    <w:rsid w:val="00C144A6"/>
    <w:rsid w:val="00C146A2"/>
    <w:rsid w:val="00C14B95"/>
    <w:rsid w:val="00C1503B"/>
    <w:rsid w:val="00C15555"/>
    <w:rsid w:val="00C17414"/>
    <w:rsid w:val="00C1775D"/>
    <w:rsid w:val="00C20A9E"/>
    <w:rsid w:val="00C22491"/>
    <w:rsid w:val="00C23A7C"/>
    <w:rsid w:val="00C23BE6"/>
    <w:rsid w:val="00C23C84"/>
    <w:rsid w:val="00C242E3"/>
    <w:rsid w:val="00C24661"/>
    <w:rsid w:val="00C25EBB"/>
    <w:rsid w:val="00C265A2"/>
    <w:rsid w:val="00C2684F"/>
    <w:rsid w:val="00C278E1"/>
    <w:rsid w:val="00C301B9"/>
    <w:rsid w:val="00C3165E"/>
    <w:rsid w:val="00C32C5C"/>
    <w:rsid w:val="00C33493"/>
    <w:rsid w:val="00C34333"/>
    <w:rsid w:val="00C34F56"/>
    <w:rsid w:val="00C353FD"/>
    <w:rsid w:val="00C37418"/>
    <w:rsid w:val="00C40C5C"/>
    <w:rsid w:val="00C41264"/>
    <w:rsid w:val="00C41336"/>
    <w:rsid w:val="00C4149B"/>
    <w:rsid w:val="00C41E15"/>
    <w:rsid w:val="00C43165"/>
    <w:rsid w:val="00C43D26"/>
    <w:rsid w:val="00C44A50"/>
    <w:rsid w:val="00C44E23"/>
    <w:rsid w:val="00C45C91"/>
    <w:rsid w:val="00C45D47"/>
    <w:rsid w:val="00C50D1C"/>
    <w:rsid w:val="00C52FF4"/>
    <w:rsid w:val="00C53411"/>
    <w:rsid w:val="00C53949"/>
    <w:rsid w:val="00C549DE"/>
    <w:rsid w:val="00C54B79"/>
    <w:rsid w:val="00C555D6"/>
    <w:rsid w:val="00C55987"/>
    <w:rsid w:val="00C55EA6"/>
    <w:rsid w:val="00C561A0"/>
    <w:rsid w:val="00C56CE4"/>
    <w:rsid w:val="00C579ED"/>
    <w:rsid w:val="00C60341"/>
    <w:rsid w:val="00C604E1"/>
    <w:rsid w:val="00C60BF9"/>
    <w:rsid w:val="00C63C38"/>
    <w:rsid w:val="00C65502"/>
    <w:rsid w:val="00C664B7"/>
    <w:rsid w:val="00C66865"/>
    <w:rsid w:val="00C66B3B"/>
    <w:rsid w:val="00C67090"/>
    <w:rsid w:val="00C7185B"/>
    <w:rsid w:val="00C71AA0"/>
    <w:rsid w:val="00C71B27"/>
    <w:rsid w:val="00C72421"/>
    <w:rsid w:val="00C7359C"/>
    <w:rsid w:val="00C73C34"/>
    <w:rsid w:val="00C747B1"/>
    <w:rsid w:val="00C751DC"/>
    <w:rsid w:val="00C75D67"/>
    <w:rsid w:val="00C75F0C"/>
    <w:rsid w:val="00C76A70"/>
    <w:rsid w:val="00C77702"/>
    <w:rsid w:val="00C80BB9"/>
    <w:rsid w:val="00C81739"/>
    <w:rsid w:val="00C83A3A"/>
    <w:rsid w:val="00C855A9"/>
    <w:rsid w:val="00C85643"/>
    <w:rsid w:val="00C864C7"/>
    <w:rsid w:val="00C87704"/>
    <w:rsid w:val="00C877A7"/>
    <w:rsid w:val="00C905A7"/>
    <w:rsid w:val="00C92C10"/>
    <w:rsid w:val="00C95833"/>
    <w:rsid w:val="00C976CB"/>
    <w:rsid w:val="00C97D79"/>
    <w:rsid w:val="00C97EBC"/>
    <w:rsid w:val="00CA2647"/>
    <w:rsid w:val="00CA2AC1"/>
    <w:rsid w:val="00CA3C7F"/>
    <w:rsid w:val="00CA4024"/>
    <w:rsid w:val="00CA40E4"/>
    <w:rsid w:val="00CA50D4"/>
    <w:rsid w:val="00CA578B"/>
    <w:rsid w:val="00CA6227"/>
    <w:rsid w:val="00CA630A"/>
    <w:rsid w:val="00CA64FC"/>
    <w:rsid w:val="00CA6910"/>
    <w:rsid w:val="00CA6AB1"/>
    <w:rsid w:val="00CA7909"/>
    <w:rsid w:val="00CB0E8D"/>
    <w:rsid w:val="00CB4996"/>
    <w:rsid w:val="00CB5E8C"/>
    <w:rsid w:val="00CB69C5"/>
    <w:rsid w:val="00CB6EDB"/>
    <w:rsid w:val="00CB7CA2"/>
    <w:rsid w:val="00CC0798"/>
    <w:rsid w:val="00CC4CA6"/>
    <w:rsid w:val="00CC53B7"/>
    <w:rsid w:val="00CC6D10"/>
    <w:rsid w:val="00CC72BD"/>
    <w:rsid w:val="00CC75FC"/>
    <w:rsid w:val="00CC78AE"/>
    <w:rsid w:val="00CD0934"/>
    <w:rsid w:val="00CD3C4A"/>
    <w:rsid w:val="00CD3F4A"/>
    <w:rsid w:val="00CD7A5C"/>
    <w:rsid w:val="00CE0767"/>
    <w:rsid w:val="00CE0CCC"/>
    <w:rsid w:val="00CE27DD"/>
    <w:rsid w:val="00CE29AB"/>
    <w:rsid w:val="00CE2F01"/>
    <w:rsid w:val="00CE305F"/>
    <w:rsid w:val="00CE3245"/>
    <w:rsid w:val="00CE5191"/>
    <w:rsid w:val="00CE54DE"/>
    <w:rsid w:val="00CE6E3F"/>
    <w:rsid w:val="00CF0C0F"/>
    <w:rsid w:val="00CF19E5"/>
    <w:rsid w:val="00CF2639"/>
    <w:rsid w:val="00CF3157"/>
    <w:rsid w:val="00CF3B7D"/>
    <w:rsid w:val="00CF4FF8"/>
    <w:rsid w:val="00CF5818"/>
    <w:rsid w:val="00CF5B26"/>
    <w:rsid w:val="00CF69B6"/>
    <w:rsid w:val="00CF6AD2"/>
    <w:rsid w:val="00CF6FCA"/>
    <w:rsid w:val="00CF6FD5"/>
    <w:rsid w:val="00CF7516"/>
    <w:rsid w:val="00D00F98"/>
    <w:rsid w:val="00D01458"/>
    <w:rsid w:val="00D016D2"/>
    <w:rsid w:val="00D01B52"/>
    <w:rsid w:val="00D029F3"/>
    <w:rsid w:val="00D046FE"/>
    <w:rsid w:val="00D04841"/>
    <w:rsid w:val="00D04CC6"/>
    <w:rsid w:val="00D0569A"/>
    <w:rsid w:val="00D06CA2"/>
    <w:rsid w:val="00D077AB"/>
    <w:rsid w:val="00D07ECD"/>
    <w:rsid w:val="00D10305"/>
    <w:rsid w:val="00D113BF"/>
    <w:rsid w:val="00D11438"/>
    <w:rsid w:val="00D124D1"/>
    <w:rsid w:val="00D12BC2"/>
    <w:rsid w:val="00D12CB1"/>
    <w:rsid w:val="00D153F5"/>
    <w:rsid w:val="00D15C7F"/>
    <w:rsid w:val="00D15CE0"/>
    <w:rsid w:val="00D16519"/>
    <w:rsid w:val="00D167EA"/>
    <w:rsid w:val="00D17111"/>
    <w:rsid w:val="00D23527"/>
    <w:rsid w:val="00D235E8"/>
    <w:rsid w:val="00D25B95"/>
    <w:rsid w:val="00D27977"/>
    <w:rsid w:val="00D310C3"/>
    <w:rsid w:val="00D317A9"/>
    <w:rsid w:val="00D3189B"/>
    <w:rsid w:val="00D31D4B"/>
    <w:rsid w:val="00D321DC"/>
    <w:rsid w:val="00D341FE"/>
    <w:rsid w:val="00D34696"/>
    <w:rsid w:val="00D36154"/>
    <w:rsid w:val="00D3651E"/>
    <w:rsid w:val="00D370B8"/>
    <w:rsid w:val="00D417FE"/>
    <w:rsid w:val="00D42EB5"/>
    <w:rsid w:val="00D43B21"/>
    <w:rsid w:val="00D456D7"/>
    <w:rsid w:val="00D467DF"/>
    <w:rsid w:val="00D46E4D"/>
    <w:rsid w:val="00D47078"/>
    <w:rsid w:val="00D478CE"/>
    <w:rsid w:val="00D47A6E"/>
    <w:rsid w:val="00D5045F"/>
    <w:rsid w:val="00D5085D"/>
    <w:rsid w:val="00D51EB6"/>
    <w:rsid w:val="00D5380A"/>
    <w:rsid w:val="00D54B6E"/>
    <w:rsid w:val="00D5601E"/>
    <w:rsid w:val="00D57331"/>
    <w:rsid w:val="00D60499"/>
    <w:rsid w:val="00D6425B"/>
    <w:rsid w:val="00D66381"/>
    <w:rsid w:val="00D702F3"/>
    <w:rsid w:val="00D70382"/>
    <w:rsid w:val="00D70F89"/>
    <w:rsid w:val="00D71E4F"/>
    <w:rsid w:val="00D72D33"/>
    <w:rsid w:val="00D73599"/>
    <w:rsid w:val="00D74684"/>
    <w:rsid w:val="00D76775"/>
    <w:rsid w:val="00D771B5"/>
    <w:rsid w:val="00D77668"/>
    <w:rsid w:val="00D77720"/>
    <w:rsid w:val="00D81BB8"/>
    <w:rsid w:val="00D82FAA"/>
    <w:rsid w:val="00D831B3"/>
    <w:rsid w:val="00D85F27"/>
    <w:rsid w:val="00D866E0"/>
    <w:rsid w:val="00D8708A"/>
    <w:rsid w:val="00D91D96"/>
    <w:rsid w:val="00D933B3"/>
    <w:rsid w:val="00D94B85"/>
    <w:rsid w:val="00D95A37"/>
    <w:rsid w:val="00D95E0F"/>
    <w:rsid w:val="00D976E5"/>
    <w:rsid w:val="00D97E07"/>
    <w:rsid w:val="00DA0860"/>
    <w:rsid w:val="00DA4192"/>
    <w:rsid w:val="00DA4A97"/>
    <w:rsid w:val="00DA7949"/>
    <w:rsid w:val="00DA79F4"/>
    <w:rsid w:val="00DB0150"/>
    <w:rsid w:val="00DB0F79"/>
    <w:rsid w:val="00DB13E9"/>
    <w:rsid w:val="00DB171C"/>
    <w:rsid w:val="00DB2148"/>
    <w:rsid w:val="00DB31AE"/>
    <w:rsid w:val="00DB349D"/>
    <w:rsid w:val="00DB4BBF"/>
    <w:rsid w:val="00DB5693"/>
    <w:rsid w:val="00DB5705"/>
    <w:rsid w:val="00DB57AB"/>
    <w:rsid w:val="00DB5858"/>
    <w:rsid w:val="00DB62A1"/>
    <w:rsid w:val="00DB65BC"/>
    <w:rsid w:val="00DB737B"/>
    <w:rsid w:val="00DB77F7"/>
    <w:rsid w:val="00DB7901"/>
    <w:rsid w:val="00DB7FAB"/>
    <w:rsid w:val="00DB9F5A"/>
    <w:rsid w:val="00DC0AC4"/>
    <w:rsid w:val="00DC2372"/>
    <w:rsid w:val="00DC3212"/>
    <w:rsid w:val="00DC3C8C"/>
    <w:rsid w:val="00DC3DEB"/>
    <w:rsid w:val="00DC41FF"/>
    <w:rsid w:val="00DC477B"/>
    <w:rsid w:val="00DC480D"/>
    <w:rsid w:val="00DC5765"/>
    <w:rsid w:val="00DC6541"/>
    <w:rsid w:val="00DC75A9"/>
    <w:rsid w:val="00DC79B3"/>
    <w:rsid w:val="00DC7ECF"/>
    <w:rsid w:val="00DD036A"/>
    <w:rsid w:val="00DD1350"/>
    <w:rsid w:val="00DD38D4"/>
    <w:rsid w:val="00DD611A"/>
    <w:rsid w:val="00DE0996"/>
    <w:rsid w:val="00DE0C51"/>
    <w:rsid w:val="00DE1A36"/>
    <w:rsid w:val="00DE22F8"/>
    <w:rsid w:val="00DE777A"/>
    <w:rsid w:val="00DE77E1"/>
    <w:rsid w:val="00DF10B6"/>
    <w:rsid w:val="00DF3146"/>
    <w:rsid w:val="00DF319E"/>
    <w:rsid w:val="00DF681C"/>
    <w:rsid w:val="00E01FEF"/>
    <w:rsid w:val="00E05158"/>
    <w:rsid w:val="00E059EF"/>
    <w:rsid w:val="00E06B0E"/>
    <w:rsid w:val="00E125FC"/>
    <w:rsid w:val="00E126AE"/>
    <w:rsid w:val="00E12818"/>
    <w:rsid w:val="00E12919"/>
    <w:rsid w:val="00E1427B"/>
    <w:rsid w:val="00E15322"/>
    <w:rsid w:val="00E16935"/>
    <w:rsid w:val="00E20375"/>
    <w:rsid w:val="00E204C7"/>
    <w:rsid w:val="00E20919"/>
    <w:rsid w:val="00E21885"/>
    <w:rsid w:val="00E23BBE"/>
    <w:rsid w:val="00E24747"/>
    <w:rsid w:val="00E24A0A"/>
    <w:rsid w:val="00E25C4C"/>
    <w:rsid w:val="00E25CAA"/>
    <w:rsid w:val="00E27097"/>
    <w:rsid w:val="00E2713B"/>
    <w:rsid w:val="00E30E52"/>
    <w:rsid w:val="00E31327"/>
    <w:rsid w:val="00E31C75"/>
    <w:rsid w:val="00E33537"/>
    <w:rsid w:val="00E33772"/>
    <w:rsid w:val="00E33C46"/>
    <w:rsid w:val="00E33E04"/>
    <w:rsid w:val="00E346E3"/>
    <w:rsid w:val="00E351BE"/>
    <w:rsid w:val="00E353F8"/>
    <w:rsid w:val="00E35A6B"/>
    <w:rsid w:val="00E35A8B"/>
    <w:rsid w:val="00E360A2"/>
    <w:rsid w:val="00E37539"/>
    <w:rsid w:val="00E37E44"/>
    <w:rsid w:val="00E37EA5"/>
    <w:rsid w:val="00E417E6"/>
    <w:rsid w:val="00E41B48"/>
    <w:rsid w:val="00E41C39"/>
    <w:rsid w:val="00E42C5F"/>
    <w:rsid w:val="00E4436B"/>
    <w:rsid w:val="00E44F28"/>
    <w:rsid w:val="00E468C4"/>
    <w:rsid w:val="00E5171F"/>
    <w:rsid w:val="00E52460"/>
    <w:rsid w:val="00E54AFC"/>
    <w:rsid w:val="00E5539D"/>
    <w:rsid w:val="00E55E60"/>
    <w:rsid w:val="00E56180"/>
    <w:rsid w:val="00E561C6"/>
    <w:rsid w:val="00E5779C"/>
    <w:rsid w:val="00E606E5"/>
    <w:rsid w:val="00E60CCF"/>
    <w:rsid w:val="00E647FF"/>
    <w:rsid w:val="00E655AA"/>
    <w:rsid w:val="00E6579D"/>
    <w:rsid w:val="00E660ED"/>
    <w:rsid w:val="00E66410"/>
    <w:rsid w:val="00E66524"/>
    <w:rsid w:val="00E66845"/>
    <w:rsid w:val="00E6EC7D"/>
    <w:rsid w:val="00E7140D"/>
    <w:rsid w:val="00E74329"/>
    <w:rsid w:val="00E747A9"/>
    <w:rsid w:val="00E74917"/>
    <w:rsid w:val="00E74A40"/>
    <w:rsid w:val="00E75346"/>
    <w:rsid w:val="00E76169"/>
    <w:rsid w:val="00E77256"/>
    <w:rsid w:val="00E8036E"/>
    <w:rsid w:val="00E80FAD"/>
    <w:rsid w:val="00E826E5"/>
    <w:rsid w:val="00E82822"/>
    <w:rsid w:val="00E8371E"/>
    <w:rsid w:val="00E838A3"/>
    <w:rsid w:val="00E84A58"/>
    <w:rsid w:val="00E85049"/>
    <w:rsid w:val="00E85126"/>
    <w:rsid w:val="00E8555B"/>
    <w:rsid w:val="00E85A3E"/>
    <w:rsid w:val="00E876F1"/>
    <w:rsid w:val="00E907DF"/>
    <w:rsid w:val="00E910AF"/>
    <w:rsid w:val="00E91398"/>
    <w:rsid w:val="00E91BD4"/>
    <w:rsid w:val="00E91F22"/>
    <w:rsid w:val="00E93835"/>
    <w:rsid w:val="00E9580A"/>
    <w:rsid w:val="00E965B5"/>
    <w:rsid w:val="00E97EC5"/>
    <w:rsid w:val="00EA066B"/>
    <w:rsid w:val="00EA0DC2"/>
    <w:rsid w:val="00EA28A2"/>
    <w:rsid w:val="00EA3FDC"/>
    <w:rsid w:val="00EA43C1"/>
    <w:rsid w:val="00EA4CB7"/>
    <w:rsid w:val="00EA525A"/>
    <w:rsid w:val="00EA5674"/>
    <w:rsid w:val="00EA59C2"/>
    <w:rsid w:val="00EA62D3"/>
    <w:rsid w:val="00EA6332"/>
    <w:rsid w:val="00EA69F6"/>
    <w:rsid w:val="00EB2322"/>
    <w:rsid w:val="00EB2355"/>
    <w:rsid w:val="00EB2D00"/>
    <w:rsid w:val="00EB33F4"/>
    <w:rsid w:val="00EB3FC7"/>
    <w:rsid w:val="00EB4D21"/>
    <w:rsid w:val="00EB652F"/>
    <w:rsid w:val="00EB701D"/>
    <w:rsid w:val="00EC035F"/>
    <w:rsid w:val="00EC0745"/>
    <w:rsid w:val="00EC4DCB"/>
    <w:rsid w:val="00EC5305"/>
    <w:rsid w:val="00EC5CB4"/>
    <w:rsid w:val="00EC70CD"/>
    <w:rsid w:val="00EC7815"/>
    <w:rsid w:val="00ED0D3A"/>
    <w:rsid w:val="00ED0E99"/>
    <w:rsid w:val="00ED1242"/>
    <w:rsid w:val="00ED1628"/>
    <w:rsid w:val="00ED1A34"/>
    <w:rsid w:val="00ED1DFE"/>
    <w:rsid w:val="00ED2A58"/>
    <w:rsid w:val="00ED3151"/>
    <w:rsid w:val="00ED4650"/>
    <w:rsid w:val="00ED4FA4"/>
    <w:rsid w:val="00ED6BC0"/>
    <w:rsid w:val="00ED73EA"/>
    <w:rsid w:val="00ED77AA"/>
    <w:rsid w:val="00ED79D2"/>
    <w:rsid w:val="00EE0684"/>
    <w:rsid w:val="00EE10A4"/>
    <w:rsid w:val="00EE1249"/>
    <w:rsid w:val="00EE1342"/>
    <w:rsid w:val="00EE20C1"/>
    <w:rsid w:val="00EE2F85"/>
    <w:rsid w:val="00EE3ECD"/>
    <w:rsid w:val="00EE529F"/>
    <w:rsid w:val="00EE6110"/>
    <w:rsid w:val="00EE66E0"/>
    <w:rsid w:val="00EE6DAC"/>
    <w:rsid w:val="00EE74D8"/>
    <w:rsid w:val="00EE787D"/>
    <w:rsid w:val="00EE7957"/>
    <w:rsid w:val="00EF0980"/>
    <w:rsid w:val="00EF0BDD"/>
    <w:rsid w:val="00EF1484"/>
    <w:rsid w:val="00EF1E46"/>
    <w:rsid w:val="00EF2674"/>
    <w:rsid w:val="00EF2718"/>
    <w:rsid w:val="00EF3C33"/>
    <w:rsid w:val="00EF3F0A"/>
    <w:rsid w:val="00EF51AA"/>
    <w:rsid w:val="00EF51FE"/>
    <w:rsid w:val="00EF6BFC"/>
    <w:rsid w:val="00EF77C9"/>
    <w:rsid w:val="00EF7DC7"/>
    <w:rsid w:val="00F035C7"/>
    <w:rsid w:val="00F04A6D"/>
    <w:rsid w:val="00F05740"/>
    <w:rsid w:val="00F07A98"/>
    <w:rsid w:val="00F0C33C"/>
    <w:rsid w:val="00F11D1F"/>
    <w:rsid w:val="00F129EC"/>
    <w:rsid w:val="00F12FA2"/>
    <w:rsid w:val="00F13034"/>
    <w:rsid w:val="00F13CB9"/>
    <w:rsid w:val="00F160B2"/>
    <w:rsid w:val="00F160C3"/>
    <w:rsid w:val="00F16D17"/>
    <w:rsid w:val="00F204EF"/>
    <w:rsid w:val="00F20892"/>
    <w:rsid w:val="00F22D30"/>
    <w:rsid w:val="00F23AC7"/>
    <w:rsid w:val="00F2696D"/>
    <w:rsid w:val="00F30091"/>
    <w:rsid w:val="00F31E9E"/>
    <w:rsid w:val="00F322A5"/>
    <w:rsid w:val="00F32C7C"/>
    <w:rsid w:val="00F34C2F"/>
    <w:rsid w:val="00F35A8D"/>
    <w:rsid w:val="00F43037"/>
    <w:rsid w:val="00F43BA8"/>
    <w:rsid w:val="00F43D46"/>
    <w:rsid w:val="00F43DCE"/>
    <w:rsid w:val="00F4420B"/>
    <w:rsid w:val="00F44D86"/>
    <w:rsid w:val="00F4510C"/>
    <w:rsid w:val="00F46A89"/>
    <w:rsid w:val="00F47276"/>
    <w:rsid w:val="00F50118"/>
    <w:rsid w:val="00F5014A"/>
    <w:rsid w:val="00F50F75"/>
    <w:rsid w:val="00F511EA"/>
    <w:rsid w:val="00F518E8"/>
    <w:rsid w:val="00F5196D"/>
    <w:rsid w:val="00F51A36"/>
    <w:rsid w:val="00F51B6E"/>
    <w:rsid w:val="00F5207E"/>
    <w:rsid w:val="00F52367"/>
    <w:rsid w:val="00F526A1"/>
    <w:rsid w:val="00F54A1B"/>
    <w:rsid w:val="00F54DD9"/>
    <w:rsid w:val="00F54FD9"/>
    <w:rsid w:val="00F5659C"/>
    <w:rsid w:val="00F56635"/>
    <w:rsid w:val="00F56725"/>
    <w:rsid w:val="00F56C76"/>
    <w:rsid w:val="00F5760C"/>
    <w:rsid w:val="00F57BC9"/>
    <w:rsid w:val="00F60D5B"/>
    <w:rsid w:val="00F615F8"/>
    <w:rsid w:val="00F62569"/>
    <w:rsid w:val="00F627A4"/>
    <w:rsid w:val="00F6393D"/>
    <w:rsid w:val="00F659DF"/>
    <w:rsid w:val="00F65C33"/>
    <w:rsid w:val="00F66BF9"/>
    <w:rsid w:val="00F66F8D"/>
    <w:rsid w:val="00F70E5D"/>
    <w:rsid w:val="00F715AE"/>
    <w:rsid w:val="00F71E89"/>
    <w:rsid w:val="00F720A7"/>
    <w:rsid w:val="00F721F3"/>
    <w:rsid w:val="00F72395"/>
    <w:rsid w:val="00F725B9"/>
    <w:rsid w:val="00F729FA"/>
    <w:rsid w:val="00F72CC6"/>
    <w:rsid w:val="00F73080"/>
    <w:rsid w:val="00F7348C"/>
    <w:rsid w:val="00F74FA8"/>
    <w:rsid w:val="00F75875"/>
    <w:rsid w:val="00F77C02"/>
    <w:rsid w:val="00F80F1A"/>
    <w:rsid w:val="00F812F5"/>
    <w:rsid w:val="00F81760"/>
    <w:rsid w:val="00F854B7"/>
    <w:rsid w:val="00F857AD"/>
    <w:rsid w:val="00F85D9A"/>
    <w:rsid w:val="00F87F77"/>
    <w:rsid w:val="00F90666"/>
    <w:rsid w:val="00F915B9"/>
    <w:rsid w:val="00F926D7"/>
    <w:rsid w:val="00F93A71"/>
    <w:rsid w:val="00F9440A"/>
    <w:rsid w:val="00F94F82"/>
    <w:rsid w:val="00F958B3"/>
    <w:rsid w:val="00F96680"/>
    <w:rsid w:val="00FA0674"/>
    <w:rsid w:val="00FA16E7"/>
    <w:rsid w:val="00FA2AC7"/>
    <w:rsid w:val="00FA6229"/>
    <w:rsid w:val="00FA6A3C"/>
    <w:rsid w:val="00FA72C9"/>
    <w:rsid w:val="00FB016B"/>
    <w:rsid w:val="00FB0AC8"/>
    <w:rsid w:val="00FB0D86"/>
    <w:rsid w:val="00FB201C"/>
    <w:rsid w:val="00FB2586"/>
    <w:rsid w:val="00FB41D8"/>
    <w:rsid w:val="00FB438B"/>
    <w:rsid w:val="00FB44DA"/>
    <w:rsid w:val="00FB4700"/>
    <w:rsid w:val="00FB4A8B"/>
    <w:rsid w:val="00FB5323"/>
    <w:rsid w:val="00FB56F2"/>
    <w:rsid w:val="00FB63FC"/>
    <w:rsid w:val="00FC1D51"/>
    <w:rsid w:val="00FC29B1"/>
    <w:rsid w:val="00FC2C76"/>
    <w:rsid w:val="00FC2FB9"/>
    <w:rsid w:val="00FC45C2"/>
    <w:rsid w:val="00FC49DA"/>
    <w:rsid w:val="00FC4B0B"/>
    <w:rsid w:val="00FC552F"/>
    <w:rsid w:val="00FC70A8"/>
    <w:rsid w:val="00FC7C91"/>
    <w:rsid w:val="00FD0D7B"/>
    <w:rsid w:val="00FD22B8"/>
    <w:rsid w:val="00FD2BFB"/>
    <w:rsid w:val="00FD2CB4"/>
    <w:rsid w:val="00FD345B"/>
    <w:rsid w:val="00FD4C07"/>
    <w:rsid w:val="00FD4CDD"/>
    <w:rsid w:val="00FD668C"/>
    <w:rsid w:val="00FD7038"/>
    <w:rsid w:val="00FD71E4"/>
    <w:rsid w:val="00FD7FCD"/>
    <w:rsid w:val="00FE0B3A"/>
    <w:rsid w:val="00FE1C19"/>
    <w:rsid w:val="00FE2D67"/>
    <w:rsid w:val="00FE2E16"/>
    <w:rsid w:val="00FE3395"/>
    <w:rsid w:val="00FE356A"/>
    <w:rsid w:val="00FE3E71"/>
    <w:rsid w:val="00FE5722"/>
    <w:rsid w:val="00FE61CB"/>
    <w:rsid w:val="00FE691B"/>
    <w:rsid w:val="00FE7C1D"/>
    <w:rsid w:val="00FF3A12"/>
    <w:rsid w:val="00FF3BB4"/>
    <w:rsid w:val="00FF3D12"/>
    <w:rsid w:val="00FF71A0"/>
    <w:rsid w:val="00FF7D4E"/>
    <w:rsid w:val="01011745"/>
    <w:rsid w:val="010A1FBC"/>
    <w:rsid w:val="0140E094"/>
    <w:rsid w:val="01459104"/>
    <w:rsid w:val="0151A3FE"/>
    <w:rsid w:val="01558BEE"/>
    <w:rsid w:val="017A124D"/>
    <w:rsid w:val="017CEED9"/>
    <w:rsid w:val="01AE8555"/>
    <w:rsid w:val="01B5B09B"/>
    <w:rsid w:val="01C7809C"/>
    <w:rsid w:val="01E663DB"/>
    <w:rsid w:val="01EAA2F8"/>
    <w:rsid w:val="01F32DB7"/>
    <w:rsid w:val="0230C54B"/>
    <w:rsid w:val="02434325"/>
    <w:rsid w:val="02662F50"/>
    <w:rsid w:val="026C6EB9"/>
    <w:rsid w:val="029DDEC6"/>
    <w:rsid w:val="02AFA98F"/>
    <w:rsid w:val="034B9FDD"/>
    <w:rsid w:val="0362B582"/>
    <w:rsid w:val="0372506A"/>
    <w:rsid w:val="03BA2D25"/>
    <w:rsid w:val="03BCA626"/>
    <w:rsid w:val="03CF4EE3"/>
    <w:rsid w:val="03E90767"/>
    <w:rsid w:val="03FFF4C3"/>
    <w:rsid w:val="0410FED1"/>
    <w:rsid w:val="04133BA4"/>
    <w:rsid w:val="044E1F1D"/>
    <w:rsid w:val="04565B5A"/>
    <w:rsid w:val="04B2168F"/>
    <w:rsid w:val="04BAE7A4"/>
    <w:rsid w:val="04F377AB"/>
    <w:rsid w:val="051F4429"/>
    <w:rsid w:val="0523A58F"/>
    <w:rsid w:val="055AAC02"/>
    <w:rsid w:val="057C90D5"/>
    <w:rsid w:val="057F5EDA"/>
    <w:rsid w:val="05840492"/>
    <w:rsid w:val="05AA92D6"/>
    <w:rsid w:val="05BCC894"/>
    <w:rsid w:val="05E9EF7E"/>
    <w:rsid w:val="06113CC6"/>
    <w:rsid w:val="06A39327"/>
    <w:rsid w:val="06C0CD6B"/>
    <w:rsid w:val="06DF957F"/>
    <w:rsid w:val="0702A868"/>
    <w:rsid w:val="0716D0DD"/>
    <w:rsid w:val="0731E756"/>
    <w:rsid w:val="07560E7F"/>
    <w:rsid w:val="079DEDB0"/>
    <w:rsid w:val="07A37FC7"/>
    <w:rsid w:val="07F3A2F2"/>
    <w:rsid w:val="08552187"/>
    <w:rsid w:val="086BFF12"/>
    <w:rsid w:val="08CCCBF3"/>
    <w:rsid w:val="08D15159"/>
    <w:rsid w:val="08E71EB9"/>
    <w:rsid w:val="090867E3"/>
    <w:rsid w:val="09142ABB"/>
    <w:rsid w:val="095DE82C"/>
    <w:rsid w:val="098800BE"/>
    <w:rsid w:val="09B39F9D"/>
    <w:rsid w:val="09E9E665"/>
    <w:rsid w:val="09F0D524"/>
    <w:rsid w:val="09F60510"/>
    <w:rsid w:val="0A179D7C"/>
    <w:rsid w:val="0A1DA396"/>
    <w:rsid w:val="0A40F470"/>
    <w:rsid w:val="0A5EE1AD"/>
    <w:rsid w:val="0A72AF61"/>
    <w:rsid w:val="0A7C4AFF"/>
    <w:rsid w:val="0AD34AED"/>
    <w:rsid w:val="0AE7430B"/>
    <w:rsid w:val="0AEC734A"/>
    <w:rsid w:val="0B23FD5C"/>
    <w:rsid w:val="0B4A9A5B"/>
    <w:rsid w:val="0B748242"/>
    <w:rsid w:val="0B7DE5E5"/>
    <w:rsid w:val="0BA3DF49"/>
    <w:rsid w:val="0BBFAAE2"/>
    <w:rsid w:val="0BCE491B"/>
    <w:rsid w:val="0BDE0925"/>
    <w:rsid w:val="0BF3AF94"/>
    <w:rsid w:val="0CFEBA34"/>
    <w:rsid w:val="0D040045"/>
    <w:rsid w:val="0D151636"/>
    <w:rsid w:val="0D2F390B"/>
    <w:rsid w:val="0D6FCBC0"/>
    <w:rsid w:val="0D9D9D1F"/>
    <w:rsid w:val="0DAC62FD"/>
    <w:rsid w:val="0DD1EFDC"/>
    <w:rsid w:val="0DFD5ABB"/>
    <w:rsid w:val="0E21A5A9"/>
    <w:rsid w:val="0E571BC3"/>
    <w:rsid w:val="0E6DD9C9"/>
    <w:rsid w:val="0E7CC13D"/>
    <w:rsid w:val="0E82734C"/>
    <w:rsid w:val="0E973BF7"/>
    <w:rsid w:val="0ED4A9B1"/>
    <w:rsid w:val="0ED68178"/>
    <w:rsid w:val="0EE8B3FD"/>
    <w:rsid w:val="0EF10538"/>
    <w:rsid w:val="0F1B9063"/>
    <w:rsid w:val="0F94CB19"/>
    <w:rsid w:val="0FD34008"/>
    <w:rsid w:val="0FDA3217"/>
    <w:rsid w:val="103158FB"/>
    <w:rsid w:val="10B3A760"/>
    <w:rsid w:val="10CE8D6B"/>
    <w:rsid w:val="10D8F3A9"/>
    <w:rsid w:val="10E12891"/>
    <w:rsid w:val="11726CFA"/>
    <w:rsid w:val="11938E69"/>
    <w:rsid w:val="11ACCAE9"/>
    <w:rsid w:val="11B8DAD5"/>
    <w:rsid w:val="11D6DAA2"/>
    <w:rsid w:val="11F71322"/>
    <w:rsid w:val="11F73D55"/>
    <w:rsid w:val="1205A7FE"/>
    <w:rsid w:val="123E8FB1"/>
    <w:rsid w:val="1249115A"/>
    <w:rsid w:val="1279A30C"/>
    <w:rsid w:val="1285D448"/>
    <w:rsid w:val="12B79C41"/>
    <w:rsid w:val="13B3430C"/>
    <w:rsid w:val="13B7BDE0"/>
    <w:rsid w:val="13D8449A"/>
    <w:rsid w:val="13E46772"/>
    <w:rsid w:val="141768E1"/>
    <w:rsid w:val="1425C121"/>
    <w:rsid w:val="14687E05"/>
    <w:rsid w:val="1490769D"/>
    <w:rsid w:val="14A1091C"/>
    <w:rsid w:val="14C56E61"/>
    <w:rsid w:val="150F7E14"/>
    <w:rsid w:val="154D9418"/>
    <w:rsid w:val="1577BBB5"/>
    <w:rsid w:val="15ADA00F"/>
    <w:rsid w:val="15BEFDA4"/>
    <w:rsid w:val="15C7A329"/>
    <w:rsid w:val="15D3A6FF"/>
    <w:rsid w:val="160097C2"/>
    <w:rsid w:val="165D82A9"/>
    <w:rsid w:val="170D79EB"/>
    <w:rsid w:val="171FE236"/>
    <w:rsid w:val="1781D920"/>
    <w:rsid w:val="179DDD8F"/>
    <w:rsid w:val="18028064"/>
    <w:rsid w:val="1806D705"/>
    <w:rsid w:val="181573DE"/>
    <w:rsid w:val="18C0F5DE"/>
    <w:rsid w:val="18C4E56A"/>
    <w:rsid w:val="194B7347"/>
    <w:rsid w:val="195FC702"/>
    <w:rsid w:val="196DFEDD"/>
    <w:rsid w:val="1985D3B8"/>
    <w:rsid w:val="19B65A63"/>
    <w:rsid w:val="19BC8EBA"/>
    <w:rsid w:val="1A289455"/>
    <w:rsid w:val="1A317864"/>
    <w:rsid w:val="1A7F92E4"/>
    <w:rsid w:val="1AB5FC3C"/>
    <w:rsid w:val="1AC97A0A"/>
    <w:rsid w:val="1ACE0C6C"/>
    <w:rsid w:val="1AEBCD81"/>
    <w:rsid w:val="1B0B9F6C"/>
    <w:rsid w:val="1B0E26F4"/>
    <w:rsid w:val="1B20E7DF"/>
    <w:rsid w:val="1B70597B"/>
    <w:rsid w:val="1BA63435"/>
    <w:rsid w:val="1BBEA73C"/>
    <w:rsid w:val="1BF272DF"/>
    <w:rsid w:val="1C02C133"/>
    <w:rsid w:val="1C1343E9"/>
    <w:rsid w:val="1C3EC576"/>
    <w:rsid w:val="1C497209"/>
    <w:rsid w:val="1C714F54"/>
    <w:rsid w:val="1CB4D41E"/>
    <w:rsid w:val="1CF81953"/>
    <w:rsid w:val="1D3932AC"/>
    <w:rsid w:val="1D58FF78"/>
    <w:rsid w:val="1D99AF68"/>
    <w:rsid w:val="1DC6B67A"/>
    <w:rsid w:val="1DDFB665"/>
    <w:rsid w:val="1DFAE675"/>
    <w:rsid w:val="1E1BBEB3"/>
    <w:rsid w:val="1E373EFE"/>
    <w:rsid w:val="1E5F570D"/>
    <w:rsid w:val="1EB0C337"/>
    <w:rsid w:val="1EBC5F35"/>
    <w:rsid w:val="1EFD2E6B"/>
    <w:rsid w:val="1F20121F"/>
    <w:rsid w:val="1F319A0F"/>
    <w:rsid w:val="1F34EFC1"/>
    <w:rsid w:val="1F407361"/>
    <w:rsid w:val="1F439BCC"/>
    <w:rsid w:val="1F55C73E"/>
    <w:rsid w:val="1FE4551E"/>
    <w:rsid w:val="20147B76"/>
    <w:rsid w:val="201E8063"/>
    <w:rsid w:val="20233F9F"/>
    <w:rsid w:val="20B33020"/>
    <w:rsid w:val="20C3C98B"/>
    <w:rsid w:val="20C434AD"/>
    <w:rsid w:val="20F23BA0"/>
    <w:rsid w:val="21416D8F"/>
    <w:rsid w:val="21698129"/>
    <w:rsid w:val="21903A4D"/>
    <w:rsid w:val="219CC5E0"/>
    <w:rsid w:val="219F3BFE"/>
    <w:rsid w:val="219F7C43"/>
    <w:rsid w:val="21B91D24"/>
    <w:rsid w:val="21DC5EB1"/>
    <w:rsid w:val="21E7038B"/>
    <w:rsid w:val="21E86FE4"/>
    <w:rsid w:val="21F33521"/>
    <w:rsid w:val="21FAE6BA"/>
    <w:rsid w:val="2208526C"/>
    <w:rsid w:val="220E76CE"/>
    <w:rsid w:val="224C732E"/>
    <w:rsid w:val="228D5E5E"/>
    <w:rsid w:val="228E9F5D"/>
    <w:rsid w:val="22BD8C00"/>
    <w:rsid w:val="22DA785A"/>
    <w:rsid w:val="22F8C0B8"/>
    <w:rsid w:val="22FC45B3"/>
    <w:rsid w:val="230E244C"/>
    <w:rsid w:val="231BBCA2"/>
    <w:rsid w:val="23202B80"/>
    <w:rsid w:val="2367D139"/>
    <w:rsid w:val="2374B76A"/>
    <w:rsid w:val="239C4771"/>
    <w:rsid w:val="23E46B30"/>
    <w:rsid w:val="23E92FB2"/>
    <w:rsid w:val="23F93F3E"/>
    <w:rsid w:val="241B363E"/>
    <w:rsid w:val="243E313E"/>
    <w:rsid w:val="24485C81"/>
    <w:rsid w:val="244AEAAA"/>
    <w:rsid w:val="245733F3"/>
    <w:rsid w:val="24B23DF0"/>
    <w:rsid w:val="24DF0DBA"/>
    <w:rsid w:val="24E77135"/>
    <w:rsid w:val="2526A241"/>
    <w:rsid w:val="252F47FA"/>
    <w:rsid w:val="253B4DED"/>
    <w:rsid w:val="25415946"/>
    <w:rsid w:val="255121EB"/>
    <w:rsid w:val="25C49E96"/>
    <w:rsid w:val="2671A1C2"/>
    <w:rsid w:val="268A0D89"/>
    <w:rsid w:val="2691E287"/>
    <w:rsid w:val="26B1A134"/>
    <w:rsid w:val="26BCB247"/>
    <w:rsid w:val="26CC1B86"/>
    <w:rsid w:val="26D41BD3"/>
    <w:rsid w:val="26D7A94B"/>
    <w:rsid w:val="26E59FAC"/>
    <w:rsid w:val="26FFF483"/>
    <w:rsid w:val="27048206"/>
    <w:rsid w:val="2728E719"/>
    <w:rsid w:val="27617D24"/>
    <w:rsid w:val="276248A4"/>
    <w:rsid w:val="277D2F01"/>
    <w:rsid w:val="28513C2F"/>
    <w:rsid w:val="285F1CD2"/>
    <w:rsid w:val="287F9EFD"/>
    <w:rsid w:val="28CA3371"/>
    <w:rsid w:val="28E2F0B8"/>
    <w:rsid w:val="2908BF3D"/>
    <w:rsid w:val="2972FF77"/>
    <w:rsid w:val="29B915D5"/>
    <w:rsid w:val="29BD3510"/>
    <w:rsid w:val="29C7AA78"/>
    <w:rsid w:val="29F7F911"/>
    <w:rsid w:val="2A2AC4FA"/>
    <w:rsid w:val="2A380AC1"/>
    <w:rsid w:val="2A5C56DC"/>
    <w:rsid w:val="2A7A883C"/>
    <w:rsid w:val="2A9926BF"/>
    <w:rsid w:val="2A9EAB6B"/>
    <w:rsid w:val="2ABEAE5E"/>
    <w:rsid w:val="2AE33F41"/>
    <w:rsid w:val="2AE550D7"/>
    <w:rsid w:val="2AFE0F07"/>
    <w:rsid w:val="2B2D710B"/>
    <w:rsid w:val="2B40269B"/>
    <w:rsid w:val="2B7EE1A3"/>
    <w:rsid w:val="2BD76F5C"/>
    <w:rsid w:val="2BDD4BE2"/>
    <w:rsid w:val="2BED7B34"/>
    <w:rsid w:val="2C15BECB"/>
    <w:rsid w:val="2C207F38"/>
    <w:rsid w:val="2C33E497"/>
    <w:rsid w:val="2CF557CA"/>
    <w:rsid w:val="2D07C5C4"/>
    <w:rsid w:val="2D174DC8"/>
    <w:rsid w:val="2D19167B"/>
    <w:rsid w:val="2D2F436E"/>
    <w:rsid w:val="2D3673CC"/>
    <w:rsid w:val="2D7A7077"/>
    <w:rsid w:val="2D7D43EE"/>
    <w:rsid w:val="2DA048C4"/>
    <w:rsid w:val="2DC8ACC5"/>
    <w:rsid w:val="2DCF1237"/>
    <w:rsid w:val="2DE2FA5B"/>
    <w:rsid w:val="2E0CF0B4"/>
    <w:rsid w:val="2E2DCD56"/>
    <w:rsid w:val="2E4D4BFE"/>
    <w:rsid w:val="2E654FDB"/>
    <w:rsid w:val="2E688EC5"/>
    <w:rsid w:val="2E96ADCA"/>
    <w:rsid w:val="2EBEF0D0"/>
    <w:rsid w:val="2EC699FB"/>
    <w:rsid w:val="2ECB43AC"/>
    <w:rsid w:val="2F0F93EB"/>
    <w:rsid w:val="2F1577F2"/>
    <w:rsid w:val="2F20533D"/>
    <w:rsid w:val="2F25BEE0"/>
    <w:rsid w:val="2F38525B"/>
    <w:rsid w:val="2F47FF50"/>
    <w:rsid w:val="2F52323C"/>
    <w:rsid w:val="2F5C38C6"/>
    <w:rsid w:val="2F7C6F13"/>
    <w:rsid w:val="2F86C6F6"/>
    <w:rsid w:val="2FA0EBA7"/>
    <w:rsid w:val="2FABFA6F"/>
    <w:rsid w:val="2FEDB5A8"/>
    <w:rsid w:val="2FF43FCF"/>
    <w:rsid w:val="300590CC"/>
    <w:rsid w:val="302AA94C"/>
    <w:rsid w:val="305BAD42"/>
    <w:rsid w:val="3086F05B"/>
    <w:rsid w:val="30C4B1BE"/>
    <w:rsid w:val="30EF9ED2"/>
    <w:rsid w:val="313FEE0C"/>
    <w:rsid w:val="315ED248"/>
    <w:rsid w:val="31D40FB7"/>
    <w:rsid w:val="31E40AA4"/>
    <w:rsid w:val="31FD0F56"/>
    <w:rsid w:val="32115751"/>
    <w:rsid w:val="32874C21"/>
    <w:rsid w:val="3290E40A"/>
    <w:rsid w:val="32D36DBA"/>
    <w:rsid w:val="330FF190"/>
    <w:rsid w:val="3319BCC9"/>
    <w:rsid w:val="3328E06F"/>
    <w:rsid w:val="333F55A3"/>
    <w:rsid w:val="335519EB"/>
    <w:rsid w:val="3399797C"/>
    <w:rsid w:val="33DB45D6"/>
    <w:rsid w:val="33E97827"/>
    <w:rsid w:val="3401C640"/>
    <w:rsid w:val="34288A6A"/>
    <w:rsid w:val="347A4E1B"/>
    <w:rsid w:val="34889ED1"/>
    <w:rsid w:val="3492AAAF"/>
    <w:rsid w:val="34987003"/>
    <w:rsid w:val="34B21B55"/>
    <w:rsid w:val="350AF2D3"/>
    <w:rsid w:val="351ABD0E"/>
    <w:rsid w:val="35238EE7"/>
    <w:rsid w:val="352A6392"/>
    <w:rsid w:val="352FF0AC"/>
    <w:rsid w:val="35352148"/>
    <w:rsid w:val="354A28F5"/>
    <w:rsid w:val="3565AD12"/>
    <w:rsid w:val="35AC0FE6"/>
    <w:rsid w:val="35AF788A"/>
    <w:rsid w:val="361DAFE5"/>
    <w:rsid w:val="36342C52"/>
    <w:rsid w:val="363D6156"/>
    <w:rsid w:val="363FF183"/>
    <w:rsid w:val="364261A4"/>
    <w:rsid w:val="366F83CC"/>
    <w:rsid w:val="3673CAE6"/>
    <w:rsid w:val="36DAC964"/>
    <w:rsid w:val="37338641"/>
    <w:rsid w:val="3733E5EB"/>
    <w:rsid w:val="375469D0"/>
    <w:rsid w:val="375E04C4"/>
    <w:rsid w:val="37625BD0"/>
    <w:rsid w:val="378A3CB7"/>
    <w:rsid w:val="37D06EC6"/>
    <w:rsid w:val="37F781F4"/>
    <w:rsid w:val="3815EB8D"/>
    <w:rsid w:val="3839636D"/>
    <w:rsid w:val="389288BF"/>
    <w:rsid w:val="389D4DD4"/>
    <w:rsid w:val="38AF1D9B"/>
    <w:rsid w:val="38B7A5DF"/>
    <w:rsid w:val="38C27318"/>
    <w:rsid w:val="38C87A0A"/>
    <w:rsid w:val="38D82C5D"/>
    <w:rsid w:val="394587C8"/>
    <w:rsid w:val="396C848E"/>
    <w:rsid w:val="3993DABB"/>
    <w:rsid w:val="39C5F93F"/>
    <w:rsid w:val="39E7D095"/>
    <w:rsid w:val="3A2D5B5D"/>
    <w:rsid w:val="3A311DC4"/>
    <w:rsid w:val="3A975FE6"/>
    <w:rsid w:val="3AA0F0AF"/>
    <w:rsid w:val="3AE4155F"/>
    <w:rsid w:val="3AF259A9"/>
    <w:rsid w:val="3AF5BD5B"/>
    <w:rsid w:val="3B24A72C"/>
    <w:rsid w:val="3B6019B0"/>
    <w:rsid w:val="3B97B190"/>
    <w:rsid w:val="3BD63836"/>
    <w:rsid w:val="3BE43A5F"/>
    <w:rsid w:val="3C3F7A20"/>
    <w:rsid w:val="3C3FBFCA"/>
    <w:rsid w:val="3C73643B"/>
    <w:rsid w:val="3C8C1789"/>
    <w:rsid w:val="3C98E18A"/>
    <w:rsid w:val="3CC4C7D5"/>
    <w:rsid w:val="3CE36F2B"/>
    <w:rsid w:val="3CEDC8DD"/>
    <w:rsid w:val="3CEE83BF"/>
    <w:rsid w:val="3D445DF2"/>
    <w:rsid w:val="3D5FC75E"/>
    <w:rsid w:val="3D6624B8"/>
    <w:rsid w:val="3D6B9B39"/>
    <w:rsid w:val="3D72F2D1"/>
    <w:rsid w:val="3D7A2ED0"/>
    <w:rsid w:val="3DB1622A"/>
    <w:rsid w:val="3E723AA0"/>
    <w:rsid w:val="3E788B05"/>
    <w:rsid w:val="3E97628B"/>
    <w:rsid w:val="3E9EC995"/>
    <w:rsid w:val="3EEE4817"/>
    <w:rsid w:val="3F55B551"/>
    <w:rsid w:val="3F6815E3"/>
    <w:rsid w:val="3F8F7BE8"/>
    <w:rsid w:val="3F93BC09"/>
    <w:rsid w:val="3F9D3DD6"/>
    <w:rsid w:val="3FB8C396"/>
    <w:rsid w:val="3FC1C3B5"/>
    <w:rsid w:val="3FC3B84B"/>
    <w:rsid w:val="40608C3E"/>
    <w:rsid w:val="40838236"/>
    <w:rsid w:val="40A14CD7"/>
    <w:rsid w:val="40A7FC0B"/>
    <w:rsid w:val="40E29806"/>
    <w:rsid w:val="40ED6BEB"/>
    <w:rsid w:val="40F33E19"/>
    <w:rsid w:val="411C492E"/>
    <w:rsid w:val="419BDEC8"/>
    <w:rsid w:val="41A943CF"/>
    <w:rsid w:val="41BF727D"/>
    <w:rsid w:val="41FB8B3F"/>
    <w:rsid w:val="422EC692"/>
    <w:rsid w:val="424D673C"/>
    <w:rsid w:val="428E0159"/>
    <w:rsid w:val="42C9D94B"/>
    <w:rsid w:val="4338B110"/>
    <w:rsid w:val="4351186A"/>
    <w:rsid w:val="43741812"/>
    <w:rsid w:val="43A8807D"/>
    <w:rsid w:val="43B5600D"/>
    <w:rsid w:val="43DBFA24"/>
    <w:rsid w:val="43EA070F"/>
    <w:rsid w:val="440EB756"/>
    <w:rsid w:val="441EA938"/>
    <w:rsid w:val="4421C241"/>
    <w:rsid w:val="4431D2DC"/>
    <w:rsid w:val="445AC473"/>
    <w:rsid w:val="4484431C"/>
    <w:rsid w:val="44C86C68"/>
    <w:rsid w:val="44E2EF14"/>
    <w:rsid w:val="44E6F19A"/>
    <w:rsid w:val="456132B3"/>
    <w:rsid w:val="45817221"/>
    <w:rsid w:val="459D8708"/>
    <w:rsid w:val="45C7F35C"/>
    <w:rsid w:val="45D69740"/>
    <w:rsid w:val="45E0B980"/>
    <w:rsid w:val="4624D9F8"/>
    <w:rsid w:val="464A8321"/>
    <w:rsid w:val="46B23220"/>
    <w:rsid w:val="46D8C0B6"/>
    <w:rsid w:val="46E58C8A"/>
    <w:rsid w:val="46E6C6DA"/>
    <w:rsid w:val="46F58F6A"/>
    <w:rsid w:val="46F78DC2"/>
    <w:rsid w:val="4728B4AD"/>
    <w:rsid w:val="472EB321"/>
    <w:rsid w:val="473E93D2"/>
    <w:rsid w:val="47418D45"/>
    <w:rsid w:val="47452FC4"/>
    <w:rsid w:val="4747AECC"/>
    <w:rsid w:val="475EE1B2"/>
    <w:rsid w:val="47B616E2"/>
    <w:rsid w:val="47C48CFB"/>
    <w:rsid w:val="47E4B021"/>
    <w:rsid w:val="48257642"/>
    <w:rsid w:val="482DF43E"/>
    <w:rsid w:val="48388D91"/>
    <w:rsid w:val="4898F279"/>
    <w:rsid w:val="48C85657"/>
    <w:rsid w:val="48C9DB64"/>
    <w:rsid w:val="48F77507"/>
    <w:rsid w:val="4977C0D8"/>
    <w:rsid w:val="49953E24"/>
    <w:rsid w:val="49B1F1C8"/>
    <w:rsid w:val="49C7AD8F"/>
    <w:rsid w:val="49EFD955"/>
    <w:rsid w:val="49F4AFAD"/>
    <w:rsid w:val="4A04EF5B"/>
    <w:rsid w:val="4A23D3A2"/>
    <w:rsid w:val="4A532D06"/>
    <w:rsid w:val="4A5FD31C"/>
    <w:rsid w:val="4A98B7E1"/>
    <w:rsid w:val="4AB73E03"/>
    <w:rsid w:val="4AB7C050"/>
    <w:rsid w:val="4ABF6087"/>
    <w:rsid w:val="4ADB4DDD"/>
    <w:rsid w:val="4B202192"/>
    <w:rsid w:val="4B34D9E8"/>
    <w:rsid w:val="4B3695D5"/>
    <w:rsid w:val="4B5A9C98"/>
    <w:rsid w:val="4B7983FE"/>
    <w:rsid w:val="4B7FDAF0"/>
    <w:rsid w:val="4B848A3B"/>
    <w:rsid w:val="4BBB4548"/>
    <w:rsid w:val="4BBEEAEE"/>
    <w:rsid w:val="4BC45FC2"/>
    <w:rsid w:val="4BCF581A"/>
    <w:rsid w:val="4BD0933B"/>
    <w:rsid w:val="4BD45E58"/>
    <w:rsid w:val="4BFA2DE5"/>
    <w:rsid w:val="4C054DCA"/>
    <w:rsid w:val="4C09D372"/>
    <w:rsid w:val="4C3532AB"/>
    <w:rsid w:val="4C618847"/>
    <w:rsid w:val="4C63F384"/>
    <w:rsid w:val="4C9CC5F2"/>
    <w:rsid w:val="4CCC32A6"/>
    <w:rsid w:val="4D2A1DBC"/>
    <w:rsid w:val="4D34F728"/>
    <w:rsid w:val="4D63EA0A"/>
    <w:rsid w:val="4D71F207"/>
    <w:rsid w:val="4D79886A"/>
    <w:rsid w:val="4D850601"/>
    <w:rsid w:val="4D96F11C"/>
    <w:rsid w:val="4DBF5B40"/>
    <w:rsid w:val="4DFD58A8"/>
    <w:rsid w:val="4E06F28F"/>
    <w:rsid w:val="4E19EEA2"/>
    <w:rsid w:val="4E22C208"/>
    <w:rsid w:val="4E37F59C"/>
    <w:rsid w:val="4E55BA7F"/>
    <w:rsid w:val="4E70329C"/>
    <w:rsid w:val="4E84CD28"/>
    <w:rsid w:val="4EA29CE2"/>
    <w:rsid w:val="4EA55563"/>
    <w:rsid w:val="4EC3CBAD"/>
    <w:rsid w:val="4EC4D16E"/>
    <w:rsid w:val="4EE3178C"/>
    <w:rsid w:val="4EED99A5"/>
    <w:rsid w:val="4EEE707F"/>
    <w:rsid w:val="4EFA1656"/>
    <w:rsid w:val="4F0E32FF"/>
    <w:rsid w:val="4F219F5C"/>
    <w:rsid w:val="4F58340D"/>
    <w:rsid w:val="4FC13CF5"/>
    <w:rsid w:val="4FCE619A"/>
    <w:rsid w:val="4FE1C99B"/>
    <w:rsid w:val="4FFA1B26"/>
    <w:rsid w:val="5011230C"/>
    <w:rsid w:val="504E26A4"/>
    <w:rsid w:val="5071A528"/>
    <w:rsid w:val="5076EEA8"/>
    <w:rsid w:val="507A508C"/>
    <w:rsid w:val="507B5EB9"/>
    <w:rsid w:val="50822062"/>
    <w:rsid w:val="50C15EA0"/>
    <w:rsid w:val="50D46993"/>
    <w:rsid w:val="5118FA17"/>
    <w:rsid w:val="51488390"/>
    <w:rsid w:val="514A3634"/>
    <w:rsid w:val="51C46971"/>
    <w:rsid w:val="51C4E4D1"/>
    <w:rsid w:val="51D1EDA2"/>
    <w:rsid w:val="51F3CBBF"/>
    <w:rsid w:val="524645B5"/>
    <w:rsid w:val="52567778"/>
    <w:rsid w:val="525F6C35"/>
    <w:rsid w:val="5260BA73"/>
    <w:rsid w:val="527C54A4"/>
    <w:rsid w:val="5376D895"/>
    <w:rsid w:val="53800AC5"/>
    <w:rsid w:val="53984291"/>
    <w:rsid w:val="53E31956"/>
    <w:rsid w:val="53E3C770"/>
    <w:rsid w:val="53E628C0"/>
    <w:rsid w:val="53F5B94D"/>
    <w:rsid w:val="5423EC79"/>
    <w:rsid w:val="54A17D9D"/>
    <w:rsid w:val="54C22A80"/>
    <w:rsid w:val="54EB8F65"/>
    <w:rsid w:val="54F2EBFD"/>
    <w:rsid w:val="556B635E"/>
    <w:rsid w:val="55B28937"/>
    <w:rsid w:val="55C9EC2A"/>
    <w:rsid w:val="560C669C"/>
    <w:rsid w:val="5626D842"/>
    <w:rsid w:val="5637C948"/>
    <w:rsid w:val="5640D794"/>
    <w:rsid w:val="56F3B9BA"/>
    <w:rsid w:val="570A2C67"/>
    <w:rsid w:val="5713B8F5"/>
    <w:rsid w:val="5718D33F"/>
    <w:rsid w:val="57355415"/>
    <w:rsid w:val="578CF097"/>
    <w:rsid w:val="57E37468"/>
    <w:rsid w:val="57E9CCE9"/>
    <w:rsid w:val="580F882F"/>
    <w:rsid w:val="581DD5AB"/>
    <w:rsid w:val="582BAF6E"/>
    <w:rsid w:val="5878D807"/>
    <w:rsid w:val="588121BF"/>
    <w:rsid w:val="58858A7A"/>
    <w:rsid w:val="5886709E"/>
    <w:rsid w:val="59187CE3"/>
    <w:rsid w:val="593C5422"/>
    <w:rsid w:val="594163FA"/>
    <w:rsid w:val="598851C0"/>
    <w:rsid w:val="59AD69DB"/>
    <w:rsid w:val="59F783EC"/>
    <w:rsid w:val="5A14E5FE"/>
    <w:rsid w:val="5A15E58A"/>
    <w:rsid w:val="5A329570"/>
    <w:rsid w:val="5A34F7CB"/>
    <w:rsid w:val="5A8D2981"/>
    <w:rsid w:val="5AA3C075"/>
    <w:rsid w:val="5AB663C3"/>
    <w:rsid w:val="5ADA4314"/>
    <w:rsid w:val="5AF1BA80"/>
    <w:rsid w:val="5B0B9623"/>
    <w:rsid w:val="5B0E3428"/>
    <w:rsid w:val="5B308BF0"/>
    <w:rsid w:val="5B48EFFE"/>
    <w:rsid w:val="5B4A3E9C"/>
    <w:rsid w:val="5B7DA682"/>
    <w:rsid w:val="5BDF1EE8"/>
    <w:rsid w:val="5C374D8C"/>
    <w:rsid w:val="5C86AFAF"/>
    <w:rsid w:val="5CBE68AB"/>
    <w:rsid w:val="5CE25BB9"/>
    <w:rsid w:val="5D0FBFDC"/>
    <w:rsid w:val="5D200726"/>
    <w:rsid w:val="5D6B6F04"/>
    <w:rsid w:val="5D7A1394"/>
    <w:rsid w:val="5D7A4665"/>
    <w:rsid w:val="5DAB7E78"/>
    <w:rsid w:val="5DDEFC0E"/>
    <w:rsid w:val="5E04E0F8"/>
    <w:rsid w:val="5E24CE7C"/>
    <w:rsid w:val="5E3D0C5A"/>
    <w:rsid w:val="5E5F5AFC"/>
    <w:rsid w:val="5E72A2DF"/>
    <w:rsid w:val="5E7DFA34"/>
    <w:rsid w:val="5EA412B8"/>
    <w:rsid w:val="5EE35134"/>
    <w:rsid w:val="5F15C354"/>
    <w:rsid w:val="5F326A5D"/>
    <w:rsid w:val="5F5680CD"/>
    <w:rsid w:val="5F61BE93"/>
    <w:rsid w:val="5F6262C8"/>
    <w:rsid w:val="5F73429F"/>
    <w:rsid w:val="5F7D0C88"/>
    <w:rsid w:val="5F7E9240"/>
    <w:rsid w:val="5F987CD2"/>
    <w:rsid w:val="5FC1B8CB"/>
    <w:rsid w:val="602F7F92"/>
    <w:rsid w:val="603CA67D"/>
    <w:rsid w:val="604B8BE9"/>
    <w:rsid w:val="6082BA36"/>
    <w:rsid w:val="60DE4964"/>
    <w:rsid w:val="60E4C7CA"/>
    <w:rsid w:val="60EF826F"/>
    <w:rsid w:val="60FD0ACA"/>
    <w:rsid w:val="6109C550"/>
    <w:rsid w:val="610D2995"/>
    <w:rsid w:val="616FA0B4"/>
    <w:rsid w:val="6223CB29"/>
    <w:rsid w:val="622FDFE0"/>
    <w:rsid w:val="62418218"/>
    <w:rsid w:val="62F90331"/>
    <w:rsid w:val="630228F3"/>
    <w:rsid w:val="63362F35"/>
    <w:rsid w:val="634F9A56"/>
    <w:rsid w:val="6354F3F4"/>
    <w:rsid w:val="635D6A9C"/>
    <w:rsid w:val="6383DC85"/>
    <w:rsid w:val="63959E1B"/>
    <w:rsid w:val="64040645"/>
    <w:rsid w:val="640B042B"/>
    <w:rsid w:val="641C688C"/>
    <w:rsid w:val="6422FBE8"/>
    <w:rsid w:val="64B1B97A"/>
    <w:rsid w:val="64B2F727"/>
    <w:rsid w:val="655E32E8"/>
    <w:rsid w:val="65C8E61A"/>
    <w:rsid w:val="65D3FDEB"/>
    <w:rsid w:val="666C77F1"/>
    <w:rsid w:val="666D945C"/>
    <w:rsid w:val="66834243"/>
    <w:rsid w:val="668E52A1"/>
    <w:rsid w:val="66C19F36"/>
    <w:rsid w:val="672154E8"/>
    <w:rsid w:val="6729F9E4"/>
    <w:rsid w:val="675706C4"/>
    <w:rsid w:val="678F9DCB"/>
    <w:rsid w:val="679CE337"/>
    <w:rsid w:val="679EF0A6"/>
    <w:rsid w:val="67B3AA3E"/>
    <w:rsid w:val="680330DA"/>
    <w:rsid w:val="68084852"/>
    <w:rsid w:val="680AA0FC"/>
    <w:rsid w:val="6823F173"/>
    <w:rsid w:val="6831388D"/>
    <w:rsid w:val="68734CCE"/>
    <w:rsid w:val="6884ADC3"/>
    <w:rsid w:val="689A201E"/>
    <w:rsid w:val="68AA3618"/>
    <w:rsid w:val="68C3467E"/>
    <w:rsid w:val="68C7340A"/>
    <w:rsid w:val="68EBD321"/>
    <w:rsid w:val="68F05292"/>
    <w:rsid w:val="690BF55A"/>
    <w:rsid w:val="694DE4AF"/>
    <w:rsid w:val="6953CBA3"/>
    <w:rsid w:val="695A099C"/>
    <w:rsid w:val="6993E032"/>
    <w:rsid w:val="69950CE6"/>
    <w:rsid w:val="69F37C8F"/>
    <w:rsid w:val="69FC054E"/>
    <w:rsid w:val="6A31A338"/>
    <w:rsid w:val="6A789E32"/>
    <w:rsid w:val="6A892B86"/>
    <w:rsid w:val="6AC40783"/>
    <w:rsid w:val="6ACFEC2D"/>
    <w:rsid w:val="6AF84275"/>
    <w:rsid w:val="6B12FF5F"/>
    <w:rsid w:val="6B1CA7BA"/>
    <w:rsid w:val="6B227CA7"/>
    <w:rsid w:val="6B2ADE13"/>
    <w:rsid w:val="6B47DD15"/>
    <w:rsid w:val="6B66DD07"/>
    <w:rsid w:val="6B76A297"/>
    <w:rsid w:val="6BA3A083"/>
    <w:rsid w:val="6BC084BC"/>
    <w:rsid w:val="6BEFE408"/>
    <w:rsid w:val="6BF7398B"/>
    <w:rsid w:val="6BFB53C3"/>
    <w:rsid w:val="6C012247"/>
    <w:rsid w:val="6C0C1751"/>
    <w:rsid w:val="6C5AC28E"/>
    <w:rsid w:val="6C734078"/>
    <w:rsid w:val="6D388ACD"/>
    <w:rsid w:val="6D399310"/>
    <w:rsid w:val="6D4DE1C2"/>
    <w:rsid w:val="6DA5DB11"/>
    <w:rsid w:val="6DBDC532"/>
    <w:rsid w:val="6DCD7158"/>
    <w:rsid w:val="6DCE857B"/>
    <w:rsid w:val="6DF692EF"/>
    <w:rsid w:val="6E22C5F0"/>
    <w:rsid w:val="6E2652F8"/>
    <w:rsid w:val="6E273CC6"/>
    <w:rsid w:val="6E2E8C65"/>
    <w:rsid w:val="6E73A09E"/>
    <w:rsid w:val="6E85CFE6"/>
    <w:rsid w:val="6E9A5B95"/>
    <w:rsid w:val="6EB7689D"/>
    <w:rsid w:val="6EB90242"/>
    <w:rsid w:val="6F0F57FA"/>
    <w:rsid w:val="6F433DEC"/>
    <w:rsid w:val="6F56613E"/>
    <w:rsid w:val="6F6D9676"/>
    <w:rsid w:val="6F9CFB4E"/>
    <w:rsid w:val="6FA93867"/>
    <w:rsid w:val="6FF1C898"/>
    <w:rsid w:val="701F1C59"/>
    <w:rsid w:val="70564B02"/>
    <w:rsid w:val="705AF8C6"/>
    <w:rsid w:val="7065BF12"/>
    <w:rsid w:val="709C5406"/>
    <w:rsid w:val="70A61365"/>
    <w:rsid w:val="70B94B85"/>
    <w:rsid w:val="70B9AF62"/>
    <w:rsid w:val="70C62A84"/>
    <w:rsid w:val="71027EFB"/>
    <w:rsid w:val="715206A5"/>
    <w:rsid w:val="715D2DAF"/>
    <w:rsid w:val="715EDD88"/>
    <w:rsid w:val="717CFE13"/>
    <w:rsid w:val="718B9EF1"/>
    <w:rsid w:val="71B279F6"/>
    <w:rsid w:val="71D3E673"/>
    <w:rsid w:val="71E6D5C9"/>
    <w:rsid w:val="72900222"/>
    <w:rsid w:val="72AE03D1"/>
    <w:rsid w:val="72B1A0E6"/>
    <w:rsid w:val="72BE3C31"/>
    <w:rsid w:val="72C333B7"/>
    <w:rsid w:val="72DF6CC1"/>
    <w:rsid w:val="7339C69D"/>
    <w:rsid w:val="7350890C"/>
    <w:rsid w:val="7350ED4A"/>
    <w:rsid w:val="73591C33"/>
    <w:rsid w:val="7361ABBB"/>
    <w:rsid w:val="7366BF17"/>
    <w:rsid w:val="73F6B1DD"/>
    <w:rsid w:val="74235A4E"/>
    <w:rsid w:val="74A57A01"/>
    <w:rsid w:val="75C19A30"/>
    <w:rsid w:val="75EFD89F"/>
    <w:rsid w:val="7605DDC6"/>
    <w:rsid w:val="76277688"/>
    <w:rsid w:val="763E3A83"/>
    <w:rsid w:val="7656C8F9"/>
    <w:rsid w:val="769CB8DA"/>
    <w:rsid w:val="76C1E918"/>
    <w:rsid w:val="76C27A82"/>
    <w:rsid w:val="775BE799"/>
    <w:rsid w:val="77721A9E"/>
    <w:rsid w:val="77727576"/>
    <w:rsid w:val="77746798"/>
    <w:rsid w:val="77CF54BA"/>
    <w:rsid w:val="78428838"/>
    <w:rsid w:val="784AD138"/>
    <w:rsid w:val="785E4AE3"/>
    <w:rsid w:val="788B0A41"/>
    <w:rsid w:val="7891D60F"/>
    <w:rsid w:val="78A61079"/>
    <w:rsid w:val="78C6A92B"/>
    <w:rsid w:val="795CBA19"/>
    <w:rsid w:val="79666FDB"/>
    <w:rsid w:val="79A664FA"/>
    <w:rsid w:val="79AFC84C"/>
    <w:rsid w:val="7A1A5E20"/>
    <w:rsid w:val="7A3D51D9"/>
    <w:rsid w:val="7A59D17B"/>
    <w:rsid w:val="7AA7A8A8"/>
    <w:rsid w:val="7AB79616"/>
    <w:rsid w:val="7ADD7CC3"/>
    <w:rsid w:val="7B0106D5"/>
    <w:rsid w:val="7B0DAD54"/>
    <w:rsid w:val="7B255595"/>
    <w:rsid w:val="7B36F93F"/>
    <w:rsid w:val="7B3F86FF"/>
    <w:rsid w:val="7B710272"/>
    <w:rsid w:val="7B79AF12"/>
    <w:rsid w:val="7B86B3A4"/>
    <w:rsid w:val="7BBF3F1A"/>
    <w:rsid w:val="7BF2552F"/>
    <w:rsid w:val="7BF47C98"/>
    <w:rsid w:val="7BF490D4"/>
    <w:rsid w:val="7C2867DD"/>
    <w:rsid w:val="7C3E07FE"/>
    <w:rsid w:val="7C648B9B"/>
    <w:rsid w:val="7CA0663E"/>
    <w:rsid w:val="7CCC336D"/>
    <w:rsid w:val="7CD0CED2"/>
    <w:rsid w:val="7CDF0FED"/>
    <w:rsid w:val="7D0FC411"/>
    <w:rsid w:val="7D3AE4BE"/>
    <w:rsid w:val="7D52C386"/>
    <w:rsid w:val="7D762381"/>
    <w:rsid w:val="7D8E6B9F"/>
    <w:rsid w:val="7D969C17"/>
    <w:rsid w:val="7D977E31"/>
    <w:rsid w:val="7DB40E28"/>
    <w:rsid w:val="7DB7FC0D"/>
    <w:rsid w:val="7DD7C8E2"/>
    <w:rsid w:val="7DE36099"/>
    <w:rsid w:val="7E10EA23"/>
    <w:rsid w:val="7E416723"/>
    <w:rsid w:val="7E44CE40"/>
    <w:rsid w:val="7E5BFB04"/>
    <w:rsid w:val="7E7CF5F5"/>
    <w:rsid w:val="7E9F5650"/>
    <w:rsid w:val="7EF7CD23"/>
    <w:rsid w:val="7F0733B4"/>
    <w:rsid w:val="7F0B5A35"/>
    <w:rsid w:val="7F5B2A0C"/>
    <w:rsid w:val="7FF4D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8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DC"/>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720A7"/>
    <w:pPr>
      <w:keepNext/>
      <w:keepLines/>
      <w:numPr>
        <w:numId w:val="8"/>
      </w:numPr>
      <w:spacing w:before="240" w:after="240"/>
      <w:outlineLvl w:val="0"/>
    </w:pPr>
    <w:rPr>
      <w:rFonts w:eastAsiaTheme="majorEastAsia" w:cs="Times New Roman"/>
      <w:b/>
      <w:color w:val="0D0D0D" w:themeColor="text1" w:themeTint="F2"/>
      <w:szCs w:val="32"/>
    </w:rPr>
  </w:style>
  <w:style w:type="paragraph" w:styleId="Heading2">
    <w:name w:val="heading 2"/>
    <w:basedOn w:val="Normal"/>
    <w:next w:val="Normal"/>
    <w:link w:val="Heading2Char"/>
    <w:uiPriority w:val="9"/>
    <w:unhideWhenUsed/>
    <w:qFormat/>
    <w:rsid w:val="00796C27"/>
    <w:pPr>
      <w:keepNext/>
      <w:keepLines/>
      <w:numPr>
        <w:ilvl w:val="1"/>
        <w:numId w:val="2"/>
      </w:numPr>
      <w:spacing w:before="160" w:after="120"/>
      <w:outlineLvl w:val="1"/>
    </w:pPr>
    <w:rPr>
      <w:rFonts w:eastAsiaTheme="majorEastAsia" w:cs="Times New Roman"/>
      <w:b/>
      <w:color w:val="0D0D0D" w:themeColor="text1" w:themeTint="F2"/>
      <w:szCs w:val="26"/>
    </w:rPr>
  </w:style>
  <w:style w:type="paragraph" w:styleId="Heading3">
    <w:name w:val="heading 3"/>
    <w:basedOn w:val="Normal"/>
    <w:next w:val="Normal"/>
    <w:link w:val="Heading3Char"/>
    <w:uiPriority w:val="9"/>
    <w:unhideWhenUsed/>
    <w:qFormat/>
    <w:rsid w:val="00796C27"/>
    <w:pPr>
      <w:keepNext/>
      <w:keepLines/>
      <w:numPr>
        <w:ilvl w:val="2"/>
        <w:numId w:val="2"/>
      </w:numPr>
      <w:spacing w:before="80" w:after="80"/>
      <w:ind w:left="1224"/>
      <w:outlineLvl w:val="2"/>
    </w:pPr>
    <w:rPr>
      <w:rFonts w:eastAsiaTheme="majorEastAsia" w:cs="Times New Roman"/>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20A7"/>
    <w:rPr>
      <w:rFonts w:ascii="Times New Roman" w:eastAsiaTheme="majorEastAsia" w:hAnsi="Times New Roman" w:cs="Times New Roman"/>
      <w:b/>
      <w:color w:val="0D0D0D" w:themeColor="text1" w:themeTint="F2"/>
      <w:sz w:val="24"/>
      <w:szCs w:val="32"/>
    </w:rPr>
  </w:style>
  <w:style w:type="character" w:customStyle="1" w:styleId="Heading2Char">
    <w:name w:val="Heading 2 Char"/>
    <w:basedOn w:val="DefaultParagraphFont"/>
    <w:link w:val="Heading2"/>
    <w:uiPriority w:val="9"/>
    <w:rsid w:val="00796C27"/>
    <w:rPr>
      <w:rFonts w:ascii="Times New Roman" w:eastAsiaTheme="majorEastAsia" w:hAnsi="Times New Roman" w:cs="Times New Roman"/>
      <w:b/>
      <w:color w:val="0D0D0D" w:themeColor="text1" w:themeTint="F2"/>
      <w:sz w:val="24"/>
      <w:szCs w:val="26"/>
    </w:rPr>
  </w:style>
  <w:style w:type="character" w:customStyle="1" w:styleId="Heading3Char">
    <w:name w:val="Heading 3 Char"/>
    <w:basedOn w:val="DefaultParagraphFont"/>
    <w:link w:val="Heading3"/>
    <w:uiPriority w:val="9"/>
    <w:rsid w:val="00796C27"/>
    <w:rPr>
      <w:rFonts w:ascii="Times New Roman" w:eastAsiaTheme="majorEastAsia" w:hAnsi="Times New Roman" w:cs="Times New Roman"/>
      <w:b/>
      <w:color w:val="0D0D0D" w:themeColor="text1" w:themeTint="F2"/>
      <w:sz w:val="24"/>
      <w:szCs w:val="24"/>
    </w:rPr>
  </w:style>
  <w:style w:type="paragraph" w:styleId="TOCHeading">
    <w:name w:val="TOC Heading"/>
    <w:basedOn w:val="Heading1"/>
    <w:next w:val="Normal"/>
    <w:uiPriority w:val="39"/>
    <w:unhideWhenUsed/>
    <w:qFormat/>
    <w:rsid w:val="007C5095"/>
    <w:pPr>
      <w:outlineLvl w:val="9"/>
    </w:pPr>
    <w:rPr>
      <w:lang w:val="en-US"/>
    </w:rPr>
  </w:style>
  <w:style w:type="paragraph" w:styleId="TOC1">
    <w:name w:val="toc 1"/>
    <w:basedOn w:val="Normal"/>
    <w:next w:val="Normal"/>
    <w:autoRedefine/>
    <w:uiPriority w:val="39"/>
    <w:unhideWhenUsed/>
    <w:rsid w:val="00796C27"/>
    <w:pPr>
      <w:tabs>
        <w:tab w:val="left" w:pos="440"/>
        <w:tab w:val="right" w:leader="dot" w:pos="10456"/>
      </w:tabs>
      <w:spacing w:after="100"/>
    </w:pPr>
  </w:style>
  <w:style w:type="paragraph" w:styleId="TOC2">
    <w:name w:val="toc 2"/>
    <w:basedOn w:val="Normal"/>
    <w:next w:val="Normal"/>
    <w:autoRedefine/>
    <w:uiPriority w:val="39"/>
    <w:unhideWhenUsed/>
    <w:rsid w:val="00CA40E4"/>
    <w:pPr>
      <w:tabs>
        <w:tab w:val="left" w:pos="880"/>
        <w:tab w:val="right" w:leader="dot" w:pos="10456"/>
      </w:tabs>
      <w:spacing w:after="100"/>
      <w:ind w:left="220"/>
    </w:pPr>
  </w:style>
  <w:style w:type="paragraph" w:styleId="TOC3">
    <w:name w:val="toc 3"/>
    <w:basedOn w:val="Normal"/>
    <w:next w:val="Normal"/>
    <w:autoRedefine/>
    <w:uiPriority w:val="39"/>
    <w:unhideWhenUsed/>
    <w:rsid w:val="00062893"/>
    <w:pPr>
      <w:tabs>
        <w:tab w:val="left" w:pos="1320"/>
        <w:tab w:val="right" w:leader="dot" w:pos="10456"/>
      </w:tabs>
      <w:spacing w:after="100"/>
      <w:ind w:left="440"/>
    </w:pPr>
  </w:style>
  <w:style w:type="character" w:styleId="Hyperlink">
    <w:name w:val="Hyperlink"/>
    <w:basedOn w:val="DefaultParagraphFont"/>
    <w:uiPriority w:val="99"/>
    <w:unhideWhenUsed/>
    <w:rsid w:val="007C5095"/>
    <w:rPr>
      <w:color w:val="0563C1" w:themeColor="hyperlink"/>
      <w:u w:val="single"/>
    </w:rPr>
  </w:style>
  <w:style w:type="paragraph" w:styleId="BalloonText">
    <w:name w:val="Balloon Text"/>
    <w:basedOn w:val="Normal"/>
    <w:link w:val="BalloonTextChar"/>
    <w:uiPriority w:val="99"/>
    <w:semiHidden/>
    <w:unhideWhenUsed/>
    <w:rsid w:val="007C5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5"/>
    <w:rPr>
      <w:rFonts w:ascii="Segoe UI" w:hAnsi="Segoe UI" w:cs="Segoe UI"/>
      <w:sz w:val="18"/>
      <w:szCs w:val="18"/>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
    <w:basedOn w:val="Normal"/>
    <w:link w:val="ListParagraphChar"/>
    <w:uiPriority w:val="34"/>
    <w:qFormat/>
    <w:rsid w:val="00FE2E16"/>
    <w:pPr>
      <w:ind w:left="720"/>
      <w:contextualSpacing/>
    </w:pPr>
  </w:style>
  <w:style w:type="character" w:styleId="SubtleReference">
    <w:name w:val="Subtle Reference"/>
    <w:basedOn w:val="DefaultParagraphFont"/>
    <w:uiPriority w:val="31"/>
    <w:qFormat/>
    <w:rsid w:val="00AF441D"/>
    <w:rPr>
      <w:smallCaps/>
      <w:color w:val="5A5A5A" w:themeColor="text1" w:themeTint="A5"/>
    </w:rPr>
  </w:style>
  <w:style w:type="paragraph" w:styleId="Header">
    <w:name w:val="header"/>
    <w:basedOn w:val="Normal"/>
    <w:link w:val="HeaderChar"/>
    <w:uiPriority w:val="99"/>
    <w:unhideWhenUsed/>
    <w:rsid w:val="0022259C"/>
    <w:pPr>
      <w:tabs>
        <w:tab w:val="center" w:pos="4513"/>
        <w:tab w:val="right" w:pos="9026"/>
      </w:tabs>
    </w:pPr>
  </w:style>
  <w:style w:type="character" w:customStyle="1" w:styleId="HeaderChar">
    <w:name w:val="Header Char"/>
    <w:basedOn w:val="DefaultParagraphFont"/>
    <w:link w:val="Header"/>
    <w:uiPriority w:val="99"/>
    <w:rsid w:val="0022259C"/>
  </w:style>
  <w:style w:type="paragraph" w:styleId="Footer">
    <w:name w:val="footer"/>
    <w:basedOn w:val="Normal"/>
    <w:link w:val="FooterChar"/>
    <w:uiPriority w:val="99"/>
    <w:unhideWhenUsed/>
    <w:rsid w:val="0022259C"/>
    <w:pPr>
      <w:tabs>
        <w:tab w:val="center" w:pos="4513"/>
        <w:tab w:val="right" w:pos="9026"/>
      </w:tabs>
    </w:pPr>
  </w:style>
  <w:style w:type="character" w:customStyle="1" w:styleId="FooterChar">
    <w:name w:val="Footer Char"/>
    <w:basedOn w:val="DefaultParagraphFont"/>
    <w:link w:val="Footer"/>
    <w:uiPriority w:val="99"/>
    <w:rsid w:val="0022259C"/>
  </w:style>
  <w:style w:type="paragraph" w:customStyle="1" w:styleId="Text1">
    <w:name w:val="Text 1"/>
    <w:basedOn w:val="Normal"/>
    <w:link w:val="Text1Car"/>
    <w:qFormat/>
    <w:rsid w:val="001E0154"/>
    <w:pPr>
      <w:spacing w:before="120" w:after="120"/>
      <w:ind w:left="850"/>
    </w:pPr>
    <w:rPr>
      <w:rFonts w:eastAsia="Times New Roman" w:cs="Times New Roman"/>
      <w:szCs w:val="24"/>
    </w:rPr>
  </w:style>
  <w:style w:type="paragraph" w:customStyle="1" w:styleId="Text2">
    <w:name w:val="Text 2"/>
    <w:basedOn w:val="Normal"/>
    <w:rsid w:val="001E0154"/>
    <w:pPr>
      <w:spacing w:before="120" w:after="120"/>
      <w:ind w:left="850"/>
    </w:pPr>
    <w:rPr>
      <w:rFonts w:eastAsia="Times New Roman" w:cs="Times New Roman"/>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 Char"/>
    <w:basedOn w:val="Normal"/>
    <w:link w:val="FootnoteTextChar"/>
    <w:uiPriority w:val="99"/>
    <w:qFormat/>
    <w:rsid w:val="001E0154"/>
    <w:rPr>
      <w:rFonts w:eastAsia="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sid w:val="001E0154"/>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Ref"/>
    <w:link w:val="BVIfnrChar1"/>
    <w:uiPriority w:val="99"/>
    <w:qFormat/>
    <w:rsid w:val="001E0154"/>
    <w:rPr>
      <w:shd w:val="clear" w:color="auto" w:fill="auto"/>
      <w:vertAlign w:val="superscript"/>
    </w:rPr>
  </w:style>
  <w:style w:type="character" w:styleId="CommentReference">
    <w:name w:val="annotation reference"/>
    <w:uiPriority w:val="99"/>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1, BVI fnr, BVI fnr Char,Appel note de bas de p."/>
    <w:basedOn w:val="Normal"/>
    <w:link w:val="FootnoteReference"/>
    <w:uiPriority w:val="99"/>
    <w:rsid w:val="001E0154"/>
    <w:pPr>
      <w:spacing w:line="240" w:lineRule="exact"/>
    </w:pPr>
    <w:rPr>
      <w:vertAlign w:val="superscript"/>
    </w:rPr>
  </w:style>
  <w:style w:type="paragraph" w:styleId="NormalWeb">
    <w:name w:val="Normal (Web)"/>
    <w:basedOn w:val="Normal"/>
    <w:uiPriority w:val="99"/>
    <w:unhideWhenUsed/>
    <w:rsid w:val="003514A8"/>
    <w:pPr>
      <w:spacing w:before="100" w:beforeAutospacing="1" w:after="100" w:afterAutospacing="1"/>
    </w:pPr>
    <w:rPr>
      <w:rFonts w:eastAsia="Times New Roman" w:cs="Times New Roman"/>
      <w:szCs w:val="24"/>
      <w:lang w:eastAsia="en-GB"/>
    </w:rPr>
  </w:style>
  <w:style w:type="paragraph" w:customStyle="1" w:styleId="Default">
    <w:name w:val="Default"/>
    <w:uiPriority w:val="99"/>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o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CommentText">
    <w:name w:val="annotation text"/>
    <w:aliases w:val="Char Char"/>
    <w:basedOn w:val="Normal"/>
    <w:link w:val="CommentTextChar"/>
    <w:rsid w:val="00D66381"/>
    <w:rPr>
      <w:rFonts w:eastAsia="Times New Roman" w:cs="Times New Roman"/>
      <w:sz w:val="20"/>
      <w:szCs w:val="20"/>
      <w:lang w:eastAsia="en-GB"/>
    </w:rPr>
  </w:style>
  <w:style w:type="character" w:customStyle="1" w:styleId="CommentTextChar">
    <w:name w:val="Comment Text Char"/>
    <w:aliases w:val="Char Char Char"/>
    <w:basedOn w:val="DefaultParagraphFont"/>
    <w:link w:val="CommentText"/>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cs="Times New Roman"/>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CommentSubject">
    <w:name w:val="annotation subject"/>
    <w:basedOn w:val="CommentText"/>
    <w:next w:val="CommentText"/>
    <w:link w:val="CommentSubjectChar"/>
    <w:unhideWhenUsed/>
    <w:rsid w:val="00B06AF2"/>
    <w:rPr>
      <w:rFonts w:eastAsiaTheme="minorHAnsi" w:cstheme="minorBidi"/>
      <w:b/>
      <w:bCs/>
      <w:lang w:eastAsia="en-US"/>
    </w:rPr>
  </w:style>
  <w:style w:type="character" w:customStyle="1" w:styleId="CommentSubjectChar">
    <w:name w:val="Comment Subject Char"/>
    <w:basedOn w:val="CommentTextChar"/>
    <w:link w:val="CommentSubject"/>
    <w:rsid w:val="00B06AF2"/>
    <w:rPr>
      <w:rFonts w:ascii="Times New Roman" w:eastAsia="Times New Roman" w:hAnsi="Times New Roman" w:cs="Times New Roman"/>
      <w:b/>
      <w:bCs/>
      <w:sz w:val="20"/>
      <w:szCs w:val="20"/>
      <w:lang w:eastAsia="en-GB"/>
    </w:rPr>
  </w:style>
  <w:style w:type="table" w:styleId="GridTable1Light-Accent1">
    <w:name w:val="Grid Table 1 Light Accent 1"/>
    <w:basedOn w:val="TableNormal"/>
    <w:uiPriority w:val="46"/>
    <w:rsid w:val="00606A0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rPr>
      <w:rFonts w:eastAsia="Times New Roman" w:cs="Times New Roman"/>
      <w:szCs w:val="24"/>
      <w:lang w:eastAsia="en-GB"/>
    </w:rPr>
  </w:style>
  <w:style w:type="character" w:customStyle="1" w:styleId="normaltextrun">
    <w:name w:val="normaltextrun"/>
    <w:basedOn w:val="DefaultParagraphFont"/>
    <w:rsid w:val="003E5202"/>
  </w:style>
  <w:style w:type="character" w:customStyle="1" w:styleId="eop">
    <w:name w:val="eop"/>
    <w:basedOn w:val="DefaultParagraphFont"/>
    <w:rsid w:val="003E5202"/>
  </w:style>
  <w:style w:type="paragraph" w:styleId="ListNumber2">
    <w:name w:val="List Number 2"/>
    <w:basedOn w:val="Normal"/>
    <w:unhideWhenUsed/>
    <w:rsid w:val="00A074EA"/>
    <w:pPr>
      <w:numPr>
        <w:numId w:val="3"/>
      </w:numPr>
      <w:spacing w:before="120" w:after="120"/>
    </w:pPr>
    <w:rPr>
      <w:rFonts w:eastAsia="Times New Roman" w:cs="Times New Roman"/>
      <w:szCs w:val="24"/>
      <w:lang w:eastAsia="de-DE"/>
    </w:rPr>
  </w:style>
  <w:style w:type="paragraph" w:customStyle="1" w:styleId="ListNumber2Level2">
    <w:name w:val="List Number 2 (Level 2)"/>
    <w:basedOn w:val="Normal"/>
    <w:rsid w:val="00A074EA"/>
    <w:pPr>
      <w:numPr>
        <w:ilvl w:val="1"/>
        <w:numId w:val="3"/>
      </w:numPr>
      <w:spacing w:before="120" w:after="120"/>
    </w:pPr>
    <w:rPr>
      <w:rFonts w:eastAsia="Times New Roman" w:cs="Times New Roman"/>
      <w:szCs w:val="24"/>
      <w:lang w:eastAsia="de-DE"/>
    </w:rPr>
  </w:style>
  <w:style w:type="paragraph" w:customStyle="1" w:styleId="ListNumber2Level3">
    <w:name w:val="List Number 2 (Level 3)"/>
    <w:basedOn w:val="Normal"/>
    <w:rsid w:val="00A074EA"/>
    <w:pPr>
      <w:numPr>
        <w:ilvl w:val="2"/>
        <w:numId w:val="3"/>
      </w:numPr>
      <w:spacing w:before="120" w:after="120"/>
    </w:pPr>
    <w:rPr>
      <w:rFonts w:eastAsia="Times New Roman" w:cs="Times New Roman"/>
      <w:szCs w:val="24"/>
      <w:lang w:eastAsia="de-DE"/>
    </w:rPr>
  </w:style>
  <w:style w:type="paragraph" w:customStyle="1" w:styleId="ListNumber2Level4">
    <w:name w:val="List Number 2 (Level 4)"/>
    <w:basedOn w:val="Normal"/>
    <w:rsid w:val="00A074EA"/>
    <w:pPr>
      <w:numPr>
        <w:ilvl w:val="3"/>
        <w:numId w:val="3"/>
      </w:numPr>
      <w:spacing w:before="120" w:after="120"/>
    </w:pPr>
    <w:rPr>
      <w:rFonts w:eastAsia="Times New Roman" w:cs="Times New Roman"/>
      <w:szCs w:val="24"/>
      <w:lang w:eastAsia="de-DE"/>
    </w:rPr>
  </w:style>
  <w:style w:type="paragraph" w:styleId="Captio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4"/>
      </w:numPr>
    </w:pPr>
    <w:rPr>
      <w:szCs w:val="20"/>
      <w:lang w:eastAsia="zh-CN"/>
    </w:rPr>
  </w:style>
  <w:style w:type="paragraph" w:customStyle="1" w:styleId="ListNumber1Level2">
    <w:name w:val="List Number 1 (Level 2)"/>
    <w:basedOn w:val="Text1"/>
    <w:rsid w:val="00897992"/>
    <w:pPr>
      <w:numPr>
        <w:ilvl w:val="1"/>
        <w:numId w:val="4"/>
      </w:numPr>
    </w:pPr>
    <w:rPr>
      <w:lang w:eastAsia="de-DE"/>
    </w:rPr>
  </w:style>
  <w:style w:type="paragraph" w:customStyle="1" w:styleId="ListNumber1Level3">
    <w:name w:val="List Number 1 (Level 3)"/>
    <w:basedOn w:val="Text1"/>
    <w:rsid w:val="00897992"/>
    <w:pPr>
      <w:numPr>
        <w:ilvl w:val="2"/>
        <w:numId w:val="4"/>
      </w:numPr>
    </w:pPr>
    <w:rPr>
      <w:szCs w:val="20"/>
      <w:lang w:eastAsia="zh-CN"/>
    </w:rPr>
  </w:style>
  <w:style w:type="paragraph" w:customStyle="1" w:styleId="ListNumber1Level4">
    <w:name w:val="List Number 1 (Level 4)"/>
    <w:basedOn w:val="Text1"/>
    <w:rsid w:val="00897992"/>
    <w:pPr>
      <w:numPr>
        <w:ilvl w:val="3"/>
        <w:numId w:val="4"/>
      </w:numPr>
    </w:pPr>
    <w:rPr>
      <w:szCs w:val="20"/>
      <w:lang w:eastAsia="zh-CN"/>
    </w:rPr>
  </w:style>
  <w:style w:type="paragraph" w:styleId="EndnoteText">
    <w:name w:val="endnote text"/>
    <w:basedOn w:val="Normal"/>
    <w:link w:val="EndnoteTextChar"/>
    <w:uiPriority w:val="99"/>
    <w:semiHidden/>
    <w:unhideWhenUsed/>
    <w:rsid w:val="001C3CCE"/>
    <w:rPr>
      <w:sz w:val="20"/>
      <w:szCs w:val="20"/>
    </w:rPr>
  </w:style>
  <w:style w:type="character" w:customStyle="1" w:styleId="EndnoteTextChar">
    <w:name w:val="Endnote Text Char"/>
    <w:basedOn w:val="DefaultParagraphFont"/>
    <w:link w:val="EndnoteText"/>
    <w:uiPriority w:val="99"/>
    <w:semiHidden/>
    <w:rsid w:val="001C3CCE"/>
    <w:rPr>
      <w:rFonts w:ascii="Times New Roman" w:hAnsi="Times New Roman"/>
      <w:sz w:val="20"/>
      <w:szCs w:val="20"/>
    </w:rPr>
  </w:style>
  <w:style w:type="character" w:styleId="EndnoteReference">
    <w:name w:val="endnote reference"/>
    <w:basedOn w:val="DefaultParagraphFont"/>
    <w:uiPriority w:val="99"/>
    <w:semiHidden/>
    <w:unhideWhenUsed/>
    <w:rsid w:val="001C3CCE"/>
    <w:rPr>
      <w:vertAlign w:val="superscript"/>
    </w:rPr>
  </w:style>
  <w:style w:type="character" w:styleId="Emphasis">
    <w:name w:val="Emphasis"/>
    <w:aliases w:val="Declaration,Emphasis Draftl Law"/>
    <w:qFormat/>
    <w:rsid w:val="007D1BA8"/>
    <w:rPr>
      <w:i/>
      <w:iCs/>
    </w:rPr>
  </w:style>
  <w:style w:type="character" w:customStyle="1" w:styleId="UnresolvedMention1">
    <w:name w:val="Unresolved Mention1"/>
    <w:basedOn w:val="DefaultParagraphFont"/>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rFonts w:eastAsia="Times New Roman" w:cs="Times New Roman"/>
      <w:b/>
      <w:szCs w:val="24"/>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Strong">
    <w:name w:val="Strong"/>
    <w:basedOn w:val="DefaultParagraphFont"/>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CommentText"/>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rFonts w:cs="Times New Roman"/>
      <w:sz w:val="20"/>
      <w:szCs w:val="20"/>
      <w:lang w:val="en-US"/>
    </w:rPr>
  </w:style>
  <w:style w:type="character" w:customStyle="1" w:styleId="Style1Char">
    <w:name w:val="Style1 Char"/>
    <w:basedOn w:val="CommentTextCh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DefaultParagraphFont"/>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DefaultParagraphFont"/>
    <w:uiPriority w:val="99"/>
    <w:semiHidden/>
    <w:unhideWhenUsed/>
    <w:rsid w:val="00344490"/>
    <w:rPr>
      <w:color w:val="605E5C"/>
      <w:shd w:val="clear" w:color="auto" w:fill="E1DFDD"/>
    </w:rPr>
  </w:style>
  <w:style w:type="character" w:customStyle="1" w:styleId="UnresolvedMention3">
    <w:name w:val="Unresolved Mention3"/>
    <w:basedOn w:val="DefaultParagraphFont"/>
    <w:uiPriority w:val="99"/>
    <w:semiHidden/>
    <w:unhideWhenUsed/>
    <w:rsid w:val="00461C15"/>
    <w:rPr>
      <w:color w:val="605E5C"/>
      <w:shd w:val="clear" w:color="auto" w:fill="E1DFDD"/>
    </w:rPr>
  </w:style>
  <w:style w:type="character" w:customStyle="1" w:styleId="UnresolvedMention4">
    <w:name w:val="Unresolved Mention4"/>
    <w:basedOn w:val="DefaultParagraphFont"/>
    <w:uiPriority w:val="99"/>
    <w:semiHidden/>
    <w:unhideWhenUsed/>
    <w:rsid w:val="00A669C0"/>
    <w:rPr>
      <w:color w:val="605E5C"/>
      <w:shd w:val="clear" w:color="auto" w:fill="E1DFDD"/>
    </w:rPr>
  </w:style>
  <w:style w:type="character" w:customStyle="1" w:styleId="UnresolvedMention5">
    <w:name w:val="Unresolved Mention5"/>
    <w:basedOn w:val="DefaultParagraphFont"/>
    <w:uiPriority w:val="99"/>
    <w:semiHidden/>
    <w:unhideWhenUsed/>
    <w:rsid w:val="00374530"/>
    <w:rPr>
      <w:color w:val="605E5C"/>
      <w:shd w:val="clear" w:color="auto" w:fill="E1DFDD"/>
    </w:r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6 Char"/>
    <w:link w:val="ListParagraph"/>
    <w:uiPriority w:val="99"/>
    <w:qFormat/>
    <w:locked/>
    <w:rsid w:val="00031831"/>
    <w:rPr>
      <w:rFonts w:ascii="Times New Roman" w:hAnsi="Times New Roman"/>
      <w:sz w:val="24"/>
    </w:rPr>
  </w:style>
  <w:style w:type="character" w:customStyle="1" w:styleId="FootnoteCharacters">
    <w:name w:val="Footnote Characters"/>
    <w:rsid w:val="00C353FD"/>
    <w:rPr>
      <w:vertAlign w:val="superscript"/>
    </w:rPr>
  </w:style>
  <w:style w:type="character" w:customStyle="1" w:styleId="WW-FootnoteCharacters">
    <w:name w:val="WW-Footnote Characters"/>
    <w:rsid w:val="00C353FD"/>
    <w:rPr>
      <w:vertAlign w:val="superscript"/>
    </w:rPr>
  </w:style>
  <w:style w:type="character" w:customStyle="1" w:styleId="ng-star-inserted">
    <w:name w:val="ng-star-inserted"/>
    <w:basedOn w:val="DefaultParagraphFont"/>
    <w:rsid w:val="003B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78">
      <w:bodyDiv w:val="1"/>
      <w:marLeft w:val="0"/>
      <w:marRight w:val="0"/>
      <w:marTop w:val="0"/>
      <w:marBottom w:val="0"/>
      <w:divBdr>
        <w:top w:val="none" w:sz="0" w:space="0" w:color="auto"/>
        <w:left w:val="none" w:sz="0" w:space="0" w:color="auto"/>
        <w:bottom w:val="none" w:sz="0" w:space="0" w:color="auto"/>
        <w:right w:val="none" w:sz="0" w:space="0" w:color="auto"/>
      </w:divBdr>
    </w:div>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39986761">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208810253">
      <w:bodyDiv w:val="1"/>
      <w:marLeft w:val="0"/>
      <w:marRight w:val="0"/>
      <w:marTop w:val="0"/>
      <w:marBottom w:val="0"/>
      <w:divBdr>
        <w:top w:val="none" w:sz="0" w:space="0" w:color="auto"/>
        <w:left w:val="none" w:sz="0" w:space="0" w:color="auto"/>
        <w:bottom w:val="none" w:sz="0" w:space="0" w:color="auto"/>
        <w:right w:val="none" w:sz="0" w:space="0" w:color="auto"/>
      </w:divBdr>
    </w:div>
    <w:div w:id="228616508">
      <w:bodyDiv w:val="1"/>
      <w:marLeft w:val="0"/>
      <w:marRight w:val="0"/>
      <w:marTop w:val="0"/>
      <w:marBottom w:val="0"/>
      <w:divBdr>
        <w:top w:val="none" w:sz="0" w:space="0" w:color="auto"/>
        <w:left w:val="none" w:sz="0" w:space="0" w:color="auto"/>
        <w:bottom w:val="none" w:sz="0" w:space="0" w:color="auto"/>
        <w:right w:val="none" w:sz="0" w:space="0" w:color="auto"/>
      </w:divBdr>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294604277">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357779984">
      <w:bodyDiv w:val="1"/>
      <w:marLeft w:val="0"/>
      <w:marRight w:val="0"/>
      <w:marTop w:val="0"/>
      <w:marBottom w:val="0"/>
      <w:divBdr>
        <w:top w:val="none" w:sz="0" w:space="0" w:color="auto"/>
        <w:left w:val="none" w:sz="0" w:space="0" w:color="auto"/>
        <w:bottom w:val="none" w:sz="0" w:space="0" w:color="auto"/>
        <w:right w:val="none" w:sz="0" w:space="0" w:color="auto"/>
      </w:divBdr>
    </w:div>
    <w:div w:id="368796791">
      <w:bodyDiv w:val="1"/>
      <w:marLeft w:val="0"/>
      <w:marRight w:val="0"/>
      <w:marTop w:val="0"/>
      <w:marBottom w:val="0"/>
      <w:divBdr>
        <w:top w:val="none" w:sz="0" w:space="0" w:color="auto"/>
        <w:left w:val="none" w:sz="0" w:space="0" w:color="auto"/>
        <w:bottom w:val="none" w:sz="0" w:space="0" w:color="auto"/>
        <w:right w:val="none" w:sz="0" w:space="0" w:color="auto"/>
      </w:divBdr>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445000942">
      <w:bodyDiv w:val="1"/>
      <w:marLeft w:val="0"/>
      <w:marRight w:val="0"/>
      <w:marTop w:val="0"/>
      <w:marBottom w:val="0"/>
      <w:divBdr>
        <w:top w:val="none" w:sz="0" w:space="0" w:color="auto"/>
        <w:left w:val="none" w:sz="0" w:space="0" w:color="auto"/>
        <w:bottom w:val="none" w:sz="0" w:space="0" w:color="auto"/>
        <w:right w:val="none" w:sz="0" w:space="0" w:color="auto"/>
      </w:divBdr>
    </w:div>
    <w:div w:id="449858451">
      <w:bodyDiv w:val="1"/>
      <w:marLeft w:val="0"/>
      <w:marRight w:val="0"/>
      <w:marTop w:val="0"/>
      <w:marBottom w:val="0"/>
      <w:divBdr>
        <w:top w:val="none" w:sz="0" w:space="0" w:color="auto"/>
        <w:left w:val="none" w:sz="0" w:space="0" w:color="auto"/>
        <w:bottom w:val="none" w:sz="0" w:space="0" w:color="auto"/>
        <w:right w:val="none" w:sz="0" w:space="0" w:color="auto"/>
      </w:divBdr>
    </w:div>
    <w:div w:id="515580477">
      <w:bodyDiv w:val="1"/>
      <w:marLeft w:val="0"/>
      <w:marRight w:val="0"/>
      <w:marTop w:val="0"/>
      <w:marBottom w:val="0"/>
      <w:divBdr>
        <w:top w:val="none" w:sz="0" w:space="0" w:color="auto"/>
        <w:left w:val="none" w:sz="0" w:space="0" w:color="auto"/>
        <w:bottom w:val="none" w:sz="0" w:space="0" w:color="auto"/>
        <w:right w:val="none" w:sz="0" w:space="0" w:color="auto"/>
      </w:divBdr>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73066600">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11151670">
      <w:bodyDiv w:val="1"/>
      <w:marLeft w:val="0"/>
      <w:marRight w:val="0"/>
      <w:marTop w:val="0"/>
      <w:marBottom w:val="0"/>
      <w:divBdr>
        <w:top w:val="none" w:sz="0" w:space="0" w:color="auto"/>
        <w:left w:val="none" w:sz="0" w:space="0" w:color="auto"/>
        <w:bottom w:val="none" w:sz="0" w:space="0" w:color="auto"/>
        <w:right w:val="none" w:sz="0" w:space="0" w:color="auto"/>
      </w:divBdr>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97333115">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46560262">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895237558">
      <w:bodyDiv w:val="1"/>
      <w:marLeft w:val="0"/>
      <w:marRight w:val="0"/>
      <w:marTop w:val="0"/>
      <w:marBottom w:val="0"/>
      <w:divBdr>
        <w:top w:val="none" w:sz="0" w:space="0" w:color="auto"/>
        <w:left w:val="none" w:sz="0" w:space="0" w:color="auto"/>
        <w:bottom w:val="none" w:sz="0" w:space="0" w:color="auto"/>
        <w:right w:val="none" w:sz="0" w:space="0" w:color="auto"/>
      </w:divBdr>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06307231">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67665610">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8873252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01299133">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35112512">
      <w:bodyDiv w:val="1"/>
      <w:marLeft w:val="0"/>
      <w:marRight w:val="0"/>
      <w:marTop w:val="0"/>
      <w:marBottom w:val="0"/>
      <w:divBdr>
        <w:top w:val="none" w:sz="0" w:space="0" w:color="auto"/>
        <w:left w:val="none" w:sz="0" w:space="0" w:color="auto"/>
        <w:bottom w:val="none" w:sz="0" w:space="0" w:color="auto"/>
        <w:right w:val="none" w:sz="0" w:space="0" w:color="auto"/>
      </w:divBdr>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432044012">
      <w:bodyDiv w:val="1"/>
      <w:marLeft w:val="0"/>
      <w:marRight w:val="0"/>
      <w:marTop w:val="0"/>
      <w:marBottom w:val="0"/>
      <w:divBdr>
        <w:top w:val="none" w:sz="0" w:space="0" w:color="auto"/>
        <w:left w:val="none" w:sz="0" w:space="0" w:color="auto"/>
        <w:bottom w:val="none" w:sz="0" w:space="0" w:color="auto"/>
        <w:right w:val="none" w:sz="0" w:space="0" w:color="auto"/>
      </w:divBdr>
    </w:div>
    <w:div w:id="1441877316">
      <w:bodyDiv w:val="1"/>
      <w:marLeft w:val="0"/>
      <w:marRight w:val="0"/>
      <w:marTop w:val="0"/>
      <w:marBottom w:val="0"/>
      <w:divBdr>
        <w:top w:val="none" w:sz="0" w:space="0" w:color="auto"/>
        <w:left w:val="none" w:sz="0" w:space="0" w:color="auto"/>
        <w:bottom w:val="none" w:sz="0" w:space="0" w:color="auto"/>
        <w:right w:val="none" w:sz="0" w:space="0" w:color="auto"/>
      </w:divBdr>
    </w:div>
    <w:div w:id="1477186905">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79751508">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604530015">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53948896">
      <w:bodyDiv w:val="1"/>
      <w:marLeft w:val="0"/>
      <w:marRight w:val="0"/>
      <w:marTop w:val="0"/>
      <w:marBottom w:val="0"/>
      <w:divBdr>
        <w:top w:val="none" w:sz="0" w:space="0" w:color="auto"/>
        <w:left w:val="none" w:sz="0" w:space="0" w:color="auto"/>
        <w:bottom w:val="none" w:sz="0" w:space="0" w:color="auto"/>
        <w:right w:val="none" w:sz="0" w:space="0" w:color="auto"/>
      </w:divBdr>
    </w:div>
    <w:div w:id="1673413275">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89278215">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1939874459">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7920713">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ational-partnerships.ec.europa.eu/knowledge-hub/communicating-and-raising-eu-visibility-guidance-external-action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irtsnetwork.eu/" TargetMode="External"/><Relationship Id="rId4" Type="http://schemas.openxmlformats.org/officeDocument/2006/relationships/settings" Target="settings.xml"/><Relationship Id="rId9" Type="http://schemas.openxmlformats.org/officeDocument/2006/relationships/hyperlink" Target="https://www.enisa.europa.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system/files/2021-10/North-Macedonia-Report-2021.pdf" TargetMode="External"/><Relationship Id="rId3" Type="http://schemas.openxmlformats.org/officeDocument/2006/relationships/hyperlink" Target="https://scalingupnutrition.org/wp-content/uploads/2020/12/OECD_PolicyMarkerNutrition.pdf" TargetMode="External"/><Relationship Id="rId7" Type="http://schemas.openxmlformats.org/officeDocument/2006/relationships/hyperlink" Target="https://europa.eu/eurobarometer/surveys/browse/all/series/4961" TargetMode="External"/><Relationship Id="rId2" Type="http://schemas.openxmlformats.org/officeDocument/2006/relationships/hyperlink" Target="https://www.oecd.org/development/financing-sustainable-development/development-finance-standards/" TargetMode="External"/><Relationship Id="rId1" Type="http://schemas.openxmlformats.org/officeDocument/2006/relationships/hyperlink" Target="https://www.oecd.org/development/financing-sustainable-development/development-finance-standards/dacandcrscodelists.htm" TargetMode="External"/><Relationship Id="rId6" Type="http://schemas.openxmlformats.org/officeDocument/2006/relationships/hyperlink" Target="http://appsso.eurostat.ec.europa.eu/nui/show.do?dataset=crim_off_cat&amp;lang=en" TargetMode="External"/><Relationship Id="rId5" Type="http://schemas.openxmlformats.org/officeDocument/2006/relationships/hyperlink" Target="https://info.worldbank.org/governance/wgi/Home/Reports" TargetMode="External"/><Relationship Id="rId10" Type="http://schemas.openxmlformats.org/officeDocument/2006/relationships/hyperlink" Target="https://webgate.ec.europa.eu/fpfis/wikis/display/PCM/Concept+of+intervention" TargetMode="External"/><Relationship Id="rId4" Type="http://schemas.openxmlformats.org/officeDocument/2006/relationships/hyperlink" Target="https://info.worldbank.org/governance/wgi/Home/Reports" TargetMode="External"/><Relationship Id="rId9"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07520-663B-4879-8EAE-F6BC7606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10548</Words>
  <Characters>60128</Characters>
  <Application>Microsoft Office Word</Application>
  <DocSecurity>0</DocSecurity>
  <Lines>501</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2023-04-02T19:21:00Z</dcterms:created>
  <dcterms:modified xsi:type="dcterms:W3CDTF">2023-04-03T13:54:00Z</dcterms:modified>
</cp:coreProperties>
</file>