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E6C2B" w14:textId="77777777" w:rsidR="00581A14" w:rsidRPr="00603F04" w:rsidRDefault="00581A14" w:rsidP="00581A14">
      <w:pPr>
        <w:tabs>
          <w:tab w:val="left" w:pos="3300"/>
          <w:tab w:val="center" w:pos="4536"/>
        </w:tabs>
        <w:ind w:left="993" w:firstLine="3942"/>
        <w:rPr>
          <w:smallCaps/>
          <w:noProof/>
        </w:rPr>
      </w:pPr>
      <w:bookmarkStart w:id="0" w:name="_Toc73090729"/>
      <w:bookmarkStart w:id="1" w:name="_Toc47101939"/>
      <w:bookmarkStart w:id="2" w:name="_Toc51270433"/>
      <w:bookmarkStart w:id="3" w:name="_GoBack"/>
      <w:bookmarkEnd w:id="3"/>
      <w:r w:rsidRPr="00603F04">
        <w:rPr>
          <w:noProof/>
          <w:lang w:val="en-US" w:eastAsia="en-US"/>
        </w:rPr>
        <w:drawing>
          <wp:anchor distT="0" distB="0" distL="114300" distR="114300" simplePos="0" relativeHeight="251660288"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11">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b/>
          <w:sz w:val="44"/>
          <w:szCs w:val="44"/>
        </w:rPr>
        <w:t>EN</w:t>
      </w:r>
    </w:p>
    <w:p w14:paraId="3998B551"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736696D1" w:rsidR="00581A14" w:rsidRDefault="00581A14" w:rsidP="00581A14">
      <w:pPr>
        <w:pStyle w:val="Fichedinformationtitre"/>
        <w:spacing w:after="240"/>
        <w:rPr>
          <w:smallCaps/>
        </w:rPr>
      </w:pPr>
      <w:r>
        <w:rPr>
          <w:smallCaps/>
        </w:rPr>
        <w:t xml:space="preserve">Annex </w:t>
      </w:r>
      <w:r w:rsidR="005E7797">
        <w:rPr>
          <w:smallCaps/>
        </w:rPr>
        <w:t>V</w:t>
      </w:r>
    </w:p>
    <w:p w14:paraId="29FB0B7B" w14:textId="6C909862" w:rsidR="00581A14" w:rsidRPr="003022B3" w:rsidRDefault="000B7060" w:rsidP="00581A14">
      <w:pPr>
        <w:jc w:val="center"/>
      </w:pPr>
      <w:r>
        <w:t xml:space="preserve">to </w:t>
      </w:r>
      <w:r w:rsidR="00581A14">
        <w:t xml:space="preserve">the Commission Implementing Decision on the </w:t>
      </w:r>
      <w:r w:rsidR="005E7797">
        <w:t>Annual action plan in favour of</w:t>
      </w:r>
      <w:r w:rsidR="53A58C83">
        <w:t xml:space="preserve"> </w:t>
      </w:r>
      <w:r w:rsidR="00683BE1">
        <w:t xml:space="preserve">the </w:t>
      </w:r>
      <w:r w:rsidR="53A58C83">
        <w:t>Republic of</w:t>
      </w:r>
      <w:r w:rsidR="005E7797">
        <w:t xml:space="preserve"> North Macedonia for 2024</w:t>
      </w:r>
    </w:p>
    <w:p w14:paraId="1EF436E4" w14:textId="240EC27D" w:rsidR="00581A14" w:rsidRDefault="00581A14" w:rsidP="00581A14">
      <w:pPr>
        <w:pStyle w:val="Fichedinformationtitre"/>
      </w:pPr>
      <w:r>
        <w:t>Action Document</w:t>
      </w:r>
      <w:r w:rsidR="00530A75">
        <w:t xml:space="preserve"> EU</w:t>
      </w:r>
      <w:r>
        <w:t xml:space="preserve"> for </w:t>
      </w:r>
      <w:r w:rsidR="005E7797">
        <w:t xml:space="preserve">Health </w:t>
      </w:r>
    </w:p>
    <w:p w14:paraId="19EA8E11" w14:textId="77777777" w:rsidR="00193E63" w:rsidRPr="003C0CD7" w:rsidRDefault="00193E63" w:rsidP="003C0CD7">
      <w:pPr>
        <w:rPr>
          <w:lang w:val="en-IE"/>
        </w:rPr>
      </w:pPr>
    </w:p>
    <w:p w14:paraId="5658CF5B" w14:textId="508467C3" w:rsidR="00F54DD9" w:rsidRPr="003C0CD7" w:rsidRDefault="00F54DD9" w:rsidP="00DB5858">
      <w:pPr>
        <w:pBdr>
          <w:top w:val="single" w:sz="4" w:space="1" w:color="auto"/>
          <w:left w:val="single" w:sz="4" w:space="4" w:color="auto"/>
          <w:bottom w:val="single" w:sz="4" w:space="1" w:color="auto"/>
          <w:right w:val="single" w:sz="4" w:space="4" w:color="auto"/>
        </w:pBdr>
        <w:jc w:val="center"/>
        <w:rPr>
          <w:caps/>
          <w:lang w:val="en-IE"/>
        </w:rPr>
      </w:pPr>
      <w:bookmarkStart w:id="4" w:name="_Toc47101940"/>
      <w:bookmarkStart w:id="5" w:name="_Toc51270434"/>
      <w:bookmarkEnd w:id="0"/>
      <w:bookmarkEnd w:id="1"/>
      <w:bookmarkEnd w:id="2"/>
      <w:r w:rsidRPr="001003E6">
        <w:rPr>
          <w:b/>
          <w:bCs/>
          <w:caps/>
          <w:lang w:val="en-IE"/>
        </w:rPr>
        <w:t>Annual Action plan</w:t>
      </w:r>
    </w:p>
    <w:p w14:paraId="2817C434" w14:textId="77777777" w:rsidR="007B5AD9" w:rsidRPr="003C0CD7" w:rsidRDefault="007B5AD9" w:rsidP="00DB5858">
      <w:pPr>
        <w:pBdr>
          <w:top w:val="single" w:sz="4" w:space="1" w:color="auto"/>
          <w:left w:val="single" w:sz="4" w:space="4" w:color="auto"/>
          <w:bottom w:val="single" w:sz="4" w:space="1" w:color="auto"/>
          <w:right w:val="single" w:sz="4" w:space="4" w:color="auto"/>
        </w:pBdr>
        <w:rPr>
          <w:lang w:val="en-IE"/>
        </w:rPr>
      </w:pPr>
    </w:p>
    <w:p w14:paraId="32CED92E" w14:textId="0FD9C78E" w:rsidR="00F54DD9" w:rsidRPr="003C0CD7" w:rsidRDefault="00F54DD9" w:rsidP="00DB585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the </w:t>
      </w:r>
      <w:r w:rsidRPr="005E7797">
        <w:rPr>
          <w:lang w:val="en-IE"/>
        </w:rPr>
        <w:t xml:space="preserve">annual </w:t>
      </w:r>
      <w:r w:rsidRPr="003C0CD7">
        <w:rPr>
          <w:lang w:val="en-IE"/>
        </w:rPr>
        <w:t xml:space="preserve">work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Article </w:t>
      </w:r>
      <w:r w:rsidR="00D310C3" w:rsidRPr="005E7797">
        <w:t>23(2</w:t>
      </w:r>
      <w:r w:rsidR="005E7797" w:rsidRPr="005E7797">
        <w:t>)</w:t>
      </w:r>
      <w:r w:rsidR="005E7797">
        <w:t xml:space="preserve"> </w:t>
      </w:r>
      <w:r w:rsidRPr="003C0CD7">
        <w:rPr>
          <w:lang w:val="en-IE"/>
        </w:rPr>
        <w:t xml:space="preserve">of </w:t>
      </w:r>
      <w:r w:rsidR="00DB5705" w:rsidRPr="003C0CD7">
        <w:rPr>
          <w:lang w:val="en-IE"/>
        </w:rPr>
        <w:t xml:space="preserve">NDICI - </w:t>
      </w:r>
      <w:r w:rsidR="008640DB" w:rsidRPr="003C0CD7">
        <w:rPr>
          <w:color w:val="000000" w:themeColor="text1"/>
          <w:lang w:val="en-IE"/>
        </w:rPr>
        <w:t xml:space="preserve">Global Europe </w:t>
      </w:r>
      <w:r w:rsidRPr="003C0CD7">
        <w:rPr>
          <w:lang w:val="en-IE"/>
        </w:rPr>
        <w:t>Regulation.</w:t>
      </w:r>
    </w:p>
    <w:p w14:paraId="446E8ED4" w14:textId="77777777" w:rsidR="007C3E5D" w:rsidRPr="00F720A7" w:rsidRDefault="00FD7FCD" w:rsidP="00DA08B4">
      <w:pPr>
        <w:pStyle w:val="Heading1"/>
        <w:ind w:left="567"/>
      </w:pPr>
      <w:bookmarkStart w:id="6" w:name="_Toc73090730"/>
      <w:r w:rsidRPr="00F720A7">
        <w:t>SYNOPSIS</w:t>
      </w:r>
      <w:bookmarkEnd w:id="4"/>
      <w:bookmarkEnd w:id="5"/>
      <w:bookmarkEnd w:id="6"/>
    </w:p>
    <w:p w14:paraId="792F3CD0" w14:textId="6C747182" w:rsidR="00D04CC6" w:rsidRPr="003C0CD7" w:rsidRDefault="00FD7FCD" w:rsidP="003C0CD7">
      <w:pPr>
        <w:pStyle w:val="Heading1"/>
        <w:numPr>
          <w:ilvl w:val="1"/>
          <w:numId w:val="1"/>
        </w:numPr>
        <w:rPr>
          <w:lang w:val="en-IE"/>
        </w:rPr>
      </w:pPr>
      <w:bookmarkStart w:id="7" w:name="_Ref58358361"/>
      <w:bookmarkStart w:id="8" w:name="_Toc47101941"/>
      <w:bookmarkStart w:id="9" w:name="_Toc51270435"/>
      <w:bookmarkStart w:id="10" w:name="_Toc73090731"/>
      <w:r w:rsidRPr="003C0CD7">
        <w:rPr>
          <w:lang w:val="en-IE"/>
        </w:rPr>
        <w:t>Action Summary Table</w:t>
      </w:r>
      <w:bookmarkEnd w:id="7"/>
      <w:bookmarkEnd w:id="8"/>
      <w:bookmarkEnd w:id="9"/>
      <w:bookmarkEnd w:id="10"/>
    </w:p>
    <w:tbl>
      <w:tblPr>
        <w:tblW w:w="10632" w:type="dxa"/>
        <w:tblInd w:w="-5" w:type="dxa"/>
        <w:tblLayout w:type="fixed"/>
        <w:tblLook w:val="01E0" w:firstRow="1" w:lastRow="1" w:firstColumn="1" w:lastColumn="1" w:noHBand="0" w:noVBand="0"/>
      </w:tblPr>
      <w:tblGrid>
        <w:gridCol w:w="2330"/>
        <w:gridCol w:w="3482"/>
        <w:gridCol w:w="1559"/>
        <w:gridCol w:w="851"/>
        <w:gridCol w:w="709"/>
        <w:gridCol w:w="1701"/>
      </w:tblGrid>
      <w:tr w:rsidR="001E0154" w:rsidRPr="008704EA" w14:paraId="11FA176B"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3F31D4">
            <w:pPr>
              <w:pStyle w:val="Text1"/>
              <w:spacing w:before="60" w:after="60"/>
              <w:ind w:left="0"/>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3F31D4">
            <w:pPr>
              <w:pStyle w:val="Text1"/>
              <w:spacing w:before="60" w:after="60"/>
              <w:ind w:left="0"/>
              <w:rPr>
                <w:b/>
                <w:color w:val="0D0D0D" w:themeColor="text1" w:themeTint="F2"/>
                <w:lang w:val="en-IE" w:eastAsia="de-D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91C3F22" w14:textId="2A43B846" w:rsidR="001E0154" w:rsidRDefault="005E7797" w:rsidP="00DB5858">
            <w:pPr>
              <w:spacing w:before="60" w:after="60"/>
              <w:rPr>
                <w:lang w:val="en-IE"/>
              </w:rPr>
            </w:pPr>
            <w:r>
              <w:rPr>
                <w:lang w:val="en-IE"/>
              </w:rPr>
              <w:t xml:space="preserve">EU for Health </w:t>
            </w:r>
          </w:p>
          <w:p w14:paraId="0C46C4D7" w14:textId="709A7E20" w:rsidR="00FF6C4F" w:rsidRPr="003C0CD7" w:rsidRDefault="00FF6C4F" w:rsidP="00DB5858">
            <w:pPr>
              <w:spacing w:before="60" w:after="60"/>
              <w:rPr>
                <w:lang w:val="en-IE"/>
              </w:rPr>
            </w:pPr>
            <w:r>
              <w:rPr>
                <w:lang w:val="en-IE"/>
              </w:rPr>
              <w:t>Annual Action plan in favour of North Macedonia for 2024</w:t>
            </w:r>
          </w:p>
        </w:tc>
      </w:tr>
      <w:tr w:rsidR="004E5BC0" w:rsidRPr="008704EA" w14:paraId="350D1B69"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0C45F3">
            <w:pPr>
              <w:pStyle w:val="Text1"/>
              <w:spacing w:before="60" w:after="60"/>
              <w:ind w:left="0"/>
              <w:rPr>
                <w:b/>
                <w:lang w:val="en-IE"/>
              </w:rPr>
            </w:pPr>
            <w:r w:rsidRPr="003C0CD7">
              <w:rPr>
                <w:b/>
                <w:lang w:val="en-IE"/>
              </w:rPr>
              <w:t xml:space="preserve">OPSYS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1B843C8" w14:textId="77777777" w:rsidR="00E647FF" w:rsidRPr="002940DF" w:rsidRDefault="00BF6D58" w:rsidP="00D310C3">
            <w:pPr>
              <w:pStyle w:val="Text1"/>
              <w:spacing w:before="60" w:after="60"/>
              <w:ind w:left="0" w:right="-25"/>
              <w:rPr>
                <w:highlight w:val="yellow"/>
                <w:lang w:val="en-IE"/>
              </w:rPr>
            </w:pPr>
            <w:r w:rsidRPr="00BB6AFD">
              <w:rPr>
                <w:highlight w:val="yellow"/>
                <w:lang w:val="en-IE"/>
              </w:rPr>
              <w:t>[/O</w:t>
            </w:r>
            <w:r w:rsidR="000C45F3" w:rsidRPr="00BB6AFD">
              <w:rPr>
                <w:highlight w:val="yellow"/>
                <w:lang w:val="en-IE"/>
              </w:rPr>
              <w:t>P</w:t>
            </w:r>
            <w:r w:rsidRPr="00BB6AFD">
              <w:rPr>
                <w:highlight w:val="yellow"/>
                <w:lang w:val="en-IE"/>
              </w:rPr>
              <w:t>SYS business reference]</w:t>
            </w:r>
            <w:r w:rsidRPr="00BB6AFD">
              <w:rPr>
                <w:rStyle w:val="FootnoteReference"/>
                <w:sz w:val="22"/>
                <w:szCs w:val="22"/>
                <w:highlight w:val="yellow"/>
                <w:lang w:val="en-IE" w:eastAsia="de-DE"/>
              </w:rPr>
              <w:footnoteReference w:id="2"/>
            </w:r>
            <w:r w:rsidR="00701620" w:rsidRPr="00BB6AFD">
              <w:rPr>
                <w:highlight w:val="yellow"/>
                <w:lang w:val="en-IE"/>
              </w:rPr>
              <w:t xml:space="preserve">: </w:t>
            </w:r>
            <w:r w:rsidR="00701620" w:rsidRPr="002940DF">
              <w:rPr>
                <w:highlight w:val="yellow"/>
                <w:lang w:val="en-IE"/>
              </w:rPr>
              <w:t>&lt;</w:t>
            </w:r>
            <w:r w:rsidR="00D76775" w:rsidRPr="002940DF">
              <w:rPr>
                <w:highlight w:val="yellow"/>
                <w:lang w:val="en-IE"/>
              </w:rPr>
              <w:t>reference</w:t>
            </w:r>
            <w:r w:rsidR="00701620" w:rsidRPr="002940DF">
              <w:rPr>
                <w:highlight w:val="yellow"/>
                <w:lang w:val="en-IE"/>
              </w:rPr>
              <w:t>&gt;</w:t>
            </w:r>
          </w:p>
        </w:tc>
      </w:tr>
      <w:tr w:rsidR="00D310C3" w:rsidRPr="008704EA" w14:paraId="637C5CF5"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0C45F3">
            <w:pPr>
              <w:pStyle w:val="Text1"/>
              <w:spacing w:before="60" w:after="60"/>
              <w:ind w:left="0"/>
              <w:rPr>
                <w:b/>
                <w:lang w:val="en-IE"/>
              </w:rPr>
            </w:pPr>
            <w:r>
              <w:rPr>
                <w:b/>
                <w:lang w:val="en-IE"/>
              </w:rPr>
              <w:t>ABAC</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D76775">
            <w:pPr>
              <w:pStyle w:val="Text1"/>
              <w:spacing w:before="60" w:after="60"/>
              <w:ind w:left="0" w:right="-25"/>
              <w:rPr>
                <w:highlight w:val="lightGray"/>
              </w:rPr>
            </w:pPr>
            <w:r w:rsidRPr="00BB6AFD">
              <w:rPr>
                <w:highlight w:val="yellow"/>
              </w:rPr>
              <w:t xml:space="preserve">ABAC Commitment level 1 number: </w:t>
            </w:r>
            <w:r w:rsidRPr="002940DF">
              <w:rPr>
                <w:highlight w:val="yellow"/>
              </w:rPr>
              <w:t>&lt;reference&gt;</w:t>
            </w:r>
          </w:p>
        </w:tc>
      </w:tr>
      <w:tr w:rsidR="004E5BC0" w:rsidRPr="008704EA" w14:paraId="6B91289C"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3F31D4">
            <w:pPr>
              <w:pStyle w:val="Text1"/>
              <w:spacing w:before="60" w:after="60"/>
              <w:ind w:left="0"/>
              <w:rPr>
                <w:b/>
                <w:color w:val="0D0D0D" w:themeColor="text1" w:themeTint="F2"/>
                <w:lang w:val="en-IE"/>
              </w:rPr>
            </w:pPr>
            <w:r w:rsidRPr="003C0CD7">
              <w:rPr>
                <w:b/>
                <w:color w:val="0D0D0D" w:themeColor="text1" w:themeTint="F2"/>
                <w:lang w:val="en-IE"/>
              </w:rPr>
              <w:t>Basic Act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053C4A">
            <w:pPr>
              <w:pStyle w:val="Text1"/>
              <w:spacing w:before="60" w:after="60"/>
              <w:ind w:left="0" w:right="-25"/>
              <w:rPr>
                <w:highlight w:val="yellow"/>
                <w:lang w:val="en-IE"/>
              </w:rPr>
            </w:pPr>
            <w:r w:rsidRPr="003C0CD7">
              <w:rPr>
                <w:lang w:val="en-IE"/>
              </w:rPr>
              <w:t>Financed under the Instrument for Pre-accession Assistance (IPA III)</w:t>
            </w:r>
          </w:p>
        </w:tc>
      </w:tr>
      <w:tr w:rsidR="00F54A1B" w:rsidRPr="00A8062B" w14:paraId="705E765A" w14:textId="77777777" w:rsidTr="247BFA05">
        <w:trPr>
          <w:trHeight w:val="913"/>
        </w:trPr>
        <w:tc>
          <w:tcPr>
            <w:tcW w:w="2330" w:type="dxa"/>
            <w:tcBorders>
              <w:top w:val="single" w:sz="4" w:space="0" w:color="auto"/>
              <w:left w:val="single" w:sz="4" w:space="0" w:color="auto"/>
              <w:bottom w:val="single" w:sz="4" w:space="0" w:color="FFFFFF" w:themeColor="background1"/>
              <w:right w:val="single" w:sz="4" w:space="0" w:color="auto"/>
            </w:tcBorders>
            <w:shd w:val="clear" w:color="auto" w:fill="auto"/>
          </w:tcPr>
          <w:p w14:paraId="3ACFC85B" w14:textId="7C700B22" w:rsidR="00F54A1B" w:rsidRPr="00132912" w:rsidRDefault="00F54A1B" w:rsidP="00990EC8">
            <w:pPr>
              <w:pStyle w:val="Text1"/>
              <w:spacing w:before="60" w:after="60"/>
              <w:ind w:left="0"/>
              <w:rPr>
                <w:b/>
                <w:color w:val="0D0D0D" w:themeColor="text1" w:themeTint="F2"/>
                <w:lang w:val="en-IE"/>
              </w:rPr>
            </w:pPr>
            <w:r w:rsidRPr="00132912">
              <w:rPr>
                <w:b/>
                <w:color w:val="0D0D0D" w:themeColor="text1" w:themeTint="F2"/>
                <w:lang w:val="en-IE"/>
              </w:rPr>
              <w:t>Economic and Investment Plan</w:t>
            </w:r>
            <w:r w:rsidR="00CF7516" w:rsidRPr="00132912">
              <w:rPr>
                <w:b/>
                <w:color w:val="0D0D0D" w:themeColor="text1" w:themeTint="F2"/>
                <w:lang w:val="en-IE"/>
              </w:rPr>
              <w:t xml:space="preserve"> (EIP)</w:t>
            </w:r>
          </w:p>
          <w:p w14:paraId="2DC32013" w14:textId="77777777" w:rsidR="00DA4A97" w:rsidRPr="00132912" w:rsidRDefault="00DA4A97" w:rsidP="00990EC8">
            <w:pPr>
              <w:pStyle w:val="Text1"/>
              <w:spacing w:before="60" w:after="60"/>
              <w:ind w:left="0"/>
              <w:rPr>
                <w:b/>
                <w:color w:val="0D0D0D" w:themeColor="text1" w:themeTint="F2"/>
                <w:lang w:val="en-IE"/>
              </w:rPr>
            </w:pPr>
          </w:p>
        </w:tc>
        <w:tc>
          <w:tcPr>
            <w:tcW w:w="8302" w:type="dxa"/>
            <w:gridSpan w:val="5"/>
            <w:tcBorders>
              <w:top w:val="single" w:sz="4" w:space="0" w:color="auto"/>
              <w:left w:val="single" w:sz="4" w:space="0" w:color="auto"/>
              <w:bottom w:val="single" w:sz="4" w:space="0" w:color="FFFFFF" w:themeColor="background1"/>
              <w:right w:val="single" w:sz="4" w:space="0" w:color="auto"/>
            </w:tcBorders>
            <w:shd w:val="clear" w:color="auto" w:fill="auto"/>
          </w:tcPr>
          <w:p w14:paraId="31B239DE" w14:textId="62236282" w:rsidR="00F54A1B" w:rsidRPr="00A8062B" w:rsidRDefault="00530A75" w:rsidP="00FB5323">
            <w:pPr>
              <w:pStyle w:val="Text1"/>
              <w:spacing w:before="60" w:after="60"/>
              <w:ind w:left="0" w:right="-25"/>
              <w:rPr>
                <w:lang w:val="en-IE" w:eastAsia="de-DE"/>
              </w:rPr>
            </w:pPr>
            <w:r w:rsidRPr="00A8062B">
              <w:rPr>
                <w:lang w:val="en-IE" w:eastAsia="de-DE"/>
              </w:rPr>
              <w:t>Yes</w:t>
            </w:r>
          </w:p>
          <w:p w14:paraId="1D62BFA2" w14:textId="013AB085" w:rsidR="00DA4A97" w:rsidRPr="00132912" w:rsidRDefault="00394867" w:rsidP="00394867">
            <w:pPr>
              <w:rPr>
                <w:lang w:val="en-IE" w:eastAsia="en-IE"/>
              </w:rPr>
            </w:pPr>
            <w:r w:rsidRPr="00A8062B">
              <w:rPr>
                <w:lang w:eastAsia="de-DE"/>
              </w:rPr>
              <w:t>Health Resilience – 100%</w:t>
            </w:r>
            <w:r w:rsidR="004D48FC" w:rsidRPr="00132912">
              <w:rPr>
                <w:rStyle w:val="FootnoteReference"/>
                <w:lang w:eastAsia="de-DE"/>
              </w:rPr>
              <w:footnoteReference w:id="3"/>
            </w:r>
          </w:p>
        </w:tc>
      </w:tr>
      <w:tr w:rsidR="004D48FC" w:rsidRPr="003E6331" w14:paraId="580BC069" w14:textId="77777777" w:rsidTr="247BFA05">
        <w:tc>
          <w:tcPr>
            <w:tcW w:w="2330" w:type="dxa"/>
            <w:tcBorders>
              <w:top w:val="single" w:sz="4" w:space="0" w:color="FFFFFF" w:themeColor="background1"/>
              <w:left w:val="single" w:sz="4" w:space="0" w:color="auto"/>
              <w:bottom w:val="single" w:sz="4" w:space="0" w:color="auto"/>
              <w:right w:val="single" w:sz="4" w:space="0" w:color="auto"/>
            </w:tcBorders>
            <w:shd w:val="clear" w:color="auto" w:fill="auto"/>
          </w:tcPr>
          <w:p w14:paraId="72EF45FD" w14:textId="77777777" w:rsidR="004D48FC" w:rsidRPr="00A8062B" w:rsidRDefault="004D48FC" w:rsidP="00990EC8">
            <w:pPr>
              <w:pStyle w:val="Text1"/>
              <w:spacing w:before="60" w:after="60"/>
              <w:ind w:left="0"/>
              <w:rPr>
                <w:b/>
                <w:color w:val="0D0D0D" w:themeColor="text1" w:themeTint="F2"/>
                <w:lang w:val="en-IE"/>
              </w:rPr>
            </w:pPr>
            <w:r w:rsidRPr="00A8062B">
              <w:rPr>
                <w:b/>
                <w:color w:val="0D0D0D" w:themeColor="text1" w:themeTint="F2"/>
                <w:lang w:val="en-IE"/>
              </w:rPr>
              <w:t>EIP Flagship</w:t>
            </w:r>
          </w:p>
        </w:tc>
        <w:tc>
          <w:tcPr>
            <w:tcW w:w="8302" w:type="dxa"/>
            <w:gridSpan w:val="5"/>
            <w:tcBorders>
              <w:top w:val="single" w:sz="4" w:space="0" w:color="FFFFFF" w:themeColor="background1"/>
              <w:left w:val="single" w:sz="4" w:space="0" w:color="auto"/>
              <w:bottom w:val="single" w:sz="4" w:space="0" w:color="auto"/>
              <w:right w:val="single" w:sz="4" w:space="0" w:color="auto"/>
            </w:tcBorders>
            <w:shd w:val="clear" w:color="auto" w:fill="auto"/>
          </w:tcPr>
          <w:p w14:paraId="605CFF4F" w14:textId="11214194" w:rsidR="004D48FC" w:rsidRPr="00A8062B" w:rsidRDefault="00530A75" w:rsidP="004D48FC">
            <w:pPr>
              <w:rPr>
                <w:lang w:val="fr-BE" w:eastAsia="en-IE"/>
              </w:rPr>
            </w:pPr>
            <w:r w:rsidRPr="00A8062B">
              <w:rPr>
                <w:lang w:val="fr-BE" w:eastAsia="de-DE"/>
              </w:rPr>
              <w:t>Yes</w:t>
            </w:r>
          </w:p>
          <w:p w14:paraId="2F472964" w14:textId="0E239CDF" w:rsidR="004D48FC" w:rsidRPr="00A8062B" w:rsidRDefault="00530A75" w:rsidP="00394867">
            <w:pPr>
              <w:pStyle w:val="Text1"/>
              <w:spacing w:before="60" w:after="60"/>
              <w:ind w:left="0" w:right="-25"/>
              <w:rPr>
                <w:lang w:val="fr-BE" w:eastAsia="de-DE"/>
              </w:rPr>
            </w:pPr>
            <w:r w:rsidRPr="00A8062B">
              <w:rPr>
                <w:color w:val="0D0D0D" w:themeColor="text1" w:themeTint="F2"/>
                <w:lang w:val="fr-BE" w:eastAsia="de-DE"/>
              </w:rPr>
              <w:t>Flagshi</w:t>
            </w:r>
            <w:r w:rsidR="0097769B" w:rsidRPr="00A8062B">
              <w:rPr>
                <w:color w:val="0D0D0D" w:themeColor="text1" w:themeTint="F2"/>
                <w:lang w:val="fr-BE" w:eastAsia="de-DE"/>
              </w:rPr>
              <w:t>p: VIII Digital Infrastructure”</w:t>
            </w:r>
            <w:r w:rsidR="00394867" w:rsidRPr="00A8062B">
              <w:rPr>
                <w:color w:val="0D0D0D" w:themeColor="text1" w:themeTint="F2"/>
                <w:lang w:val="fr-BE" w:eastAsia="de-DE"/>
              </w:rPr>
              <w:t xml:space="preserve"> – 67%</w:t>
            </w:r>
          </w:p>
        </w:tc>
      </w:tr>
      <w:tr w:rsidR="00FB5323" w:rsidRPr="00A8062B" w14:paraId="0D114DA3"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55E1693D" w14:textId="476A33E6" w:rsidR="00FB5323" w:rsidRPr="00132912" w:rsidRDefault="00FB5323" w:rsidP="007D0645">
            <w:pPr>
              <w:pStyle w:val="Text1"/>
              <w:spacing w:before="60" w:after="60"/>
              <w:ind w:left="0"/>
              <w:rPr>
                <w:b/>
                <w:color w:val="0D0D0D" w:themeColor="text1" w:themeTint="F2"/>
                <w:lang w:val="en-IE"/>
              </w:rPr>
            </w:pPr>
            <w:r w:rsidRPr="00132912">
              <w:rPr>
                <w:b/>
                <w:color w:val="0D0D0D" w:themeColor="text1" w:themeTint="F2"/>
                <w:lang w:val="en-IE"/>
              </w:rPr>
              <w:t xml:space="preserve">Team Europe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5CB59753" w:rsidR="00FB5323" w:rsidRPr="00132912" w:rsidRDefault="00FB5323" w:rsidP="008A02DB">
            <w:pPr>
              <w:pStyle w:val="Text1"/>
              <w:spacing w:before="60" w:after="60"/>
              <w:ind w:left="0" w:right="-25"/>
              <w:rPr>
                <w:lang w:val="en-IE" w:eastAsia="de-DE"/>
              </w:rPr>
            </w:pPr>
            <w:r w:rsidRPr="00132912">
              <w:rPr>
                <w:lang w:val="en-IE" w:eastAsia="de-DE"/>
              </w:rPr>
              <w:t>No</w:t>
            </w:r>
          </w:p>
        </w:tc>
      </w:tr>
      <w:tr w:rsidR="001E0154" w:rsidRPr="00A8062B" w14:paraId="23B47843"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6BDC1B43" w14:textId="31B3C945" w:rsidR="001E0154" w:rsidRPr="00A8062B" w:rsidRDefault="006030C3" w:rsidP="00EE2F85">
            <w:pPr>
              <w:pStyle w:val="Text1"/>
              <w:spacing w:before="60" w:after="60"/>
              <w:ind w:left="0"/>
              <w:rPr>
                <w:b/>
                <w:color w:val="0D0D0D" w:themeColor="text1" w:themeTint="F2"/>
                <w:lang w:val="en-IE"/>
              </w:rPr>
            </w:pPr>
            <w:r w:rsidRPr="00A8062B">
              <w:rPr>
                <w:b/>
                <w:color w:val="0D0D0D" w:themeColor="text1" w:themeTint="F2"/>
                <w:lang w:val="en-IE"/>
              </w:rPr>
              <w:t>Beneficiar</w:t>
            </w:r>
            <w:r w:rsidR="009D243C" w:rsidRPr="00A8062B">
              <w:rPr>
                <w:b/>
                <w:color w:val="0D0D0D" w:themeColor="text1" w:themeTint="F2"/>
                <w:lang w:val="en-IE"/>
              </w:rPr>
              <w:t>y</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307215A0" w14:textId="39C78811" w:rsidR="006E4F2E" w:rsidRPr="00A8062B" w:rsidRDefault="00C146A2" w:rsidP="008A02DB">
            <w:pPr>
              <w:spacing w:before="120" w:after="120"/>
              <w:ind w:right="-25"/>
              <w:rPr>
                <w:lang w:val="en-IE"/>
              </w:rPr>
            </w:pPr>
            <w:r w:rsidRPr="00A8062B">
              <w:rPr>
                <w:lang w:val="en-IE"/>
              </w:rPr>
              <w:t xml:space="preserve">The </w:t>
            </w:r>
            <w:r w:rsidR="008A02DB" w:rsidRPr="00A8062B">
              <w:rPr>
                <w:lang w:val="en-IE"/>
              </w:rPr>
              <w:t>A</w:t>
            </w:r>
            <w:r w:rsidRPr="00A8062B">
              <w:rPr>
                <w:lang w:val="en-IE"/>
              </w:rPr>
              <w:t xml:space="preserve">ction shall be carried out in </w:t>
            </w:r>
            <w:r w:rsidR="00B6363B">
              <w:rPr>
                <w:lang w:val="en-IE"/>
              </w:rPr>
              <w:t xml:space="preserve">the Republic of </w:t>
            </w:r>
            <w:r w:rsidR="008A02DB" w:rsidRPr="00A8062B">
              <w:rPr>
                <w:lang w:val="en-IE"/>
              </w:rPr>
              <w:t>North Macedonia</w:t>
            </w:r>
          </w:p>
        </w:tc>
      </w:tr>
      <w:tr w:rsidR="001E0154" w:rsidRPr="00A8062B" w14:paraId="10C74559"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A8062B" w:rsidRDefault="001E0154" w:rsidP="00E20375">
            <w:pPr>
              <w:pStyle w:val="Text1"/>
              <w:spacing w:before="60" w:after="60"/>
              <w:ind w:left="0"/>
              <w:rPr>
                <w:b/>
                <w:color w:val="0D0D0D" w:themeColor="text1" w:themeTint="F2"/>
                <w:lang w:val="en-IE"/>
              </w:rPr>
            </w:pPr>
            <w:r w:rsidRPr="00A8062B">
              <w:rPr>
                <w:b/>
                <w:color w:val="0D0D0D" w:themeColor="text1" w:themeTint="F2"/>
                <w:lang w:val="en-IE"/>
              </w:rPr>
              <w:t>Programming document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A8062B" w:rsidRDefault="005C2C9B" w:rsidP="00C87704">
            <w:pPr>
              <w:spacing w:before="120" w:after="120"/>
              <w:ind w:right="-25"/>
              <w:rPr>
                <w:color w:val="0D0D0D" w:themeColor="text1" w:themeTint="F2"/>
                <w:lang w:val="en-IE"/>
              </w:rPr>
            </w:pPr>
            <w:r w:rsidRPr="00A8062B">
              <w:rPr>
                <w:lang w:val="en-IE"/>
              </w:rPr>
              <w:t>IPA III Programming Framework</w:t>
            </w:r>
          </w:p>
        </w:tc>
      </w:tr>
      <w:tr w:rsidR="00BF051C" w:rsidRPr="00A8062B" w14:paraId="19C7218F" w14:textId="77777777" w:rsidTr="247BFA05">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A8062B" w:rsidRDefault="008B15AE" w:rsidP="00313272">
            <w:pPr>
              <w:jc w:val="center"/>
              <w:rPr>
                <w:b/>
                <w:lang w:val="en-IE" w:eastAsia="de-DE"/>
              </w:rPr>
            </w:pPr>
            <w:r w:rsidRPr="00A8062B">
              <w:rPr>
                <w:b/>
                <w:lang w:val="en-IE"/>
              </w:rPr>
              <w:t xml:space="preserve">PRIORITY AREAS AND </w:t>
            </w:r>
            <w:r w:rsidR="00BF051C" w:rsidRPr="00A8062B">
              <w:rPr>
                <w:b/>
                <w:lang w:val="en-IE"/>
              </w:rPr>
              <w:t>SECTOR INFORMATION</w:t>
            </w:r>
          </w:p>
        </w:tc>
      </w:tr>
      <w:tr w:rsidR="00433309" w:rsidRPr="00A8062B" w14:paraId="0D29056B"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075F2B2B" w14:textId="77777777" w:rsidR="00433309" w:rsidRPr="00132912" w:rsidRDefault="00F50118" w:rsidP="00B97C91">
            <w:pPr>
              <w:pStyle w:val="Text1"/>
              <w:spacing w:before="0" w:after="0"/>
              <w:ind w:left="0"/>
              <w:rPr>
                <w:b/>
                <w:color w:val="0D0D0D" w:themeColor="text1" w:themeTint="F2"/>
                <w:lang w:val="en-IE"/>
              </w:rPr>
            </w:pPr>
            <w:r w:rsidRPr="00A8062B">
              <w:rPr>
                <w:b/>
                <w:color w:val="0D0D0D" w:themeColor="text1" w:themeTint="F2"/>
                <w:lang w:val="en-IE"/>
              </w:rPr>
              <w:lastRenderedPageBreak/>
              <w:t>Window</w:t>
            </w:r>
            <w:r w:rsidR="00B97C91" w:rsidRPr="00A8062B">
              <w:rPr>
                <w:b/>
                <w:color w:val="0D0D0D" w:themeColor="text1" w:themeTint="F2"/>
                <w:lang w:val="en-IE"/>
              </w:rPr>
              <w:t xml:space="preserve"> and</w:t>
            </w:r>
            <w:r w:rsidR="00D46E4D" w:rsidRPr="00A8062B">
              <w:rPr>
                <w:b/>
                <w:color w:val="0D0D0D" w:themeColor="text1" w:themeTint="F2"/>
                <w:lang w:val="en-IE"/>
              </w:rPr>
              <w:t xml:space="preserve"> </w:t>
            </w:r>
            <w:r w:rsidR="00B97C91" w:rsidRPr="00A8062B">
              <w:rPr>
                <w:b/>
                <w:color w:val="0D0D0D" w:themeColor="text1" w:themeTint="F2"/>
                <w:lang w:val="en-IE"/>
              </w:rPr>
              <w:t>thematic p</w:t>
            </w:r>
            <w:r w:rsidRPr="00A8062B">
              <w:rPr>
                <w:b/>
                <w:color w:val="0D0D0D" w:themeColor="text1" w:themeTint="F2"/>
                <w:lang w:val="en-IE"/>
              </w:rPr>
              <w:t>riority</w:t>
            </w:r>
            <w:r w:rsidR="00635A0A" w:rsidRPr="00132912">
              <w:rPr>
                <w:rStyle w:val="FootnoteReference"/>
                <w:b/>
                <w:color w:val="0D0D0D" w:themeColor="text1" w:themeTint="F2"/>
                <w:lang w:val="en-IE"/>
              </w:rPr>
              <w:footnoteReference w:id="4"/>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907B748" w14:textId="29856F0B" w:rsidR="00635A0A" w:rsidRPr="00A8062B" w:rsidRDefault="00635A0A" w:rsidP="00635A0A">
            <w:pPr>
              <w:pStyle w:val="Text1"/>
              <w:spacing w:before="60" w:after="60"/>
              <w:ind w:left="0" w:right="-25"/>
              <w:rPr>
                <w:lang w:val="en-IE"/>
              </w:rPr>
            </w:pPr>
            <w:r w:rsidRPr="00132912">
              <w:rPr>
                <w:lang w:val="en-IE"/>
              </w:rPr>
              <w:t xml:space="preserve">Window </w:t>
            </w:r>
            <w:r w:rsidR="008A02DB" w:rsidRPr="00A8062B">
              <w:rPr>
                <w:lang w:val="en-IE"/>
              </w:rPr>
              <w:t>4: Competitiveness and inclusive growth</w:t>
            </w:r>
          </w:p>
          <w:p w14:paraId="2B523E33" w14:textId="5E898820" w:rsidR="00DC0AC4" w:rsidRPr="00A8062B" w:rsidRDefault="00635A0A" w:rsidP="00530A75">
            <w:pPr>
              <w:pStyle w:val="Text1"/>
              <w:spacing w:before="60" w:after="60"/>
              <w:ind w:left="0" w:right="-25"/>
              <w:rPr>
                <w:lang w:val="en-IE"/>
              </w:rPr>
            </w:pPr>
            <w:r w:rsidRPr="00A8062B">
              <w:rPr>
                <w:lang w:val="en-IE"/>
              </w:rPr>
              <w:t>Thematic Priority</w:t>
            </w:r>
            <w:r w:rsidR="008A02DB" w:rsidRPr="00A8062B">
              <w:rPr>
                <w:lang w:val="en-IE"/>
              </w:rPr>
              <w:t xml:space="preserve"> 1: Education, employment, social protection and inclusion policies, and health</w:t>
            </w:r>
            <w:r w:rsidR="00530A75" w:rsidRPr="00A8062B">
              <w:rPr>
                <w:lang w:val="en-IE"/>
              </w:rPr>
              <w:t xml:space="preserve"> (100</w:t>
            </w:r>
            <w:r w:rsidRPr="00A8062B">
              <w:rPr>
                <w:lang w:val="en-IE"/>
              </w:rPr>
              <w:t xml:space="preserve"> %</w:t>
            </w:r>
            <w:r w:rsidR="00037227" w:rsidRPr="00A8062B">
              <w:rPr>
                <w:lang w:val="en-IE"/>
              </w:rPr>
              <w:t>)</w:t>
            </w:r>
          </w:p>
        </w:tc>
      </w:tr>
      <w:tr w:rsidR="00433309" w:rsidRPr="00A8062B" w14:paraId="4721587A"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A8062B" w:rsidRDefault="00433309" w:rsidP="00433309">
            <w:pPr>
              <w:pStyle w:val="Text1"/>
              <w:spacing w:before="0" w:after="0"/>
              <w:ind w:left="0"/>
              <w:rPr>
                <w:b/>
                <w:color w:val="0D0D0D" w:themeColor="text1" w:themeTint="F2"/>
                <w:lang w:val="en-IE"/>
              </w:rPr>
            </w:pPr>
            <w:r w:rsidRPr="00A8062B">
              <w:rPr>
                <w:b/>
                <w:color w:val="0D0D0D" w:themeColor="text1" w:themeTint="F2"/>
                <w:lang w:val="en-IE"/>
              </w:rPr>
              <w:t>Sustainable Development Goals (SDGs)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33E2B27" w14:textId="1573A91A" w:rsidR="00433309" w:rsidRPr="00A8062B" w:rsidRDefault="00433309" w:rsidP="00433309">
            <w:pPr>
              <w:pStyle w:val="Text1"/>
              <w:spacing w:before="60" w:after="60"/>
              <w:ind w:left="0" w:right="-25"/>
              <w:rPr>
                <w:lang w:val="en-IE"/>
              </w:rPr>
            </w:pPr>
            <w:r w:rsidRPr="00A8062B">
              <w:rPr>
                <w:lang w:val="en-IE"/>
              </w:rPr>
              <w:t xml:space="preserve">Main SDG </w:t>
            </w:r>
            <w:r w:rsidR="008A02DB" w:rsidRPr="00A8062B">
              <w:rPr>
                <w:lang w:val="en-IE"/>
              </w:rPr>
              <w:t>3</w:t>
            </w:r>
            <w:r w:rsidRPr="00A8062B">
              <w:rPr>
                <w:lang w:val="en-IE"/>
              </w:rPr>
              <w:t xml:space="preserve">: </w:t>
            </w:r>
            <w:r w:rsidR="008A02DB" w:rsidRPr="00A8062B">
              <w:rPr>
                <w:lang w:val="en-IE"/>
              </w:rPr>
              <w:t>Ensure healthy lives and promote well-being for all at all ages.</w:t>
            </w:r>
          </w:p>
          <w:p w14:paraId="3A3F2E31" w14:textId="77777777" w:rsidR="00433309" w:rsidRPr="00A8062B" w:rsidRDefault="00433309" w:rsidP="00433309">
            <w:pPr>
              <w:pStyle w:val="Text1"/>
              <w:spacing w:before="60" w:after="60"/>
              <w:ind w:left="0" w:right="-25"/>
              <w:rPr>
                <w:lang w:val="en-IE"/>
              </w:rPr>
            </w:pPr>
            <w:r w:rsidRPr="00A8062B">
              <w:rPr>
                <w:lang w:val="en-IE"/>
              </w:rPr>
              <w:t>Other significant SDGs (up to 9) and</w:t>
            </w:r>
            <w:r w:rsidR="003B564E" w:rsidRPr="00A8062B">
              <w:rPr>
                <w:lang w:val="en-IE"/>
              </w:rPr>
              <w:t>,</w:t>
            </w:r>
            <w:r w:rsidRPr="00A8062B">
              <w:rPr>
                <w:lang w:val="en-IE"/>
              </w:rPr>
              <w:t xml:space="preserve"> where appropriate, targets:</w:t>
            </w:r>
          </w:p>
          <w:p w14:paraId="1C5DBFD6" w14:textId="77777777" w:rsidR="008A02DB" w:rsidRPr="00A8062B" w:rsidRDefault="008A02DB" w:rsidP="00433309">
            <w:pPr>
              <w:pStyle w:val="Text1"/>
              <w:spacing w:before="60" w:after="60"/>
              <w:ind w:left="0" w:right="-25"/>
              <w:rPr>
                <w:lang w:val="en-IE"/>
              </w:rPr>
            </w:pPr>
            <w:r w:rsidRPr="00A8062B">
              <w:rPr>
                <w:lang w:val="en-IE"/>
              </w:rPr>
              <w:t>SDG 1: End poverty in all its forms everywhere</w:t>
            </w:r>
          </w:p>
          <w:p w14:paraId="530A2459" w14:textId="49D76A16" w:rsidR="008A02DB" w:rsidRPr="00B6363B" w:rsidRDefault="008A02DB" w:rsidP="00433309">
            <w:pPr>
              <w:pStyle w:val="Text1"/>
              <w:spacing w:before="60" w:after="60"/>
              <w:ind w:left="0" w:right="-25"/>
              <w:rPr>
                <w:lang w:val="en-IE"/>
              </w:rPr>
            </w:pPr>
            <w:r w:rsidRPr="00A8062B">
              <w:rPr>
                <w:lang w:val="en-IE"/>
              </w:rPr>
              <w:t>SDG 5: Achieve gender equality and empower all women and girls</w:t>
            </w:r>
          </w:p>
        </w:tc>
      </w:tr>
      <w:tr w:rsidR="00433309" w:rsidRPr="00A8062B" w14:paraId="4B613589"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654C1A9B" w14:textId="77777777" w:rsidR="00433309" w:rsidRPr="00132912" w:rsidRDefault="00433309" w:rsidP="00E16935">
            <w:pPr>
              <w:pStyle w:val="Text1"/>
              <w:spacing w:before="0" w:after="0"/>
              <w:ind w:left="0"/>
              <w:rPr>
                <w:b/>
                <w:bCs/>
                <w:lang w:val="en-IE"/>
              </w:rPr>
            </w:pPr>
            <w:r w:rsidRPr="00A8062B">
              <w:rPr>
                <w:b/>
                <w:bCs/>
                <w:lang w:val="en-IE"/>
              </w:rPr>
              <w:t>DAC code(s)</w:t>
            </w:r>
            <w:r w:rsidRPr="00132912">
              <w:rPr>
                <w:rStyle w:val="FootnoteReference"/>
                <w:lang w:val="en-IE"/>
              </w:rPr>
              <w:footnoteReference w:id="5"/>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FCB1BF5" w14:textId="355DDE55" w:rsidR="00433309" w:rsidRDefault="00E02D6B" w:rsidP="00530A75">
            <w:pPr>
              <w:pStyle w:val="Text1"/>
              <w:spacing w:before="60" w:after="60"/>
              <w:ind w:left="0" w:right="-25"/>
            </w:pPr>
            <w:r w:rsidRPr="00132912">
              <w:t xml:space="preserve">12110 Health policy and administrative management </w:t>
            </w:r>
            <w:r w:rsidR="00741D16">
              <w:rPr>
                <w:lang w:val="hr-HR"/>
              </w:rPr>
              <w:t>20%</w:t>
            </w:r>
          </w:p>
          <w:p w14:paraId="447FD1EC" w14:textId="0E58A9DE" w:rsidR="00E15C22" w:rsidRDefault="00E15C22" w:rsidP="00E15C22">
            <w:pPr>
              <w:pStyle w:val="Text1"/>
              <w:spacing w:before="60" w:after="60"/>
              <w:ind w:left="0" w:right="-25"/>
              <w:rPr>
                <w:lang w:val="en-US"/>
              </w:rPr>
            </w:pPr>
            <w:r>
              <w:rPr>
                <w:lang w:val="mk-MK"/>
              </w:rPr>
              <w:t xml:space="preserve">12310 </w:t>
            </w:r>
            <w:r>
              <w:rPr>
                <w:lang w:val="en-US"/>
              </w:rPr>
              <w:t>NCDs control, general</w:t>
            </w:r>
            <w:r w:rsidR="00741D16">
              <w:rPr>
                <w:lang w:val="en-US"/>
              </w:rPr>
              <w:t xml:space="preserve"> 50%</w:t>
            </w:r>
          </w:p>
          <w:p w14:paraId="54AEA79E" w14:textId="3C5002ED" w:rsidR="00E15C22" w:rsidRPr="00B6363B" w:rsidRDefault="00E15C22" w:rsidP="00E15C22">
            <w:pPr>
              <w:pStyle w:val="Text1"/>
              <w:spacing w:before="60" w:after="60"/>
              <w:ind w:left="0" w:right="-25"/>
              <w:rPr>
                <w:rStyle w:val="FootnoteReference"/>
                <w:vertAlign w:val="baseline"/>
                <w:lang w:val="hr-HR"/>
              </w:rPr>
            </w:pPr>
            <w:r>
              <w:t>12350 Other prevention and treatment of NCDs</w:t>
            </w:r>
            <w:r w:rsidR="00741D16">
              <w:rPr>
                <w:lang w:val="hr-HR"/>
              </w:rPr>
              <w:t xml:space="preserve"> 30%</w:t>
            </w:r>
          </w:p>
        </w:tc>
      </w:tr>
      <w:tr w:rsidR="00433309" w:rsidRPr="00A8062B" w14:paraId="07ACC19C"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6B4F9A24" w14:textId="6E8FB237" w:rsidR="00433309" w:rsidRPr="00A8062B" w:rsidRDefault="00433309" w:rsidP="00433309">
            <w:pPr>
              <w:pStyle w:val="Text1"/>
              <w:spacing w:before="0" w:after="0"/>
              <w:ind w:left="0"/>
              <w:rPr>
                <w:b/>
                <w:bCs/>
                <w:lang w:val="en-IE"/>
              </w:rPr>
            </w:pPr>
            <w:r w:rsidRPr="00A8062B">
              <w:rPr>
                <w:b/>
                <w:bCs/>
                <w:lang w:val="en-IE"/>
              </w:rPr>
              <w:t xml:space="preserve">Main Delivery   Channel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3B7A7CB" w14:textId="4A7E6905" w:rsidR="00433309" w:rsidRPr="00B6363B" w:rsidRDefault="00E02D6B" w:rsidP="00433309">
            <w:pPr>
              <w:pStyle w:val="Text1"/>
              <w:spacing w:before="60" w:after="60"/>
              <w:ind w:left="0" w:right="-25"/>
              <w:rPr>
                <w:i/>
                <w:lang w:val="en-IE" w:eastAsia="de-DE"/>
              </w:rPr>
            </w:pPr>
            <w:r w:rsidRPr="00A8062B">
              <w:rPr>
                <w:lang w:val="en-IE" w:eastAsia="de-DE"/>
              </w:rPr>
              <w:t>12000-Recipient Government</w:t>
            </w:r>
          </w:p>
        </w:tc>
      </w:tr>
      <w:tr w:rsidR="00D10305" w:rsidRPr="00A8062B" w14:paraId="014BC60E"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A8062B" w:rsidRDefault="00D10305" w:rsidP="00433309">
            <w:pPr>
              <w:pStyle w:val="Text1"/>
              <w:spacing w:before="0" w:after="0"/>
              <w:ind w:left="0"/>
              <w:rPr>
                <w:b/>
                <w:bCs/>
                <w:lang w:val="en-IE"/>
              </w:rPr>
            </w:pPr>
            <w:r w:rsidRPr="00A8062B">
              <w:rPr>
                <w:b/>
                <w:bCs/>
                <w:lang w:val="en-IE"/>
              </w:rPr>
              <w:t>Targets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77777777" w:rsidR="00D10305" w:rsidRPr="00132912" w:rsidRDefault="00893C9A" w:rsidP="00433309">
            <w:pPr>
              <w:pStyle w:val="Text1"/>
              <w:spacing w:before="60" w:after="60"/>
              <w:ind w:left="0" w:right="-25"/>
              <w:rPr>
                <w:rFonts w:eastAsia="MS Gothic"/>
                <w:color w:val="0D0D0D" w:themeColor="text1" w:themeTint="F2"/>
                <w:lang w:val="en-IE"/>
              </w:rPr>
            </w:pPr>
            <w:sdt>
              <w:sdtPr>
                <w:rPr>
                  <w:rFonts w:eastAsia="MS Gothic"/>
                  <w:color w:val="0D0D0D" w:themeColor="text1" w:themeTint="F2"/>
                  <w:lang w:val="en-IE"/>
                </w:rPr>
                <w:id w:val="-1095621497"/>
                <w14:checkbox>
                  <w14:checked w14:val="0"/>
                  <w14:checkedState w14:val="2612" w14:font="MS Gothic"/>
                  <w14:uncheckedState w14:val="2610" w14:font="MS Gothic"/>
                </w14:checkbox>
              </w:sdtPr>
              <w:sdtEndPr/>
              <w:sdtContent>
                <w:r w:rsidR="00D10305" w:rsidRPr="00132912">
                  <w:rPr>
                    <w:rFonts w:ascii="Segoe UI Symbol" w:eastAsia="MS Gothic" w:hAnsi="Segoe UI Symbol" w:cs="Segoe UI Symbol"/>
                    <w:color w:val="0D0D0D" w:themeColor="text1" w:themeTint="F2"/>
                    <w:lang w:val="en-IE"/>
                  </w:rPr>
                  <w:t>☐</w:t>
                </w:r>
              </w:sdtContent>
            </w:sdt>
            <w:r w:rsidR="00D10305" w:rsidRPr="00132912">
              <w:rPr>
                <w:rFonts w:eastAsia="MS Gothic"/>
                <w:color w:val="0D0D0D" w:themeColor="text1" w:themeTint="F2"/>
                <w:lang w:val="en-IE"/>
              </w:rPr>
              <w:t xml:space="preserve"> Climate</w:t>
            </w:r>
          </w:p>
          <w:p w14:paraId="2B2196CD" w14:textId="36644D2C" w:rsidR="00D10305" w:rsidRPr="00132912" w:rsidRDefault="00893C9A" w:rsidP="00433309">
            <w:pPr>
              <w:pStyle w:val="Text1"/>
              <w:spacing w:before="60" w:after="60"/>
              <w:ind w:left="0" w:right="-25"/>
              <w:rPr>
                <w:rFonts w:eastAsia="MS Gothic"/>
                <w:color w:val="0D0D0D" w:themeColor="text1" w:themeTint="F2"/>
                <w:lang w:val="en-IE"/>
              </w:rPr>
            </w:pPr>
            <w:sdt>
              <w:sdtPr>
                <w:rPr>
                  <w:rFonts w:eastAsia="MS Gothic"/>
                  <w:color w:val="0D0D0D" w:themeColor="text1" w:themeTint="F2"/>
                  <w:lang w:val="en-IE"/>
                </w:rPr>
                <w:id w:val="461931768"/>
                <w14:checkbox>
                  <w14:checked w14:val="1"/>
                  <w14:checkedState w14:val="2612" w14:font="MS Gothic"/>
                  <w14:uncheckedState w14:val="2610" w14:font="MS Gothic"/>
                </w14:checkbox>
              </w:sdtPr>
              <w:sdtEndPr/>
              <w:sdtContent>
                <w:r w:rsidR="00530A75" w:rsidRPr="00132912">
                  <w:rPr>
                    <w:rFonts w:ascii="MS Gothic" w:eastAsia="MS Gothic" w:hAnsi="MS Gothic" w:hint="eastAsia"/>
                    <w:color w:val="0D0D0D" w:themeColor="text1" w:themeTint="F2"/>
                    <w:lang w:val="en-IE"/>
                  </w:rPr>
                  <w:t>☒</w:t>
                </w:r>
              </w:sdtContent>
            </w:sdt>
            <w:r w:rsidR="00D10305" w:rsidRPr="00132912">
              <w:rPr>
                <w:rFonts w:eastAsia="MS Gothic"/>
                <w:color w:val="0D0D0D" w:themeColor="text1" w:themeTint="F2"/>
                <w:lang w:val="en-IE"/>
              </w:rPr>
              <w:t xml:space="preserve"> Gender</w:t>
            </w:r>
          </w:p>
          <w:p w14:paraId="42A2F989" w14:textId="77777777" w:rsidR="00D10305" w:rsidRPr="00A8062B" w:rsidRDefault="00893C9A" w:rsidP="00433309">
            <w:pPr>
              <w:pStyle w:val="Text1"/>
              <w:spacing w:before="60" w:after="60"/>
              <w:ind w:left="0" w:right="-25"/>
              <w:rPr>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D10305" w:rsidRPr="00132912">
                  <w:rPr>
                    <w:rFonts w:ascii="Segoe UI Symbol" w:eastAsia="MS Gothic" w:hAnsi="Segoe UI Symbol" w:cs="Segoe UI Symbol"/>
                    <w:color w:val="0D0D0D" w:themeColor="text1" w:themeTint="F2"/>
                    <w:lang w:val="en-IE"/>
                  </w:rPr>
                  <w:t>☐</w:t>
                </w:r>
              </w:sdtContent>
            </w:sdt>
            <w:r w:rsidR="00D10305" w:rsidRPr="00132912">
              <w:rPr>
                <w:rFonts w:eastAsia="MS Gothic"/>
                <w:color w:val="0D0D0D" w:themeColor="text1" w:themeTint="F2"/>
                <w:lang w:val="en-IE"/>
              </w:rPr>
              <w:t xml:space="preserve"> Biodiversity</w:t>
            </w:r>
          </w:p>
        </w:tc>
      </w:tr>
      <w:tr w:rsidR="00433309" w:rsidRPr="00A8062B" w14:paraId="3E41C58B" w14:textId="77777777" w:rsidTr="247BFA05">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52F9ACED" w14:textId="77777777" w:rsidR="00433309" w:rsidRPr="00132912" w:rsidRDefault="00433309" w:rsidP="00433309">
            <w:pPr>
              <w:rPr>
                <w:color w:val="0D0D0D" w:themeColor="text1" w:themeTint="F2"/>
                <w:lang w:val="en-IE"/>
              </w:rPr>
            </w:pPr>
            <w:r w:rsidRPr="00A8062B">
              <w:rPr>
                <w:b/>
                <w:bCs/>
                <w:color w:val="0D0D0D" w:themeColor="text1" w:themeTint="F2"/>
                <w:lang w:val="en-IE"/>
              </w:rPr>
              <w:t>Markers</w:t>
            </w:r>
            <w:r w:rsidRPr="00132912">
              <w:rPr>
                <w:rStyle w:val="FootnoteReference"/>
                <w:b/>
                <w:bCs/>
                <w:color w:val="0D0D0D" w:themeColor="text1" w:themeTint="F2"/>
                <w:lang w:val="en-IE"/>
              </w:rPr>
              <w:footnoteReference w:id="6"/>
            </w:r>
          </w:p>
          <w:p w14:paraId="4F6BCF86" w14:textId="77777777" w:rsidR="00433309" w:rsidRPr="00132912" w:rsidRDefault="00433309" w:rsidP="00433309">
            <w:pPr>
              <w:pStyle w:val="Text1"/>
              <w:spacing w:before="0" w:after="0"/>
              <w:ind w:left="0"/>
              <w:rPr>
                <w:b/>
                <w:bCs/>
                <w:lang w:val="en-IE"/>
              </w:rPr>
            </w:pPr>
            <w:r w:rsidRPr="00132912">
              <w:rPr>
                <w:b/>
                <w:color w:val="0D0D0D" w:themeColor="text1" w:themeTint="F2"/>
                <w:lang w:val="en-IE"/>
              </w:rPr>
              <w:t>(from DAC form)</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6051B4C" w14:textId="6A7AC12A" w:rsidR="00433309" w:rsidRPr="00B6363B" w:rsidRDefault="00433309" w:rsidP="00433309">
            <w:pPr>
              <w:pStyle w:val="Text1"/>
              <w:spacing w:before="60" w:after="60"/>
              <w:ind w:left="0" w:right="-25"/>
              <w:rPr>
                <w:lang w:val="en-IE" w:eastAsia="de-DE"/>
              </w:rPr>
            </w:pPr>
            <w:r w:rsidRPr="00132912">
              <w:rPr>
                <w:b/>
                <w:color w:val="0D0D0D" w:themeColor="text1" w:themeTint="F2"/>
                <w:lang w:val="en-IE"/>
              </w:rPr>
              <w:t xml:space="preserve">General policy objective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B6363B" w:rsidRDefault="00433309" w:rsidP="00433309">
            <w:pPr>
              <w:pStyle w:val="Text1"/>
              <w:spacing w:before="60" w:after="60"/>
              <w:ind w:left="0" w:right="-25"/>
              <w:rPr>
                <w:lang w:val="en-IE" w:eastAsia="de-DE"/>
              </w:rPr>
            </w:pPr>
            <w:r w:rsidRPr="00132912">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B6363B" w:rsidRDefault="00433309" w:rsidP="00433309">
            <w:pPr>
              <w:pStyle w:val="Text1"/>
              <w:spacing w:before="60" w:after="60"/>
              <w:ind w:left="0" w:right="-25"/>
              <w:rPr>
                <w:lang w:val="en-IE" w:eastAsia="de-DE"/>
              </w:rPr>
            </w:pPr>
            <w:r w:rsidRPr="00132912">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B6363B" w:rsidRDefault="00433309" w:rsidP="00433309">
            <w:pPr>
              <w:pStyle w:val="Text1"/>
              <w:spacing w:before="60" w:after="60"/>
              <w:ind w:left="0" w:right="-25"/>
              <w:rPr>
                <w:lang w:val="en-IE" w:eastAsia="de-DE"/>
              </w:rPr>
            </w:pPr>
            <w:r w:rsidRPr="00132912">
              <w:rPr>
                <w:b/>
                <w:color w:val="0D0D0D" w:themeColor="text1" w:themeTint="F2"/>
                <w:lang w:val="en-IE"/>
              </w:rPr>
              <w:t>Principal objective</w:t>
            </w:r>
          </w:p>
        </w:tc>
      </w:tr>
      <w:tr w:rsidR="00433309" w:rsidRPr="00A8062B" w14:paraId="48A49695" w14:textId="77777777" w:rsidTr="247BFA05">
        <w:trPr>
          <w:trHeight w:val="40"/>
        </w:trPr>
        <w:tc>
          <w:tcPr>
            <w:tcW w:w="2330" w:type="dxa"/>
            <w:vMerge/>
          </w:tcPr>
          <w:p w14:paraId="7C44482C"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A8062B" w:rsidRDefault="00433309" w:rsidP="00433309">
            <w:pPr>
              <w:pStyle w:val="Text1"/>
              <w:spacing w:before="60" w:after="60"/>
              <w:ind w:left="0" w:right="-25"/>
              <w:rPr>
                <w:lang w:val="en-IE" w:eastAsia="de-DE"/>
              </w:rPr>
            </w:pPr>
            <w:r w:rsidRPr="00A8062B">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AE373" w14:textId="083E0740"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r>
      <w:tr w:rsidR="00433309" w:rsidRPr="00A8062B" w14:paraId="649B989F" w14:textId="77777777" w:rsidTr="247BFA05">
        <w:trPr>
          <w:trHeight w:val="40"/>
        </w:trPr>
        <w:tc>
          <w:tcPr>
            <w:tcW w:w="2330" w:type="dxa"/>
            <w:vMerge/>
          </w:tcPr>
          <w:p w14:paraId="6D31A9DE"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4E9E64" w14:textId="4EA8D26E" w:rsidR="00433309" w:rsidRPr="00A8062B" w:rsidRDefault="00433309" w:rsidP="00433309">
            <w:pPr>
              <w:pStyle w:val="Text1"/>
              <w:spacing w:before="60" w:after="60"/>
              <w:ind w:left="0" w:right="-25"/>
              <w:rPr>
                <w:lang w:val="en-IE" w:eastAsia="de-DE"/>
              </w:rPr>
            </w:pPr>
            <w:r w:rsidRPr="00A8062B">
              <w:rPr>
                <w:color w:val="0D0D0D" w:themeColor="text1" w:themeTint="F2"/>
                <w:lang w:val="en-IE"/>
              </w:rPr>
              <w:t>Aid to environment</w:t>
            </w:r>
            <w:r w:rsidR="00C146A2" w:rsidRPr="00A8062B">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F15CE" w14:textId="654C9702"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46379216"/>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936637440"/>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7C19E"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205995485"/>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r>
      <w:tr w:rsidR="00D310C3" w:rsidRPr="00A8062B" w14:paraId="5E984A43" w14:textId="77777777" w:rsidTr="247BFA05">
        <w:trPr>
          <w:trHeight w:val="638"/>
        </w:trPr>
        <w:tc>
          <w:tcPr>
            <w:tcW w:w="2330" w:type="dxa"/>
            <w:vMerge/>
          </w:tcPr>
          <w:p w14:paraId="403AFDE1" w14:textId="77777777" w:rsidR="00D310C3" w:rsidRPr="00A8062B" w:rsidRDefault="00D310C3" w:rsidP="00433309">
            <w:pPr>
              <w:rPr>
                <w:b/>
                <w:bCs/>
                <w:color w:val="0D0D0D" w:themeColor="text1" w:themeTint="F2"/>
                <w:lang w:val="en-IE"/>
              </w:rPr>
            </w:pPr>
          </w:p>
        </w:tc>
        <w:tc>
          <w:tcPr>
            <w:tcW w:w="3482" w:type="dxa"/>
            <w:tcBorders>
              <w:top w:val="single" w:sz="4" w:space="0" w:color="auto"/>
              <w:left w:val="single" w:sz="4" w:space="0" w:color="auto"/>
              <w:right w:val="single" w:sz="4" w:space="0" w:color="auto"/>
            </w:tcBorders>
            <w:shd w:val="clear" w:color="auto" w:fill="auto"/>
          </w:tcPr>
          <w:p w14:paraId="322A6CB7" w14:textId="77777777" w:rsidR="00D310C3" w:rsidRPr="00A8062B" w:rsidRDefault="00D310C3" w:rsidP="00433309">
            <w:pPr>
              <w:pStyle w:val="Text1"/>
              <w:spacing w:before="60" w:after="60"/>
              <w:ind w:left="0" w:right="-25"/>
              <w:rPr>
                <w:lang w:val="en-IE" w:eastAsia="de-DE"/>
              </w:rPr>
            </w:pPr>
            <w:r w:rsidRPr="00A8062B">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2099895D" w14:textId="77777777" w:rsidR="00D310C3"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EndPr/>
              <w:sdtContent>
                <w:r w:rsidR="00D310C3" w:rsidRPr="00132912">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3D37894E" w14:textId="2183D9D5" w:rsidR="00D310C3"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351844034"/>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right w:val="single" w:sz="4" w:space="0" w:color="auto"/>
            </w:tcBorders>
            <w:shd w:val="clear" w:color="auto" w:fill="auto"/>
          </w:tcPr>
          <w:p w14:paraId="169B4AFB" w14:textId="77777777" w:rsidR="00D310C3"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132912">
                  <w:rPr>
                    <w:rFonts w:ascii="MS Gothic" w:eastAsia="MS Gothic" w:hAnsi="MS Gothic" w:cs="Segoe UI Symbol"/>
                    <w:color w:val="0D0D0D" w:themeColor="text1" w:themeTint="F2"/>
                    <w:lang w:val="en-IE"/>
                  </w:rPr>
                  <w:t>☐</w:t>
                </w:r>
              </w:sdtContent>
            </w:sdt>
          </w:p>
        </w:tc>
      </w:tr>
      <w:tr w:rsidR="00433309" w:rsidRPr="00A8062B" w14:paraId="022EBB68" w14:textId="77777777" w:rsidTr="247BFA05">
        <w:trPr>
          <w:trHeight w:val="40"/>
        </w:trPr>
        <w:tc>
          <w:tcPr>
            <w:tcW w:w="2330" w:type="dxa"/>
            <w:vMerge/>
          </w:tcPr>
          <w:p w14:paraId="1365C655"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A8062B" w:rsidRDefault="00433309" w:rsidP="00433309">
            <w:pPr>
              <w:pStyle w:val="Text1"/>
              <w:spacing w:before="60" w:after="60"/>
              <w:ind w:left="0" w:right="-25"/>
              <w:rPr>
                <w:lang w:val="en-IE" w:eastAsia="de-DE"/>
              </w:rPr>
            </w:pPr>
            <w:r w:rsidRPr="00A8062B">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F0C6"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409768690"/>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292123C4"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089380365"/>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r>
      <w:tr w:rsidR="00433309" w:rsidRPr="00A8062B" w14:paraId="4CBE52E2" w14:textId="77777777" w:rsidTr="247BFA05">
        <w:trPr>
          <w:trHeight w:val="40"/>
        </w:trPr>
        <w:tc>
          <w:tcPr>
            <w:tcW w:w="2330" w:type="dxa"/>
            <w:vMerge/>
          </w:tcPr>
          <w:p w14:paraId="55D8430C"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490FB07" w14:textId="7765E15A" w:rsidR="00433309" w:rsidRPr="00A8062B" w:rsidRDefault="00433309" w:rsidP="00433309">
            <w:pPr>
              <w:pStyle w:val="Text1"/>
              <w:spacing w:before="60" w:after="60"/>
              <w:ind w:left="0" w:right="-25"/>
              <w:rPr>
                <w:lang w:val="en-IE" w:eastAsia="de-DE"/>
              </w:rPr>
            </w:pPr>
            <w:r w:rsidRPr="00A8062B">
              <w:rPr>
                <w:color w:val="0D0D0D" w:themeColor="text1" w:themeTint="F2"/>
                <w:lang w:val="en-IE"/>
              </w:rPr>
              <w:t>Disaster Risk Reduction</w:t>
            </w:r>
            <w:r w:rsidR="00C146A2" w:rsidRPr="00A8062B">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B19F4" w14:textId="3862121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r>
      <w:tr w:rsidR="00433309" w:rsidRPr="00A8062B" w14:paraId="3132178E" w14:textId="77777777" w:rsidTr="247BFA05">
        <w:trPr>
          <w:trHeight w:val="40"/>
        </w:trPr>
        <w:tc>
          <w:tcPr>
            <w:tcW w:w="2330" w:type="dxa"/>
            <w:vMerge/>
          </w:tcPr>
          <w:p w14:paraId="3C7E8337"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A8062B" w14:paraId="77DE60C0" w14:textId="77777777" w:rsidTr="00A73AD0">
              <w:trPr>
                <w:tblCellSpacing w:w="0" w:type="dxa"/>
              </w:trPr>
              <w:tc>
                <w:tcPr>
                  <w:tcW w:w="5000" w:type="pct"/>
                  <w:vAlign w:val="center"/>
                </w:tcPr>
                <w:p w14:paraId="5C7CAA06" w14:textId="77777777" w:rsidR="00433309" w:rsidRPr="00A8062B" w:rsidRDefault="00433309" w:rsidP="00433309">
                  <w:pPr>
                    <w:pStyle w:val="Text1"/>
                    <w:spacing w:before="0" w:after="0"/>
                    <w:ind w:left="0" w:right="-91"/>
                    <w:rPr>
                      <w:color w:val="0D0D0D" w:themeColor="text1" w:themeTint="F2"/>
                      <w:lang w:val="en-IE"/>
                    </w:rPr>
                  </w:pPr>
                  <w:r w:rsidRPr="00A8062B">
                    <w:rPr>
                      <w:color w:val="0D0D0D" w:themeColor="text1" w:themeTint="F2"/>
                      <w:lang w:val="en-IE"/>
                    </w:rPr>
                    <w:t xml:space="preserve">Inclusion of persons with </w:t>
                  </w:r>
                </w:p>
                <w:p w14:paraId="3593883D" w14:textId="77777777" w:rsidR="00433309" w:rsidRPr="00A8062B" w:rsidRDefault="00433309" w:rsidP="00433309">
                  <w:pPr>
                    <w:pStyle w:val="Text1"/>
                    <w:spacing w:before="0" w:after="0"/>
                    <w:ind w:left="0" w:right="-91"/>
                    <w:rPr>
                      <w:color w:val="0D0D0D" w:themeColor="text1" w:themeTint="F2"/>
                      <w:lang w:val="en-IE"/>
                    </w:rPr>
                  </w:pPr>
                  <w:r w:rsidRPr="00A8062B">
                    <w:rPr>
                      <w:color w:val="0D0D0D" w:themeColor="text1" w:themeTint="F2"/>
                      <w:lang w:val="en-IE"/>
                    </w:rPr>
                    <w:t>Disabilities</w:t>
                  </w:r>
                </w:p>
              </w:tc>
            </w:tr>
          </w:tbl>
          <w:p w14:paraId="2932A8BA" w14:textId="77777777" w:rsidR="00433309" w:rsidRPr="00A8062B" w:rsidRDefault="00433309" w:rsidP="00433309">
            <w:pPr>
              <w:pStyle w:val="Text1"/>
              <w:spacing w:before="60" w:after="60"/>
              <w:ind w:left="0" w:right="-25"/>
              <w:rPr>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FAE88"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292835294"/>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7669A422"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968540613"/>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F4B0DE"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sidRPr="00132912">
                  <w:rPr>
                    <w:rFonts w:ascii="MS Gothic" w:eastAsia="MS Gothic" w:hAnsi="MS Gothic" w:cs="Segoe UI Symbol" w:hint="eastAsia"/>
                    <w:color w:val="0D0D0D" w:themeColor="text1" w:themeTint="F2"/>
                    <w:lang w:val="en-IE"/>
                  </w:rPr>
                  <w:t>☐</w:t>
                </w:r>
              </w:sdtContent>
            </w:sdt>
          </w:p>
        </w:tc>
      </w:tr>
      <w:tr w:rsidR="00433309" w:rsidRPr="00A8062B" w14:paraId="753BD524" w14:textId="77777777" w:rsidTr="247BFA05">
        <w:trPr>
          <w:trHeight w:val="40"/>
        </w:trPr>
        <w:tc>
          <w:tcPr>
            <w:tcW w:w="2330" w:type="dxa"/>
            <w:vMerge/>
          </w:tcPr>
          <w:p w14:paraId="69BE736E"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A5F42CA" w14:textId="513E54FE" w:rsidR="00433309" w:rsidRPr="00A8062B" w:rsidRDefault="00433309" w:rsidP="00433309">
            <w:pPr>
              <w:pStyle w:val="Text1"/>
              <w:spacing w:before="60" w:after="60"/>
              <w:ind w:left="0" w:right="-25"/>
              <w:rPr>
                <w:lang w:val="en-IE" w:eastAsia="de-DE"/>
              </w:rPr>
            </w:pPr>
            <w:r w:rsidRPr="00A8062B">
              <w:rPr>
                <w:color w:val="0D0D0D" w:themeColor="text1" w:themeTint="F2"/>
                <w:lang w:val="en-IE"/>
              </w:rPr>
              <w:t>Nutrition</w:t>
            </w:r>
            <w:r w:rsidRPr="00132912">
              <w:rPr>
                <w:rStyle w:val="FootnoteReference"/>
                <w:color w:val="0D0D0D" w:themeColor="text1" w:themeTint="F2"/>
                <w:lang w:val="en-IE"/>
              </w:rPr>
              <w:footnoteReference w:id="7"/>
            </w:r>
            <w:r w:rsidR="00C146A2" w:rsidRPr="0013291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21494" w14:textId="06D28E1B"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r>
      <w:tr w:rsidR="00433309" w:rsidRPr="00A8062B" w14:paraId="04D35538" w14:textId="77777777" w:rsidTr="247BFA05">
        <w:trPr>
          <w:trHeight w:val="40"/>
        </w:trPr>
        <w:tc>
          <w:tcPr>
            <w:tcW w:w="2330" w:type="dxa"/>
            <w:vMerge/>
          </w:tcPr>
          <w:p w14:paraId="136CAC82"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B22B664" w14:textId="56A25356" w:rsidR="00433309" w:rsidRPr="00A8062B" w:rsidRDefault="00433309" w:rsidP="00433309">
            <w:pPr>
              <w:pStyle w:val="Text1"/>
              <w:spacing w:before="60" w:after="60"/>
              <w:ind w:left="0" w:right="-25"/>
              <w:rPr>
                <w:lang w:val="en-IE" w:eastAsia="de-DE"/>
              </w:rPr>
            </w:pPr>
            <w:r w:rsidRPr="00A8062B">
              <w:rPr>
                <w:b/>
                <w:color w:val="0D0D0D" w:themeColor="text1" w:themeTint="F2"/>
                <w:lang w:val="en-IE"/>
              </w:rPr>
              <w:t xml:space="preserve">RIO Convention markers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A8062B" w:rsidRDefault="00433309" w:rsidP="00433309">
            <w:pPr>
              <w:pStyle w:val="Text1"/>
              <w:spacing w:before="60" w:after="60"/>
              <w:ind w:left="0" w:right="-25"/>
              <w:rPr>
                <w:lang w:val="en-IE" w:eastAsia="de-DE"/>
              </w:rPr>
            </w:pPr>
            <w:r w:rsidRPr="00132912">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A8062B" w:rsidRDefault="00433309" w:rsidP="00433309">
            <w:pPr>
              <w:pStyle w:val="Text1"/>
              <w:spacing w:before="60" w:after="60"/>
              <w:ind w:left="0" w:right="-25"/>
              <w:rPr>
                <w:lang w:val="en-IE" w:eastAsia="de-DE"/>
              </w:rPr>
            </w:pPr>
            <w:r w:rsidRPr="00132912">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A8062B" w:rsidRDefault="00433309" w:rsidP="00433309">
            <w:pPr>
              <w:pStyle w:val="Text1"/>
              <w:spacing w:before="60" w:after="60"/>
              <w:ind w:left="0" w:right="-25"/>
              <w:rPr>
                <w:lang w:val="en-IE" w:eastAsia="de-DE"/>
              </w:rPr>
            </w:pPr>
            <w:r w:rsidRPr="00132912">
              <w:rPr>
                <w:b/>
                <w:color w:val="0D0D0D" w:themeColor="text1" w:themeTint="F2"/>
                <w:lang w:val="en-IE"/>
              </w:rPr>
              <w:t>Principal objective</w:t>
            </w:r>
          </w:p>
        </w:tc>
      </w:tr>
      <w:tr w:rsidR="00433309" w:rsidRPr="00A8062B" w14:paraId="000E67C7" w14:textId="77777777" w:rsidTr="247BFA05">
        <w:trPr>
          <w:trHeight w:val="40"/>
        </w:trPr>
        <w:tc>
          <w:tcPr>
            <w:tcW w:w="2330" w:type="dxa"/>
            <w:vMerge/>
          </w:tcPr>
          <w:p w14:paraId="3A78F30D" w14:textId="77777777" w:rsidR="00433309" w:rsidRPr="00A8062B"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D110BEB" w14:textId="2C63E68E" w:rsidR="00433309" w:rsidRPr="00A8062B" w:rsidRDefault="00433309" w:rsidP="00433309">
            <w:pPr>
              <w:pStyle w:val="Text1"/>
              <w:spacing w:before="60" w:after="60"/>
              <w:ind w:left="0" w:right="-25"/>
              <w:rPr>
                <w:lang w:val="en-IE" w:eastAsia="de-DE"/>
              </w:rPr>
            </w:pPr>
            <w:r w:rsidRPr="00A8062B">
              <w:rPr>
                <w:color w:val="0D0D0D" w:themeColor="text1" w:themeTint="F2"/>
                <w:lang w:val="en-IE"/>
              </w:rPr>
              <w:t>Biological diversity</w:t>
            </w:r>
            <w:r w:rsidR="00C146A2" w:rsidRPr="00A8062B">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1A2D" w14:textId="3B64C8C1"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012595753"/>
                <w14:checkbox>
                  <w14:checked w14:val="1"/>
                  <w14:checkedState w14:val="2612" w14:font="MS Gothic"/>
                  <w14:uncheckedState w14:val="2610" w14:font="MS Gothic"/>
                </w14:checkbox>
              </w:sdtPr>
              <w:sdtEndPr/>
              <w:sdtContent>
                <w:r w:rsidR="00E16378" w:rsidRPr="0013291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814562628"/>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A8062B" w:rsidRDefault="00893C9A" w:rsidP="00433309">
            <w:pPr>
              <w:pStyle w:val="Text1"/>
              <w:spacing w:before="60" w:after="60"/>
              <w:ind w:left="0" w:right="-25"/>
              <w:rPr>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132912">
                  <w:rPr>
                    <w:rFonts w:ascii="MS Gothic" w:eastAsia="MS Gothic" w:hAnsi="MS Gothic" w:cs="Segoe UI Symbol"/>
                    <w:color w:val="0D0D0D" w:themeColor="text1" w:themeTint="F2"/>
                    <w:lang w:val="en-IE"/>
                  </w:rPr>
                  <w:t>☐</w:t>
                </w:r>
              </w:sdtContent>
            </w:sdt>
          </w:p>
        </w:tc>
      </w:tr>
      <w:tr w:rsidR="00433309" w:rsidRPr="008704EA" w14:paraId="6BAB0F7C" w14:textId="77777777" w:rsidTr="247BFA05">
        <w:trPr>
          <w:trHeight w:val="40"/>
        </w:trPr>
        <w:tc>
          <w:tcPr>
            <w:tcW w:w="2330" w:type="dxa"/>
            <w:vMerge/>
          </w:tcPr>
          <w:p w14:paraId="43AFE89A" w14:textId="77777777" w:rsidR="00433309" w:rsidRPr="003C0CD7"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E7B3556" w14:textId="24766EB4" w:rsidR="00433309" w:rsidRPr="003C0CD7" w:rsidRDefault="00433309" w:rsidP="00433309">
            <w:pPr>
              <w:pStyle w:val="Text1"/>
              <w:spacing w:before="60" w:after="60"/>
              <w:ind w:left="0" w:right="-25"/>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A001A" w14:textId="01CA285D"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1"/>
                  <w14:checkedState w14:val="2612" w14:font="MS Gothic"/>
                  <w14:uncheckedState w14:val="2610" w14:font="MS Gothic"/>
                </w14:checkbox>
              </w:sdtPr>
              <w:sdtEndPr/>
              <w:sdtContent>
                <w:r w:rsidR="00E16378">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247BFA05">
        <w:trPr>
          <w:trHeight w:val="40"/>
        </w:trPr>
        <w:tc>
          <w:tcPr>
            <w:tcW w:w="2330" w:type="dxa"/>
            <w:vMerge/>
          </w:tcPr>
          <w:p w14:paraId="1C7DE7CF" w14:textId="77777777" w:rsidR="00433309" w:rsidRPr="003C0CD7"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32A912" w14:textId="437B2378" w:rsidR="00433309" w:rsidRPr="003C0CD7" w:rsidRDefault="00433309" w:rsidP="00433309">
            <w:pPr>
              <w:pStyle w:val="Text1"/>
              <w:spacing w:before="60" w:after="60"/>
              <w:ind w:left="0" w:right="-25"/>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CEC36" w14:textId="09DC0DDB"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1"/>
                  <w14:checkedState w14:val="2612" w14:font="MS Gothic"/>
                  <w14:uncheckedState w14:val="2610" w14:font="MS Gothic"/>
                </w14:checkbox>
              </w:sdtPr>
              <w:sdtEndPr/>
              <w:sdtContent>
                <w:r w:rsidR="00E16378">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77777777"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247BFA05">
        <w:trPr>
          <w:trHeight w:val="40"/>
        </w:trPr>
        <w:tc>
          <w:tcPr>
            <w:tcW w:w="2330" w:type="dxa"/>
            <w:vMerge/>
          </w:tcPr>
          <w:p w14:paraId="06C9596F" w14:textId="77777777" w:rsidR="00433309" w:rsidRPr="003C0CD7" w:rsidRDefault="00433309" w:rsidP="00433309">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5789F42" w14:textId="5A0C4F1E" w:rsidR="00433309" w:rsidRPr="003C0CD7" w:rsidRDefault="00433309" w:rsidP="00433309">
            <w:pPr>
              <w:pStyle w:val="Text1"/>
              <w:spacing w:before="60" w:after="60"/>
              <w:ind w:left="0" w:right="-25"/>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2A010" w14:textId="3FAB3603"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EndPr/>
              <w:sdtContent>
                <w:r w:rsidR="00E16378">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77777777"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893C9A" w:rsidP="00433309">
            <w:pPr>
              <w:pStyle w:val="Text1"/>
              <w:spacing w:before="60" w:after="60"/>
              <w:ind w:left="0" w:right="-25"/>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247BFA05">
        <w:trPr>
          <w:trHeight w:val="40"/>
        </w:trPr>
        <w:tc>
          <w:tcPr>
            <w:tcW w:w="2330" w:type="dxa"/>
            <w:vMerge w:val="restart"/>
            <w:tcBorders>
              <w:left w:val="single" w:sz="4" w:space="0" w:color="auto"/>
              <w:right w:val="single" w:sz="4" w:space="0" w:color="auto"/>
            </w:tcBorders>
            <w:shd w:val="clear" w:color="auto" w:fill="auto"/>
          </w:tcPr>
          <w:p w14:paraId="52526132" w14:textId="77777777" w:rsidR="003A426F" w:rsidRPr="003C0CD7" w:rsidRDefault="003A426F" w:rsidP="002548F3">
            <w:pPr>
              <w:rPr>
                <w:b/>
                <w:bCs/>
                <w:color w:val="0D0D0D" w:themeColor="text1" w:themeTint="F2"/>
                <w:lang w:val="en-IE"/>
              </w:rPr>
            </w:pPr>
            <w:r w:rsidRPr="003C0CD7">
              <w:rPr>
                <w:b/>
                <w:bCs/>
                <w:color w:val="0D0D0D" w:themeColor="text1" w:themeTint="F2"/>
                <w:lang w:val="en-IE"/>
              </w:rPr>
              <w:t>Internal markers</w:t>
            </w:r>
            <w:r w:rsidRPr="003C0CD7">
              <w:rPr>
                <w:rStyle w:val="FootnoteReference"/>
                <w:b/>
                <w:bCs/>
                <w:color w:val="0D0D0D" w:themeColor="text1" w:themeTint="F2"/>
                <w:lang w:val="en-IE"/>
              </w:rPr>
              <w:footnoteReference w:id="8"/>
            </w:r>
            <w:r w:rsidR="007230DA">
              <w:rPr>
                <w:b/>
                <w:bCs/>
                <w:color w:val="0D0D0D" w:themeColor="text1" w:themeTint="F2"/>
                <w:lang w:val="en-IE"/>
              </w:rPr>
              <w:t xml:space="preserve"> </w:t>
            </w:r>
            <w:r w:rsidR="007230DA">
              <w:rPr>
                <w:b/>
                <w:bCs/>
                <w:color w:val="0D0D0D" w:themeColor="text1" w:themeTint="F2"/>
              </w:rPr>
              <w:t>and Tags</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3A426F">
            <w:pPr>
              <w:pStyle w:val="Text1"/>
              <w:spacing w:before="60" w:after="60"/>
              <w:ind w:left="0" w:right="-25"/>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3A426F">
            <w:pPr>
              <w:pStyle w:val="Text1"/>
              <w:spacing w:before="60" w:after="60"/>
              <w:ind w:left="0" w:right="-25"/>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3A426F">
            <w:pPr>
              <w:pStyle w:val="Text1"/>
              <w:spacing w:before="60" w:after="60"/>
              <w:ind w:left="0" w:right="-25"/>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3A426F">
            <w:pPr>
              <w:pStyle w:val="Text1"/>
              <w:spacing w:before="60" w:after="60"/>
              <w:ind w:left="0" w:right="-25"/>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247BFA05">
        <w:trPr>
          <w:trHeight w:val="40"/>
        </w:trPr>
        <w:tc>
          <w:tcPr>
            <w:tcW w:w="2330" w:type="dxa"/>
            <w:vMerge/>
          </w:tcPr>
          <w:p w14:paraId="772C7F1E" w14:textId="77777777" w:rsidR="00091845" w:rsidRPr="003C0CD7" w:rsidRDefault="00091845" w:rsidP="00091845">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091845">
            <w:pPr>
              <w:pStyle w:val="Text1"/>
              <w:spacing w:before="60" w:after="60"/>
              <w:ind w:left="0" w:right="-25"/>
              <w:rPr>
                <w:color w:val="0D0D0D" w:themeColor="text1" w:themeTint="F2"/>
              </w:rPr>
            </w:pPr>
            <w:r>
              <w:rPr>
                <w:color w:val="0D0D0D" w:themeColor="text1" w:themeTint="F2"/>
              </w:rPr>
              <w:t>EIP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21F29" w14:textId="518C601F" w:rsidR="00091845" w:rsidRDefault="00893C9A" w:rsidP="00091845">
            <w:pPr>
              <w:pStyle w:val="Text1"/>
              <w:spacing w:before="60" w:after="60"/>
              <w:ind w:left="0" w:right="-25"/>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0"/>
                  <w14:checkedState w14:val="2612" w14:font="MS Gothic"/>
                  <w14:uncheckedState w14:val="2610" w14:font="MS Gothic"/>
                </w14:checkbox>
              </w:sdtPr>
              <w:sdtEndPr/>
              <w:sdtContent>
                <w:r w:rsidR="00091845"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24B97083" w:rsidR="00091845" w:rsidRDefault="00893C9A" w:rsidP="00091845">
            <w:pPr>
              <w:pStyle w:val="Text1"/>
              <w:spacing w:before="60" w:after="60"/>
              <w:ind w:left="0" w:right="-25"/>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69583294"/>
                <w14:checkbox>
                  <w14:checked w14:val="1"/>
                  <w14:checkedState w14:val="2612" w14:font="MS Gothic"/>
                  <w14:uncheckedState w14:val="2610" w14:font="MS Gothic"/>
                </w14:checkbox>
              </w:sdtPr>
              <w:sdtEndPr/>
              <w:sdtContent>
                <w:r w:rsidR="00530A75">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C0559B" w14:textId="1CB2A83E" w:rsidR="00091845" w:rsidRDefault="00893C9A" w:rsidP="00091845">
            <w:pPr>
              <w:pStyle w:val="Text1"/>
              <w:spacing w:before="60" w:after="60"/>
              <w:ind w:left="0" w:right="-25"/>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86904560"/>
                <w14:checkbox>
                  <w14:checked w14:val="0"/>
                  <w14:checkedState w14:val="2612" w14:font="MS Gothic"/>
                  <w14:uncheckedState w14:val="2610" w14:font="MS Gothic"/>
                </w14:checkbox>
              </w:sdtPr>
              <w:sdtEndPr/>
              <w:sdtContent>
                <w:r w:rsidR="00091845">
                  <w:rPr>
                    <w:rFonts w:ascii="MS Gothic" w:eastAsia="MS Gothic" w:hAnsi="MS Gothic" w:cs="Segoe UI Symbol" w:hint="eastAsia"/>
                    <w:color w:val="0D0D0D" w:themeColor="text1" w:themeTint="F2"/>
                    <w:lang w:val="en-IE"/>
                  </w:rPr>
                  <w:t>☐</w:t>
                </w:r>
              </w:sdtContent>
            </w:sdt>
          </w:p>
        </w:tc>
      </w:tr>
      <w:tr w:rsidR="00091845" w:rsidRPr="008704EA" w14:paraId="51A98BEB" w14:textId="77777777" w:rsidTr="247BFA05">
        <w:trPr>
          <w:trHeight w:val="40"/>
        </w:trPr>
        <w:tc>
          <w:tcPr>
            <w:tcW w:w="2330" w:type="dxa"/>
            <w:vMerge/>
          </w:tcPr>
          <w:p w14:paraId="23CF3AC4" w14:textId="77777777" w:rsidR="00091845" w:rsidRPr="003C0CD7" w:rsidRDefault="00091845" w:rsidP="00C85643">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7230DA">
            <w:pPr>
              <w:pStyle w:val="Text1"/>
              <w:spacing w:before="60" w:after="60"/>
              <w:ind w:left="0" w:right="-25"/>
              <w:rPr>
                <w:color w:val="0D0D0D" w:themeColor="text1" w:themeTint="F2"/>
              </w:rPr>
            </w:pPr>
            <w:r>
              <w:rPr>
                <w:color w:val="0D0D0D" w:themeColor="text1" w:themeTint="F2"/>
              </w:rPr>
              <w:t>EIP Flagship</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BA57FB6" w14:textId="03C2132B" w:rsidR="00091845" w:rsidRDefault="00893C9A" w:rsidP="0082062A">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44314993"/>
                <w14:checkbox>
                  <w14:checked w14:val="1"/>
                  <w14:checkedState w14:val="2612" w14:font="MS Gothic"/>
                  <w14:uncheckedState w14:val="2610" w14:font="MS Gothic"/>
                </w14:checkbox>
              </w:sdtPr>
              <w:sdtEndPr/>
              <w:sdtContent>
                <w:r w:rsidR="00530A75">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7FC83143" w:rsidR="00091845" w:rsidRDefault="00091845" w:rsidP="0082062A">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r>
      <w:tr w:rsidR="00091845" w:rsidRPr="008704EA" w14:paraId="32151A3D" w14:textId="77777777" w:rsidTr="247BFA05">
        <w:trPr>
          <w:trHeight w:val="40"/>
        </w:trPr>
        <w:tc>
          <w:tcPr>
            <w:tcW w:w="2330" w:type="dxa"/>
            <w:vMerge/>
          </w:tcPr>
          <w:p w14:paraId="70698DE2" w14:textId="77777777" w:rsidR="00091845" w:rsidRPr="003C0CD7" w:rsidRDefault="00091845" w:rsidP="00091845">
            <w:pPr>
              <w:rPr>
                <w:b/>
                <w:bCs/>
                <w:color w:val="0D0D0D" w:themeColor="text1" w:themeTint="F2"/>
                <w:lang w:val="en-IE"/>
              </w:rPr>
            </w:pPr>
          </w:p>
        </w:tc>
        <w:tc>
          <w:tcPr>
            <w:tcW w:w="3482"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7777777" w:rsidR="00091845" w:rsidRPr="0082062A" w:rsidRDefault="23A20C3A" w:rsidP="00091845">
            <w:pPr>
              <w:pStyle w:val="Text1"/>
              <w:spacing w:before="60" w:after="60"/>
              <w:ind w:left="0" w:right="-25"/>
              <w:rPr>
                <w:color w:val="0D0D0D" w:themeColor="text1" w:themeTint="F2"/>
                <w:lang w:val="en-IE"/>
              </w:rPr>
            </w:pPr>
            <w:r w:rsidRPr="0082062A">
              <w:rPr>
                <w:color w:val="0D0D0D" w:themeColor="text1" w:themeTint="F2"/>
                <w:lang w:val="en-IE"/>
              </w:rPr>
              <w:t>Tags</w:t>
            </w:r>
            <w:r w:rsidR="00091845">
              <w:rPr>
                <w:rStyle w:val="FootnoteReference"/>
                <w:color w:val="0D0D0D" w:themeColor="text1" w:themeTint="F2"/>
              </w:rPr>
              <w:footnoteReference w:id="9"/>
            </w:r>
            <w:r>
              <w:rPr>
                <w:color w:val="0D0D0D" w:themeColor="text1" w:themeTint="F2"/>
                <w:lang w:val="en-IE"/>
              </w:rPr>
              <w:t>:</w:t>
            </w:r>
          </w:p>
        </w:tc>
        <w:tc>
          <w:tcPr>
            <w:tcW w:w="2410"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241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247BFA05">
        <w:trPr>
          <w:trHeight w:val="40"/>
        </w:trPr>
        <w:tc>
          <w:tcPr>
            <w:tcW w:w="2330" w:type="dxa"/>
            <w:vMerge/>
          </w:tcPr>
          <w:p w14:paraId="6E9C552C" w14:textId="77777777" w:rsidR="00DA4A97" w:rsidRPr="003C0CD7" w:rsidRDefault="00DA4A97" w:rsidP="00091845">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091845">
            <w:pPr>
              <w:pStyle w:val="Text1"/>
              <w:spacing w:before="60" w:after="60"/>
              <w:ind w:left="0" w:right="-25"/>
              <w:rPr>
                <w:color w:val="0D0D0D" w:themeColor="text1" w:themeTint="F2"/>
                <w:lang w:val="en-IE"/>
              </w:rPr>
            </w:pPr>
            <w:r>
              <w:rPr>
                <w:color w:val="0D0D0D" w:themeColor="text1" w:themeTint="F2"/>
              </w:rPr>
              <w:t>T</w:t>
            </w:r>
            <w:r w:rsidRPr="00091845">
              <w:rPr>
                <w:color w:val="0D0D0D" w:themeColor="text1" w:themeTint="F2"/>
              </w:rPr>
              <w:t>ransport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7874B092"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722717393"/>
                <w:placeholder>
                  <w:docPart w:val="DefaultPlaceholder_1081868574"/>
                </w:placeholder>
                <w14:checkbox>
                  <w14:checked w14:val="0"/>
                  <w14:checkedState w14:val="2612" w14:font="MS Gothic"/>
                  <w14:uncheckedState w14:val="2610" w14:font="MS Gothic"/>
                </w14:checkbox>
              </w:sdtPr>
              <w:sdtEndPr/>
              <w:sdtContent>
                <w:r w:rsidR="00C30790">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27A9E320" w:rsidR="00DA4A97" w:rsidRDefault="00893C9A"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EndPr/>
              <w:sdtContent>
                <w:r w:rsidR="00C30790">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247BFA05">
        <w:trPr>
          <w:trHeight w:val="40"/>
        </w:trPr>
        <w:tc>
          <w:tcPr>
            <w:tcW w:w="2330" w:type="dxa"/>
            <w:vMerge/>
          </w:tcPr>
          <w:p w14:paraId="75B47E63"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DA4A97">
            <w:pPr>
              <w:pStyle w:val="Text1"/>
              <w:spacing w:before="60" w:after="60"/>
              <w:ind w:left="0" w:right="-25"/>
              <w:rPr>
                <w:color w:val="0D0D0D" w:themeColor="text1" w:themeTint="F2"/>
                <w:lang w:val="en-IE"/>
              </w:rPr>
            </w:pPr>
            <w:r>
              <w:rPr>
                <w:color w:val="0D0D0D" w:themeColor="text1" w:themeTint="F2"/>
              </w:rPr>
              <w:t>Energy</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04FFFC22"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673CCD27"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2075731545"/>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247BFA05">
        <w:trPr>
          <w:trHeight w:val="40"/>
        </w:trPr>
        <w:tc>
          <w:tcPr>
            <w:tcW w:w="2330" w:type="dxa"/>
            <w:vMerge/>
          </w:tcPr>
          <w:p w14:paraId="325E6F90"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DA4A97">
            <w:pPr>
              <w:pStyle w:val="Text1"/>
              <w:spacing w:before="60" w:after="60"/>
              <w:ind w:left="0" w:right="-25"/>
              <w:rPr>
                <w:color w:val="0D0D0D" w:themeColor="text1" w:themeTint="F2"/>
                <w:lang w:val="en-IE"/>
              </w:rPr>
            </w:pPr>
            <w:r>
              <w:rPr>
                <w:color w:val="0D0D0D" w:themeColor="text1" w:themeTint="F2"/>
              </w:rPr>
              <w:t>Environment and climate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26A59104"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0"/>
                  <w14:checkedState w14:val="2612" w14:font="MS Gothic"/>
                  <w14:uncheckedState w14:val="2610" w14:font="MS Gothic"/>
                </w14:checkbox>
              </w:sdtPr>
              <w:sdtEndPr/>
              <w:sdtContent>
                <w:r w:rsidR="00DA4A97">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0C9C54E1"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1031331279"/>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247BFA05">
        <w:trPr>
          <w:trHeight w:val="40"/>
        </w:trPr>
        <w:tc>
          <w:tcPr>
            <w:tcW w:w="2330" w:type="dxa"/>
            <w:vMerge/>
          </w:tcPr>
          <w:p w14:paraId="08F08792"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DA4A97">
            <w:pPr>
              <w:pStyle w:val="Text1"/>
              <w:spacing w:before="60" w:after="60"/>
              <w:ind w:left="0" w:right="-25"/>
              <w:rPr>
                <w:color w:val="0D0D0D" w:themeColor="text1" w:themeTint="F2"/>
                <w:lang w:val="en-IE"/>
              </w:rPr>
            </w:pPr>
            <w:r w:rsidRPr="00091845">
              <w:rPr>
                <w:color w:val="0D0D0D" w:themeColor="text1" w:themeTint="F2"/>
              </w:rPr>
              <w:t>Digital</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13346B1B"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0"/>
                  <w14:checkedState w14:val="2612" w14:font="MS Gothic"/>
                  <w14:uncheckedState w14:val="2610" w14:font="MS Gothic"/>
                </w14:checkbox>
              </w:sdtPr>
              <w:sdtEndPr/>
              <w:sdtContent>
                <w:r w:rsidR="00C30790">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7039ECCF"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736D3B3B" w14:textId="77777777" w:rsidTr="247BFA05">
        <w:trPr>
          <w:trHeight w:val="40"/>
        </w:trPr>
        <w:tc>
          <w:tcPr>
            <w:tcW w:w="2330" w:type="dxa"/>
            <w:vMerge/>
          </w:tcPr>
          <w:p w14:paraId="0EE9C36D"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DA4A97">
            <w:pPr>
              <w:pStyle w:val="Text1"/>
              <w:spacing w:before="60" w:after="60"/>
              <w:ind w:left="0" w:right="-25"/>
              <w:rPr>
                <w:color w:val="0D0D0D" w:themeColor="text1" w:themeTint="F2"/>
                <w:lang w:val="en-IE"/>
              </w:rPr>
            </w:pPr>
            <w:r w:rsidRPr="0081639E">
              <w:rPr>
                <w:color w:val="0D0D0D" w:themeColor="text1" w:themeTint="F2"/>
              </w:rPr>
              <w:t>Economic development (incl. private sector, trade and macroeconomic support)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7A5951B8"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53E1574F"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149108532"/>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r>
      <w:tr w:rsidR="00DA4A97" w:rsidRPr="008704EA" w14:paraId="0B838552" w14:textId="77777777" w:rsidTr="247BFA05">
        <w:trPr>
          <w:trHeight w:val="40"/>
        </w:trPr>
        <w:tc>
          <w:tcPr>
            <w:tcW w:w="2330" w:type="dxa"/>
            <w:vMerge/>
          </w:tcPr>
          <w:p w14:paraId="40864031"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DA4A97">
            <w:pPr>
              <w:pStyle w:val="Text1"/>
              <w:spacing w:before="60" w:after="60"/>
              <w:ind w:left="0" w:right="-25"/>
              <w:rPr>
                <w:color w:val="0D0D0D" w:themeColor="text1" w:themeTint="F2"/>
                <w:lang w:val="en-IE"/>
              </w:rPr>
            </w:pPr>
            <w:r w:rsidRPr="0081639E">
              <w:rPr>
                <w:color w:val="0D0D0D" w:themeColor="text1" w:themeTint="F2"/>
              </w:rPr>
              <w:t>Human Development (incl. human capital and youth)</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73DCB7CE"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1208183453"/>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79A1F2B9"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1699122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CCD1217" w14:textId="77777777" w:rsidTr="247BFA05">
        <w:trPr>
          <w:trHeight w:val="40"/>
        </w:trPr>
        <w:tc>
          <w:tcPr>
            <w:tcW w:w="2330" w:type="dxa"/>
            <w:vMerge/>
          </w:tcPr>
          <w:p w14:paraId="4F9E4B31"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DA4A97">
            <w:pPr>
              <w:pStyle w:val="Text1"/>
              <w:spacing w:before="60" w:after="60"/>
              <w:ind w:left="0" w:right="-25"/>
              <w:rPr>
                <w:color w:val="0D0D0D" w:themeColor="text1" w:themeTint="F2"/>
                <w:lang w:val="en-IE"/>
              </w:rPr>
            </w:pPr>
            <w:r w:rsidRPr="0081639E">
              <w:rPr>
                <w:color w:val="0D0D0D" w:themeColor="text1" w:themeTint="F2"/>
              </w:rPr>
              <w:t>Health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7D5ED668"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1"/>
                  <w14:checkedState w14:val="2612" w14:font="MS Gothic"/>
                  <w14:uncheckedState w14:val="2610" w14:font="MS Gothic"/>
                </w14:checkbox>
              </w:sdtPr>
              <w:sdtEndPr/>
              <w:sdtContent>
                <w:r w:rsidR="00530A75">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0401670F"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29B2C64" w14:textId="77777777" w:rsidTr="247BFA05">
        <w:trPr>
          <w:trHeight w:val="40"/>
        </w:trPr>
        <w:tc>
          <w:tcPr>
            <w:tcW w:w="2330" w:type="dxa"/>
            <w:vMerge/>
          </w:tcPr>
          <w:p w14:paraId="323BA2CB"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DA4A97">
            <w:pPr>
              <w:pStyle w:val="Text1"/>
              <w:spacing w:before="60" w:after="60"/>
              <w:ind w:left="0" w:right="-25"/>
              <w:rPr>
                <w:color w:val="0D0D0D" w:themeColor="text1" w:themeTint="F2"/>
                <w:lang w:val="en-IE"/>
              </w:rPr>
            </w:pPr>
            <w:r w:rsidRPr="0081639E">
              <w:rPr>
                <w:color w:val="0D0D0D" w:themeColor="text1" w:themeTint="F2"/>
              </w:rPr>
              <w:t>Migration and mobility</w:t>
            </w:r>
          </w:p>
        </w:tc>
        <w:tc>
          <w:tcPr>
            <w:tcW w:w="2410"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66F255E9"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EndPr/>
              <w:sdtContent>
                <w:r w:rsidR="00C32C5C">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1A071FEF"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1272081147"/>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r>
      <w:tr w:rsidR="00DA4A97" w:rsidRPr="008704EA" w14:paraId="5F9CB707" w14:textId="77777777" w:rsidTr="247BFA05">
        <w:trPr>
          <w:trHeight w:val="40"/>
        </w:trPr>
        <w:tc>
          <w:tcPr>
            <w:tcW w:w="2330" w:type="dxa"/>
            <w:vMerge/>
          </w:tcPr>
          <w:p w14:paraId="1602AF7A"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DA4A97">
            <w:pPr>
              <w:pStyle w:val="Text1"/>
              <w:spacing w:before="60" w:after="60"/>
              <w:ind w:left="0" w:right="-25"/>
              <w:rPr>
                <w:color w:val="0D0D0D" w:themeColor="text1" w:themeTint="F2"/>
                <w:lang w:val="en-IE"/>
              </w:rPr>
            </w:pPr>
            <w:r w:rsidRPr="0081639E">
              <w:rPr>
                <w:color w:val="0D0D0D" w:themeColor="text1" w:themeTint="F2"/>
                <w:lang w:val="en-IE"/>
              </w:rPr>
              <w:t>Agriculture, food security and rural development</w:t>
            </w:r>
          </w:p>
        </w:tc>
        <w:tc>
          <w:tcPr>
            <w:tcW w:w="2410"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1184199C"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0444DB0A"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1887530982"/>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r>
      <w:tr w:rsidR="00DA4A97" w:rsidRPr="008704EA" w14:paraId="775A9BEB" w14:textId="77777777" w:rsidTr="247BFA05">
        <w:trPr>
          <w:trHeight w:val="40"/>
        </w:trPr>
        <w:tc>
          <w:tcPr>
            <w:tcW w:w="2330" w:type="dxa"/>
            <w:vMerge/>
          </w:tcPr>
          <w:p w14:paraId="1A266FD9"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DA4A97">
            <w:pPr>
              <w:pStyle w:val="Text1"/>
              <w:spacing w:before="60" w:after="60"/>
              <w:ind w:left="0" w:right="-25"/>
              <w:rPr>
                <w:color w:val="0D0D0D" w:themeColor="text1" w:themeTint="F2"/>
                <w:lang w:val="en-IE"/>
              </w:rPr>
            </w:pPr>
            <w:r w:rsidRPr="0081639E">
              <w:rPr>
                <w:color w:val="0D0D0D" w:themeColor="text1" w:themeTint="F2"/>
                <w:lang w:val="en-IE"/>
              </w:rPr>
              <w:t>Rule of law, governance and Public Administration reform</w:t>
            </w:r>
          </w:p>
        </w:tc>
        <w:tc>
          <w:tcPr>
            <w:tcW w:w="241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32806B36"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5317507E" w:rsidR="00DA4A97" w:rsidRDefault="00893C9A" w:rsidP="73E450EF">
            <w:pPr>
              <w:pStyle w:val="Text1"/>
              <w:spacing w:before="60" w:after="60"/>
              <w:ind w:left="0" w:right="-25"/>
              <w:jc w:val="center"/>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333299479"/>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lang w:val="en-IE"/>
                  </w:rPr>
                  <w:t>☒</w:t>
                </w:r>
              </w:sdtContent>
            </w:sdt>
          </w:p>
        </w:tc>
      </w:tr>
      <w:tr w:rsidR="00DA4A97" w:rsidRPr="008704EA" w14:paraId="5365897C" w14:textId="77777777" w:rsidTr="247BFA05">
        <w:trPr>
          <w:trHeight w:val="40"/>
        </w:trPr>
        <w:tc>
          <w:tcPr>
            <w:tcW w:w="2330" w:type="dxa"/>
            <w:vMerge/>
          </w:tcPr>
          <w:p w14:paraId="6A1C85AC" w14:textId="77777777" w:rsidR="00DA4A97" w:rsidRPr="003C0CD7" w:rsidRDefault="00DA4A97" w:rsidP="00DA4A97">
            <w:pPr>
              <w:rPr>
                <w:b/>
                <w:bCs/>
                <w:color w:val="0D0D0D" w:themeColor="text1" w:themeTint="F2"/>
                <w:lang w:val="en-IE"/>
              </w:rPr>
            </w:pPr>
          </w:p>
        </w:tc>
        <w:tc>
          <w:tcPr>
            <w:tcW w:w="3482"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DA4A97">
            <w:pPr>
              <w:pStyle w:val="Text1"/>
              <w:spacing w:before="60" w:after="60"/>
              <w:ind w:left="0" w:right="-25"/>
              <w:rPr>
                <w:color w:val="0D0D0D" w:themeColor="text1" w:themeTint="F2"/>
                <w:lang w:val="en-IE"/>
              </w:rPr>
            </w:pPr>
            <w:r>
              <w:rPr>
                <w:color w:val="0D0D0D" w:themeColor="text1" w:themeTint="F2"/>
                <w:lang w:val="en-IE"/>
              </w:rPr>
              <w:t>Other</w:t>
            </w:r>
          </w:p>
        </w:tc>
        <w:tc>
          <w:tcPr>
            <w:tcW w:w="2410"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2B1AC785"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61AED6DC" w:rsidR="00DA4A97" w:rsidRDefault="00893C9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1"/>
                  <w14:checkedState w14:val="2612" w14:font="MS Gothic"/>
                  <w14:uncheckedState w14:val="2610" w14:font="MS Gothic"/>
                </w14:checkbox>
              </w:sdtPr>
              <w:sdtEndPr/>
              <w:sdtContent>
                <w:r w:rsidR="00C30790">
                  <w:rPr>
                    <w:rFonts w:ascii="MS Gothic" w:eastAsia="MS Gothic" w:hAnsi="MS Gothic" w:cs="Segoe UI Symbol" w:hint="eastAsia"/>
                    <w:color w:val="0D0D0D" w:themeColor="text1" w:themeTint="F2"/>
                    <w:lang w:val="en-IE"/>
                  </w:rPr>
                  <w:t>☒</w:t>
                </w:r>
              </w:sdtContent>
            </w:sdt>
          </w:p>
        </w:tc>
      </w:tr>
      <w:tr w:rsidR="007230DA" w:rsidRPr="008704EA" w14:paraId="46684703" w14:textId="77777777" w:rsidTr="247BFA05">
        <w:trPr>
          <w:trHeight w:val="40"/>
        </w:trPr>
        <w:tc>
          <w:tcPr>
            <w:tcW w:w="2330" w:type="dxa"/>
            <w:vMerge/>
          </w:tcPr>
          <w:p w14:paraId="79583395" w14:textId="77777777" w:rsidR="007230DA" w:rsidRPr="003C0CD7" w:rsidRDefault="007230DA" w:rsidP="00C85643">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7BFDDA7" w14:textId="7CEF0DC6" w:rsidR="007230DA" w:rsidRPr="00C85643" w:rsidRDefault="007230DA" w:rsidP="007230DA">
            <w:pPr>
              <w:pStyle w:val="Text1"/>
              <w:spacing w:before="60" w:after="60"/>
              <w:ind w:left="0" w:right="-25"/>
              <w:rPr>
                <w:b/>
                <w:color w:val="0D0D0D" w:themeColor="text1" w:themeTint="F2"/>
                <w:lang w:val="en-IE"/>
              </w:rPr>
            </w:pPr>
            <w:r w:rsidRPr="005D6559">
              <w:rPr>
                <w:color w:val="0D0D0D" w:themeColor="text1" w:themeTint="F2"/>
              </w:rPr>
              <w:t>Digitalisation</w:t>
            </w:r>
            <w:r w:rsidR="00411D72">
              <w:rPr>
                <w:rStyle w:val="FootnoteReference"/>
                <w:color w:val="0D0D0D" w:themeColor="text1" w:themeTint="F2"/>
              </w:rPr>
              <w:footnoteReference w:id="10"/>
            </w:r>
            <w:r w:rsidRPr="005D6559">
              <w:rPr>
                <w:color w:val="0D0D0D" w:themeColor="text1" w:themeTint="F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39B2" w14:textId="25876C04" w:rsidR="007230DA" w:rsidRPr="00C85643" w:rsidRDefault="00893C9A" w:rsidP="007230DA">
            <w:pPr>
              <w:pStyle w:val="Text1"/>
              <w:spacing w:before="60" w:after="60"/>
              <w:ind w:left="0" w:right="-25"/>
              <w:rPr>
                <w:b/>
                <w:color w:val="0D0D0D" w:themeColor="text1" w:themeTint="F2"/>
                <w:lang w:val="en-IE"/>
              </w:rPr>
            </w:pPr>
            <w:sdt>
              <w:sdtPr>
                <w:rPr>
                  <w:rFonts w:eastAsia="MS Gothic"/>
                  <w:color w:val="0D0D0D" w:themeColor="text1" w:themeTint="F2"/>
                  <w:sz w:val="22"/>
                </w:rPr>
                <w:id w:val="838426788"/>
                <w14:checkbox>
                  <w14:checked w14:val="0"/>
                  <w14:checkedState w14:val="2612" w14:font="MS Gothic"/>
                  <w14:uncheckedState w14:val="2610" w14:font="MS Gothic"/>
                </w14:checkbox>
              </w:sdtPr>
              <w:sdtEndPr/>
              <w:sdtContent>
                <w:r w:rsidR="004F5803">
                  <w:rPr>
                    <w:rFonts w:ascii="MS Gothic" w:eastAsia="MS Gothic" w:hAnsi="MS Gothic"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85D15F6" w14:textId="44B9B696" w:rsidR="007230DA" w:rsidRPr="00C85643" w:rsidRDefault="00893C9A" w:rsidP="007230DA">
            <w:pPr>
              <w:pStyle w:val="Text1"/>
              <w:spacing w:before="60" w:after="60"/>
              <w:ind w:left="0" w:right="-25"/>
              <w:rPr>
                <w:b/>
                <w:color w:val="0D0D0D" w:themeColor="text1" w:themeTint="F2"/>
                <w:lang w:val="en-IE"/>
              </w:rPr>
            </w:pPr>
            <w:sdt>
              <w:sdtPr>
                <w:rPr>
                  <w:rFonts w:eastAsia="MS Gothic"/>
                  <w:color w:val="0D0D0D" w:themeColor="text1" w:themeTint="F2"/>
                  <w:sz w:val="22"/>
                </w:rPr>
                <w:id w:val="-1631311115"/>
                <w14:checkbox>
                  <w14:checked w14:val="1"/>
                  <w14:checkedState w14:val="2612" w14:font="MS Gothic"/>
                  <w14:uncheckedState w14:val="2610" w14:font="MS Gothic"/>
                </w14:checkbox>
              </w:sdtPr>
              <w:sdtEndPr/>
              <w:sdtContent>
                <w:r w:rsidR="00530A75">
                  <w:rPr>
                    <w:rFonts w:ascii="MS Gothic" w:eastAsia="MS Gothic" w:hAnsi="MS Gothic"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07654" w14:textId="77777777" w:rsidR="007230DA" w:rsidRPr="00C85643" w:rsidRDefault="00893C9A" w:rsidP="007230DA">
            <w:pPr>
              <w:pStyle w:val="Text1"/>
              <w:spacing w:before="60" w:after="60"/>
              <w:ind w:left="0" w:right="-25"/>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r>
      <w:tr w:rsidR="00613AD4" w:rsidRPr="008704EA" w14:paraId="051D42E6" w14:textId="77777777" w:rsidTr="247BFA05">
        <w:trPr>
          <w:trHeight w:val="2329"/>
        </w:trPr>
        <w:tc>
          <w:tcPr>
            <w:tcW w:w="2330" w:type="dxa"/>
            <w:vMerge/>
          </w:tcPr>
          <w:p w14:paraId="29791768" w14:textId="77777777" w:rsidR="00613AD4" w:rsidRPr="003C0CD7" w:rsidRDefault="00613AD4" w:rsidP="007230DA">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83B80A" w14:textId="77777777" w:rsidR="00613AD4" w:rsidRDefault="00613AD4" w:rsidP="007230DA">
            <w:pPr>
              <w:pStyle w:val="Text1"/>
              <w:spacing w:before="60" w:after="60"/>
              <w:ind w:left="0" w:right="-25"/>
              <w:rPr>
                <w:color w:val="0D0D0D" w:themeColor="text1" w:themeTint="F2"/>
              </w:rPr>
            </w:pPr>
            <w:r>
              <w:rPr>
                <w:color w:val="0D0D0D" w:themeColor="text1" w:themeTint="F2"/>
              </w:rPr>
              <w:t>Tags</w:t>
            </w:r>
            <w:r>
              <w:rPr>
                <w:rStyle w:val="FootnoteReference"/>
                <w:color w:val="0D0D0D" w:themeColor="text1" w:themeTint="F2"/>
              </w:rPr>
              <w:footnoteReference w:id="11"/>
            </w:r>
          </w:p>
          <w:p w14:paraId="49382782" w14:textId="77777777" w:rsidR="00613AD4" w:rsidRPr="00EE373C" w:rsidRDefault="00613AD4" w:rsidP="007230DA">
            <w:pPr>
              <w:pStyle w:val="Text1"/>
              <w:spacing w:before="60" w:after="60"/>
              <w:ind w:left="720" w:right="-25"/>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7230DA">
            <w:pPr>
              <w:pStyle w:val="Text1"/>
              <w:spacing w:before="60" w:after="60"/>
              <w:ind w:left="720" w:right="-25"/>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7230DA">
            <w:pPr>
              <w:pStyle w:val="Text1"/>
              <w:spacing w:before="60" w:after="60"/>
              <w:ind w:left="720" w:right="-25"/>
              <w:rPr>
                <w:rFonts w:eastAsiaTheme="minorHAnsi"/>
                <w:lang w:val="en-IE"/>
              </w:rPr>
            </w:pPr>
            <w:r w:rsidRPr="00EE373C">
              <w:rPr>
                <w:rFonts w:eastAsiaTheme="minorHAnsi"/>
                <w:lang w:val="en-IE"/>
              </w:rPr>
              <w:t>digital entrepreneurship</w:t>
            </w:r>
          </w:p>
          <w:p w14:paraId="67020FFE" w14:textId="77777777" w:rsidR="00613AD4" w:rsidRPr="00EE373C" w:rsidRDefault="00613AD4" w:rsidP="007230DA">
            <w:pPr>
              <w:pStyle w:val="Text1"/>
              <w:spacing w:before="60" w:after="60"/>
              <w:ind w:left="720" w:right="-25"/>
              <w:rPr>
                <w:rFonts w:eastAsiaTheme="minorHAnsi"/>
                <w:lang w:val="en-IE"/>
              </w:rPr>
            </w:pPr>
            <w:r w:rsidRPr="00EE373C">
              <w:rPr>
                <w:rFonts w:eastAsiaTheme="minorHAnsi"/>
                <w:lang w:val="en-IE"/>
              </w:rPr>
              <w:t>digital skills/literacy</w:t>
            </w:r>
          </w:p>
          <w:p w14:paraId="552C7D68" w14:textId="77777777" w:rsidR="00613AD4" w:rsidRPr="003C0CD7" w:rsidRDefault="00613AD4" w:rsidP="00C85643">
            <w:pPr>
              <w:pStyle w:val="Text1"/>
              <w:spacing w:before="60" w:after="60" w:line="276" w:lineRule="auto"/>
              <w:ind w:left="720" w:right="-25"/>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26D3DB78" w14:textId="77777777" w:rsidR="00613AD4" w:rsidRPr="00C85643" w:rsidRDefault="00613AD4" w:rsidP="00613AD4">
            <w:pPr>
              <w:pStyle w:val="Text1"/>
              <w:spacing w:before="60" w:after="60"/>
              <w:ind w:left="0" w:right="-25"/>
              <w:jc w:val="center"/>
              <w:rPr>
                <w:rFonts w:eastAsia="MS Gothic"/>
              </w:rPr>
            </w:pPr>
            <w:r w:rsidRPr="00C85643">
              <w:rPr>
                <w:rFonts w:eastAsia="MS Gothic"/>
              </w:rPr>
              <w:t>YES</w:t>
            </w:r>
          </w:p>
          <w:p w14:paraId="28975885" w14:textId="19EB786A"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1"/>
                  <w14:checkedState w14:val="2612" w14:font="MS Gothic"/>
                  <w14:uncheckedState w14:val="2610" w14:font="MS Gothic"/>
                </w14:checkbox>
              </w:sdtPr>
              <w:sdtEndPr/>
              <w:sdtContent>
                <w:r w:rsidR="00530A75">
                  <w:rPr>
                    <w:rFonts w:ascii="MS Gothic" w:eastAsia="MS Gothic" w:hAnsi="MS Gothic" w:cs="Segoe UI Symbol" w:hint="eastAsia"/>
                    <w:sz w:val="22"/>
                    <w:szCs w:val="22"/>
                  </w:rPr>
                  <w:t>☒</w:t>
                </w:r>
              </w:sdtContent>
            </w:sdt>
          </w:p>
          <w:p w14:paraId="512BBC8F" w14:textId="551DFA0F"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1"/>
                  <w14:checkedState w14:val="2612" w14:font="MS Gothic"/>
                  <w14:uncheckedState w14:val="2610" w14:font="MS Gothic"/>
                </w14:checkbox>
              </w:sdtPr>
              <w:sdtEndPr/>
              <w:sdtContent>
                <w:r w:rsidR="00530A75">
                  <w:rPr>
                    <w:rFonts w:ascii="MS Gothic" w:eastAsia="MS Gothic" w:hAnsi="MS Gothic" w:cs="Segoe UI Symbol" w:hint="eastAsia"/>
                    <w:sz w:val="22"/>
                    <w:szCs w:val="22"/>
                  </w:rPr>
                  <w:t>☒</w:t>
                </w:r>
              </w:sdtContent>
            </w:sdt>
          </w:p>
          <w:p w14:paraId="15ED966A" w14:textId="77777777"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6B01987" w14:textId="77777777" w:rsidR="00613AD4"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3CD032A6" w14:textId="6BC8AF84" w:rsidR="00613AD4" w:rsidRDefault="00893C9A" w:rsidP="00613AD4">
            <w:pPr>
              <w:pStyle w:val="Text1"/>
              <w:spacing w:before="60" w:after="60"/>
              <w:ind w:left="0" w:right="-25"/>
              <w:jc w:val="center"/>
              <w:rPr>
                <w:rFonts w:ascii="Segoe UI Symbol" w:eastAsia="MS Gothic" w:hAnsi="Segoe UI Symbol"/>
              </w:rPr>
            </w:pPr>
            <w:sdt>
              <w:sdtPr>
                <w:rPr>
                  <w:rFonts w:ascii="Segoe UI Symbol" w:eastAsia="MS Gothic" w:hAnsi="Segoe UI Symbol"/>
                </w:rPr>
                <w:id w:val="645477591"/>
                <w14:checkbox>
                  <w14:checked w14:val="1"/>
                  <w14:checkedState w14:val="2612" w14:font="MS Gothic"/>
                  <w14:uncheckedState w14:val="2610" w14:font="MS Gothic"/>
                </w14:checkbox>
              </w:sdtPr>
              <w:sdtEndPr/>
              <w:sdtContent>
                <w:r w:rsidR="00530A75">
                  <w:rPr>
                    <w:rFonts w:ascii="MS Gothic" w:eastAsia="MS Gothic" w:hAnsi="MS Gothic" w:hint="eastAsia"/>
                  </w:rPr>
                  <w:t>☒</w:t>
                </w:r>
              </w:sdtContent>
            </w:sdt>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1A33E5A5" w14:textId="77777777" w:rsidR="00613AD4" w:rsidRPr="00C85643" w:rsidRDefault="00613AD4" w:rsidP="00613AD4">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77777777" w:rsidR="00613AD4" w:rsidRPr="005D6559" w:rsidRDefault="00893C9A"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461D44BD" w14:textId="77777777" w:rsidR="00613AD4" w:rsidRPr="005D6559" w:rsidRDefault="00893C9A"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6BE2DC60" w14:textId="48A3A7BB" w:rsidR="00613AD4" w:rsidRPr="005D6559" w:rsidRDefault="00893C9A" w:rsidP="73E450EF">
            <w:pPr>
              <w:pStyle w:val="Text1"/>
              <w:spacing w:before="60" w:after="60"/>
              <w:ind w:left="0" w:right="-25"/>
              <w:jc w:val="center"/>
              <w:rPr>
                <w:rFonts w:eastAsia="MS Gothic"/>
                <w:color w:val="0D0D0D" w:themeColor="text1" w:themeTint="F2"/>
                <w:sz w:val="22"/>
                <w:szCs w:val="22"/>
              </w:rPr>
            </w:pPr>
            <w:sdt>
              <w:sdtPr>
                <w:rPr>
                  <w:rFonts w:eastAsia="MS Gothic"/>
                  <w:color w:val="0D0D0D" w:themeColor="text1" w:themeTint="F2"/>
                  <w:sz w:val="22"/>
                  <w:szCs w:val="22"/>
                </w:rPr>
                <w:id w:val="-162783868"/>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sz w:val="22"/>
                    <w:szCs w:val="22"/>
                  </w:rPr>
                  <w:t>☒</w:t>
                </w:r>
              </w:sdtContent>
            </w:sdt>
          </w:p>
          <w:p w14:paraId="792D4748" w14:textId="684CA603" w:rsidR="00613AD4" w:rsidRPr="005D6559" w:rsidRDefault="00893C9A" w:rsidP="73E450EF">
            <w:pPr>
              <w:pStyle w:val="Text1"/>
              <w:spacing w:before="60" w:after="60"/>
              <w:ind w:left="0" w:right="-25"/>
              <w:jc w:val="center"/>
              <w:rPr>
                <w:rFonts w:eastAsia="MS Gothic"/>
                <w:color w:val="0D0D0D" w:themeColor="text1" w:themeTint="F2"/>
                <w:sz w:val="22"/>
                <w:szCs w:val="22"/>
              </w:rPr>
            </w:pPr>
            <w:sdt>
              <w:sdtPr>
                <w:rPr>
                  <w:rFonts w:eastAsia="MS Gothic"/>
                  <w:color w:val="0D0D0D" w:themeColor="text1" w:themeTint="F2"/>
                  <w:sz w:val="22"/>
                  <w:szCs w:val="22"/>
                </w:rPr>
                <w:id w:val="-910540456"/>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color w:val="0D0D0D" w:themeColor="text1" w:themeTint="F2"/>
                    <w:sz w:val="22"/>
                    <w:szCs w:val="22"/>
                  </w:rPr>
                  <w:t>☒</w:t>
                </w:r>
              </w:sdtContent>
            </w:sdt>
          </w:p>
          <w:p w14:paraId="59149176" w14:textId="77777777" w:rsidR="00613AD4" w:rsidRPr="00613AD4" w:rsidRDefault="00893C9A" w:rsidP="00613AD4">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rPr>
                <w:id w:val="-1196846098"/>
                <w14:checkbox>
                  <w14:checked w14:val="0"/>
                  <w14:checkedState w14:val="2612" w14:font="MS Gothic"/>
                  <w14:uncheckedState w14:val="2610" w14:font="MS Gothic"/>
                </w14:checkbox>
              </w:sdtPr>
              <w:sdtEndPr/>
              <w:sdtContent>
                <w:r w:rsidR="00613AD4" w:rsidRPr="003775F2">
                  <w:rPr>
                    <w:rFonts w:ascii="Segoe UI Symbol" w:eastAsia="MS Gothic" w:hAnsi="Segoe UI Symbol"/>
                    <w:color w:val="0D0D0D" w:themeColor="text1" w:themeTint="F2"/>
                    <w:sz w:val="22"/>
                  </w:rPr>
                  <w:t>☐</w:t>
                </w:r>
              </w:sdtContent>
            </w:sdt>
          </w:p>
        </w:tc>
      </w:tr>
      <w:tr w:rsidR="001A2578" w:rsidRPr="008704EA" w14:paraId="289D721C" w14:textId="77777777" w:rsidTr="247BFA05">
        <w:trPr>
          <w:trHeight w:val="40"/>
        </w:trPr>
        <w:tc>
          <w:tcPr>
            <w:tcW w:w="2330" w:type="dxa"/>
            <w:vMerge/>
          </w:tcPr>
          <w:p w14:paraId="4E9C1BAA" w14:textId="77777777" w:rsidR="001A2578" w:rsidRPr="003C0CD7" w:rsidRDefault="001A2578" w:rsidP="001A257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5DE25BE" w14:textId="13327DC2" w:rsidR="001A2578" w:rsidRPr="003C0CD7" w:rsidRDefault="001A2578" w:rsidP="00F915B9">
            <w:pPr>
              <w:pStyle w:val="Text1"/>
              <w:spacing w:before="60" w:after="60"/>
              <w:ind w:left="0" w:right="-25"/>
              <w:rPr>
                <w:color w:val="0D0D0D" w:themeColor="text1" w:themeTint="F2"/>
                <w:lang w:val="en-IE"/>
              </w:rPr>
            </w:pPr>
            <w:r w:rsidRPr="00F915B9">
              <w:t xml:space="preserve">Connectivity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AD3D2" w14:textId="77777777" w:rsidR="001A2578" w:rsidRPr="003775F2" w:rsidRDefault="00893C9A" w:rsidP="001A2578">
            <w:pPr>
              <w:pStyle w:val="Text1"/>
              <w:spacing w:before="60" w:after="60"/>
              <w:ind w:left="0" w:right="-25"/>
              <w:rPr>
                <w:rFonts w:eastAsia="MS Gothic"/>
                <w:color w:val="0D0D0D" w:themeColor="text1" w:themeTint="F2"/>
                <w:lang w:val="en-IE"/>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50F00201" w:rsidR="001A2578" w:rsidRPr="003775F2" w:rsidRDefault="00893C9A" w:rsidP="001A2578">
            <w:pPr>
              <w:pStyle w:val="Text1"/>
              <w:spacing w:before="60" w:after="60"/>
              <w:ind w:left="0" w:right="-25"/>
              <w:rPr>
                <w:rFonts w:eastAsia="MS Gothic"/>
                <w:color w:val="0D0D0D" w:themeColor="text1" w:themeTint="F2"/>
              </w:rPr>
            </w:pPr>
            <w:sdt>
              <w:sdtPr>
                <w:rPr>
                  <w:rFonts w:eastAsia="MS Gothic"/>
                  <w:color w:val="0D0D0D" w:themeColor="text1" w:themeTint="F2"/>
                  <w:sz w:val="22"/>
                </w:rPr>
                <w:id w:val="1795551659"/>
                <w14:checkbox>
                  <w14:checked w14:val="1"/>
                  <w14:checkedState w14:val="2612" w14:font="MS Gothic"/>
                  <w14:uncheckedState w14:val="2610" w14:font="MS Gothic"/>
                </w14:checkbox>
              </w:sdtPr>
              <w:sdtEndPr/>
              <w:sdtContent>
                <w:r w:rsidR="00530A75">
                  <w:rPr>
                    <w:rFonts w:ascii="MS Gothic" w:eastAsia="MS Gothic" w:hAnsi="MS Gothic"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B991B" w14:textId="77777777" w:rsidR="001A2578" w:rsidRPr="003775F2" w:rsidRDefault="00893C9A" w:rsidP="001A2578">
            <w:pPr>
              <w:pStyle w:val="Text1"/>
              <w:spacing w:before="60" w:after="60"/>
              <w:ind w:left="0" w:right="-25"/>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0B3212">
                  <w:rPr>
                    <w:rFonts w:ascii="MS Gothic" w:eastAsia="MS Gothic" w:hAnsi="MS Gothic" w:hint="eastAsia"/>
                    <w:color w:val="0D0D0D" w:themeColor="text1" w:themeTint="F2"/>
                    <w:sz w:val="22"/>
                  </w:rPr>
                  <w:t>☐</w:t>
                </w:r>
              </w:sdtContent>
            </w:sdt>
          </w:p>
        </w:tc>
      </w:tr>
      <w:tr w:rsidR="00613AD4" w:rsidRPr="008704EA" w14:paraId="36BE91AE" w14:textId="77777777" w:rsidTr="247BFA05">
        <w:trPr>
          <w:trHeight w:val="40"/>
        </w:trPr>
        <w:tc>
          <w:tcPr>
            <w:tcW w:w="2330" w:type="dxa"/>
            <w:vMerge/>
          </w:tcPr>
          <w:p w14:paraId="3B2F52B8" w14:textId="77777777" w:rsidR="00613AD4" w:rsidRPr="003C0CD7" w:rsidRDefault="00613AD4" w:rsidP="001A257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55FDF6C5" w:rsidP="001A2578">
            <w:pPr>
              <w:pStyle w:val="Text1"/>
              <w:spacing w:before="60" w:after="60"/>
              <w:ind w:left="0" w:right="-25"/>
            </w:pPr>
            <w:r>
              <w:t>Tags</w:t>
            </w:r>
          </w:p>
          <w:p w14:paraId="0FE899BB" w14:textId="77777777" w:rsidR="00613AD4" w:rsidRPr="005D6559" w:rsidRDefault="00613AD4" w:rsidP="001A2578">
            <w:pPr>
              <w:pStyle w:val="Text1"/>
              <w:spacing w:before="60" w:after="60"/>
              <w:ind w:left="720" w:right="-25"/>
            </w:pPr>
            <w:r>
              <w:t>digital connectivity</w:t>
            </w:r>
          </w:p>
          <w:p w14:paraId="695E5227" w14:textId="77777777" w:rsidR="00613AD4" w:rsidRPr="005D6559" w:rsidRDefault="00613AD4" w:rsidP="001A2578">
            <w:pPr>
              <w:pStyle w:val="Text1"/>
              <w:spacing w:before="60" w:after="60"/>
              <w:ind w:left="720" w:right="-25"/>
            </w:pPr>
            <w:r w:rsidRPr="005D6559">
              <w:t>energy</w:t>
            </w:r>
          </w:p>
          <w:p w14:paraId="62829D59" w14:textId="77777777" w:rsidR="00613AD4" w:rsidRDefault="00613AD4" w:rsidP="001A2578">
            <w:pPr>
              <w:pStyle w:val="Text1"/>
              <w:spacing w:before="60" w:after="60"/>
              <w:ind w:left="720" w:right="-25"/>
            </w:pPr>
            <w:r>
              <w:t>transport</w:t>
            </w:r>
          </w:p>
          <w:p w14:paraId="47DB50D9" w14:textId="77777777" w:rsidR="00613AD4" w:rsidRDefault="00613AD4" w:rsidP="003775F2">
            <w:pPr>
              <w:pStyle w:val="Text1"/>
              <w:spacing w:before="60" w:after="60"/>
              <w:ind w:left="720" w:right="-25"/>
            </w:pPr>
            <w:r>
              <w:t>health</w:t>
            </w:r>
          </w:p>
          <w:p w14:paraId="43B975CA" w14:textId="77777777" w:rsidR="00613AD4" w:rsidRPr="003775F2" w:rsidRDefault="00613AD4" w:rsidP="003775F2">
            <w:pPr>
              <w:pStyle w:val="Text1"/>
              <w:spacing w:before="60" w:after="60"/>
              <w:ind w:left="720" w:right="-25"/>
            </w:pPr>
            <w:r>
              <w:t>education and research</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3CE8A1DF" w14:textId="77777777" w:rsidR="00613AD4" w:rsidRPr="0082062A" w:rsidRDefault="00613AD4" w:rsidP="00613AD4">
            <w:pPr>
              <w:pStyle w:val="Text1"/>
              <w:spacing w:before="60" w:after="60"/>
              <w:ind w:left="0" w:right="-25"/>
              <w:jc w:val="center"/>
              <w:rPr>
                <w:rFonts w:eastAsia="MS Gothic"/>
              </w:rPr>
            </w:pPr>
            <w:r w:rsidRPr="0082062A">
              <w:rPr>
                <w:rFonts w:eastAsia="MS Gothic"/>
              </w:rPr>
              <w:t>YES</w:t>
            </w:r>
          </w:p>
          <w:p w14:paraId="4396B989" w14:textId="59D10439"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1"/>
                  <w14:checkedState w14:val="2612" w14:font="MS Gothic"/>
                  <w14:uncheckedState w14:val="2610" w14:font="MS Gothic"/>
                </w14:checkbox>
              </w:sdtPr>
              <w:sdtEndPr/>
              <w:sdtContent>
                <w:r w:rsidR="00530A75">
                  <w:rPr>
                    <w:rFonts w:ascii="MS Gothic" w:eastAsia="MS Gothic" w:hAnsi="MS Gothic" w:cs="Segoe UI Symbol" w:hint="eastAsia"/>
                    <w:sz w:val="22"/>
                    <w:szCs w:val="22"/>
                  </w:rPr>
                  <w:t>☒</w:t>
                </w:r>
              </w:sdtContent>
            </w:sdt>
          </w:p>
          <w:p w14:paraId="0858883A" w14:textId="77777777"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76EC92D" w14:textId="77777777"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0288E5B" w14:textId="6E39C924" w:rsidR="00613AD4"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sz w:val="22"/>
                    <w:szCs w:val="22"/>
                  </w:rPr>
                  <w:t>☒</w:t>
                </w:r>
              </w:sdtContent>
            </w:sdt>
          </w:p>
          <w:p w14:paraId="2EE9E5B8" w14:textId="77777777" w:rsidR="00613AD4"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5E1E8136" w14:textId="77777777" w:rsidR="00613AD4" w:rsidRPr="0082062A" w:rsidRDefault="00613AD4" w:rsidP="00613AD4">
            <w:pPr>
              <w:pStyle w:val="Text1"/>
              <w:spacing w:before="60" w:after="60"/>
              <w:ind w:left="0" w:right="-25"/>
              <w:jc w:val="center"/>
              <w:rPr>
                <w:rFonts w:eastAsia="MS Gothic"/>
              </w:rPr>
            </w:pPr>
            <w:r w:rsidRPr="0082062A">
              <w:rPr>
                <w:rFonts w:eastAsia="MS Gothic"/>
              </w:rPr>
              <w:t>NO</w:t>
            </w:r>
          </w:p>
          <w:p w14:paraId="534FD3C6" w14:textId="77777777"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0"/>
                  <w14:checkedState w14:val="2612" w14:font="MS Gothic"/>
                  <w14:uncheckedState w14:val="2610" w14:font="MS Gothic"/>
                </w14:checkbox>
              </w:sdtPr>
              <w:sdtEndPr/>
              <w:sdtContent>
                <w:r w:rsidR="00613AD4">
                  <w:rPr>
                    <w:rFonts w:ascii="MS Gothic" w:eastAsia="MS Gothic" w:hAnsi="MS Gothic" w:cs="Segoe UI Symbol" w:hint="eastAsia"/>
                    <w:sz w:val="22"/>
                    <w:szCs w:val="22"/>
                  </w:rPr>
                  <w:t>☐</w:t>
                </w:r>
              </w:sdtContent>
            </w:sdt>
          </w:p>
          <w:p w14:paraId="387C46FF" w14:textId="696CD02B"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sz w:val="22"/>
                    <w:szCs w:val="22"/>
                  </w:rPr>
                  <w:t>☒</w:t>
                </w:r>
              </w:sdtContent>
            </w:sdt>
          </w:p>
          <w:p w14:paraId="12BC65FA" w14:textId="4461EBD5"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sz w:val="22"/>
                    <w:szCs w:val="22"/>
                  </w:rPr>
                  <w:t>☒</w:t>
                </w:r>
              </w:sdtContent>
            </w:sdt>
          </w:p>
          <w:p w14:paraId="60A0EA48" w14:textId="77777777" w:rsidR="00613AD4" w:rsidRPr="002719BB"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1848AA6B" w14:textId="6E3B46C4" w:rsidR="00613AD4" w:rsidRDefault="00893C9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placeholder>
                  <w:docPart w:val="DefaultPlaceholder_1081868574"/>
                </w:placeholder>
                <w14:checkbox>
                  <w14:checked w14:val="1"/>
                  <w14:checkedState w14:val="2612" w14:font="MS Gothic"/>
                  <w14:uncheckedState w14:val="2610" w14:font="MS Gothic"/>
                </w14:checkbox>
              </w:sdtPr>
              <w:sdtEndPr/>
              <w:sdtContent>
                <w:r w:rsidR="002B7E93">
                  <w:rPr>
                    <w:rFonts w:ascii="MS Gothic" w:eastAsia="MS Gothic" w:hAnsi="MS Gothic" w:cs="Segoe UI Symbol" w:hint="eastAsia"/>
                    <w:sz w:val="22"/>
                    <w:szCs w:val="22"/>
                  </w:rPr>
                  <w:t>☒</w:t>
                </w:r>
              </w:sdtContent>
            </w:sdt>
          </w:p>
        </w:tc>
      </w:tr>
      <w:tr w:rsidR="001A2578" w:rsidRPr="008704EA" w14:paraId="663C56C9" w14:textId="77777777" w:rsidTr="247BFA05">
        <w:trPr>
          <w:trHeight w:val="40"/>
        </w:trPr>
        <w:tc>
          <w:tcPr>
            <w:tcW w:w="2330" w:type="dxa"/>
            <w:vMerge/>
          </w:tcPr>
          <w:p w14:paraId="47E78CA3" w14:textId="77777777" w:rsidR="001A2578" w:rsidRPr="003C0CD7" w:rsidRDefault="001A2578" w:rsidP="001A257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90B2D8C" w14:textId="246BA0EE" w:rsidR="001A2578" w:rsidRPr="0082062A" w:rsidRDefault="001A2578" w:rsidP="0082062A">
            <w:pPr>
              <w:rPr>
                <w:lang w:val="en-IE" w:eastAsia="en-IE"/>
              </w:rPr>
            </w:pPr>
            <w:r w:rsidRPr="005D6559">
              <w:t>Migration</w:t>
            </w:r>
            <w:r w:rsidR="00091845" w:rsidRPr="00FD71E4">
              <w:rPr>
                <w:rStyle w:val="FootnoteReference"/>
              </w:rPr>
              <w:footnoteReference w:id="12"/>
            </w:r>
            <w:r w:rsidR="00091845" w:rsidRPr="00FD71E4">
              <w:rPr>
                <w:rStyle w:val="Hyperlink"/>
                <w:u w:val="none"/>
              </w:rPr>
              <w:t xml:space="preserve"> </w:t>
            </w:r>
            <w:r w:rsidRPr="001C3485">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0FA7" w14:textId="1E0E6432" w:rsidR="001A2578" w:rsidRPr="003C0CD7"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EndPr/>
              <w:sdtContent>
                <w:r w:rsidR="00530A75">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DB742" w14:textId="77777777" w:rsidR="001A2578" w:rsidRPr="003C0CD7"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76DFA26F" w14:textId="77777777" w:rsidTr="247BFA05">
        <w:trPr>
          <w:trHeight w:val="40"/>
        </w:trPr>
        <w:tc>
          <w:tcPr>
            <w:tcW w:w="2330" w:type="dxa"/>
            <w:vMerge/>
          </w:tcPr>
          <w:p w14:paraId="33DA47DE" w14:textId="77777777" w:rsidR="001A2578" w:rsidRPr="003C0CD7" w:rsidRDefault="001A2578" w:rsidP="001A257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803EA3C" w14:textId="3354297D" w:rsidR="001A2578" w:rsidRPr="003C0CD7" w:rsidRDefault="001A2578" w:rsidP="001A2578">
            <w:pPr>
              <w:pStyle w:val="Text1"/>
              <w:spacing w:before="60" w:after="60"/>
              <w:ind w:left="0" w:right="-25"/>
              <w:rPr>
                <w:color w:val="0D0D0D" w:themeColor="text1" w:themeTint="F2"/>
                <w:lang w:val="en-IE"/>
              </w:rPr>
            </w:pPr>
            <w:r>
              <w:t>Reduction of</w:t>
            </w:r>
            <w:r w:rsidRPr="005D6559">
              <w:t xml:space="preserve"> Inequalities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68FDABE9" w:rsidR="001A2578"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1"/>
                  <w14:checkedState w14:val="2612" w14:font="MS Gothic"/>
                  <w14:uncheckedState w14:val="2610" w14:font="MS Gothic"/>
                </w14:checkbox>
              </w:sdtPr>
              <w:sdtEndPr/>
              <w:sdtContent>
                <w:r w:rsidR="00530A75">
                  <w:rPr>
                    <w:rFonts w:ascii="MS Gothic" w:eastAsia="MS Gothic" w:hAnsi="MS Gothic" w:cs="Segoe UI Symbol"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C9513" w14:textId="77777777" w:rsidR="001A2578"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247BFA05">
        <w:trPr>
          <w:trHeight w:val="40"/>
        </w:trPr>
        <w:tc>
          <w:tcPr>
            <w:tcW w:w="2330" w:type="dxa"/>
            <w:vMerge/>
          </w:tcPr>
          <w:p w14:paraId="7C6786CA" w14:textId="77777777" w:rsidR="001A2578" w:rsidRPr="003C0CD7" w:rsidRDefault="001A2578" w:rsidP="001A2578">
            <w:pPr>
              <w:rPr>
                <w:b/>
                <w:bCs/>
                <w:color w:val="0D0D0D" w:themeColor="text1" w:themeTint="F2"/>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1A2578">
            <w:pPr>
              <w:pStyle w:val="Text1"/>
              <w:spacing w:before="60" w:after="60"/>
              <w:ind w:left="0" w:right="-25"/>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CA8F6" w14:textId="77777777" w:rsidR="001A2578" w:rsidRPr="003C0CD7"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2670B76B" w:rsidR="001A2578" w:rsidRPr="003C0CD7"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1"/>
                  <w14:checkedState w14:val="2612" w14:font="MS Gothic"/>
                  <w14:uncheckedState w14:val="2610" w14:font="MS Gothic"/>
                </w14:checkbox>
              </w:sdtPr>
              <w:sdtEndPr/>
              <w:sdtContent>
                <w:r w:rsidR="00530A75">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893C9A" w:rsidP="001A2578">
            <w:pPr>
              <w:pStyle w:val="Text1"/>
              <w:spacing w:before="60" w:after="60"/>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247BFA05">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1A2578">
            <w:pPr>
              <w:jc w:val="center"/>
              <w:rPr>
                <w:b/>
                <w:lang w:val="en-IE"/>
              </w:rPr>
            </w:pPr>
            <w:r w:rsidRPr="003C0CD7">
              <w:rPr>
                <w:b/>
                <w:lang w:val="en-IE"/>
              </w:rPr>
              <w:t>BUDGET INFORMATION</w:t>
            </w:r>
          </w:p>
        </w:tc>
      </w:tr>
      <w:tr w:rsidR="001A2578" w:rsidRPr="008704EA" w14:paraId="57C6E4A1"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1A2578">
            <w:pPr>
              <w:pStyle w:val="Text1"/>
              <w:spacing w:before="60" w:after="60"/>
              <w:ind w:left="0"/>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1A2578">
            <w:pPr>
              <w:pStyle w:val="Text1"/>
              <w:spacing w:before="60" w:after="60"/>
              <w:ind w:left="0"/>
              <w:rPr>
                <w:color w:val="0D0D0D" w:themeColor="text1" w:themeTint="F2"/>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2BAEA143" w:rsidR="001A2578" w:rsidRPr="003C0CD7" w:rsidRDefault="001A2578" w:rsidP="001A2578">
            <w:pPr>
              <w:spacing w:before="120" w:after="120"/>
              <w:ind w:right="-25"/>
              <w:rPr>
                <w:lang w:val="en-IE"/>
              </w:rPr>
            </w:pPr>
            <w:r w:rsidRPr="003C0CD7">
              <w:rPr>
                <w:lang w:val="en-IE"/>
              </w:rPr>
              <w:t xml:space="preserve">Budget line: </w:t>
            </w:r>
            <w:r w:rsidR="00530A75" w:rsidRPr="00BB32C3">
              <w:rPr>
                <w:lang w:val="en-IE"/>
              </w:rPr>
              <w:t xml:space="preserve">: </w:t>
            </w:r>
            <w:r w:rsidR="00530A75" w:rsidRPr="00BB32C3">
              <w:t>15.020201</w:t>
            </w:r>
          </w:p>
          <w:p w14:paraId="7D5152A5" w14:textId="246814CB" w:rsidR="001A2578" w:rsidRPr="003C0CD7" w:rsidRDefault="001A2578" w:rsidP="001A2578">
            <w:pPr>
              <w:spacing w:before="120" w:after="120"/>
              <w:ind w:right="-25"/>
              <w:rPr>
                <w:lang w:val="en-IE"/>
              </w:rPr>
            </w:pPr>
            <w:r w:rsidRPr="003C0CD7">
              <w:rPr>
                <w:lang w:val="en-IE"/>
              </w:rPr>
              <w:t xml:space="preserve">Total estimated cost: EUR </w:t>
            </w:r>
            <w:r w:rsidR="00910303">
              <w:rPr>
                <w:lang w:val="en-IE"/>
              </w:rPr>
              <w:t>1</w:t>
            </w:r>
            <w:r w:rsidR="00610A90">
              <w:rPr>
                <w:lang w:val="en-IE"/>
              </w:rPr>
              <w:t>4</w:t>
            </w:r>
            <w:r w:rsidR="00910303">
              <w:rPr>
                <w:lang w:val="en-IE"/>
              </w:rPr>
              <w:t xml:space="preserve"> </w:t>
            </w:r>
            <w:r w:rsidR="00610A90">
              <w:rPr>
                <w:lang w:val="en-IE"/>
              </w:rPr>
              <w:t>160</w:t>
            </w:r>
            <w:r w:rsidR="00910303">
              <w:rPr>
                <w:lang w:val="en-IE"/>
              </w:rPr>
              <w:t xml:space="preserve"> 000</w:t>
            </w:r>
          </w:p>
          <w:p w14:paraId="635A3F4F" w14:textId="154E9631" w:rsidR="00F5659C" w:rsidRDefault="001A2578" w:rsidP="00910303">
            <w:pPr>
              <w:spacing w:before="120"/>
              <w:ind w:right="-25"/>
              <w:rPr>
                <w:lang w:val="en-IE"/>
              </w:rPr>
            </w:pPr>
            <w:r w:rsidRPr="003C0CD7">
              <w:rPr>
                <w:lang w:val="en-IE"/>
              </w:rPr>
              <w:t>Total a</w:t>
            </w:r>
            <w:r w:rsidR="00EA2B45">
              <w:rPr>
                <w:lang w:val="en-IE"/>
              </w:rPr>
              <w:t xml:space="preserve">mount of EU budget contribution: </w:t>
            </w:r>
            <w:r w:rsidRPr="003C0CD7">
              <w:rPr>
                <w:lang w:val="en-IE"/>
              </w:rPr>
              <w:t xml:space="preserve">EUR </w:t>
            </w:r>
            <w:r w:rsidR="00910303" w:rsidRPr="00910303">
              <w:rPr>
                <w:lang w:val="en-IE"/>
              </w:rPr>
              <w:t>1</w:t>
            </w:r>
            <w:r w:rsidR="00610A90">
              <w:rPr>
                <w:lang w:val="en-IE"/>
              </w:rPr>
              <w:t>2</w:t>
            </w:r>
            <w:r w:rsidR="00910303" w:rsidRPr="00910303">
              <w:rPr>
                <w:lang w:val="en-IE"/>
              </w:rPr>
              <w:t xml:space="preserve"> 000 000 </w:t>
            </w:r>
          </w:p>
          <w:p w14:paraId="1D90D1A2" w14:textId="69D291C8" w:rsidR="00910303" w:rsidRPr="00910303" w:rsidRDefault="00910303" w:rsidP="00B6363B">
            <w:pPr>
              <w:ind w:right="-25"/>
              <w:rPr>
                <w:lang w:val="en-IE"/>
              </w:rPr>
            </w:pPr>
          </w:p>
        </w:tc>
      </w:tr>
      <w:tr w:rsidR="001A2578" w:rsidRPr="008704EA" w14:paraId="538E4DC3" w14:textId="77777777" w:rsidTr="247BFA05">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1A2578">
            <w:pPr>
              <w:jc w:val="center"/>
              <w:rPr>
                <w:b/>
                <w:lang w:val="en-IE"/>
              </w:rPr>
            </w:pPr>
            <w:r w:rsidRPr="003C0CD7">
              <w:rPr>
                <w:b/>
                <w:lang w:val="en-IE"/>
              </w:rPr>
              <w:t>MANAGEMENT AND IMPLEMENTATION</w:t>
            </w:r>
          </w:p>
        </w:tc>
      </w:tr>
      <w:tr w:rsidR="001A2578" w:rsidRPr="008704EA" w14:paraId="4291B723" w14:textId="77777777" w:rsidTr="247BFA05">
        <w:tc>
          <w:tcPr>
            <w:tcW w:w="2330"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1A2578">
            <w:pPr>
              <w:pStyle w:val="Text1"/>
              <w:spacing w:before="60" w:after="60"/>
              <w:ind w:left="0"/>
              <w:rPr>
                <w:color w:val="0D0D0D" w:themeColor="text1" w:themeTint="F2"/>
                <w:lang w:val="en-IE"/>
              </w:rPr>
            </w:pPr>
            <w:r w:rsidRPr="003C0CD7">
              <w:rPr>
                <w:b/>
                <w:color w:val="0D0D0D" w:themeColor="text1" w:themeTint="F2"/>
                <w:lang w:val="en-IE"/>
              </w:rPr>
              <w:t>Implementation modalities (management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6ABACFE" w14:textId="60911BF3" w:rsidR="001A2578" w:rsidRPr="003C0CD7" w:rsidRDefault="001A2578" w:rsidP="001A2578">
            <w:pPr>
              <w:pStyle w:val="Text1"/>
              <w:spacing w:before="60" w:after="60"/>
              <w:ind w:left="0" w:right="-25"/>
              <w:rPr>
                <w:lang w:val="en-IE"/>
              </w:rPr>
            </w:pPr>
          </w:p>
          <w:p w14:paraId="7305B4B2" w14:textId="77777777" w:rsidR="00910303" w:rsidRDefault="001A2578" w:rsidP="001A2578">
            <w:pPr>
              <w:pStyle w:val="Text1"/>
              <w:spacing w:before="60" w:after="60"/>
              <w:ind w:left="0" w:right="-25"/>
              <w:rPr>
                <w:lang w:val="en-IE"/>
              </w:rPr>
            </w:pPr>
            <w:r w:rsidRPr="00910303">
              <w:rPr>
                <w:lang w:val="en-IE"/>
              </w:rPr>
              <w:t xml:space="preserve"> </w:t>
            </w:r>
            <w:r w:rsidRPr="00910303">
              <w:rPr>
                <w:b/>
                <w:lang w:val="en-IE"/>
              </w:rPr>
              <w:t>Direct management</w:t>
            </w:r>
            <w:r w:rsidRPr="00910303">
              <w:rPr>
                <w:lang w:val="en-IE"/>
              </w:rPr>
              <w:t xml:space="preserve"> through:</w:t>
            </w:r>
          </w:p>
          <w:p w14:paraId="597408FC" w14:textId="7973A9C2" w:rsidR="001A2578" w:rsidRPr="003C0CD7" w:rsidRDefault="1D4CF303" w:rsidP="001A2578">
            <w:pPr>
              <w:pStyle w:val="Text1"/>
              <w:spacing w:before="60" w:after="60"/>
              <w:ind w:left="0" w:right="-25"/>
              <w:rPr>
                <w:lang w:val="en-IE"/>
              </w:rPr>
            </w:pPr>
            <w:r w:rsidRPr="247BFA05">
              <w:rPr>
                <w:lang w:val="en-IE"/>
              </w:rPr>
              <w:t>- Procurement</w:t>
            </w:r>
            <w:r w:rsidR="66D4EB83" w:rsidRPr="247BFA05">
              <w:rPr>
                <w:lang w:val="en-IE"/>
              </w:rPr>
              <w:t xml:space="preserve"> </w:t>
            </w:r>
          </w:p>
          <w:p w14:paraId="6F524799" w14:textId="3423444A" w:rsidR="00F5659C" w:rsidRPr="00C85643" w:rsidRDefault="00F5659C" w:rsidP="00910303">
            <w:pPr>
              <w:pStyle w:val="Text1"/>
              <w:spacing w:before="60" w:after="60"/>
              <w:ind w:left="0" w:right="-25"/>
              <w:rPr>
                <w:lang w:val="en-IE"/>
              </w:rPr>
            </w:pPr>
          </w:p>
        </w:tc>
      </w:tr>
      <w:tr w:rsidR="001A2578" w:rsidRPr="008704EA" w14:paraId="74F3EF98" w14:textId="77777777" w:rsidTr="247BFA05">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97CDF8" w14:textId="681701F2" w:rsidR="001A2578" w:rsidRPr="003C0CD7" w:rsidRDefault="001A2578" w:rsidP="00E45502">
            <w:pPr>
              <w:pStyle w:val="Text1"/>
              <w:spacing w:before="60" w:after="60"/>
              <w:ind w:left="-10" w:right="-108"/>
              <w:rPr>
                <w:b/>
                <w:bCs/>
                <w:color w:val="0D0D0D" w:themeColor="text1" w:themeTint="F2"/>
                <w:lang w:val="en-IE"/>
              </w:rPr>
            </w:pPr>
            <w:r w:rsidRPr="003C0CD7">
              <w:rPr>
                <w:b/>
                <w:bCs/>
                <w:color w:val="0D0D0D" w:themeColor="text1" w:themeTint="F2"/>
                <w:lang w:val="en-IE"/>
              </w:rPr>
              <w:t xml:space="preserve">Final Date for conclusion of Financing Agreement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3C0CD7" w:rsidRDefault="001A2578" w:rsidP="001A2578">
            <w:pPr>
              <w:pStyle w:val="Text1"/>
              <w:spacing w:before="60" w:after="60"/>
              <w:ind w:left="0"/>
              <w:rPr>
                <w:highlight w:val="lightGray"/>
                <w:lang w:val="en-IE" w:eastAsia="de-DE"/>
              </w:rPr>
            </w:pPr>
          </w:p>
          <w:p w14:paraId="61BED7E1" w14:textId="797A8BF8" w:rsidR="001A2578" w:rsidRPr="00E45502" w:rsidRDefault="001A2578" w:rsidP="001A2578">
            <w:pPr>
              <w:pStyle w:val="Text1"/>
              <w:spacing w:before="60" w:after="60"/>
              <w:ind w:left="0"/>
              <w:rPr>
                <w:lang w:val="en-IE" w:eastAsia="de-DE"/>
              </w:rPr>
            </w:pPr>
            <w:r w:rsidRPr="00E45502">
              <w:rPr>
                <w:lang w:val="en-IE" w:eastAsia="de-DE"/>
              </w:rPr>
              <w:t xml:space="preserve">At the latest by 31 December </w:t>
            </w:r>
            <w:r w:rsidR="00E45502" w:rsidRPr="00E45502">
              <w:rPr>
                <w:lang w:val="en-IE" w:eastAsia="de-DE"/>
              </w:rPr>
              <w:t>2025</w:t>
            </w:r>
          </w:p>
          <w:p w14:paraId="716CC5FA" w14:textId="77777777" w:rsidR="001A2578" w:rsidRPr="003C0CD7" w:rsidRDefault="001A2578" w:rsidP="001A2578">
            <w:pPr>
              <w:pStyle w:val="Text1"/>
              <w:spacing w:before="60" w:after="60"/>
              <w:ind w:left="0"/>
              <w:rPr>
                <w:highlight w:val="yellow"/>
                <w:lang w:val="en-IE" w:eastAsia="de-DE"/>
              </w:rPr>
            </w:pPr>
          </w:p>
        </w:tc>
      </w:tr>
      <w:tr w:rsidR="001A2578" w:rsidRPr="008704EA" w14:paraId="1BC2E909" w14:textId="77777777" w:rsidTr="247BFA05">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2D4F2E" w14:textId="1824516C" w:rsidR="001A2578" w:rsidRPr="00E45502" w:rsidRDefault="001A2578" w:rsidP="007F5D34">
            <w:pPr>
              <w:pStyle w:val="Text1"/>
              <w:spacing w:before="60" w:after="60"/>
              <w:ind w:left="0" w:right="-108"/>
              <w:rPr>
                <w:b/>
                <w:bCs/>
                <w:color w:val="0D0D0D" w:themeColor="text1" w:themeTint="F2"/>
                <w:lang w:val="en-IE"/>
              </w:rPr>
            </w:pPr>
            <w:r w:rsidRPr="00E45502">
              <w:rPr>
                <w:b/>
                <w:bCs/>
                <w:color w:val="0D0D0D" w:themeColor="text1" w:themeTint="F2"/>
                <w:lang w:val="en-IE"/>
              </w:rPr>
              <w:t xml:space="preserve">Final date for concluding contribution / delegation agreements,  </w:t>
            </w:r>
            <w:r w:rsidRPr="00E45502">
              <w:rPr>
                <w:b/>
                <w:bCs/>
                <w:color w:val="0D0D0D" w:themeColor="text1" w:themeTint="F2"/>
                <w:lang w:val="en-IE"/>
              </w:rPr>
              <w:lastRenderedPageBreak/>
              <w:t>procurement and grant contracts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F3CD05" w14:textId="6FAB4288" w:rsidR="001A2578" w:rsidRPr="00E45502" w:rsidRDefault="001A2578" w:rsidP="00E45502">
            <w:pPr>
              <w:pStyle w:val="Text1"/>
              <w:spacing w:before="60" w:after="60"/>
              <w:ind w:left="0"/>
              <w:rPr>
                <w:lang w:val="en-IE" w:eastAsia="de-DE"/>
              </w:rPr>
            </w:pPr>
            <w:r w:rsidRPr="00E45502">
              <w:rPr>
                <w:lang w:val="en-IE" w:eastAsia="de-DE"/>
              </w:rPr>
              <w:lastRenderedPageBreak/>
              <w:t>3</w:t>
            </w:r>
            <w:r w:rsidR="00E45502" w:rsidRPr="00E45502">
              <w:rPr>
                <w:lang w:val="en-IE" w:eastAsia="de-DE"/>
              </w:rPr>
              <w:t xml:space="preserve"> </w:t>
            </w:r>
            <w:r w:rsidRPr="00E45502">
              <w:rPr>
                <w:lang w:val="en-IE" w:eastAsia="de-DE"/>
              </w:rPr>
              <w:t>years following the date of conclusion of the financing agreement, with the exception of cases listed under Article 114(2) of the Financial Regulation</w:t>
            </w:r>
          </w:p>
          <w:p w14:paraId="660CFFEC" w14:textId="77777777" w:rsidR="001A2578" w:rsidRPr="003C0CD7" w:rsidRDefault="001A2578" w:rsidP="00E45502">
            <w:pPr>
              <w:pStyle w:val="Text1"/>
              <w:spacing w:before="60" w:after="60"/>
              <w:ind w:left="0"/>
              <w:rPr>
                <w:highlight w:val="lightGray"/>
                <w:lang w:val="en-IE" w:eastAsia="de-DE"/>
              </w:rPr>
            </w:pPr>
          </w:p>
        </w:tc>
      </w:tr>
      <w:tr w:rsidR="001A2578" w:rsidRPr="008704EA" w14:paraId="5A7791B3" w14:textId="77777777" w:rsidTr="247BFA05">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B0D6A0" w14:textId="72014519" w:rsidR="001A2578" w:rsidRPr="003C0CD7" w:rsidRDefault="001A2578" w:rsidP="001A2578">
            <w:pPr>
              <w:pStyle w:val="Text1"/>
              <w:spacing w:before="60" w:after="60"/>
              <w:ind w:left="0" w:right="-108"/>
              <w:rPr>
                <w:b/>
                <w:bCs/>
                <w:color w:val="0D0D0D" w:themeColor="text1" w:themeTint="F2"/>
                <w:highlight w:val="lightGray"/>
                <w:lang w:val="en-IE"/>
              </w:rPr>
            </w:pPr>
            <w:r w:rsidRPr="003C0CD7">
              <w:rPr>
                <w:b/>
                <w:bCs/>
                <w:color w:val="0D0D0D" w:themeColor="text1" w:themeTint="F2"/>
                <w:lang w:val="en-IE"/>
              </w:rPr>
              <w:lastRenderedPageBreak/>
              <w:t xml:space="preserve">Indicative </w:t>
            </w:r>
            <w:r w:rsidRPr="00E45502">
              <w:rPr>
                <w:b/>
                <w:bCs/>
                <w:color w:val="0D0D0D" w:themeColor="text1" w:themeTint="F2"/>
                <w:lang w:val="en-IE"/>
              </w:rPr>
              <w:t xml:space="preserve">operational implementation </w:t>
            </w:r>
            <w:r w:rsidRPr="003C0CD7">
              <w:rPr>
                <w:b/>
                <w:bCs/>
                <w:color w:val="0D0D0D" w:themeColor="text1" w:themeTint="F2"/>
                <w:lang w:val="en-IE"/>
              </w:rPr>
              <w:t>period</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04507E36" w14:textId="5BB36D85" w:rsidR="001A2578" w:rsidRPr="00E45502" w:rsidRDefault="00E45502" w:rsidP="001A2578">
            <w:pPr>
              <w:pStyle w:val="Text1"/>
              <w:spacing w:before="60" w:after="60"/>
              <w:ind w:left="0"/>
              <w:rPr>
                <w:lang w:val="en-IE" w:eastAsia="de-DE"/>
              </w:rPr>
            </w:pPr>
            <w:r>
              <w:rPr>
                <w:lang w:val="en-IE" w:eastAsia="de-DE"/>
              </w:rPr>
              <w:t xml:space="preserve">72 </w:t>
            </w:r>
            <w:r w:rsidR="001A2578" w:rsidRPr="003C0CD7">
              <w:rPr>
                <w:lang w:val="en-IE"/>
              </w:rPr>
              <w:t>months</w:t>
            </w:r>
            <w:r w:rsidR="001A2578" w:rsidRPr="003C0CD7">
              <w:rPr>
                <w:rStyle w:val="FootnoteReference"/>
                <w:lang w:val="en-IE"/>
              </w:rPr>
              <w:footnoteReference w:id="13"/>
            </w:r>
            <w:r w:rsidR="001A2578" w:rsidRPr="003C0CD7">
              <w:rPr>
                <w:lang w:val="en-IE"/>
              </w:rPr>
              <w:t xml:space="preserve"> </w:t>
            </w:r>
            <w:r w:rsidR="001A2578" w:rsidRPr="00E45502">
              <w:rPr>
                <w:lang w:val="en-IE" w:eastAsia="de-DE"/>
              </w:rPr>
              <w:t>following the conclusion of the Financing Agreement</w:t>
            </w:r>
          </w:p>
          <w:p w14:paraId="1F069464" w14:textId="77777777" w:rsidR="001A2578" w:rsidRPr="003C0CD7" w:rsidRDefault="001A2578" w:rsidP="001A2578">
            <w:pPr>
              <w:pStyle w:val="Text1"/>
              <w:spacing w:before="60" w:after="60"/>
              <w:ind w:left="0"/>
              <w:rPr>
                <w:highlight w:val="lightGray"/>
                <w:lang w:val="en-IE" w:eastAsia="de-DE"/>
              </w:rPr>
            </w:pPr>
          </w:p>
        </w:tc>
      </w:tr>
      <w:tr w:rsidR="001A2578" w:rsidRPr="008704EA" w14:paraId="10E1681C" w14:textId="77777777" w:rsidTr="247BFA05">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5A8E99FD" w14:textId="066E11CF" w:rsidR="001A2578" w:rsidRPr="00E45502" w:rsidRDefault="001A2578" w:rsidP="001A2578">
            <w:pPr>
              <w:pStyle w:val="Text1"/>
              <w:spacing w:before="60" w:after="60"/>
              <w:ind w:left="0" w:right="-108"/>
              <w:rPr>
                <w:b/>
                <w:color w:val="000000"/>
                <w:lang w:val="en-IE"/>
              </w:rPr>
            </w:pPr>
            <w:r w:rsidRPr="003C0CD7">
              <w:rPr>
                <w:b/>
                <w:color w:val="000000"/>
                <w:lang w:val="en-IE"/>
              </w:rPr>
              <w:t>Final date for implementing the Financing Agreement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BB66F87" w14:textId="19AAC9F5" w:rsidR="001A2578" w:rsidRPr="003C0CD7" w:rsidRDefault="001A2578" w:rsidP="001A2578">
            <w:pPr>
              <w:pStyle w:val="Text1"/>
              <w:spacing w:before="60" w:after="60"/>
              <w:ind w:left="0"/>
              <w:rPr>
                <w:highlight w:val="yellow"/>
                <w:lang w:val="en-IE" w:eastAsia="de-DE"/>
              </w:rPr>
            </w:pPr>
            <w:r w:rsidRPr="00E45502">
              <w:rPr>
                <w:lang w:val="en-IE" w:eastAsia="de-DE"/>
              </w:rPr>
              <w:t xml:space="preserve">12 years following the conclusion of the </w:t>
            </w:r>
            <w:r w:rsidR="00E45502">
              <w:rPr>
                <w:lang w:val="en-IE" w:eastAsia="de-DE"/>
              </w:rPr>
              <w:t>F</w:t>
            </w:r>
            <w:r w:rsidRPr="00E45502">
              <w:rPr>
                <w:lang w:val="en-IE" w:eastAsia="de-DE"/>
              </w:rPr>
              <w:t xml:space="preserve">inancing </w:t>
            </w:r>
            <w:r w:rsidR="00E45502">
              <w:rPr>
                <w:lang w:val="en-IE" w:eastAsia="de-DE"/>
              </w:rPr>
              <w:t>A</w:t>
            </w:r>
            <w:r w:rsidRPr="00E45502">
              <w:rPr>
                <w:lang w:val="en-IE" w:eastAsia="de-DE"/>
              </w:rPr>
              <w:t>greement</w:t>
            </w:r>
          </w:p>
        </w:tc>
      </w:tr>
    </w:tbl>
    <w:p w14:paraId="3263BA63" w14:textId="77777777" w:rsidR="0020000F" w:rsidRPr="003C0CD7" w:rsidRDefault="00FD7FCD" w:rsidP="00DA08B4">
      <w:pPr>
        <w:pStyle w:val="Heading1"/>
        <w:numPr>
          <w:ilvl w:val="1"/>
          <w:numId w:val="1"/>
        </w:numPr>
        <w:ind w:left="851"/>
        <w:rPr>
          <w:lang w:val="en-IE"/>
        </w:rPr>
      </w:pPr>
      <w:bookmarkStart w:id="13" w:name="_Ref58422630"/>
      <w:bookmarkStart w:id="14" w:name="_Ref58422632"/>
      <w:bookmarkStart w:id="15" w:name="_Toc73090732"/>
      <w:r w:rsidRPr="247BFA05">
        <w:rPr>
          <w:lang w:val="en-IE"/>
        </w:rPr>
        <w:t>Summary of the Action</w:t>
      </w:r>
      <w:bookmarkEnd w:id="13"/>
      <w:bookmarkEnd w:id="14"/>
      <w:bookmarkEnd w:id="15"/>
      <w:r w:rsidR="00532695" w:rsidRPr="247BFA05">
        <w:rPr>
          <w:lang w:val="en-IE"/>
        </w:rPr>
        <w:t xml:space="preserve"> </w:t>
      </w:r>
    </w:p>
    <w:p w14:paraId="6E7BCD68" w14:textId="0D73EE30" w:rsidR="00C30790" w:rsidRDefault="074873DF" w:rsidP="00B6363B">
      <w:pPr>
        <w:spacing w:before="120"/>
        <w:ind w:left="142"/>
        <w:jc w:val="both"/>
        <w:rPr>
          <w:color w:val="000000" w:themeColor="text1"/>
          <w:lang w:val="en-IE"/>
        </w:rPr>
      </w:pPr>
      <w:bookmarkStart w:id="16" w:name="_Hlk115185082"/>
      <w:bookmarkStart w:id="17" w:name="_Ref58421925"/>
      <w:r w:rsidRPr="247BFA05">
        <w:rPr>
          <w:color w:val="000000" w:themeColor="text1"/>
          <w:lang w:val="en-IE"/>
        </w:rPr>
        <w:t xml:space="preserve">The Action focuses on improving </w:t>
      </w:r>
      <w:r w:rsidR="0010107D" w:rsidRPr="247BFA05">
        <w:rPr>
          <w:color w:val="000000" w:themeColor="text1"/>
          <w:lang w:val="en-IE"/>
        </w:rPr>
        <w:t xml:space="preserve">the </w:t>
      </w:r>
      <w:r w:rsidRPr="247BFA05">
        <w:rPr>
          <w:color w:val="000000" w:themeColor="text1"/>
          <w:lang w:val="en-IE"/>
        </w:rPr>
        <w:t xml:space="preserve">health and well-being </w:t>
      </w:r>
      <w:r w:rsidR="0010107D" w:rsidRPr="247BFA05">
        <w:rPr>
          <w:color w:val="000000" w:themeColor="text1"/>
          <w:lang w:val="en-IE"/>
        </w:rPr>
        <w:t xml:space="preserve">of the citizens of North Macedonia </w:t>
      </w:r>
      <w:r w:rsidRPr="247BFA05">
        <w:rPr>
          <w:color w:val="000000" w:themeColor="text1"/>
          <w:lang w:val="en-IE"/>
        </w:rPr>
        <w:t>by modernising and digitalising the healthcare system. It includes strengthening teleradiology services, integrating mobile primary healthcare services into the e-health system, upgrading the Emergency Medical Service's information technology, and enhancing the health cloud infrastructure. This EU assistance will significantly improve health data collection and utilisation, enabling North Macedonia to contribute, in a medium-term perspective, to EU teleradiology and e-health platforms. The Action also extends lung and colorectal cancer screening programmes and modernises the ambulance fleet to meet international and European standards. These efforts aim to enhance healthcare services, improve patient outcomes, and prevent non-communicable diseases.</w:t>
      </w:r>
      <w:r w:rsidR="00C30790" w:rsidRPr="00C30790">
        <w:rPr>
          <w:color w:val="000000" w:themeColor="text1"/>
          <w:lang w:val="en-IE"/>
        </w:rPr>
        <w:t xml:space="preserve"> </w:t>
      </w:r>
    </w:p>
    <w:p w14:paraId="4E24C714" w14:textId="4B8C95D7" w:rsidR="00C30790" w:rsidRPr="00B6363B" w:rsidRDefault="00C30790" w:rsidP="00B6363B">
      <w:pPr>
        <w:spacing w:before="120"/>
        <w:ind w:left="142"/>
        <w:jc w:val="both"/>
        <w:rPr>
          <w:rFonts w:eastAsiaTheme="minorHAnsi"/>
          <w:iCs/>
          <w:color w:val="000000" w:themeColor="text1"/>
          <w:szCs w:val="22"/>
          <w:lang w:eastAsia="en-US"/>
        </w:rPr>
      </w:pPr>
      <w:r w:rsidRPr="00741D16">
        <w:rPr>
          <w:color w:val="000000" w:themeColor="text1"/>
          <w:lang w:val="en-IE"/>
        </w:rPr>
        <w:t xml:space="preserve">The Action is contributing to the objectives of IPA III Programming Framework, Thematic Priority 1 under Window 4 </w:t>
      </w:r>
      <w:r w:rsidRPr="00741D16">
        <w:rPr>
          <w:rFonts w:eastAsiaTheme="minorHAnsi"/>
          <w:color w:val="000000" w:themeColor="text1"/>
          <w:szCs w:val="22"/>
          <w:lang w:val="en-IE" w:eastAsia="en-US"/>
        </w:rPr>
        <w:t>in the field of public health</w:t>
      </w:r>
      <w:r w:rsidRPr="00741D16">
        <w:rPr>
          <w:color w:val="000000" w:themeColor="text1"/>
          <w:lang w:val="en-IE"/>
        </w:rPr>
        <w:t xml:space="preserve">. More precisely, it is contributing </w:t>
      </w:r>
      <w:r w:rsidRPr="00741D16">
        <w:rPr>
          <w:rFonts w:eastAsiaTheme="minorHAnsi"/>
          <w:color w:val="000000" w:themeColor="text1"/>
          <w:szCs w:val="22"/>
          <w:lang w:val="en-IE" w:eastAsia="en-US"/>
        </w:rPr>
        <w:t xml:space="preserve">to health systems reform </w:t>
      </w:r>
      <w:r w:rsidRPr="00741D16">
        <w:rPr>
          <w:color w:val="000000" w:themeColor="text1"/>
          <w:lang w:val="en-IE"/>
        </w:rPr>
        <w:t>by</w:t>
      </w:r>
      <w:r w:rsidRPr="00741D16">
        <w:rPr>
          <w:rFonts w:eastAsiaTheme="minorHAnsi"/>
          <w:color w:val="000000" w:themeColor="text1"/>
          <w:szCs w:val="22"/>
          <w:lang w:val="en-IE" w:eastAsia="en-US"/>
        </w:rPr>
        <w:t xml:space="preserve"> raising the coverage and standards of care provided</w:t>
      </w:r>
      <w:r w:rsidRPr="00741D16">
        <w:rPr>
          <w:color w:val="000000" w:themeColor="text1"/>
          <w:lang w:val="en-IE"/>
        </w:rPr>
        <w:t>,</w:t>
      </w:r>
      <w:r w:rsidRPr="00741D16">
        <w:rPr>
          <w:rFonts w:eastAsiaTheme="minorHAnsi"/>
          <w:color w:val="000000" w:themeColor="text1"/>
          <w:szCs w:val="22"/>
          <w:lang w:val="en-IE" w:eastAsia="en-US"/>
        </w:rPr>
        <w:t xml:space="preserve"> including health security. </w:t>
      </w:r>
      <w:r w:rsidR="00301EF6" w:rsidRPr="00B6363B">
        <w:rPr>
          <w:color w:val="000000" w:themeColor="text1"/>
        </w:rPr>
        <w:t>It</w:t>
      </w:r>
      <w:r w:rsidR="00371489" w:rsidRPr="00B6363B">
        <w:rPr>
          <w:color w:val="000000" w:themeColor="text1"/>
        </w:rPr>
        <w:t xml:space="preserve"> </w:t>
      </w:r>
      <w:r w:rsidR="00301EF6" w:rsidRPr="00B6363B">
        <w:rPr>
          <w:color w:val="000000" w:themeColor="text1"/>
        </w:rPr>
        <w:t>is complementary to the Economic and Investment Plan (EIP) for the Western Balkans</w:t>
      </w:r>
      <w:r w:rsidR="00301EF6" w:rsidRPr="00B6363B">
        <w:rPr>
          <w:color w:val="000000" w:themeColor="text1"/>
        </w:rPr>
        <w:footnoteReference w:id="14"/>
      </w:r>
      <w:r w:rsidR="00301EF6" w:rsidRPr="00B6363B">
        <w:rPr>
          <w:color w:val="000000" w:themeColor="text1"/>
        </w:rPr>
        <w:t xml:space="preserve"> objectives. It is crucial </w:t>
      </w:r>
      <w:r w:rsidR="00371489" w:rsidRPr="00B6363B">
        <w:rPr>
          <w:color w:val="000000" w:themeColor="text1"/>
        </w:rPr>
        <w:t>for</w:t>
      </w:r>
      <w:r w:rsidR="00301EF6" w:rsidRPr="00B6363B">
        <w:rPr>
          <w:color w:val="000000" w:themeColor="text1"/>
        </w:rPr>
        <w:t xml:space="preserve"> improving investments in the healthcare system outlined in the EIP, considering lessons</w:t>
      </w:r>
      <w:r w:rsidR="00301EF6" w:rsidRPr="00B6363B">
        <w:rPr>
          <w:rFonts w:eastAsiaTheme="minorHAnsi"/>
          <w:iCs/>
          <w:color w:val="000000" w:themeColor="text1"/>
          <w:szCs w:val="22"/>
          <w:lang w:eastAsia="en-US"/>
        </w:rPr>
        <w:t xml:space="preserve"> learned from the COVID-19 pandemic. </w:t>
      </w:r>
      <w:r w:rsidRPr="00741D16">
        <w:rPr>
          <w:color w:val="000000" w:themeColor="text1"/>
          <w:lang w:val="en-IE"/>
        </w:rPr>
        <w:t>Equally, the Action is contributing to SDG 3: Ensure healthy lives and promote well-being for all at all ages.</w:t>
      </w:r>
    </w:p>
    <w:p w14:paraId="7E2BE93E" w14:textId="73F634F6" w:rsidR="00622FED" w:rsidRDefault="00622FED" w:rsidP="00B7539B">
      <w:pPr>
        <w:spacing w:before="120"/>
        <w:ind w:left="142"/>
        <w:rPr>
          <w:color w:val="000000" w:themeColor="text1"/>
          <w:lang w:val="en-IE"/>
        </w:rPr>
      </w:pPr>
    </w:p>
    <w:p w14:paraId="11B55CDD" w14:textId="1DE97596" w:rsidR="006E4F2E" w:rsidRDefault="006E4F2E" w:rsidP="00305F00">
      <w:pPr>
        <w:pStyle w:val="Heading2"/>
        <w:numPr>
          <w:ilvl w:val="1"/>
          <w:numId w:val="8"/>
        </w:numPr>
        <w:ind w:left="788" w:hanging="431"/>
      </w:pPr>
      <w:r w:rsidRPr="00C03F96">
        <w:t xml:space="preserve">Beneficiary of the </w:t>
      </w:r>
      <w:r>
        <w:t>A</w:t>
      </w:r>
      <w:r w:rsidRPr="00C03F96">
        <w:t>ction</w:t>
      </w:r>
      <w:r w:rsidRPr="009258FE" w:rsidDel="00C03F96">
        <w:t xml:space="preserve"> </w:t>
      </w:r>
    </w:p>
    <w:p w14:paraId="75B84314" w14:textId="4306279A" w:rsidR="006E4F2E" w:rsidRDefault="006E4F2E" w:rsidP="00B7539B">
      <w:pPr>
        <w:ind w:left="142"/>
        <w:rPr>
          <w:lang w:val="en-IE"/>
        </w:rPr>
      </w:pPr>
      <w:r w:rsidRPr="0082062A">
        <w:rPr>
          <w:lang w:val="en-IE"/>
        </w:rPr>
        <w:t xml:space="preserve">The action shall be carried out in </w:t>
      </w:r>
      <w:r w:rsidR="00BC17D5">
        <w:rPr>
          <w:lang w:val="en-IE"/>
        </w:rPr>
        <w:t xml:space="preserve">the Republic of </w:t>
      </w:r>
      <w:r w:rsidR="00F0584D">
        <w:rPr>
          <w:lang w:val="en-IE"/>
        </w:rPr>
        <w:t>North Macedonia.</w:t>
      </w:r>
    </w:p>
    <w:p w14:paraId="08ECE6AE" w14:textId="77777777" w:rsidR="00FD7FCD" w:rsidRPr="003C0CD7" w:rsidRDefault="00FD7FCD" w:rsidP="007C0CF8">
      <w:pPr>
        <w:pStyle w:val="Heading1"/>
        <w:ind w:left="567"/>
        <w:rPr>
          <w:lang w:val="en-IE"/>
        </w:rPr>
      </w:pPr>
      <w:bookmarkStart w:id="18" w:name="_Toc73090733"/>
      <w:bookmarkEnd w:id="16"/>
      <w:r w:rsidRPr="003C0CD7">
        <w:rPr>
          <w:lang w:val="en-IE"/>
        </w:rPr>
        <w:t>RATIONALE</w:t>
      </w:r>
      <w:bookmarkEnd w:id="17"/>
      <w:bookmarkEnd w:id="18"/>
    </w:p>
    <w:p w14:paraId="035A54FE" w14:textId="77777777" w:rsidR="007C3E5D" w:rsidRPr="003C0CD7" w:rsidRDefault="00EE7957" w:rsidP="003C0CD7">
      <w:pPr>
        <w:pStyle w:val="Heading1"/>
        <w:numPr>
          <w:ilvl w:val="1"/>
          <w:numId w:val="1"/>
        </w:numPr>
        <w:rPr>
          <w:lang w:val="en-IE"/>
        </w:rPr>
      </w:pPr>
      <w:bookmarkStart w:id="19" w:name="_Toc58681324"/>
      <w:bookmarkStart w:id="20" w:name="_Toc58836454"/>
      <w:bookmarkStart w:id="21" w:name="_Toc58838072"/>
      <w:bookmarkStart w:id="22" w:name="_Toc58838127"/>
      <w:bookmarkStart w:id="23" w:name="_Toc58845970"/>
      <w:bookmarkStart w:id="24" w:name="_Toc58876979"/>
      <w:bookmarkStart w:id="25" w:name="_Toc58878014"/>
      <w:bookmarkStart w:id="26" w:name="_Toc59012327"/>
      <w:bookmarkStart w:id="27" w:name="_Toc59012903"/>
      <w:bookmarkStart w:id="28" w:name="_Toc59020751"/>
      <w:bookmarkStart w:id="29" w:name="_Toc59023350"/>
      <w:bookmarkStart w:id="30" w:name="_Toc59029519"/>
      <w:bookmarkStart w:id="31" w:name="_Toc59030335"/>
      <w:bookmarkStart w:id="32" w:name="_Toc59031652"/>
      <w:bookmarkStart w:id="33" w:name="_Toc62247152"/>
      <w:bookmarkStart w:id="34" w:name="_Toc62247209"/>
      <w:bookmarkStart w:id="35" w:name="_Toc62459251"/>
      <w:bookmarkStart w:id="36" w:name="_Toc62476915"/>
      <w:bookmarkStart w:id="37" w:name="_Toc63235823"/>
      <w:bookmarkStart w:id="38" w:name="_Toc63248929"/>
      <w:bookmarkStart w:id="39" w:name="_Toc63263258"/>
      <w:bookmarkStart w:id="40" w:name="_Toc64043035"/>
      <w:bookmarkStart w:id="41" w:name="_Toc65663746"/>
      <w:bookmarkStart w:id="42" w:name="_Toc65665561"/>
      <w:bookmarkStart w:id="43" w:name="_Toc65665923"/>
      <w:bookmarkStart w:id="44" w:name="_Toc65666102"/>
      <w:bookmarkStart w:id="45" w:name="_Toc65671179"/>
      <w:bookmarkStart w:id="46" w:name="_Toc65671238"/>
      <w:bookmarkStart w:id="47" w:name="_Toc65671895"/>
      <w:bookmarkStart w:id="48" w:name="_Toc65674751"/>
      <w:bookmarkStart w:id="49" w:name="_Toc65676401"/>
      <w:bookmarkStart w:id="50" w:name="_Toc65688238"/>
      <w:bookmarkStart w:id="51" w:name="_Toc66465127"/>
      <w:bookmarkStart w:id="52" w:name="_Toc66465580"/>
      <w:bookmarkStart w:id="53" w:name="_Toc66465639"/>
      <w:bookmarkStart w:id="54" w:name="_Toc66696365"/>
      <w:bookmarkStart w:id="55" w:name="_Toc67665914"/>
      <w:bookmarkStart w:id="56" w:name="_Toc69384673"/>
      <w:bookmarkStart w:id="57" w:name="_Toc69384804"/>
      <w:bookmarkStart w:id="58" w:name="_Toc69384933"/>
      <w:bookmarkStart w:id="59" w:name="_Toc69385061"/>
      <w:bookmarkStart w:id="60" w:name="_Toc69460809"/>
      <w:bookmarkStart w:id="61" w:name="_Toc69460936"/>
      <w:bookmarkStart w:id="62" w:name="_Toc69469897"/>
      <w:bookmarkStart w:id="63" w:name="_Toc69485760"/>
      <w:bookmarkStart w:id="64" w:name="_Toc69487635"/>
      <w:bookmarkStart w:id="65" w:name="_Toc72142225"/>
      <w:bookmarkStart w:id="66" w:name="_Toc72142311"/>
      <w:bookmarkStart w:id="67" w:name="_Toc73090651"/>
      <w:bookmarkStart w:id="68" w:name="_Toc73090734"/>
      <w:bookmarkStart w:id="69" w:name="_Toc59030336"/>
      <w:bookmarkStart w:id="70" w:name="_Toc59031653"/>
      <w:bookmarkStart w:id="71" w:name="_Toc62247153"/>
      <w:bookmarkStart w:id="72" w:name="_Toc62247210"/>
      <w:bookmarkStart w:id="73" w:name="_Toc62459252"/>
      <w:bookmarkStart w:id="74" w:name="_Toc62476916"/>
      <w:bookmarkStart w:id="75" w:name="_Toc63235824"/>
      <w:bookmarkStart w:id="76" w:name="_Toc63248930"/>
      <w:bookmarkStart w:id="77" w:name="_Toc63263259"/>
      <w:bookmarkStart w:id="78" w:name="_Toc64043036"/>
      <w:bookmarkStart w:id="79" w:name="_Toc65663747"/>
      <w:bookmarkStart w:id="80" w:name="_Toc65665562"/>
      <w:bookmarkStart w:id="81" w:name="_Toc65665924"/>
      <w:bookmarkStart w:id="82" w:name="_Toc65666103"/>
      <w:bookmarkStart w:id="83" w:name="_Toc65671180"/>
      <w:bookmarkStart w:id="84" w:name="_Toc65671239"/>
      <w:bookmarkStart w:id="85" w:name="_Toc65671896"/>
      <w:bookmarkStart w:id="86" w:name="_Toc65674752"/>
      <w:bookmarkStart w:id="87" w:name="_Toc65676402"/>
      <w:bookmarkStart w:id="88" w:name="_Toc65688239"/>
      <w:bookmarkStart w:id="89" w:name="_Toc66465128"/>
      <w:bookmarkStart w:id="90" w:name="_Toc66465581"/>
      <w:bookmarkStart w:id="91" w:name="_Toc66465640"/>
      <w:bookmarkStart w:id="92" w:name="_Toc66696366"/>
      <w:bookmarkStart w:id="93" w:name="_Toc67665915"/>
      <w:bookmarkStart w:id="94" w:name="_Toc69384674"/>
      <w:bookmarkStart w:id="95" w:name="_Toc69384805"/>
      <w:bookmarkStart w:id="96" w:name="_Toc69384934"/>
      <w:bookmarkStart w:id="97" w:name="_Toc69385062"/>
      <w:bookmarkStart w:id="98" w:name="_Toc69460810"/>
      <w:bookmarkStart w:id="99" w:name="_Toc69460937"/>
      <w:bookmarkStart w:id="100" w:name="_Toc69469898"/>
      <w:bookmarkStart w:id="101" w:name="_Toc69485761"/>
      <w:bookmarkStart w:id="102" w:name="_Toc69487636"/>
      <w:bookmarkStart w:id="103" w:name="_Toc72142226"/>
      <w:bookmarkStart w:id="104" w:name="_Toc72142312"/>
      <w:bookmarkStart w:id="105" w:name="_Toc73090652"/>
      <w:bookmarkStart w:id="106" w:name="_Toc73090735"/>
      <w:bookmarkStart w:id="107" w:name="_Toc47101944"/>
      <w:bookmarkStart w:id="108" w:name="_Toc51270439"/>
      <w:bookmarkStart w:id="109" w:name="_Ref58358139"/>
      <w:bookmarkStart w:id="110" w:name="_Ref58835173"/>
      <w:bookmarkStart w:id="111" w:name="_Ref58835175"/>
      <w:bookmarkStart w:id="112" w:name="_Ref58835182"/>
      <w:bookmarkStart w:id="113" w:name="_Toc730907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3C0CD7">
        <w:rPr>
          <w:lang w:val="en-IE"/>
        </w:rPr>
        <w:t>C</w:t>
      </w:r>
      <w:r w:rsidR="00FD7FCD" w:rsidRPr="003C0CD7">
        <w:rPr>
          <w:lang w:val="en-IE"/>
        </w:rPr>
        <w:t>ontext</w:t>
      </w:r>
      <w:bookmarkEnd w:id="107"/>
      <w:bookmarkEnd w:id="108"/>
      <w:bookmarkEnd w:id="109"/>
      <w:bookmarkEnd w:id="110"/>
      <w:bookmarkEnd w:id="111"/>
      <w:bookmarkEnd w:id="112"/>
      <w:bookmarkEnd w:id="113"/>
    </w:p>
    <w:p w14:paraId="0F71AC91" w14:textId="22D2F02E" w:rsidR="00FE13C9" w:rsidRPr="00FE13C9" w:rsidRDefault="00FE13C9" w:rsidP="00B6363B">
      <w:pPr>
        <w:spacing w:before="120"/>
        <w:ind w:left="142"/>
        <w:jc w:val="both"/>
        <w:rPr>
          <w:lang w:val="en-IE"/>
        </w:rPr>
      </w:pPr>
      <w:r w:rsidRPr="00FE13C9">
        <w:rPr>
          <w:lang w:val="en-IE"/>
        </w:rPr>
        <w:t xml:space="preserve">North Macedonia has established a robust and comprehensive legal framework for regulating public health. Fundamental laws governing healthcare, health insurance, public health, health records, and patient rights are in place. The country has undertaken substantial reforms to enhance its healthcare system. Notable initiatives include establishing a </w:t>
      </w:r>
      <w:r w:rsidRPr="00D16994">
        <w:rPr>
          <w:i/>
          <w:iCs/>
          <w:lang w:val="en-IE"/>
        </w:rPr>
        <w:t>Health Network</w:t>
      </w:r>
      <w:r w:rsidRPr="00FE13C9">
        <w:rPr>
          <w:lang w:val="en-IE"/>
        </w:rPr>
        <w:t xml:space="preserve"> to strategically plan healthcare resources, implementing </w:t>
      </w:r>
      <w:r w:rsidRPr="00D16994">
        <w:rPr>
          <w:i/>
          <w:iCs/>
          <w:lang w:val="en-IE"/>
        </w:rPr>
        <w:t>Moj Termin</w:t>
      </w:r>
      <w:r w:rsidRPr="00FE13C9">
        <w:rPr>
          <w:lang w:val="en-IE"/>
        </w:rPr>
        <w:t xml:space="preserve">, a health information system, and revising the </w:t>
      </w:r>
      <w:r w:rsidRPr="00D16994">
        <w:rPr>
          <w:i/>
          <w:iCs/>
          <w:lang w:val="en-IE"/>
        </w:rPr>
        <w:t>Health Insurance Law</w:t>
      </w:r>
      <w:r w:rsidRPr="00FE13C9">
        <w:rPr>
          <w:lang w:val="en-IE"/>
        </w:rPr>
        <w:t>, which extended public insurance coverage to over 90% of the population.</w:t>
      </w:r>
      <w:r>
        <w:rPr>
          <w:lang w:val="en-IE"/>
        </w:rPr>
        <w:t xml:space="preserve"> </w:t>
      </w:r>
      <w:r w:rsidRPr="00FE13C9">
        <w:rPr>
          <w:lang w:val="en-IE"/>
        </w:rPr>
        <w:t>In February 2019, the Ministry of Health launched a national reform to introduce an integrated and patient-centred care model within the primary healthcare system. This reform seeks to enhance health coverage and improve the overall healthcare experience for all citizens.</w:t>
      </w:r>
    </w:p>
    <w:p w14:paraId="4A754AFD" w14:textId="1154EAF5" w:rsidR="00FE13C9" w:rsidRDefault="00FE13C9" w:rsidP="00B6363B">
      <w:pPr>
        <w:spacing w:before="120"/>
        <w:ind w:left="142"/>
        <w:jc w:val="both"/>
        <w:rPr>
          <w:lang w:val="en-IE"/>
        </w:rPr>
      </w:pPr>
      <w:r w:rsidRPr="00FE13C9">
        <w:rPr>
          <w:lang w:val="en-IE"/>
        </w:rPr>
        <w:lastRenderedPageBreak/>
        <w:t xml:space="preserve">From a strategic perspective, North Macedonia has developed the </w:t>
      </w:r>
      <w:r w:rsidRPr="00D16994">
        <w:rPr>
          <w:b/>
          <w:bCs/>
          <w:i/>
          <w:iCs/>
          <w:lang w:val="en-IE"/>
        </w:rPr>
        <w:t>National Health Strategy 2021-2030</w:t>
      </w:r>
      <w:r w:rsidRPr="00D16994">
        <w:rPr>
          <w:i/>
          <w:iCs/>
          <w:lang w:val="en-IE"/>
        </w:rPr>
        <w:t xml:space="preserve"> </w:t>
      </w:r>
      <w:r w:rsidRPr="00FE13C9">
        <w:rPr>
          <w:lang w:val="en-IE"/>
        </w:rPr>
        <w:t>with extensive public participation in its formulation. This strategy provides a clear direction and roadmap for modernising and developing the country's health system, aiming to improve the population's health status and enhance the healthcare experience for all citizens.</w:t>
      </w:r>
    </w:p>
    <w:p w14:paraId="40CA8977" w14:textId="15E6BF7F" w:rsidR="007321F4" w:rsidRDefault="007321F4" w:rsidP="00B6363B">
      <w:pPr>
        <w:spacing w:before="120"/>
        <w:ind w:left="142"/>
        <w:jc w:val="both"/>
        <w:rPr>
          <w:lang w:val="en-IE"/>
        </w:rPr>
      </w:pPr>
      <w:r w:rsidRPr="007321F4">
        <w:rPr>
          <w:lang w:val="en-IE"/>
        </w:rPr>
        <w:t xml:space="preserve">Health expenditure </w:t>
      </w:r>
      <w:r w:rsidR="00D946EA">
        <w:rPr>
          <w:lang w:val="en-IE"/>
        </w:rPr>
        <w:t xml:space="preserve">in the country </w:t>
      </w:r>
      <w:r w:rsidRPr="007321F4">
        <w:rPr>
          <w:lang w:val="en-IE"/>
        </w:rPr>
        <w:t xml:space="preserve">is relatively low compared to EU and South-Eastern European countries, per capita and as a percentage of gross domestic product (GDP). </w:t>
      </w:r>
      <w:r w:rsidR="00D946EA">
        <w:rPr>
          <w:lang w:val="en-IE"/>
        </w:rPr>
        <w:t xml:space="preserve">Over the years, there has been a decline in spending </w:t>
      </w:r>
      <w:r w:rsidRPr="007321F4">
        <w:rPr>
          <w:lang w:val="en-IE"/>
        </w:rPr>
        <w:t>on health as a percentage of GDP</w:t>
      </w:r>
      <w:r w:rsidR="00D946EA">
        <w:rPr>
          <w:lang w:val="en-IE"/>
        </w:rPr>
        <w:t>,</w:t>
      </w:r>
      <w:r w:rsidRPr="007321F4">
        <w:rPr>
          <w:lang w:val="en-IE"/>
        </w:rPr>
        <w:t xml:space="preserve"> </w:t>
      </w:r>
      <w:r w:rsidR="00D946EA">
        <w:rPr>
          <w:lang w:val="en-IE"/>
        </w:rPr>
        <w:t>dropping</w:t>
      </w:r>
      <w:r w:rsidR="00D946EA" w:rsidRPr="007321F4">
        <w:rPr>
          <w:lang w:val="en-IE"/>
        </w:rPr>
        <w:t xml:space="preserve"> </w:t>
      </w:r>
      <w:r w:rsidRPr="007321F4">
        <w:rPr>
          <w:lang w:val="en-IE"/>
        </w:rPr>
        <w:t>from 8,9% in 2000 to 7,3% in 2019</w:t>
      </w:r>
      <w:r>
        <w:rPr>
          <w:rStyle w:val="FootnoteReference"/>
          <w:lang w:val="en-IE"/>
        </w:rPr>
        <w:footnoteReference w:id="15"/>
      </w:r>
      <w:r w:rsidRPr="007321F4">
        <w:rPr>
          <w:lang w:val="en-IE"/>
        </w:rPr>
        <w:t xml:space="preserve">. </w:t>
      </w:r>
      <w:r w:rsidR="00D946EA">
        <w:rPr>
          <w:lang w:val="en-IE"/>
        </w:rPr>
        <w:t>Despite</w:t>
      </w:r>
      <w:r w:rsidR="00D946EA" w:rsidRPr="007321F4">
        <w:rPr>
          <w:lang w:val="en-IE"/>
        </w:rPr>
        <w:t xml:space="preserve"> </w:t>
      </w:r>
      <w:r w:rsidRPr="007321F4">
        <w:rPr>
          <w:lang w:val="en-IE"/>
        </w:rPr>
        <w:t>more than half of health spending com</w:t>
      </w:r>
      <w:r w:rsidR="00D946EA">
        <w:rPr>
          <w:lang w:val="en-IE"/>
        </w:rPr>
        <w:t>ing</w:t>
      </w:r>
      <w:r w:rsidRPr="007321F4">
        <w:rPr>
          <w:lang w:val="en-IE"/>
        </w:rPr>
        <w:t xml:space="preserve"> from public sources (57%), </w:t>
      </w:r>
      <w:r w:rsidR="00804421">
        <w:rPr>
          <w:lang w:val="en-IE"/>
        </w:rPr>
        <w:t xml:space="preserve">the per capita public </w:t>
      </w:r>
      <w:r w:rsidRPr="007321F4">
        <w:rPr>
          <w:lang w:val="en-IE"/>
        </w:rPr>
        <w:t xml:space="preserve">expenditure </w:t>
      </w:r>
      <w:r w:rsidR="00804421">
        <w:rPr>
          <w:lang w:val="en-IE"/>
        </w:rPr>
        <w:t>still needs to be improved</w:t>
      </w:r>
      <w:r w:rsidRPr="007321F4">
        <w:rPr>
          <w:lang w:val="en-IE"/>
        </w:rPr>
        <w:t>. In 2019, North Macedonia spent 775 US$ PPP (purchasing power parity)</w:t>
      </w:r>
      <w:r w:rsidR="00804421">
        <w:rPr>
          <w:lang w:val="en-IE"/>
        </w:rPr>
        <w:t xml:space="preserve"> per capita on healthcare, </w:t>
      </w:r>
      <w:r w:rsidRPr="007321F4">
        <w:rPr>
          <w:lang w:val="en-IE"/>
        </w:rPr>
        <w:t xml:space="preserve"> the second lowest in South Eastern Europe</w:t>
      </w:r>
      <w:r w:rsidR="00804421">
        <w:rPr>
          <w:lang w:val="en-IE"/>
        </w:rPr>
        <w:t xml:space="preserve">, with </w:t>
      </w:r>
      <w:r w:rsidRPr="007321F4">
        <w:rPr>
          <w:lang w:val="en-IE"/>
        </w:rPr>
        <w:t xml:space="preserve">Albania </w:t>
      </w:r>
      <w:r w:rsidR="00804421">
        <w:rPr>
          <w:lang w:val="en-IE"/>
        </w:rPr>
        <w:t xml:space="preserve">having the lowest at </w:t>
      </w:r>
      <w:r w:rsidRPr="007321F4">
        <w:rPr>
          <w:lang w:val="en-IE"/>
        </w:rPr>
        <w:t>377</w:t>
      </w:r>
      <w:r w:rsidR="00804421">
        <w:rPr>
          <w:lang w:val="en-IE"/>
        </w:rPr>
        <w:t xml:space="preserve"> </w:t>
      </w:r>
      <w:r w:rsidRPr="007321F4">
        <w:rPr>
          <w:lang w:val="en-IE"/>
        </w:rPr>
        <w:t xml:space="preserve">US$ PPP). The </w:t>
      </w:r>
      <w:r w:rsidR="00804421">
        <w:rPr>
          <w:lang w:val="en-IE"/>
        </w:rPr>
        <w:t>proportion</w:t>
      </w:r>
      <w:r w:rsidR="00804421" w:rsidRPr="007321F4">
        <w:rPr>
          <w:lang w:val="en-IE"/>
        </w:rPr>
        <w:t xml:space="preserve"> </w:t>
      </w:r>
      <w:r w:rsidRPr="007321F4">
        <w:rPr>
          <w:lang w:val="en-IE"/>
        </w:rPr>
        <w:t xml:space="preserve">of public spending on health as a share of GDP </w:t>
      </w:r>
      <w:r w:rsidR="00804421">
        <w:rPr>
          <w:lang w:val="en-IE"/>
        </w:rPr>
        <w:t xml:space="preserve">also experienced a decline, </w:t>
      </w:r>
      <w:r w:rsidRPr="007321F4">
        <w:rPr>
          <w:lang w:val="en-IE"/>
        </w:rPr>
        <w:t>decreas</w:t>
      </w:r>
      <w:r w:rsidR="00804421">
        <w:rPr>
          <w:lang w:val="en-IE"/>
        </w:rPr>
        <w:t xml:space="preserve">ing </w:t>
      </w:r>
      <w:r w:rsidRPr="007321F4">
        <w:rPr>
          <w:lang w:val="en-IE"/>
        </w:rPr>
        <w:t>from 5% in 2033 to 4,3% in 2019</w:t>
      </w:r>
      <w:r>
        <w:rPr>
          <w:rStyle w:val="FootnoteReference"/>
          <w:lang w:val="en-IE"/>
        </w:rPr>
        <w:footnoteReference w:id="16"/>
      </w:r>
      <w:r>
        <w:rPr>
          <w:lang w:val="en-IE"/>
        </w:rPr>
        <w:t>.</w:t>
      </w:r>
    </w:p>
    <w:p w14:paraId="27C74529" w14:textId="7A5E2050" w:rsidR="00A67685" w:rsidRDefault="00A67685" w:rsidP="00B6363B">
      <w:pPr>
        <w:spacing w:before="120"/>
        <w:ind w:left="142"/>
        <w:jc w:val="both"/>
        <w:rPr>
          <w:lang w:val="en-IE"/>
        </w:rPr>
      </w:pPr>
      <w:r w:rsidRPr="00A67685">
        <w:rPr>
          <w:lang w:val="en-IE"/>
        </w:rPr>
        <w:t xml:space="preserve">The </w:t>
      </w:r>
      <w:r w:rsidR="006D1D6A">
        <w:rPr>
          <w:lang w:val="en-IE"/>
        </w:rPr>
        <w:t xml:space="preserve">country’s </w:t>
      </w:r>
      <w:r>
        <w:rPr>
          <w:lang w:val="en-IE"/>
        </w:rPr>
        <w:t>P</w:t>
      </w:r>
      <w:r w:rsidRPr="00A67685">
        <w:rPr>
          <w:lang w:val="en-IE"/>
        </w:rPr>
        <w:t xml:space="preserve">ublic </w:t>
      </w:r>
      <w:r>
        <w:rPr>
          <w:lang w:val="en-IE"/>
        </w:rPr>
        <w:t>H</w:t>
      </w:r>
      <w:r w:rsidRPr="00A67685">
        <w:rPr>
          <w:lang w:val="en-IE"/>
        </w:rPr>
        <w:t xml:space="preserve">ealth </w:t>
      </w:r>
      <w:r>
        <w:rPr>
          <w:lang w:val="en-IE"/>
        </w:rPr>
        <w:t>S</w:t>
      </w:r>
      <w:r w:rsidRPr="00A67685">
        <w:rPr>
          <w:lang w:val="en-IE"/>
        </w:rPr>
        <w:t xml:space="preserve">ector </w:t>
      </w:r>
      <w:r w:rsidR="006D1D6A">
        <w:rPr>
          <w:lang w:val="en-IE"/>
        </w:rPr>
        <w:t>comprises</w:t>
      </w:r>
      <w:r w:rsidRPr="00A67685">
        <w:rPr>
          <w:lang w:val="en-IE"/>
        </w:rPr>
        <w:t xml:space="preserve"> the National Institute for Public Health and ten regional Public Health Centres responsible for promoting health and preventing disease</w:t>
      </w:r>
      <w:r w:rsidR="00CB73E2">
        <w:rPr>
          <w:lang w:val="en-IE"/>
        </w:rPr>
        <w:t>s</w:t>
      </w:r>
      <w:r w:rsidRPr="00A67685">
        <w:rPr>
          <w:lang w:val="en-IE"/>
        </w:rPr>
        <w:t xml:space="preserve">. There is a network of primary care providers at the municipal level, although these were privatised between 2004-2007, </w:t>
      </w:r>
      <w:r w:rsidR="006D1D6A">
        <w:rPr>
          <w:lang w:val="en-IE"/>
        </w:rPr>
        <w:t>resulting in a diverse</w:t>
      </w:r>
      <w:r w:rsidR="006D1D6A" w:rsidRPr="00A67685">
        <w:rPr>
          <w:lang w:val="en-IE"/>
        </w:rPr>
        <w:t xml:space="preserve"> </w:t>
      </w:r>
      <w:r w:rsidRPr="00A67685">
        <w:rPr>
          <w:lang w:val="en-IE"/>
        </w:rPr>
        <w:t>provider market. The Health Network was created in 2012 to establish a well-distributed network of certified public and private healthcare providers contracted by the Health Insurance Fund</w:t>
      </w:r>
      <w:r>
        <w:rPr>
          <w:lang w:val="en-IE"/>
        </w:rPr>
        <w:t xml:space="preserve"> (HIF)</w:t>
      </w:r>
      <w:r w:rsidRPr="00A67685">
        <w:rPr>
          <w:lang w:val="en-IE"/>
        </w:rPr>
        <w:t xml:space="preserve"> to provide services under the health insurance system.</w:t>
      </w:r>
    </w:p>
    <w:p w14:paraId="0B807481" w14:textId="49027D84" w:rsidR="009E7743" w:rsidRDefault="00D16994" w:rsidP="00B6363B">
      <w:pPr>
        <w:spacing w:before="120"/>
        <w:ind w:left="142"/>
        <w:jc w:val="both"/>
        <w:rPr>
          <w:lang w:val="en-IE"/>
        </w:rPr>
      </w:pPr>
      <w:r w:rsidRPr="00E214AA">
        <w:rPr>
          <w:lang w:val="en-IE"/>
        </w:rPr>
        <w:t xml:space="preserve">Enhancing coordination among primary care providers is essential to realise the Health Network's vision of establishing a new primary healthcare model with multidisciplinary and integrated teams. </w:t>
      </w:r>
      <w:r w:rsidR="009E7743" w:rsidRPr="009E7743">
        <w:rPr>
          <w:lang w:val="en-IE"/>
        </w:rPr>
        <w:t>While the network of secondary and tertiary care providers is well-developed, there exists significant variation in the capacity utilisation among hospitals classified similarly. Since 2017, North Macedonia has experienced a decrease in hospital beds per capita, resulting in a lower hospital-bed ratio compared to the EU average. However, despite this decrease, hospitals are operating well below their total capacity, and bed occupancy rates are among the lowest in Europe. Furthermore, there is an uneven distribution of hospital beds, with more than half of all hospitals in Skopje.</w:t>
      </w:r>
    </w:p>
    <w:p w14:paraId="708E2612" w14:textId="7D1AB2ED" w:rsidR="009E7743" w:rsidRDefault="009E7743" w:rsidP="00B6363B">
      <w:pPr>
        <w:spacing w:before="120"/>
        <w:ind w:left="142"/>
        <w:jc w:val="both"/>
        <w:rPr>
          <w:lang w:val="en-IE"/>
        </w:rPr>
      </w:pPr>
      <w:r w:rsidRPr="009E7743">
        <w:rPr>
          <w:lang w:val="en-IE"/>
        </w:rPr>
        <w:t xml:space="preserve">The health sector in North Macedonia needs an increased number of physicians, nurses, midwives, </w:t>
      </w:r>
      <w:r w:rsidR="004F6EFD">
        <w:rPr>
          <w:lang w:val="en-IE"/>
        </w:rPr>
        <w:t>a</w:t>
      </w:r>
      <w:r w:rsidR="007A2559">
        <w:rPr>
          <w:lang w:val="en-IE"/>
        </w:rPr>
        <w:t xml:space="preserve">nd </w:t>
      </w:r>
      <w:r w:rsidRPr="009E7743">
        <w:rPr>
          <w:lang w:val="en-IE"/>
        </w:rPr>
        <w:t>particularly specialists, to meet the growing demand for healthcare services. While salaries have been raised as part of a retention policy, medical staff are moving to the private sector or seeking employment abroad. In 2019, the total health system workforce was estimated to be 33,544, representing an increase of over 6,500 from 2010. Although the number of physicians has shown improvement, nearing the EU average, the nurse-to-population ratio remains less than half of the average. Therefore, concerted efforts should be made to retain medical staff and attract qualified professionals from other countries.</w:t>
      </w:r>
    </w:p>
    <w:p w14:paraId="62660021" w14:textId="0EA874F5" w:rsidR="00B86EA1" w:rsidRDefault="00B86EA1" w:rsidP="00B6363B">
      <w:pPr>
        <w:spacing w:before="120"/>
        <w:ind w:left="142"/>
        <w:jc w:val="both"/>
        <w:rPr>
          <w:lang w:val="en-IE"/>
        </w:rPr>
      </w:pPr>
      <w:r w:rsidRPr="00B86EA1">
        <w:rPr>
          <w:lang w:val="en-IE"/>
        </w:rPr>
        <w:t>North Macedonia has significantly invested in medical equipment over the past decade; however, it still falls behind the EU average in modern diagnostic imaging technologies. As of 2018, the country had only 3.9 MRI units per million population, whereas the EU average stood at 17.4 units. Similarly, North Macedonia had 8.7 CT units per million inhabitants, representing 39% of the EU average. In the same year, there were 26 mammography units available, equivalent to 1.25 units per 100,000 population.</w:t>
      </w:r>
      <w:r>
        <w:rPr>
          <w:lang w:val="en-IE"/>
        </w:rPr>
        <w:t xml:space="preserve"> </w:t>
      </w:r>
      <w:r w:rsidRPr="00B86EA1">
        <w:rPr>
          <w:lang w:val="en-IE"/>
        </w:rPr>
        <w:t xml:space="preserve">Nevertheless, </w:t>
      </w:r>
      <w:r w:rsidR="00E477CB">
        <w:rPr>
          <w:lang w:val="en-IE"/>
        </w:rPr>
        <w:t>the country</w:t>
      </w:r>
      <w:r w:rsidRPr="00B86EA1">
        <w:rPr>
          <w:lang w:val="en-IE"/>
        </w:rPr>
        <w:t xml:space="preserve"> has taken proactive measures to enhance its medical infrastructure. The </w:t>
      </w:r>
      <w:r w:rsidR="00E477CB">
        <w:rPr>
          <w:lang w:val="en-IE"/>
        </w:rPr>
        <w:t>EU</w:t>
      </w:r>
      <w:r w:rsidRPr="00B86EA1">
        <w:rPr>
          <w:lang w:val="en-IE"/>
        </w:rPr>
        <w:t xml:space="preserve"> has played a vital role by donating cutting-edge equipment to eight regional medical centres nationwide. Consequently, MRI and computed tomography devices have been efficiently distributed to various hospitals nationwide, bolstering the diagnostic capabilities of healthcare facilities.</w:t>
      </w:r>
    </w:p>
    <w:p w14:paraId="3D92EEF9" w14:textId="6498DAD3" w:rsidR="000B31A4" w:rsidRDefault="000B31A4" w:rsidP="00B6363B">
      <w:pPr>
        <w:spacing w:before="120"/>
        <w:ind w:left="142"/>
        <w:jc w:val="both"/>
      </w:pPr>
      <w:r w:rsidRPr="000B31A4">
        <w:lastRenderedPageBreak/>
        <w:t xml:space="preserve">North Macedonia </w:t>
      </w:r>
      <w:r w:rsidR="00986938">
        <w:t xml:space="preserve">is currently experiencing </w:t>
      </w:r>
      <w:r w:rsidRPr="000B31A4">
        <w:t xml:space="preserve">an ageing population trend, which </w:t>
      </w:r>
      <w:r w:rsidR="00986938">
        <w:t xml:space="preserve">poses potential challenges to </w:t>
      </w:r>
      <w:r w:rsidRPr="000B31A4">
        <w:t xml:space="preserve">its health system. </w:t>
      </w:r>
      <w:r w:rsidR="00986938">
        <w:t>One important factor contributing to this situation is</w:t>
      </w:r>
      <w:r w:rsidR="000E0DE0">
        <w:t xml:space="preserve"> </w:t>
      </w:r>
      <w:r w:rsidR="00986938">
        <w:t>t</w:t>
      </w:r>
      <w:r w:rsidR="00986938" w:rsidRPr="000B31A4">
        <w:t xml:space="preserve">he </w:t>
      </w:r>
      <w:r w:rsidRPr="000B31A4">
        <w:t>fertility rate</w:t>
      </w:r>
      <w:r w:rsidR="00986938">
        <w:t xml:space="preserve">, </w:t>
      </w:r>
      <w:r w:rsidRPr="000B31A4">
        <w:t>below the EU average and</w:t>
      </w:r>
      <w:r w:rsidR="00986938">
        <w:t xml:space="preserve"> falls significantly</w:t>
      </w:r>
      <w:r w:rsidRPr="000B31A4">
        <w:t xml:space="preserve"> below the replacement level</w:t>
      </w:r>
      <w:r w:rsidRPr="000B31A4">
        <w:rPr>
          <w:rStyle w:val="FootnoteReference"/>
        </w:rPr>
        <w:t xml:space="preserve"> </w:t>
      </w:r>
      <w:r>
        <w:rPr>
          <w:rStyle w:val="FootnoteReference"/>
        </w:rPr>
        <w:footnoteReference w:id="17"/>
      </w:r>
      <w:r w:rsidR="005B3776">
        <w:t xml:space="preserve">. </w:t>
      </w:r>
      <w:r w:rsidR="00986938">
        <w:t xml:space="preserve">Additionally, the country’s </w:t>
      </w:r>
      <w:r w:rsidRPr="000B31A4">
        <w:t xml:space="preserve">life expectancy is </w:t>
      </w:r>
      <w:r w:rsidR="005B3776">
        <w:t xml:space="preserve">also </w:t>
      </w:r>
      <w:r w:rsidRPr="000B31A4">
        <w:t>lower than the EU average</w:t>
      </w:r>
      <w:r w:rsidR="005B3776">
        <w:t xml:space="preserve"> </w:t>
      </w:r>
      <w:r>
        <w:rPr>
          <w:rStyle w:val="FootnoteReference"/>
        </w:rPr>
        <w:footnoteReference w:id="18"/>
      </w:r>
      <w:r>
        <w:t>.</w:t>
      </w:r>
      <w:r w:rsidRPr="000B31A4">
        <w:t xml:space="preserve"> </w:t>
      </w:r>
      <w:r>
        <w:t xml:space="preserve"> </w:t>
      </w:r>
      <w:r w:rsidRPr="000B31A4">
        <w:t>In 2019, the infant mortality rate was higher than the EU average, and regional variations exist in premature mortality. Although premature mortality is decreasing with the increase in life expectancy, there is still a significant difference between the best- and worst-performing regions.</w:t>
      </w:r>
    </w:p>
    <w:p w14:paraId="33D1E9E9" w14:textId="4258A37D" w:rsidR="00E14C0A" w:rsidRDefault="00E14C0A" w:rsidP="00B6363B">
      <w:pPr>
        <w:spacing w:before="120"/>
        <w:ind w:left="142"/>
        <w:jc w:val="both"/>
        <w:rPr>
          <w:lang w:val="en-US" w:eastAsia="es-ES_tradnl"/>
        </w:rPr>
      </w:pPr>
      <w:r>
        <w:rPr>
          <w:lang w:val="en-US" w:eastAsia="es-ES_tradnl"/>
        </w:rPr>
        <w:t>Non-communicable disease</w:t>
      </w:r>
      <w:r w:rsidR="000E0DE0">
        <w:rPr>
          <w:lang w:val="en-US" w:eastAsia="es-ES_tradnl"/>
        </w:rPr>
        <w:t>s</w:t>
      </w:r>
      <w:r>
        <w:rPr>
          <w:lang w:val="en-US" w:eastAsia="es-ES_tradnl"/>
        </w:rPr>
        <w:t xml:space="preserve"> (NCD</w:t>
      </w:r>
      <w:r w:rsidR="000E0DE0">
        <w:rPr>
          <w:lang w:val="en-US" w:eastAsia="es-ES_tradnl"/>
        </w:rPr>
        <w:t>s</w:t>
      </w:r>
      <w:r>
        <w:rPr>
          <w:lang w:val="en-US" w:eastAsia="es-ES_tradnl"/>
        </w:rPr>
        <w:t>) account for an estimated 95% of all deaths</w:t>
      </w:r>
      <w:r w:rsidR="000E0DE0">
        <w:rPr>
          <w:lang w:val="en-US" w:eastAsia="es-ES_tradnl"/>
        </w:rPr>
        <w:t xml:space="preserve">, with </w:t>
      </w:r>
      <w:r>
        <w:rPr>
          <w:lang w:val="en-US" w:eastAsia="es-ES_tradnl"/>
        </w:rPr>
        <w:t xml:space="preserve">cardiovascular diseases </w:t>
      </w:r>
      <w:r w:rsidR="000E0DE0">
        <w:rPr>
          <w:lang w:val="en-US" w:eastAsia="es-ES_tradnl"/>
        </w:rPr>
        <w:t xml:space="preserve">accounting for </w:t>
      </w:r>
      <w:r>
        <w:rPr>
          <w:lang w:val="en-US" w:eastAsia="es-ES_tradnl"/>
        </w:rPr>
        <w:t xml:space="preserve">61% and cancer </w:t>
      </w:r>
      <w:r w:rsidR="000E0DE0">
        <w:rPr>
          <w:lang w:val="en-US" w:eastAsia="es-ES_tradnl"/>
        </w:rPr>
        <w:t xml:space="preserve">for </w:t>
      </w:r>
      <w:r>
        <w:rPr>
          <w:lang w:val="en-US" w:eastAsia="es-ES_tradnl"/>
        </w:rPr>
        <w:t>21%</w:t>
      </w:r>
      <w:r w:rsidR="000E0DE0">
        <w:rPr>
          <w:lang w:val="en-US" w:eastAsia="es-ES_tradnl"/>
        </w:rPr>
        <w:t>. The most</w:t>
      </w:r>
      <w:r w:rsidR="00902EAF">
        <w:rPr>
          <w:lang w:val="en-US" w:eastAsia="es-ES_tradnl"/>
        </w:rPr>
        <w:t xml:space="preserve"> significant cancer contributors are </w:t>
      </w:r>
      <w:r>
        <w:rPr>
          <w:lang w:val="en-US" w:eastAsia="es-ES_tradnl"/>
        </w:rPr>
        <w:t>lung, colorectal, pancreatic, and prostate</w:t>
      </w:r>
      <w:r w:rsidR="00902EAF">
        <w:rPr>
          <w:lang w:val="en-US" w:eastAsia="es-ES_tradnl"/>
        </w:rPr>
        <w:t xml:space="preserve"> cancer. Diabetes and chronic respiratory diseases comprise most of the remaining NCD burden</w:t>
      </w:r>
      <w:r>
        <w:rPr>
          <w:rStyle w:val="FootnoteReference"/>
          <w:lang w:val="en-US" w:eastAsia="es-ES_tradnl"/>
        </w:rPr>
        <w:footnoteReference w:id="19"/>
      </w:r>
      <w:r>
        <w:rPr>
          <w:lang w:val="en-US" w:eastAsia="es-ES_tradnl"/>
        </w:rPr>
        <w:t>.</w:t>
      </w:r>
    </w:p>
    <w:p w14:paraId="76FB7673" w14:textId="1019D16B" w:rsidR="000B31A4" w:rsidRPr="007C0CF8" w:rsidRDefault="00902EAF" w:rsidP="00B6363B">
      <w:pPr>
        <w:spacing w:before="120"/>
        <w:ind w:left="142"/>
        <w:jc w:val="both"/>
        <w:rPr>
          <w:lang w:eastAsia="es-ES_tradnl"/>
        </w:rPr>
      </w:pPr>
      <w:r>
        <w:rPr>
          <w:lang w:val="en-US" w:eastAsia="es-ES_tradnl"/>
        </w:rPr>
        <w:t>Several h</w:t>
      </w:r>
      <w:r w:rsidRPr="000B31A4">
        <w:rPr>
          <w:lang w:val="en-US" w:eastAsia="es-ES_tradnl"/>
        </w:rPr>
        <w:t>igh</w:t>
      </w:r>
      <w:r w:rsidR="000B31A4" w:rsidRPr="000B31A4">
        <w:rPr>
          <w:lang w:val="en-US" w:eastAsia="es-ES_tradnl"/>
        </w:rPr>
        <w:t>-risk factors</w:t>
      </w:r>
      <w:r>
        <w:rPr>
          <w:lang w:val="en-US" w:eastAsia="es-ES_tradnl"/>
        </w:rPr>
        <w:t xml:space="preserve"> contribute to premature mortality, morbidity, and disability related to NCDs. These factors include</w:t>
      </w:r>
      <w:r w:rsidR="000B31A4" w:rsidRPr="000B31A4">
        <w:rPr>
          <w:lang w:val="en-US" w:eastAsia="es-ES_tradnl"/>
        </w:rPr>
        <w:t xml:space="preserve"> tobacco</w:t>
      </w:r>
      <w:r w:rsidR="00743AE1">
        <w:rPr>
          <w:lang w:val="en-US" w:eastAsia="es-ES_tradnl"/>
        </w:rPr>
        <w:t xml:space="preserve"> use</w:t>
      </w:r>
      <w:r w:rsidR="000B31A4" w:rsidRPr="000B31A4">
        <w:rPr>
          <w:lang w:val="en-US" w:eastAsia="es-ES_tradnl"/>
        </w:rPr>
        <w:t>, alcohol</w:t>
      </w:r>
      <w:r w:rsidR="00743AE1">
        <w:rPr>
          <w:lang w:val="en-US" w:eastAsia="es-ES_tradnl"/>
        </w:rPr>
        <w:t xml:space="preserve"> consumption</w:t>
      </w:r>
      <w:r w:rsidR="000B31A4" w:rsidRPr="000B31A4">
        <w:rPr>
          <w:lang w:val="en-US" w:eastAsia="es-ES_tradnl"/>
        </w:rPr>
        <w:t>, psychoactive drug abuse, high blood pressure, lack of physical exercise, and unhealthy diet</w:t>
      </w:r>
      <w:r w:rsidR="00743AE1">
        <w:rPr>
          <w:lang w:val="en-US" w:eastAsia="es-ES_tradnl"/>
        </w:rPr>
        <w:t>. It is concerning that North Macedonia is experiencing an increase in rates of overweight and obesity and smoking prevalence among individuals aged</w:t>
      </w:r>
      <w:r w:rsidR="000B31A4" w:rsidRPr="000B31A4">
        <w:rPr>
          <w:lang w:val="en-US" w:eastAsia="es-ES_tradnl"/>
        </w:rPr>
        <w:t xml:space="preserve"> 15-64</w:t>
      </w:r>
      <w:r w:rsidR="00743AE1">
        <w:rPr>
          <w:lang w:val="en-US" w:eastAsia="es-ES_tradnl"/>
        </w:rPr>
        <w:t xml:space="preserve">. This trend is particularly alarming </w:t>
      </w:r>
      <w:r w:rsidR="00D16994">
        <w:rPr>
          <w:lang w:val="en-US" w:eastAsia="es-ES_tradnl"/>
        </w:rPr>
        <w:t xml:space="preserve">for </w:t>
      </w:r>
      <w:r w:rsidR="000B31A4" w:rsidRPr="000B31A4">
        <w:rPr>
          <w:lang w:val="en-US" w:eastAsia="es-ES_tradnl"/>
        </w:rPr>
        <w:t xml:space="preserve">vulnerable populations. </w:t>
      </w:r>
      <w:r w:rsidR="00743AE1" w:rsidRPr="007C0CF8">
        <w:rPr>
          <w:lang w:eastAsia="es-ES_tradnl"/>
        </w:rPr>
        <w:t>Additionally, p</w:t>
      </w:r>
      <w:r w:rsidR="000B31A4" w:rsidRPr="007C0CF8">
        <w:rPr>
          <w:lang w:eastAsia="es-ES_tradnl"/>
        </w:rPr>
        <w:t xml:space="preserve">articulate air pollution </w:t>
      </w:r>
      <w:r w:rsidR="00743AE1" w:rsidRPr="007C0CF8">
        <w:rPr>
          <w:lang w:eastAsia="es-ES_tradnl"/>
        </w:rPr>
        <w:t>poses a</w:t>
      </w:r>
      <w:r w:rsidR="000B31A4" w:rsidRPr="007C0CF8">
        <w:rPr>
          <w:lang w:eastAsia="es-ES_tradnl"/>
        </w:rPr>
        <w:t xml:space="preserve"> significant public health issue in urban centres, particularly in Skopje</w:t>
      </w:r>
      <w:r w:rsidR="00D26D4F" w:rsidRPr="007C0CF8">
        <w:rPr>
          <w:lang w:eastAsia="es-ES_tradnl"/>
        </w:rPr>
        <w:t xml:space="preserve">. This type of pollution is a known risk factor for various health problems. </w:t>
      </w:r>
      <w:r w:rsidR="000B31A4" w:rsidRPr="007C0CF8">
        <w:rPr>
          <w:lang w:eastAsia="es-ES_tradnl"/>
        </w:rPr>
        <w:t xml:space="preserve">The </w:t>
      </w:r>
      <w:r w:rsidR="00D26D4F" w:rsidRPr="007C0CF8">
        <w:rPr>
          <w:lang w:eastAsia="es-ES_tradnl"/>
        </w:rPr>
        <w:t xml:space="preserve">Government of North Macedonia has recognised this concern and </w:t>
      </w:r>
      <w:r w:rsidR="000B31A4" w:rsidRPr="007C0CF8">
        <w:rPr>
          <w:lang w:eastAsia="es-ES_tradnl"/>
        </w:rPr>
        <w:t xml:space="preserve">has adopted a plan to consistently implement </w:t>
      </w:r>
      <w:r w:rsidR="00D26D4F" w:rsidRPr="007C0CF8">
        <w:rPr>
          <w:lang w:eastAsia="es-ES_tradnl"/>
        </w:rPr>
        <w:t xml:space="preserve">smoking protection </w:t>
      </w:r>
      <w:r w:rsidR="000B31A4" w:rsidRPr="007C0CF8">
        <w:rPr>
          <w:lang w:eastAsia="es-ES_tradnl"/>
        </w:rPr>
        <w:t>laws</w:t>
      </w:r>
      <w:r w:rsidR="00D26D4F" w:rsidRPr="007C0CF8">
        <w:rPr>
          <w:lang w:eastAsia="es-ES_tradnl"/>
        </w:rPr>
        <w:t xml:space="preserve">, including </w:t>
      </w:r>
      <w:r w:rsidR="000B31A4" w:rsidRPr="007C0CF8">
        <w:rPr>
          <w:lang w:eastAsia="es-ES_tradnl"/>
        </w:rPr>
        <w:t>strengthening smoking control in public places.</w:t>
      </w:r>
    </w:p>
    <w:p w14:paraId="4B30F951" w14:textId="3ACD7064" w:rsidR="00F13B3C" w:rsidRDefault="00F13B3C" w:rsidP="00B6363B">
      <w:pPr>
        <w:spacing w:before="120"/>
        <w:ind w:left="142"/>
        <w:jc w:val="both"/>
        <w:rPr>
          <w:lang w:val="en-US" w:eastAsia="es-ES_tradnl"/>
        </w:rPr>
      </w:pPr>
      <w:r w:rsidRPr="00F13B3C">
        <w:rPr>
          <w:lang w:val="en-US" w:eastAsia="es-ES_tradnl"/>
        </w:rPr>
        <w:t xml:space="preserve">North Macedonia has implemented a </w:t>
      </w:r>
      <w:r w:rsidR="00A637CA">
        <w:rPr>
          <w:lang w:val="en-US" w:eastAsia="es-ES_tradnl"/>
        </w:rPr>
        <w:t xml:space="preserve">comprehensive </w:t>
      </w:r>
      <w:r w:rsidRPr="00F13B3C">
        <w:rPr>
          <w:lang w:val="en-US" w:eastAsia="es-ES_tradnl"/>
        </w:rPr>
        <w:t>nationwide e-health system called "Moj Termin"</w:t>
      </w:r>
      <w:r w:rsidR="00A637CA">
        <w:rPr>
          <w:lang w:val="en-US" w:eastAsia="es-ES_tradnl"/>
        </w:rPr>
        <w:t>.</w:t>
      </w:r>
      <w:r w:rsidRPr="00F13B3C">
        <w:rPr>
          <w:lang w:val="en-US" w:eastAsia="es-ES_tradnl"/>
        </w:rPr>
        <w:t xml:space="preserve"> </w:t>
      </w:r>
      <w:r w:rsidR="00A637CA">
        <w:rPr>
          <w:lang w:val="en-US" w:eastAsia="es-ES_tradnl"/>
        </w:rPr>
        <w:t>I</w:t>
      </w:r>
      <w:r w:rsidRPr="00F13B3C">
        <w:rPr>
          <w:lang w:val="en-US" w:eastAsia="es-ES_tradnl"/>
        </w:rPr>
        <w:t>nitially designed to manage appointments in the hospital sector</w:t>
      </w:r>
      <w:r w:rsidR="00A637CA">
        <w:rPr>
          <w:lang w:val="en-US" w:eastAsia="es-ES_tradnl"/>
        </w:rPr>
        <w:t>, this cloud-based</w:t>
      </w:r>
      <w:r w:rsidR="00165BF5">
        <w:rPr>
          <w:lang w:val="en-US" w:eastAsia="es-ES_tradnl"/>
        </w:rPr>
        <w:t xml:space="preserve"> system has evolved to </w:t>
      </w:r>
      <w:r w:rsidRPr="00F13B3C">
        <w:rPr>
          <w:lang w:val="en-US" w:eastAsia="es-ES_tradnl"/>
        </w:rPr>
        <w:t xml:space="preserve">cover </w:t>
      </w:r>
      <w:r w:rsidR="00165BF5">
        <w:rPr>
          <w:lang w:val="en-US" w:eastAsia="es-ES_tradnl"/>
        </w:rPr>
        <w:t xml:space="preserve">a wide range of </w:t>
      </w:r>
      <w:r w:rsidRPr="00F13B3C">
        <w:rPr>
          <w:lang w:val="en-US" w:eastAsia="es-ES_tradnl"/>
        </w:rPr>
        <w:t xml:space="preserve">services </w:t>
      </w:r>
      <w:r w:rsidR="00165BF5">
        <w:rPr>
          <w:lang w:val="en-US" w:eastAsia="es-ES_tradnl"/>
        </w:rPr>
        <w:t xml:space="preserve">offered by both </w:t>
      </w:r>
      <w:r w:rsidRPr="00F13B3C">
        <w:rPr>
          <w:lang w:val="en-US" w:eastAsia="es-ES_tradnl"/>
        </w:rPr>
        <w:t xml:space="preserve">public and private </w:t>
      </w:r>
      <w:r w:rsidR="00165BF5">
        <w:rPr>
          <w:lang w:val="en-US" w:eastAsia="es-ES_tradnl"/>
        </w:rPr>
        <w:t xml:space="preserve">healthcare </w:t>
      </w:r>
      <w:r w:rsidRPr="00F13B3C">
        <w:rPr>
          <w:lang w:val="en-US" w:eastAsia="es-ES_tradnl"/>
        </w:rPr>
        <w:t>institutions</w:t>
      </w:r>
      <w:r w:rsidR="00165BF5">
        <w:rPr>
          <w:lang w:val="en-US" w:eastAsia="es-ES_tradnl"/>
        </w:rPr>
        <w:t xml:space="preserve">. One of its key strengths lies in its modular structure, allowing seamless integration with other healthcare applications. “Moj Termin” comprises various </w:t>
      </w:r>
      <w:r w:rsidRPr="00F13B3C">
        <w:rPr>
          <w:lang w:val="en-US" w:eastAsia="es-ES_tradnl"/>
        </w:rPr>
        <w:t xml:space="preserve">modules that </w:t>
      </w:r>
      <w:r w:rsidR="003949C1">
        <w:rPr>
          <w:lang w:val="en-US" w:eastAsia="es-ES_tradnl"/>
        </w:rPr>
        <w:t xml:space="preserve">have significantly improved healthcare delivery. These modules include a </w:t>
      </w:r>
      <w:r w:rsidRPr="00F13B3C">
        <w:rPr>
          <w:lang w:val="en-US" w:eastAsia="es-ES_tradnl"/>
        </w:rPr>
        <w:t xml:space="preserve">digital scheduling system, an electronic health record, e-referrals, laboratory and imaging services ordering, and e-prescriptions. </w:t>
      </w:r>
      <w:r w:rsidR="003949C1">
        <w:rPr>
          <w:lang w:val="en-US" w:eastAsia="es-ES_tradnl"/>
        </w:rPr>
        <w:t xml:space="preserve">By incorporating these functionalities, the </w:t>
      </w:r>
      <w:r w:rsidRPr="00F13B3C">
        <w:rPr>
          <w:lang w:val="en-US" w:eastAsia="es-ES_tradnl"/>
        </w:rPr>
        <w:t xml:space="preserve">system has </w:t>
      </w:r>
      <w:r w:rsidR="003949C1">
        <w:rPr>
          <w:lang w:val="en-US" w:eastAsia="es-ES_tradnl"/>
        </w:rPr>
        <w:t xml:space="preserve">effectively </w:t>
      </w:r>
      <w:r w:rsidRPr="00F13B3C">
        <w:rPr>
          <w:lang w:val="en-US" w:eastAsia="es-ES_tradnl"/>
        </w:rPr>
        <w:t xml:space="preserve">reduced waiting times for diagnostic imaging and clinical appointments, </w:t>
      </w:r>
      <w:r w:rsidR="003949C1">
        <w:rPr>
          <w:lang w:val="en-US" w:eastAsia="es-ES_tradnl"/>
        </w:rPr>
        <w:t>enhancing patient care and satisfaction.</w:t>
      </w:r>
      <w:r w:rsidR="003949C1" w:rsidRPr="00F13B3C">
        <w:rPr>
          <w:lang w:val="en-US" w:eastAsia="es-ES_tradnl"/>
        </w:rPr>
        <w:t xml:space="preserve"> </w:t>
      </w:r>
    </w:p>
    <w:p w14:paraId="578F718D" w14:textId="3FBFA954" w:rsidR="00F13B3C" w:rsidRDefault="00A637CA" w:rsidP="00B6363B">
      <w:pPr>
        <w:spacing w:before="120"/>
        <w:ind w:left="142"/>
        <w:jc w:val="both"/>
      </w:pPr>
      <w:r>
        <w:t>Primary care providers and emergency care units in Health Centres and hospital emergency wards provide emergency services in North Macedonia</w:t>
      </w:r>
      <w:r w:rsidR="00F13B3C" w:rsidRPr="00F13B3C">
        <w:t>. However, the demand for emergency care has proliferated in the past decade, resulting in increased pressure on services, department overcrowding, and long waiting times. The EMS system has improved its medical response capabilities across all situations in recent years, with EMS vehicles primarily run by non-specialist-trained physicians. The country uses a standard emergency call number (112) adopted throughout Europe, and 86 ambulance vehicles were added to the system in 2013 to improve efficiency. However, in rural areas with poor road conditions can take over an hour to reach the nearest emergency care unit.</w:t>
      </w:r>
    </w:p>
    <w:p w14:paraId="21D7AC34" w14:textId="009271D6" w:rsidR="00711CD0" w:rsidRPr="00B97331" w:rsidRDefault="00711CD0" w:rsidP="00B6363B">
      <w:pPr>
        <w:spacing w:before="120"/>
        <w:ind w:left="142"/>
        <w:jc w:val="both"/>
        <w:rPr>
          <w:i/>
        </w:rPr>
      </w:pPr>
      <w:r w:rsidRPr="00B97331">
        <w:t>The Action is designed to contribute to the achievement of the specific objective of the IPA III Programming Framework</w:t>
      </w:r>
      <w:r w:rsidR="007C46F2">
        <w:rPr>
          <w:rStyle w:val="FootnoteReference"/>
        </w:rPr>
        <w:footnoteReference w:id="20"/>
      </w:r>
      <w:r w:rsidRPr="00B97331">
        <w:t xml:space="preserve">, </w:t>
      </w:r>
      <w:r w:rsidR="00C30790">
        <w:t>T</w:t>
      </w:r>
      <w:r w:rsidRPr="00B97331">
        <w:t xml:space="preserve">hematic </w:t>
      </w:r>
      <w:r w:rsidR="00C30790">
        <w:t>P</w:t>
      </w:r>
      <w:r w:rsidRPr="00B97331">
        <w:t xml:space="preserve">riority </w:t>
      </w:r>
      <w:r w:rsidR="00C30790">
        <w:t xml:space="preserve">1 </w:t>
      </w:r>
      <w:r w:rsidR="003752B4">
        <w:rPr>
          <w:b/>
          <w:lang w:val="hr-HR"/>
        </w:rPr>
        <w:t>E</w:t>
      </w:r>
      <w:r w:rsidRPr="00B97331">
        <w:rPr>
          <w:b/>
        </w:rPr>
        <w:t>ducation, employment, social protection and inclusion, and health</w:t>
      </w:r>
      <w:r w:rsidRPr="00B97331">
        <w:t xml:space="preserve"> within </w:t>
      </w:r>
      <w:r w:rsidRPr="00B97331">
        <w:rPr>
          <w:b/>
        </w:rPr>
        <w:t>Window 4: Competitiveness and inclusive growth</w:t>
      </w:r>
      <w:r w:rsidRPr="00B97331">
        <w:t>, and more specifically to support candidate countries to ensure equal opportunities, access to the labour market, fair working conditions, social protection and inclusion, and a</w:t>
      </w:r>
      <w:r w:rsidRPr="00B97331">
        <w:rPr>
          <w:i/>
        </w:rPr>
        <w:t xml:space="preserve"> high level of human health protection</w:t>
      </w:r>
      <w:r w:rsidRPr="00B97331">
        <w:t xml:space="preserve"> and, where appropriate, </w:t>
      </w:r>
      <w:r>
        <w:t>contribute</w:t>
      </w:r>
      <w:r w:rsidRPr="00B97331">
        <w:rPr>
          <w:i/>
        </w:rPr>
        <w:t xml:space="preserve"> to health system reforms </w:t>
      </w:r>
      <w:r>
        <w:rPr>
          <w:i/>
        </w:rPr>
        <w:t>concerning</w:t>
      </w:r>
      <w:r w:rsidRPr="00B97331">
        <w:rPr>
          <w:i/>
        </w:rPr>
        <w:t xml:space="preserve"> raising the coverage and standards of care provided to the population as a whole.</w:t>
      </w:r>
    </w:p>
    <w:p w14:paraId="6B4B28B9" w14:textId="77777777" w:rsidR="00C30790" w:rsidRDefault="00711CD0" w:rsidP="00B6363B">
      <w:pPr>
        <w:spacing w:before="120"/>
        <w:ind w:left="142"/>
        <w:jc w:val="both"/>
        <w:rPr>
          <w:iCs/>
        </w:rPr>
      </w:pPr>
      <w:r w:rsidRPr="00B97331">
        <w:rPr>
          <w:iCs/>
        </w:rPr>
        <w:lastRenderedPageBreak/>
        <w:t xml:space="preserve">The proposed Action is in line with the </w:t>
      </w:r>
      <w:r w:rsidR="00816F40">
        <w:rPr>
          <w:iCs/>
        </w:rPr>
        <w:t xml:space="preserve">country’s IPA III </w:t>
      </w:r>
      <w:r w:rsidRPr="00D16994">
        <w:rPr>
          <w:b/>
          <w:bCs/>
          <w:iCs/>
        </w:rPr>
        <w:t>Strategic Response</w:t>
      </w:r>
      <w:r>
        <w:rPr>
          <w:b/>
          <w:bCs/>
          <w:iCs/>
        </w:rPr>
        <w:t xml:space="preserve">. </w:t>
      </w:r>
      <w:r w:rsidRPr="00D16994">
        <w:rPr>
          <w:iCs/>
        </w:rPr>
        <w:t>It addresses</w:t>
      </w:r>
      <w:r w:rsidRPr="00B97331">
        <w:rPr>
          <w:iCs/>
        </w:rPr>
        <w:t xml:space="preserve"> Objective 1.4 in </w:t>
      </w:r>
      <w:r w:rsidR="00544C3A">
        <w:rPr>
          <w:iCs/>
        </w:rPr>
        <w:t>W</w:t>
      </w:r>
      <w:r w:rsidRPr="00B97331">
        <w:rPr>
          <w:iCs/>
        </w:rPr>
        <w:t xml:space="preserve">indow 4, Thematic </w:t>
      </w:r>
      <w:r w:rsidRPr="00386DE4">
        <w:rPr>
          <w:iCs/>
        </w:rPr>
        <w:t>Priority</w:t>
      </w:r>
      <w:r w:rsidRPr="00B97331">
        <w:rPr>
          <w:iCs/>
        </w:rPr>
        <w:t xml:space="preserve"> 1</w:t>
      </w:r>
      <w:r>
        <w:rPr>
          <w:iCs/>
        </w:rPr>
        <w:t>,</w:t>
      </w:r>
      <w:r w:rsidRPr="00B97331">
        <w:rPr>
          <w:iCs/>
        </w:rPr>
        <w:t xml:space="preserve"> aiming </w:t>
      </w:r>
      <w:r>
        <w:rPr>
          <w:iCs/>
        </w:rPr>
        <w:t>to improve the population's health, well-being,</w:t>
      </w:r>
      <w:r w:rsidRPr="00B97331">
        <w:rPr>
          <w:iCs/>
        </w:rPr>
        <w:t xml:space="preserve"> and healthcare by providing a sustainable and high-quality patient-centred health system. In particular, it addresses the following areas of </w:t>
      </w:r>
      <w:r>
        <w:rPr>
          <w:iCs/>
        </w:rPr>
        <w:t xml:space="preserve">the </w:t>
      </w:r>
      <w:r w:rsidRPr="00B97331">
        <w:rPr>
          <w:iCs/>
        </w:rPr>
        <w:t>intervention included in the Strategic Response:</w:t>
      </w:r>
      <w:r>
        <w:rPr>
          <w:iCs/>
        </w:rPr>
        <w:t xml:space="preserve"> 1. </w:t>
      </w:r>
      <w:r w:rsidRPr="00B97331">
        <w:rPr>
          <w:iCs/>
        </w:rPr>
        <w:t xml:space="preserve">Raise the coverage and standards of care provided to the population </w:t>
      </w:r>
      <w:r>
        <w:rPr>
          <w:iCs/>
        </w:rPr>
        <w:t>by improving</w:t>
      </w:r>
      <w:r w:rsidRPr="00B97331">
        <w:rPr>
          <w:iCs/>
        </w:rPr>
        <w:t xml:space="preserve"> the infrastructure and equipment in </w:t>
      </w:r>
      <w:r>
        <w:rPr>
          <w:iCs/>
        </w:rPr>
        <w:t>healthcare</w:t>
      </w:r>
      <w:r w:rsidRPr="00B97331">
        <w:rPr>
          <w:iCs/>
        </w:rPr>
        <w:t xml:space="preserve"> institutions</w:t>
      </w:r>
      <w:r>
        <w:rPr>
          <w:iCs/>
        </w:rPr>
        <w:t xml:space="preserve">; 2. </w:t>
      </w:r>
      <w:r w:rsidRPr="00B97331">
        <w:rPr>
          <w:iCs/>
        </w:rPr>
        <w:t xml:space="preserve">Improve </w:t>
      </w:r>
      <w:r>
        <w:rPr>
          <w:iCs/>
        </w:rPr>
        <w:t xml:space="preserve">the </w:t>
      </w:r>
      <w:r w:rsidRPr="00B97331">
        <w:rPr>
          <w:iCs/>
        </w:rPr>
        <w:t xml:space="preserve">system for self-reported unmet </w:t>
      </w:r>
      <w:r>
        <w:rPr>
          <w:iCs/>
        </w:rPr>
        <w:t>needs</w:t>
      </w:r>
      <w:r w:rsidRPr="00B97331">
        <w:rPr>
          <w:iCs/>
        </w:rPr>
        <w:t xml:space="preserve"> for medical care</w:t>
      </w:r>
      <w:r>
        <w:rPr>
          <w:iCs/>
        </w:rPr>
        <w:t xml:space="preserve">. 3. </w:t>
      </w:r>
      <w:r w:rsidRPr="00B97331">
        <w:rPr>
          <w:iCs/>
        </w:rPr>
        <w:t xml:space="preserve">Inclusion of the electronic health system at all levels in the health system and </w:t>
      </w:r>
      <w:r w:rsidR="00BA7934">
        <w:rPr>
          <w:iCs/>
        </w:rPr>
        <w:t>incorporation</w:t>
      </w:r>
      <w:r w:rsidRPr="00B97331">
        <w:rPr>
          <w:iCs/>
        </w:rPr>
        <w:t xml:space="preserve"> </w:t>
      </w:r>
      <w:r w:rsidR="00BA7934">
        <w:rPr>
          <w:iCs/>
        </w:rPr>
        <w:t xml:space="preserve">of </w:t>
      </w:r>
      <w:r w:rsidRPr="00B97331">
        <w:rPr>
          <w:iCs/>
        </w:rPr>
        <w:t>the integrated health information system into the EU electronic cross-border data transmission system</w:t>
      </w:r>
      <w:r>
        <w:rPr>
          <w:iCs/>
        </w:rPr>
        <w:t>;</w:t>
      </w:r>
      <w:r w:rsidR="00BA7934">
        <w:rPr>
          <w:iCs/>
        </w:rPr>
        <w:t xml:space="preserve"> 4. </w:t>
      </w:r>
      <w:r>
        <w:rPr>
          <w:iCs/>
        </w:rPr>
        <w:t>Improve standards of care for communicable and non-communicable diseases.</w:t>
      </w:r>
    </w:p>
    <w:p w14:paraId="1A63015A" w14:textId="6BE0D331" w:rsidR="00C30790" w:rsidRPr="00B6363B" w:rsidRDefault="00C30790" w:rsidP="00B6363B">
      <w:pPr>
        <w:spacing w:before="120"/>
        <w:ind w:left="142"/>
        <w:jc w:val="both"/>
        <w:rPr>
          <w:iCs/>
        </w:rPr>
      </w:pPr>
      <w:r w:rsidRPr="00B6363B">
        <w:rPr>
          <w:iCs/>
        </w:rPr>
        <w:t xml:space="preserve">The Action will enable policy advice and support for the implementation of the national far-reaching horizontal cancer prevention measures thus tackling the recommendations in the </w:t>
      </w:r>
      <w:r w:rsidRPr="00B6363B">
        <w:rPr>
          <w:b/>
          <w:bCs/>
          <w:iCs/>
        </w:rPr>
        <w:t>North Macedonia 202</w:t>
      </w:r>
      <w:r w:rsidR="00731A10">
        <w:rPr>
          <w:b/>
          <w:bCs/>
          <w:iCs/>
        </w:rPr>
        <w:t>3</w:t>
      </w:r>
      <w:r w:rsidRPr="00B6363B">
        <w:rPr>
          <w:b/>
          <w:bCs/>
          <w:iCs/>
        </w:rPr>
        <w:t xml:space="preserve"> Report</w:t>
      </w:r>
      <w:r w:rsidRPr="00B6363B">
        <w:rPr>
          <w:iCs/>
        </w:rPr>
        <w:t xml:space="preserve"> asking for adequate funding and specialised knowledge for early detection of cancer.</w:t>
      </w:r>
    </w:p>
    <w:p w14:paraId="4B2C853E" w14:textId="7B95A22D" w:rsidR="00544C3A" w:rsidRPr="00B97331" w:rsidRDefault="00C30790" w:rsidP="00B6363B">
      <w:pPr>
        <w:spacing w:before="120"/>
        <w:ind w:left="142"/>
        <w:jc w:val="both"/>
        <w:rPr>
          <w:iCs/>
        </w:rPr>
      </w:pPr>
      <w:r w:rsidRPr="00B6363B">
        <w:rPr>
          <w:iCs/>
        </w:rPr>
        <w:t xml:space="preserve">The Action is in line with the EC policy initiative towards </w:t>
      </w:r>
      <w:r w:rsidRPr="00B6363B">
        <w:rPr>
          <w:b/>
          <w:bCs/>
          <w:iCs/>
        </w:rPr>
        <w:t>European Health Union</w:t>
      </w:r>
      <w:r w:rsidRPr="00B6363B">
        <w:rPr>
          <w:iCs/>
        </w:rPr>
        <w:t xml:space="preserve"> and its objectives of better protecting the health of citizens and improving the resilience of Europe’s health systems by investing in secure, </w:t>
      </w:r>
      <w:r w:rsidRPr="00741D16">
        <w:rPr>
          <w:iCs/>
        </w:rPr>
        <w:t>trustworthy,</w:t>
      </w:r>
      <w:r w:rsidRPr="00B6363B">
        <w:rPr>
          <w:iCs/>
        </w:rPr>
        <w:t xml:space="preserve"> and efficient use of health </w:t>
      </w:r>
      <w:r w:rsidRPr="00741D16">
        <w:rPr>
          <w:iCs/>
        </w:rPr>
        <w:t>data and uptake on cancer screening.</w:t>
      </w:r>
      <w:r w:rsidRPr="00B6363B">
        <w:rPr>
          <w:iCs/>
        </w:rPr>
        <w:t xml:space="preserve"> It is contributing to </w:t>
      </w:r>
      <w:r w:rsidRPr="00B6363B">
        <w:rPr>
          <w:b/>
          <w:bCs/>
          <w:iCs/>
        </w:rPr>
        <w:t>EU4Health programme</w:t>
      </w:r>
      <w:r w:rsidRPr="00B6363B">
        <w:rPr>
          <w:iCs/>
        </w:rPr>
        <w:t xml:space="preserve"> by building stronger, more </w:t>
      </w:r>
      <w:r w:rsidRPr="00741D16">
        <w:rPr>
          <w:iCs/>
        </w:rPr>
        <w:t>resilient,</w:t>
      </w:r>
      <w:r w:rsidRPr="00B6363B">
        <w:rPr>
          <w:iCs/>
        </w:rPr>
        <w:t xml:space="preserve"> and more accessible health system in North Macedonia. The Action is contributing to </w:t>
      </w:r>
      <w:r w:rsidRPr="00B6363B">
        <w:rPr>
          <w:b/>
          <w:bCs/>
          <w:iCs/>
        </w:rPr>
        <w:t>Europe’s Beating Cancer Plan</w:t>
      </w:r>
      <w:r w:rsidRPr="00B6363B">
        <w:rPr>
          <w:iCs/>
        </w:rPr>
        <w:t xml:space="preserve"> by investing in prevention and early detection. The Action will make use of best practices developed under </w:t>
      </w:r>
      <w:r w:rsidRPr="00B6363B">
        <w:rPr>
          <w:b/>
          <w:bCs/>
          <w:iCs/>
        </w:rPr>
        <w:t>Horizon Europe</w:t>
      </w:r>
      <w:r w:rsidRPr="00B6363B">
        <w:rPr>
          <w:iCs/>
        </w:rPr>
        <w:t xml:space="preserve"> funding, especially its project “Personalized CANcer Primary Prevention research through Citizen Participation and digitally enabled social </w:t>
      </w:r>
      <w:r w:rsidR="003752B4" w:rsidRPr="00741D16">
        <w:rPr>
          <w:iCs/>
        </w:rPr>
        <w:t>innovation“</w:t>
      </w:r>
      <w:r w:rsidR="003752B4">
        <w:rPr>
          <w:iCs/>
        </w:rPr>
        <w:t>where</w:t>
      </w:r>
      <w:r w:rsidRPr="00B6363B">
        <w:rPr>
          <w:iCs/>
        </w:rPr>
        <w:t xml:space="preserve"> North Macedonia is one of 11 participating countries. </w:t>
      </w:r>
      <w:r w:rsidR="00544C3A" w:rsidRPr="00544C3A">
        <w:rPr>
          <w:iCs/>
        </w:rPr>
        <w:t xml:space="preserve">The proposed Action aligns with the </w:t>
      </w:r>
      <w:r w:rsidR="00544C3A" w:rsidRPr="00D16994">
        <w:rPr>
          <w:b/>
          <w:bCs/>
          <w:iCs/>
        </w:rPr>
        <w:t>Economic and Investment Plan (EIP)</w:t>
      </w:r>
      <w:r w:rsidR="00544C3A" w:rsidRPr="00544C3A">
        <w:rPr>
          <w:iCs/>
        </w:rPr>
        <w:t xml:space="preserve"> for the Western Balkans</w:t>
      </w:r>
      <w:r w:rsidR="00816F40">
        <w:rPr>
          <w:rStyle w:val="FootnoteReference"/>
          <w:iCs/>
        </w:rPr>
        <w:footnoteReference w:id="21"/>
      </w:r>
      <w:r w:rsidR="00116939">
        <w:rPr>
          <w:iCs/>
        </w:rPr>
        <w:t xml:space="preserve"> </w:t>
      </w:r>
      <w:r w:rsidR="00544C3A" w:rsidRPr="00544C3A">
        <w:rPr>
          <w:iCs/>
        </w:rPr>
        <w:t xml:space="preserve">and contributes to its objectives. In </w:t>
      </w:r>
      <w:r w:rsidR="00116939">
        <w:rPr>
          <w:iCs/>
        </w:rPr>
        <w:t>the health system reform context</w:t>
      </w:r>
      <w:r w:rsidR="00544C3A" w:rsidRPr="00544C3A">
        <w:rPr>
          <w:iCs/>
        </w:rPr>
        <w:t>, the Action is crucial to improving investments outlined in the EIP, considering lessons learned from the COVID-19 pandemic. By reducing costs and ensuring better treatment accessibility for all citizens, the Action promotes sustainable economic growth and prosperity in the Western Balkans.</w:t>
      </w:r>
    </w:p>
    <w:p w14:paraId="3D4438CA" w14:textId="58B138E5" w:rsidR="00EA609A" w:rsidRDefault="00651E99" w:rsidP="00B6363B">
      <w:pPr>
        <w:spacing w:before="120"/>
        <w:ind w:left="142"/>
        <w:jc w:val="both"/>
      </w:pPr>
      <w:r>
        <w:t>Furthermore, this</w:t>
      </w:r>
      <w:r w:rsidR="00EA609A" w:rsidRPr="00EA609A">
        <w:t xml:space="preserve"> Action aligns with the </w:t>
      </w:r>
      <w:r w:rsidR="00EA609A" w:rsidRPr="00EA609A">
        <w:rPr>
          <w:b/>
          <w:bCs/>
        </w:rPr>
        <w:t>United Nations' 2030 Agenda for Sustainable Development</w:t>
      </w:r>
      <w:r w:rsidR="00EA609A" w:rsidRPr="00EA609A">
        <w:t xml:space="preserve"> by contributing to Goal 3 (Good Health and Well-being)</w:t>
      </w:r>
      <w:r w:rsidR="00D46D3C">
        <w:t>. It specifically</w:t>
      </w:r>
      <w:r w:rsidR="00EA609A" w:rsidRPr="00EA609A">
        <w:t xml:space="preserve"> </w:t>
      </w:r>
      <w:r w:rsidR="00D46D3C">
        <w:t>targets</w:t>
      </w:r>
      <w:r w:rsidR="00EA609A" w:rsidRPr="00EA609A">
        <w:t xml:space="preserve"> 3.4</w:t>
      </w:r>
      <w:r w:rsidR="00D46D3C">
        <w:t>, which aims to r</w:t>
      </w:r>
      <w:r w:rsidR="00EA609A" w:rsidRPr="00EA609A">
        <w:t xml:space="preserve">educe premature mortality </w:t>
      </w:r>
      <w:r w:rsidR="00D46D3C">
        <w:t>caused by</w:t>
      </w:r>
      <w:r w:rsidR="00D46D3C" w:rsidRPr="00EA609A">
        <w:t xml:space="preserve"> </w:t>
      </w:r>
      <w:r w:rsidR="00EA609A" w:rsidRPr="00EA609A">
        <w:t xml:space="preserve">non-communicable diseases through prevention and treatment and promote mental health and </w:t>
      </w:r>
      <w:r w:rsidR="00D46D3C">
        <w:t xml:space="preserve">overall </w:t>
      </w:r>
      <w:r w:rsidR="00EA609A" w:rsidRPr="00EA609A">
        <w:t>well-being.</w:t>
      </w:r>
    </w:p>
    <w:p w14:paraId="04FDE6AD" w14:textId="77777777" w:rsidR="007C3E5D" w:rsidRPr="003C0CD7" w:rsidRDefault="00174E00" w:rsidP="003C0CD7">
      <w:pPr>
        <w:pStyle w:val="Heading1"/>
        <w:numPr>
          <w:ilvl w:val="1"/>
          <w:numId w:val="1"/>
        </w:numPr>
        <w:rPr>
          <w:lang w:val="en-IE"/>
        </w:rPr>
      </w:pPr>
      <w:bookmarkStart w:id="114" w:name="_Toc69384691"/>
      <w:bookmarkStart w:id="115" w:name="_Toc69384822"/>
      <w:bookmarkStart w:id="116" w:name="_Toc69384951"/>
      <w:bookmarkStart w:id="117" w:name="_Toc69385079"/>
      <w:bookmarkStart w:id="118" w:name="_Toc69460827"/>
      <w:bookmarkStart w:id="119" w:name="_Toc69460954"/>
      <w:bookmarkStart w:id="120" w:name="_Toc73090738"/>
      <w:bookmarkStart w:id="121" w:name="_Toc47101945"/>
      <w:bookmarkStart w:id="122" w:name="_Toc51270440"/>
      <w:bookmarkStart w:id="123" w:name="_Ref58358106"/>
      <w:bookmarkEnd w:id="114"/>
      <w:bookmarkEnd w:id="115"/>
      <w:bookmarkEnd w:id="116"/>
      <w:bookmarkEnd w:id="117"/>
      <w:bookmarkEnd w:id="118"/>
      <w:bookmarkEnd w:id="119"/>
      <w:r w:rsidRPr="003C0CD7">
        <w:rPr>
          <w:lang w:val="en-IE"/>
        </w:rPr>
        <w:t>Problem A</w:t>
      </w:r>
      <w:r w:rsidR="00FD7FCD" w:rsidRPr="003C0CD7">
        <w:rPr>
          <w:lang w:val="en-IE"/>
        </w:rPr>
        <w:t>nalysis</w:t>
      </w:r>
      <w:bookmarkEnd w:id="120"/>
      <w:r w:rsidR="00FD7FCD" w:rsidRPr="003C0CD7">
        <w:rPr>
          <w:lang w:val="en-IE"/>
        </w:rPr>
        <w:t xml:space="preserve"> </w:t>
      </w:r>
      <w:bookmarkStart w:id="124" w:name="_Toc47101946"/>
      <w:bookmarkStart w:id="125" w:name="_Toc51270441"/>
      <w:bookmarkEnd w:id="121"/>
      <w:bookmarkEnd w:id="122"/>
      <w:bookmarkEnd w:id="123"/>
      <w:bookmarkEnd w:id="124"/>
      <w:bookmarkEnd w:id="125"/>
    </w:p>
    <w:p w14:paraId="5B2934D3" w14:textId="77777777" w:rsidR="00B723A4" w:rsidRPr="00C85643" w:rsidRDefault="00B723A4" w:rsidP="00DA08B4">
      <w:pPr>
        <w:ind w:left="142"/>
        <w:rPr>
          <w:u w:val="single"/>
          <w:lang w:val="en-IE"/>
        </w:rPr>
      </w:pPr>
      <w:r w:rsidRPr="00C85643">
        <w:rPr>
          <w:u w:val="single"/>
          <w:lang w:val="en-IE"/>
        </w:rPr>
        <w:t xml:space="preserve">Short problem analysis </w:t>
      </w:r>
    </w:p>
    <w:p w14:paraId="0410BB32" w14:textId="1AEF1152" w:rsidR="00656EF9" w:rsidRPr="000E36F8" w:rsidRDefault="00656EF9" w:rsidP="007C0CF8">
      <w:pPr>
        <w:spacing w:before="120"/>
        <w:ind w:left="142"/>
        <w:rPr>
          <w:i/>
          <w:iCs/>
          <w:color w:val="000000" w:themeColor="text1"/>
          <w:lang w:val="en-IE"/>
        </w:rPr>
      </w:pPr>
      <w:r w:rsidRPr="000E36F8">
        <w:rPr>
          <w:i/>
          <w:iCs/>
          <w:color w:val="000000" w:themeColor="text1"/>
          <w:lang w:val="en-IE"/>
        </w:rPr>
        <w:t>Healthcare system digitalisation</w:t>
      </w:r>
    </w:p>
    <w:p w14:paraId="60831CCA" w14:textId="77777777" w:rsidR="00C30790" w:rsidRDefault="00656EF9" w:rsidP="00B6363B">
      <w:pPr>
        <w:spacing w:before="120"/>
        <w:ind w:left="142"/>
        <w:jc w:val="both"/>
        <w:rPr>
          <w:lang w:val="en-IE"/>
        </w:rPr>
      </w:pPr>
      <w:r w:rsidRPr="247BFA05">
        <w:rPr>
          <w:lang w:val="en-IE"/>
        </w:rPr>
        <w:t>In 2011, North Macedonia established the National System for e-Health - "Moj Termin"</w:t>
      </w:r>
      <w:r w:rsidR="00BD23B6" w:rsidRPr="247BFA05">
        <w:rPr>
          <w:lang w:val="en-IE"/>
        </w:rPr>
        <w:t>. Initially, the system offered only</w:t>
      </w:r>
      <w:r w:rsidRPr="247BFA05">
        <w:rPr>
          <w:lang w:val="en-IE"/>
        </w:rPr>
        <w:t xml:space="preserve"> basic functionalities. </w:t>
      </w:r>
      <w:r w:rsidR="00BD23B6" w:rsidRPr="247BFA05">
        <w:rPr>
          <w:lang w:val="en-IE"/>
        </w:rPr>
        <w:t xml:space="preserve">However, it has undergone several </w:t>
      </w:r>
      <w:r w:rsidRPr="247BFA05">
        <w:rPr>
          <w:lang w:val="en-IE"/>
        </w:rPr>
        <w:t>update</w:t>
      </w:r>
      <w:r w:rsidR="7CE12844" w:rsidRPr="247BFA05">
        <w:rPr>
          <w:lang w:val="en-IE"/>
        </w:rPr>
        <w:t>s</w:t>
      </w:r>
      <w:r w:rsidR="00BD23B6" w:rsidRPr="247BFA05">
        <w:rPr>
          <w:lang w:val="en-IE"/>
        </w:rPr>
        <w:t>, particularly in the</w:t>
      </w:r>
      <w:r w:rsidRPr="247BFA05">
        <w:rPr>
          <w:lang w:val="en-IE"/>
        </w:rPr>
        <w:t xml:space="preserve"> last two years, to </w:t>
      </w:r>
      <w:r w:rsidR="00BD23B6" w:rsidRPr="247BFA05">
        <w:rPr>
          <w:lang w:val="en-IE"/>
        </w:rPr>
        <w:t xml:space="preserve">incorporate </w:t>
      </w:r>
      <w:r w:rsidRPr="247BFA05">
        <w:rPr>
          <w:lang w:val="en-IE"/>
        </w:rPr>
        <w:t>COVID-19</w:t>
      </w:r>
      <w:r w:rsidR="00BD23B6" w:rsidRPr="247BFA05">
        <w:rPr>
          <w:lang w:val="en-IE"/>
        </w:rPr>
        <w:t>-</w:t>
      </w:r>
      <w:r w:rsidRPr="247BFA05">
        <w:rPr>
          <w:lang w:val="en-IE"/>
        </w:rPr>
        <w:t xml:space="preserve">related diagnostic and vaccination indicators. Currently, </w:t>
      </w:r>
      <w:r w:rsidR="00BD23B6" w:rsidRPr="247BFA05">
        <w:rPr>
          <w:lang w:val="en-IE"/>
        </w:rPr>
        <w:t xml:space="preserve">“Moj Termin” is utilised by approximately </w:t>
      </w:r>
      <w:r w:rsidRPr="247BFA05">
        <w:rPr>
          <w:lang w:val="en-IE"/>
        </w:rPr>
        <w:t xml:space="preserve">19,000 professional users, including </w:t>
      </w:r>
      <w:r w:rsidR="00BD23B6" w:rsidRPr="247BFA05">
        <w:rPr>
          <w:lang w:val="en-IE"/>
        </w:rPr>
        <w:t xml:space="preserve">more than </w:t>
      </w:r>
      <w:r w:rsidRPr="247BFA05">
        <w:rPr>
          <w:lang w:val="en-IE"/>
        </w:rPr>
        <w:t>10,000 doctors</w:t>
      </w:r>
      <w:r w:rsidR="00BD23B6" w:rsidRPr="247BFA05">
        <w:rPr>
          <w:lang w:val="en-IE"/>
        </w:rPr>
        <w:t>, with primary, secondary, and tertiary healthcare levels represented by</w:t>
      </w:r>
      <w:r w:rsidRPr="247BFA05">
        <w:rPr>
          <w:lang w:val="en-IE"/>
        </w:rPr>
        <w:t xml:space="preserve"> 4,800, 3,700, and 900 </w:t>
      </w:r>
      <w:r w:rsidR="00BD23B6" w:rsidRPr="247BFA05">
        <w:rPr>
          <w:lang w:val="en-IE"/>
        </w:rPr>
        <w:t>doctors, respectively</w:t>
      </w:r>
      <w:r w:rsidRPr="247BFA05">
        <w:rPr>
          <w:lang w:val="en-IE"/>
        </w:rPr>
        <w:t xml:space="preserve">." Despite its </w:t>
      </w:r>
      <w:r w:rsidR="00614BF2" w:rsidRPr="247BFA05">
        <w:rPr>
          <w:lang w:val="en-IE"/>
        </w:rPr>
        <w:t>accomplishments</w:t>
      </w:r>
      <w:r w:rsidRPr="247BFA05">
        <w:rPr>
          <w:lang w:val="en-IE"/>
        </w:rPr>
        <w:t xml:space="preserve">, </w:t>
      </w:r>
      <w:r w:rsidR="00614BF2" w:rsidRPr="247BFA05">
        <w:rPr>
          <w:lang w:val="en-IE"/>
        </w:rPr>
        <w:t xml:space="preserve">the further adoption of the system faces </w:t>
      </w:r>
      <w:r w:rsidRPr="247BFA05">
        <w:rPr>
          <w:lang w:val="en-IE"/>
        </w:rPr>
        <w:t>legal and operational barriers</w:t>
      </w:r>
      <w:r w:rsidR="00614BF2" w:rsidRPr="247BFA05">
        <w:rPr>
          <w:lang w:val="en-IE"/>
        </w:rPr>
        <w:t>.</w:t>
      </w:r>
      <w:r w:rsidRPr="247BFA05">
        <w:rPr>
          <w:lang w:val="en-IE"/>
        </w:rPr>
        <w:t xml:space="preserve"> </w:t>
      </w:r>
      <w:r w:rsidR="00614BF2" w:rsidRPr="247BFA05">
        <w:rPr>
          <w:lang w:val="en-IE"/>
        </w:rPr>
        <w:t>For instance, the integration of diagnostic imag</w:t>
      </w:r>
      <w:r w:rsidR="009210BB" w:rsidRPr="247BFA05">
        <w:rPr>
          <w:lang w:val="en-IE"/>
        </w:rPr>
        <w:t xml:space="preserve">es into the platform and providing access to specific healthcare providers are hindered due to these barriers. </w:t>
      </w:r>
    </w:p>
    <w:p w14:paraId="7E18E618" w14:textId="60BC0067" w:rsidR="00656EF9" w:rsidRPr="009C0C7F" w:rsidRDefault="009210BB" w:rsidP="00B6363B">
      <w:pPr>
        <w:spacing w:before="120"/>
        <w:ind w:left="142"/>
        <w:jc w:val="both"/>
        <w:rPr>
          <w:lang w:val="en-IE"/>
        </w:rPr>
      </w:pPr>
      <w:r w:rsidRPr="247BFA05">
        <w:rPr>
          <w:lang w:val="en-IE"/>
        </w:rPr>
        <w:t xml:space="preserve">Nevertheless, ongoing efforts are to address these challenges and promote the system’s expansion. </w:t>
      </w:r>
      <w:r w:rsidR="00C30790" w:rsidRPr="00741D16">
        <w:t xml:space="preserve">In 2023, a portal for patients and a mobile application – Moe zdravje (My Health) </w:t>
      </w:r>
      <w:hyperlink r:id="rId12" w:history="1">
        <w:r w:rsidR="00C30790" w:rsidRPr="00741D16">
          <w:rPr>
            <w:rStyle w:val="Hyperlink"/>
          </w:rPr>
          <w:t>https://e-zdravstvo.mk/en/moe-zdravje</w:t>
        </w:r>
      </w:hyperlink>
      <w:r w:rsidR="00C30790" w:rsidRPr="00741D16">
        <w:t xml:space="preserve">  were developed and launched, through which patients become direct users of the system. Over 1.8 million active patient records are expected to be generated. Through the portal, patients have access to their health data. It is planned that by end 2023, patients will be able to </w:t>
      </w:r>
      <w:r w:rsidR="00C30790" w:rsidRPr="00741D16">
        <w:lastRenderedPageBreak/>
        <w:t>schedule visits to family doctors or vaccination appointments online</w:t>
      </w:r>
      <w:r w:rsidR="00C30790" w:rsidRPr="00741D16">
        <w:rPr>
          <w:lang w:val="en-IE"/>
        </w:rPr>
        <w:t>.</w:t>
      </w:r>
      <w:r w:rsidR="00C30790">
        <w:rPr>
          <w:lang w:val="en-IE"/>
        </w:rPr>
        <w:t xml:space="preserve"> </w:t>
      </w:r>
      <w:r w:rsidR="00301EF6">
        <w:rPr>
          <w:lang w:val="en-IE"/>
        </w:rPr>
        <w:t>P</w:t>
      </w:r>
      <w:r w:rsidR="00656EF9" w:rsidRPr="247BFA05">
        <w:rPr>
          <w:lang w:val="en-IE"/>
        </w:rPr>
        <w:t xml:space="preserve">atients will become direct system users, and it is expected </w:t>
      </w:r>
      <w:r w:rsidR="00301EF6">
        <w:rPr>
          <w:lang w:val="en-IE"/>
        </w:rPr>
        <w:t>that the system will</w:t>
      </w:r>
      <w:r w:rsidR="00656EF9" w:rsidRPr="247BFA05">
        <w:rPr>
          <w:lang w:val="en-IE"/>
        </w:rPr>
        <w:t xml:space="preserve"> generate over 1.8 million active patient files. </w:t>
      </w:r>
    </w:p>
    <w:p w14:paraId="65B46B60" w14:textId="77777777" w:rsidR="00656EF9" w:rsidRPr="00B97851" w:rsidRDefault="00656EF9" w:rsidP="00B6363B">
      <w:pPr>
        <w:spacing w:before="120"/>
        <w:ind w:left="142"/>
        <w:jc w:val="both"/>
        <w:rPr>
          <w:lang w:val="en-IE"/>
        </w:rPr>
      </w:pPr>
      <w:r w:rsidRPr="009C0C7F">
        <w:rPr>
          <w:lang w:val="en-IE"/>
        </w:rPr>
        <w:t>To ensure security and business continuity, the system must be upgraded</w:t>
      </w:r>
      <w:r>
        <w:rPr>
          <w:rStyle w:val="FootnoteReference"/>
          <w:lang w:val="en-IE"/>
        </w:rPr>
        <w:footnoteReference w:id="22"/>
      </w:r>
      <w:r w:rsidRPr="009C0C7F">
        <w:rPr>
          <w:lang w:val="en-IE"/>
        </w:rPr>
        <w:t xml:space="preserve">. Full system availability should be guaranteed for the entire working day - 99.95% of the time - while the lowest degree of unavailability should be less than 4.38 hours annually. Additionally, a critical challenge is the mobility of some health services that do not occur on health institution premises but are conducted in the field. While supporting such services in the interest of patients, data security, connection, and synchronisation with the centralised working environment must be ensured. Finally, this Action complements the IPA III 2022 Action </w:t>
      </w:r>
      <w:r w:rsidRPr="00656EF9">
        <w:rPr>
          <w:i/>
          <w:iCs/>
          <w:lang w:val="en-IE"/>
        </w:rPr>
        <w:t>Document "EU for Health, Social Protection, and Gender Equality,"</w:t>
      </w:r>
      <w:r w:rsidRPr="009C0C7F">
        <w:rPr>
          <w:lang w:val="en-IE"/>
        </w:rPr>
        <w:t xml:space="preserve"> which will define Enterprise Resource Planning (ERP) and electronic laboratory operation (LOINC) standards for public health institutions and laboratories and consolidate the Ministry of Health and Health Insurance Fund IT systems.</w:t>
      </w:r>
    </w:p>
    <w:p w14:paraId="0D23B78B" w14:textId="77777777" w:rsidR="00656EF9" w:rsidRPr="000E36F8" w:rsidRDefault="00656EF9" w:rsidP="00B6363B">
      <w:pPr>
        <w:spacing w:before="120"/>
        <w:ind w:left="142"/>
        <w:jc w:val="both"/>
        <w:rPr>
          <w:i/>
          <w:iCs/>
          <w:lang w:val="en-IE"/>
        </w:rPr>
      </w:pPr>
      <w:r w:rsidRPr="000E36F8">
        <w:rPr>
          <w:i/>
          <w:iCs/>
          <w:lang w:val="en-IE"/>
        </w:rPr>
        <w:t>Mortality due to cancer</w:t>
      </w:r>
    </w:p>
    <w:p w14:paraId="2A3C28DC" w14:textId="6AEF2BCF" w:rsidR="00656EF9" w:rsidRPr="009C0C7F" w:rsidRDefault="00656EF9" w:rsidP="00B6363B">
      <w:pPr>
        <w:spacing w:before="120"/>
        <w:ind w:left="142"/>
        <w:jc w:val="both"/>
        <w:rPr>
          <w:lang w:val="en-IE"/>
        </w:rPr>
      </w:pPr>
      <w:r w:rsidRPr="009C0C7F">
        <w:rPr>
          <w:lang w:val="en-IE"/>
        </w:rPr>
        <w:t>North Macedonia faces a challenge with the decreasing number of radiologists and inadequate medical diagnostic and treatment services in rural and peripheral areas. Cancer is the country's second most common cause of death, with lung cancer being the leading cause, accounting for 12.9% of all cancer cases. The mortality rate for bronchus and lung cancer has been increasing, particularly among men, from 64.8 in 2010 to 66.9 in 2014 and 67.6 per 100,000 men in 2020. Colorectal cancer represents 5.8% of all cancer cases, and only 14% are detected early. North Macedonia lacks a systematic screening program</w:t>
      </w:r>
      <w:r w:rsidR="00BB7A5F">
        <w:rPr>
          <w:lang w:val="en-IE"/>
        </w:rPr>
        <w:t>me</w:t>
      </w:r>
      <w:r w:rsidRPr="009C0C7F">
        <w:rPr>
          <w:lang w:val="en-IE"/>
        </w:rPr>
        <w:t xml:space="preserve"> for colorectal cancer across the country. A screening program</w:t>
      </w:r>
      <w:r w:rsidR="00BB7A5F">
        <w:rPr>
          <w:lang w:val="en-IE"/>
        </w:rPr>
        <w:t>me</w:t>
      </w:r>
      <w:r w:rsidRPr="009C0C7F">
        <w:rPr>
          <w:lang w:val="en-IE"/>
        </w:rPr>
        <w:t xml:space="preserve"> based on the Faecal Occult Blood Test (FOBT) has only been implemented in Skopje, but its accuracy is facing some critical challenges.</w:t>
      </w:r>
    </w:p>
    <w:p w14:paraId="327E80AD" w14:textId="27686BBA" w:rsidR="00656EF9" w:rsidRDefault="00656EF9" w:rsidP="00B6363B">
      <w:pPr>
        <w:spacing w:before="120"/>
        <w:ind w:left="142"/>
        <w:jc w:val="both"/>
        <w:rPr>
          <w:lang w:val="en-IE"/>
        </w:rPr>
      </w:pPr>
      <w:r w:rsidRPr="009C0C7F">
        <w:rPr>
          <w:lang w:val="en-IE"/>
        </w:rPr>
        <w:t xml:space="preserve">This Action aims to strengthen radiology services and improve the early diagnosis of non-communicable diseases, particularly colorectal cancer. This initiative complements the IPA 2022 Action </w:t>
      </w:r>
      <w:r w:rsidRPr="002C672A">
        <w:rPr>
          <w:i/>
          <w:iCs/>
          <w:lang w:val="en-IE"/>
        </w:rPr>
        <w:t>"EU for Health, Social Protection, and Gender Equality,"</w:t>
      </w:r>
      <w:r w:rsidRPr="009C0C7F">
        <w:rPr>
          <w:lang w:val="en-IE"/>
        </w:rPr>
        <w:t xml:space="preserve"> </w:t>
      </w:r>
      <w:r w:rsidR="003F67AF" w:rsidRPr="009C0C7F">
        <w:rPr>
          <w:lang w:val="en-IE"/>
        </w:rPr>
        <w:t>which focuses on strengthening screening program</w:t>
      </w:r>
      <w:r w:rsidR="003F67AF">
        <w:rPr>
          <w:lang w:val="en-IE"/>
        </w:rPr>
        <w:t>me</w:t>
      </w:r>
      <w:r w:rsidR="003F67AF" w:rsidRPr="009C0C7F">
        <w:rPr>
          <w:lang w:val="en-IE"/>
        </w:rPr>
        <w:t xml:space="preserve">s and methodology for oncological diseases, enhancing medical skills, and upgrading equipment and technologies related to breast and cervical cancers. </w:t>
      </w:r>
      <w:r w:rsidRPr="009C0C7F">
        <w:rPr>
          <w:lang w:val="en-IE"/>
        </w:rPr>
        <w:t xml:space="preserve"> </w:t>
      </w:r>
      <w:r w:rsidR="00AC7230" w:rsidRPr="009C0C7F">
        <w:rPr>
          <w:lang w:val="en-IE"/>
        </w:rPr>
        <w:t>Th</w:t>
      </w:r>
      <w:r w:rsidR="00A73CFF">
        <w:rPr>
          <w:lang w:val="en-IE"/>
        </w:rPr>
        <w:t>is</w:t>
      </w:r>
      <w:r w:rsidR="00AC7230" w:rsidRPr="009C0C7F">
        <w:rPr>
          <w:lang w:val="en-IE"/>
        </w:rPr>
        <w:t xml:space="preserve"> IPA 2024 Action will extend the screening program</w:t>
      </w:r>
      <w:r w:rsidR="00AC7230">
        <w:rPr>
          <w:lang w:val="en-IE"/>
        </w:rPr>
        <w:t>me</w:t>
      </w:r>
      <w:r w:rsidR="00AC7230" w:rsidRPr="009C0C7F">
        <w:rPr>
          <w:lang w:val="en-IE"/>
        </w:rPr>
        <w:t xml:space="preserve">'s coverage to include lung cancer, expand activities to prevent colorectal cancer and increase the use of </w:t>
      </w:r>
      <w:r w:rsidR="00E91926">
        <w:rPr>
          <w:lang w:val="en-IE"/>
        </w:rPr>
        <w:t>teleradiology</w:t>
      </w:r>
      <w:r w:rsidR="00AC7230" w:rsidRPr="009C0C7F">
        <w:rPr>
          <w:lang w:val="en-IE"/>
        </w:rPr>
        <w:t xml:space="preserve">. Furthermore, this Action aims to improve the national </w:t>
      </w:r>
      <w:r w:rsidR="00E91926">
        <w:rPr>
          <w:lang w:val="en-IE"/>
        </w:rPr>
        <w:t>teleradiology</w:t>
      </w:r>
      <w:r w:rsidR="00AC7230" w:rsidRPr="009C0C7F">
        <w:rPr>
          <w:lang w:val="en-IE"/>
        </w:rPr>
        <w:t xml:space="preserve"> system to allow remote access to radiological data and establish a national database of medical imaging recordings from various diagnostic equipment.</w:t>
      </w:r>
    </w:p>
    <w:p w14:paraId="142B92A7" w14:textId="3B8D9A0F" w:rsidR="00906159" w:rsidRPr="000E36F8" w:rsidRDefault="00906159" w:rsidP="00B6363B">
      <w:pPr>
        <w:spacing w:before="120"/>
        <w:ind w:left="142"/>
        <w:jc w:val="both"/>
        <w:rPr>
          <w:i/>
          <w:iCs/>
          <w:lang w:val="en-IE"/>
        </w:rPr>
      </w:pPr>
      <w:r w:rsidRPr="000E36F8">
        <w:rPr>
          <w:i/>
          <w:iCs/>
          <w:lang w:val="en-IE"/>
        </w:rPr>
        <w:t>Emergency Medical Service</w:t>
      </w:r>
    </w:p>
    <w:p w14:paraId="00069542" w14:textId="77777777" w:rsidR="00906159" w:rsidRPr="00906159" w:rsidRDefault="00906159" w:rsidP="00B6363B">
      <w:pPr>
        <w:spacing w:before="120"/>
        <w:ind w:left="142"/>
        <w:jc w:val="both"/>
        <w:rPr>
          <w:lang w:val="en-IE"/>
        </w:rPr>
      </w:pPr>
      <w:r w:rsidRPr="00906159">
        <w:rPr>
          <w:lang w:val="en-IE"/>
        </w:rPr>
        <w:t xml:space="preserve">North Macedonia provides healthcare to its citizens through a tiered system, and emergency care is free for everyone. Early steps have been taken to create a more modern version of an effective EMS system. Further progress should be made in developing an integrated emergency medical services network through reconfiguring facilities to create modern integrated receiving hospital departments with appropriate technologies and capacities, e.g., integral diagnostic imaging, minor operating and treatment rooms, 24-hour observation beds, etc.  All elements require investment in human resource development education and training to create the skills and capacities necessary for a modern system.  </w:t>
      </w:r>
    </w:p>
    <w:p w14:paraId="4C473AAA" w14:textId="49C64EF7" w:rsidR="00906159" w:rsidRPr="00906159" w:rsidRDefault="00906159" w:rsidP="00B6363B">
      <w:pPr>
        <w:spacing w:before="120"/>
        <w:ind w:left="142"/>
        <w:jc w:val="both"/>
        <w:rPr>
          <w:lang w:val="en-IE"/>
        </w:rPr>
      </w:pPr>
      <w:r w:rsidRPr="00906159">
        <w:rPr>
          <w:lang w:val="en-IE"/>
        </w:rPr>
        <w:t xml:space="preserve">The Emergency Medical Services (EMS) network is based on thirty-three (33) primary level Health centres covering the entire </w:t>
      </w:r>
      <w:r w:rsidR="000C570F">
        <w:rPr>
          <w:lang w:val="en-IE"/>
        </w:rPr>
        <w:t>country territory</w:t>
      </w:r>
      <w:r w:rsidRPr="00906159">
        <w:rPr>
          <w:lang w:val="en-IE"/>
        </w:rPr>
        <w:t>. Each EMS provides diagnostic and therapeutic services for life-threatening and urgent intervention cases and is on the front line in crises and emergencies. The EMS undertakes on-the-spot resuscitation and intensive care measures and ensures transport to the nearest healthcare institution for the necessary treatment, rehabilitation, and reintegration.</w:t>
      </w:r>
      <w:r w:rsidR="000C570F">
        <w:rPr>
          <w:lang w:val="en-IE"/>
        </w:rPr>
        <w:t xml:space="preserve"> </w:t>
      </w:r>
      <w:r w:rsidRPr="00906159">
        <w:rPr>
          <w:lang w:val="en-IE"/>
        </w:rPr>
        <w:t>Currently, the EMSs have a fleet of 160 vehicles, of which 90% have been in use for more than ten years</w:t>
      </w:r>
      <w:r w:rsidR="00F4510A">
        <w:rPr>
          <w:lang w:val="en-IE"/>
        </w:rPr>
        <w:t>,</w:t>
      </w:r>
      <w:r w:rsidRPr="00906159">
        <w:rPr>
          <w:lang w:val="en-IE"/>
        </w:rPr>
        <w:t xml:space="preserve"> and 50% have for more than 15 years. Most vehicles must be equipped up to the EU standards (CEN standard </w:t>
      </w:r>
      <w:r w:rsidRPr="00906159">
        <w:rPr>
          <w:lang w:val="en-IE"/>
        </w:rPr>
        <w:lastRenderedPageBreak/>
        <w:t xml:space="preserve">1789:2020), are high-energy intensive and in poor technical status, and their use and maintenance could be more efficient and effective. Moreover, North Macedonia needs an adequate system to manage and monitor the entire fleet of ambulance vehicles nationwide. </w:t>
      </w:r>
    </w:p>
    <w:p w14:paraId="0D876F64" w14:textId="3F05B505" w:rsidR="00906159" w:rsidRPr="007B151D" w:rsidRDefault="007B151D" w:rsidP="00B6363B">
      <w:pPr>
        <w:spacing w:before="120"/>
        <w:ind w:left="142"/>
        <w:jc w:val="both"/>
        <w:rPr>
          <w:lang w:val="en-IE"/>
        </w:rPr>
      </w:pPr>
      <w:r w:rsidRPr="247BFA05">
        <w:rPr>
          <w:lang w:val="en-IE"/>
        </w:rPr>
        <w:t>The Action aims to improve the pre-hospital and hospital response to emergency medical, surgical and trauma situations in line with international and European standards. This will be achieved by renewing part of the ambulance fleet and upgrading the EMS ICT technologies. The Action has chosen ambulances with EURO 6 standards over electric ambulances, hybrid vehicles, or those with solar panels due to their lower cost</w:t>
      </w:r>
      <w:r w:rsidR="00CB73E2" w:rsidRPr="247BFA05">
        <w:rPr>
          <w:lang w:val="en-IE"/>
        </w:rPr>
        <w:t xml:space="preserve"> </w:t>
      </w:r>
      <w:r w:rsidR="00CB73E2">
        <w:t>for procurement and maintenance</w:t>
      </w:r>
      <w:r w:rsidRPr="247BFA05">
        <w:rPr>
          <w:lang w:val="en-IE"/>
        </w:rPr>
        <w:t>, longer range, and not requiring any additional infrastructure. While electric ambulances, hybrid vehicles, and solar panels have environmental benefits, ambulances with EURO 6 standards may be more practical due to cost, range, reliability, speed and infrastructure.</w:t>
      </w:r>
    </w:p>
    <w:p w14:paraId="13163541" w14:textId="47D7BABB" w:rsidR="00B723A4" w:rsidRPr="00B97851" w:rsidRDefault="00C833CF" w:rsidP="00B6363B">
      <w:pPr>
        <w:spacing w:before="120"/>
        <w:ind w:left="142"/>
        <w:jc w:val="both"/>
        <w:rPr>
          <w:u w:val="single"/>
          <w:lang w:val="en-IE"/>
        </w:rPr>
      </w:pPr>
      <w:r w:rsidRPr="00B97851">
        <w:rPr>
          <w:u w:val="single"/>
          <w:lang w:val="en-IE"/>
        </w:rPr>
        <w:t xml:space="preserve">Main </w:t>
      </w:r>
      <w:r w:rsidR="00B723A4" w:rsidRPr="00B97851">
        <w:rPr>
          <w:u w:val="single"/>
          <w:lang w:val="en-IE"/>
        </w:rPr>
        <w:t>stakeholders</w:t>
      </w:r>
    </w:p>
    <w:p w14:paraId="01BAD50A" w14:textId="7DEE9909" w:rsidR="00B67C53" w:rsidRDefault="007B151D" w:rsidP="00B6363B">
      <w:pPr>
        <w:pStyle w:val="ListParagraph"/>
        <w:numPr>
          <w:ilvl w:val="0"/>
          <w:numId w:val="9"/>
        </w:numPr>
        <w:spacing w:before="120"/>
        <w:ind w:left="714" w:hanging="357"/>
        <w:contextualSpacing w:val="0"/>
        <w:jc w:val="both"/>
        <w:rPr>
          <w:lang w:val="en-IE"/>
        </w:rPr>
      </w:pPr>
      <w:r w:rsidRPr="007B151D">
        <w:rPr>
          <w:lang w:val="en-IE"/>
        </w:rPr>
        <w:t xml:space="preserve">The </w:t>
      </w:r>
      <w:r w:rsidRPr="007B151D">
        <w:rPr>
          <w:b/>
          <w:bCs/>
          <w:lang w:val="en-IE"/>
        </w:rPr>
        <w:t>Ministry of Health (MoH)</w:t>
      </w:r>
      <w:r w:rsidRPr="007B151D">
        <w:rPr>
          <w:lang w:val="en-IE"/>
        </w:rPr>
        <w:t xml:space="preserve"> is responsible for setting the health system's strategic direction, developing legislation and policies, monitoring performance, planning funding models, and ensuring guidelines are met. It is also responsible for occupational medicine activities</w:t>
      </w:r>
      <w:r w:rsidR="00BB7A5F">
        <w:rPr>
          <w:lang w:val="en-IE"/>
        </w:rPr>
        <w:t>. It grants</w:t>
      </w:r>
      <w:r w:rsidRPr="007B151D">
        <w:rPr>
          <w:lang w:val="en-IE"/>
        </w:rPr>
        <w:t xml:space="preserve"> authorisations to healthcare institutions to practice occupational therapy based on evaluations of their minimum criteria, keeping a register of such institutions.</w:t>
      </w:r>
    </w:p>
    <w:p w14:paraId="778B868B" w14:textId="4C56FD98" w:rsidR="00B67C53" w:rsidRDefault="00B67C53" w:rsidP="00B6363B">
      <w:pPr>
        <w:pStyle w:val="ListParagraph"/>
        <w:numPr>
          <w:ilvl w:val="0"/>
          <w:numId w:val="9"/>
        </w:numPr>
        <w:spacing w:before="120"/>
        <w:ind w:left="714" w:hanging="357"/>
        <w:contextualSpacing w:val="0"/>
        <w:jc w:val="both"/>
        <w:rPr>
          <w:lang w:val="en-IE"/>
        </w:rPr>
      </w:pPr>
      <w:r>
        <w:rPr>
          <w:lang w:val="en-IE"/>
        </w:rPr>
        <w:t xml:space="preserve">The </w:t>
      </w:r>
      <w:r w:rsidRPr="00B44FA6">
        <w:rPr>
          <w:b/>
          <w:bCs/>
          <w:lang w:val="en-IE"/>
        </w:rPr>
        <w:t>Health Insurance Fund</w:t>
      </w:r>
      <w:r>
        <w:rPr>
          <w:b/>
          <w:bCs/>
          <w:lang w:val="en-IE"/>
        </w:rPr>
        <w:t xml:space="preserve"> (HIF) </w:t>
      </w:r>
      <w:r w:rsidR="007B151D" w:rsidRPr="007C0CF8">
        <w:rPr>
          <w:lang w:val="en-IE"/>
        </w:rPr>
        <w:t>purchases</w:t>
      </w:r>
      <w:r>
        <w:rPr>
          <w:lang w:val="en-IE"/>
        </w:rPr>
        <w:t xml:space="preserve"> public health services through performance-based contracts with public and private health providers.</w:t>
      </w:r>
    </w:p>
    <w:p w14:paraId="492EC3BE" w14:textId="44EC4DD9" w:rsidR="00B67C53" w:rsidRDefault="005B3A3D" w:rsidP="00B6363B">
      <w:pPr>
        <w:pStyle w:val="ListParagraph"/>
        <w:numPr>
          <w:ilvl w:val="0"/>
          <w:numId w:val="9"/>
        </w:numPr>
        <w:spacing w:before="120"/>
        <w:ind w:left="714" w:hanging="357"/>
        <w:contextualSpacing w:val="0"/>
        <w:jc w:val="both"/>
        <w:rPr>
          <w:lang w:val="en-IE"/>
        </w:rPr>
      </w:pPr>
      <w:r w:rsidRPr="005B3A3D">
        <w:rPr>
          <w:lang w:val="en-IE"/>
        </w:rPr>
        <w:t xml:space="preserve">The </w:t>
      </w:r>
      <w:r w:rsidRPr="005B3A3D">
        <w:rPr>
          <w:b/>
          <w:bCs/>
          <w:lang w:val="en-IE"/>
        </w:rPr>
        <w:t>Institute of Public Health (IPH)</w:t>
      </w:r>
      <w:r w:rsidRPr="005B3A3D">
        <w:rPr>
          <w:lang w:val="en-IE"/>
        </w:rPr>
        <w:t xml:space="preserve"> performs healthcare-related activities per the Law on Health Protection. This includes monitoring the population's health status, studying risk factors, planning prevention and early </w:t>
      </w:r>
      <w:r>
        <w:rPr>
          <w:lang w:val="en-IE"/>
        </w:rPr>
        <w:t>disease detection measures</w:t>
      </w:r>
      <w:r w:rsidRPr="005B3A3D">
        <w:rPr>
          <w:lang w:val="en-IE"/>
        </w:rPr>
        <w:t>, and promoting health and the environment. The IPH also monitors the work of public health centres and keeps health statistics for North Macedonia.</w:t>
      </w:r>
    </w:p>
    <w:p w14:paraId="22183434" w14:textId="77777777" w:rsidR="00B67C53" w:rsidRDefault="00B67C53" w:rsidP="00B6363B">
      <w:pPr>
        <w:pStyle w:val="ListParagraph"/>
        <w:numPr>
          <w:ilvl w:val="0"/>
          <w:numId w:val="9"/>
        </w:numPr>
        <w:spacing w:before="120"/>
        <w:ind w:left="714" w:hanging="357"/>
        <w:jc w:val="both"/>
        <w:rPr>
          <w:lang w:val="en-IE"/>
        </w:rPr>
      </w:pPr>
      <w:r w:rsidRPr="247BFA05">
        <w:rPr>
          <w:lang w:val="en-IE"/>
        </w:rPr>
        <w:t xml:space="preserve">The </w:t>
      </w:r>
      <w:r w:rsidRPr="247BFA05">
        <w:rPr>
          <w:b/>
          <w:bCs/>
          <w:lang w:val="en-IE"/>
        </w:rPr>
        <w:t>e-Health Directorate</w:t>
      </w:r>
      <w:r w:rsidRPr="247BFA05">
        <w:rPr>
          <w:lang w:val="en-IE"/>
        </w:rPr>
        <w:t xml:space="preserve"> is a state administration body within the Ministry of Health with the capacity of a legal entity that performs professional work relevant to developing and promoting the integrated health information system. It is responsible for upgrading, optimisation, execution, regulation, maintenance, control, education of the health staff and analysis of all processes and functionalities related to the integrated health information system that health institutions use within the health network, the Ministry of Health, the Health Insurance Fund, the Drug Agency or other entities in the field of health.</w:t>
      </w:r>
    </w:p>
    <w:p w14:paraId="708DA94D" w14:textId="407F8FBB" w:rsidR="00B67C53" w:rsidRPr="001167A7" w:rsidRDefault="002C1947" w:rsidP="00B6363B">
      <w:pPr>
        <w:pStyle w:val="ListParagraph"/>
        <w:numPr>
          <w:ilvl w:val="0"/>
          <w:numId w:val="9"/>
        </w:numPr>
        <w:spacing w:before="120"/>
        <w:ind w:left="714" w:hanging="357"/>
        <w:contextualSpacing w:val="0"/>
        <w:jc w:val="both"/>
        <w:rPr>
          <w:lang w:val="en-IE"/>
        </w:rPr>
      </w:pPr>
      <w:r w:rsidRPr="007C0CF8">
        <w:rPr>
          <w:lang w:val="en-IE"/>
        </w:rPr>
        <w:t>The</w:t>
      </w:r>
      <w:r>
        <w:rPr>
          <w:b/>
          <w:bCs/>
          <w:lang w:val="en-IE"/>
        </w:rPr>
        <w:t xml:space="preserve"> </w:t>
      </w:r>
      <w:r w:rsidR="008B430D">
        <w:rPr>
          <w:b/>
          <w:bCs/>
          <w:lang w:val="en-IE"/>
        </w:rPr>
        <w:t>University</w:t>
      </w:r>
      <w:r w:rsidR="008B430D" w:rsidRPr="00B67C53">
        <w:rPr>
          <w:b/>
          <w:bCs/>
          <w:lang w:val="en-IE"/>
        </w:rPr>
        <w:t xml:space="preserve"> </w:t>
      </w:r>
      <w:r w:rsidR="008B430D">
        <w:rPr>
          <w:b/>
          <w:bCs/>
          <w:lang w:val="en-IE"/>
        </w:rPr>
        <w:t>C</w:t>
      </w:r>
      <w:r w:rsidR="008B430D" w:rsidRPr="00B67C53">
        <w:rPr>
          <w:b/>
          <w:bCs/>
          <w:lang w:val="en-IE"/>
        </w:rPr>
        <w:t xml:space="preserve">linic </w:t>
      </w:r>
      <w:r w:rsidR="00B67C53" w:rsidRPr="00B67C53">
        <w:rPr>
          <w:b/>
          <w:bCs/>
          <w:lang w:val="en-IE"/>
        </w:rPr>
        <w:t xml:space="preserve">for </w:t>
      </w:r>
      <w:r w:rsidR="008B430D">
        <w:rPr>
          <w:b/>
          <w:bCs/>
          <w:lang w:val="en-IE"/>
        </w:rPr>
        <w:t>Pulmonology</w:t>
      </w:r>
      <w:r w:rsidR="00B67C53">
        <w:rPr>
          <w:lang w:val="en-IE"/>
        </w:rPr>
        <w:t xml:space="preserve"> </w:t>
      </w:r>
      <w:r w:rsidR="00B67C53" w:rsidRPr="00D16994">
        <w:rPr>
          <w:b/>
          <w:bCs/>
          <w:lang w:val="en-IE"/>
        </w:rPr>
        <w:t xml:space="preserve">and </w:t>
      </w:r>
      <w:r w:rsidR="008B430D" w:rsidRPr="00D16994">
        <w:rPr>
          <w:b/>
          <w:bCs/>
          <w:lang w:val="en-IE"/>
        </w:rPr>
        <w:t>Allergology</w:t>
      </w:r>
      <w:r w:rsidR="00B67C53">
        <w:rPr>
          <w:lang w:val="en-IE"/>
        </w:rPr>
        <w:t xml:space="preserve"> and </w:t>
      </w:r>
      <w:r>
        <w:rPr>
          <w:lang w:val="en-IE"/>
        </w:rPr>
        <w:t xml:space="preserve">the </w:t>
      </w:r>
      <w:r w:rsidR="00B67C53" w:rsidRPr="00B67C53">
        <w:rPr>
          <w:b/>
          <w:bCs/>
          <w:lang w:val="en-IE"/>
        </w:rPr>
        <w:t xml:space="preserve">University </w:t>
      </w:r>
      <w:r w:rsidR="008B430D">
        <w:rPr>
          <w:b/>
          <w:bCs/>
          <w:lang w:val="en-IE"/>
        </w:rPr>
        <w:t>Clinic</w:t>
      </w:r>
      <w:r w:rsidR="008B430D" w:rsidRPr="00B67C53">
        <w:rPr>
          <w:b/>
          <w:bCs/>
          <w:lang w:val="en-IE"/>
        </w:rPr>
        <w:t xml:space="preserve"> </w:t>
      </w:r>
      <w:r w:rsidR="00B67C53" w:rsidRPr="00B67C53">
        <w:rPr>
          <w:b/>
          <w:bCs/>
          <w:lang w:val="en-IE"/>
        </w:rPr>
        <w:t xml:space="preserve">for </w:t>
      </w:r>
      <w:r w:rsidR="008B430D">
        <w:rPr>
          <w:b/>
          <w:bCs/>
          <w:lang w:val="en-IE"/>
        </w:rPr>
        <w:t>Gastroenterohepatology</w:t>
      </w:r>
      <w:r w:rsidR="00721B47">
        <w:rPr>
          <w:lang w:val="en-IE"/>
        </w:rPr>
        <w:t xml:space="preserve"> </w:t>
      </w:r>
      <w:r w:rsidR="00B67C53">
        <w:rPr>
          <w:lang w:val="en-IE"/>
        </w:rPr>
        <w:t>are public health institutions providing tertiary health care</w:t>
      </w:r>
      <w:r w:rsidR="008B430D">
        <w:rPr>
          <w:lang w:val="en-IE"/>
        </w:rPr>
        <w:t>. They can</w:t>
      </w:r>
      <w:r w:rsidR="00B67C53">
        <w:rPr>
          <w:lang w:val="en-IE"/>
        </w:rPr>
        <w:t xml:space="preserve"> perform screening program</w:t>
      </w:r>
      <w:r w:rsidR="008B430D">
        <w:rPr>
          <w:lang w:val="en-IE"/>
        </w:rPr>
        <w:t>me</w:t>
      </w:r>
      <w:r w:rsidR="00B67C53">
        <w:rPr>
          <w:lang w:val="en-IE"/>
        </w:rPr>
        <w:t>s for lung and colorectal cancer</w:t>
      </w:r>
      <w:r w:rsidR="005B3A3D">
        <w:rPr>
          <w:lang w:val="en-IE"/>
        </w:rPr>
        <w:t>.</w:t>
      </w:r>
    </w:p>
    <w:p w14:paraId="5EE5D690" w14:textId="77777777" w:rsidR="004E2D18" w:rsidRPr="003775F2" w:rsidRDefault="004E2D18" w:rsidP="00305F00">
      <w:pPr>
        <w:pStyle w:val="Heading1"/>
        <w:numPr>
          <w:ilvl w:val="1"/>
          <w:numId w:val="5"/>
        </w:numPr>
        <w:rPr>
          <w:lang w:val="en-IE"/>
        </w:rPr>
      </w:pPr>
      <w:r>
        <w:rPr>
          <w:lang w:val="en-IE"/>
        </w:rPr>
        <w:t>Lessons Learned</w:t>
      </w:r>
    </w:p>
    <w:p w14:paraId="05A019E1" w14:textId="7F848671" w:rsidR="002C1947" w:rsidRPr="002C1947" w:rsidRDefault="00191A55" w:rsidP="00B6363B">
      <w:pPr>
        <w:spacing w:before="120"/>
        <w:ind w:left="142"/>
        <w:jc w:val="both"/>
        <w:rPr>
          <w:bCs/>
        </w:rPr>
      </w:pPr>
      <w:r>
        <w:rPr>
          <w:bCs/>
          <w:lang w:val="en-IE"/>
        </w:rPr>
        <w:t xml:space="preserve">Before </w:t>
      </w:r>
      <w:r w:rsidR="008B430D">
        <w:rPr>
          <w:bCs/>
          <w:lang w:val="en-IE"/>
        </w:rPr>
        <w:t xml:space="preserve">COVID-19, </w:t>
      </w:r>
      <w:r w:rsidR="008B430D" w:rsidRPr="002C1947">
        <w:rPr>
          <w:bCs/>
        </w:rPr>
        <w:t xml:space="preserve">the EU </w:t>
      </w:r>
      <w:r w:rsidR="008B430D">
        <w:rPr>
          <w:bCs/>
        </w:rPr>
        <w:t>assistance for the health sector</w:t>
      </w:r>
      <w:r>
        <w:rPr>
          <w:bCs/>
        </w:rPr>
        <w:t xml:space="preserve"> was limited to </w:t>
      </w:r>
      <w:r w:rsidR="00796433">
        <w:rPr>
          <w:bCs/>
        </w:rPr>
        <w:t xml:space="preserve">the context of </w:t>
      </w:r>
      <w:r w:rsidR="008B430D">
        <w:rPr>
          <w:bCs/>
        </w:rPr>
        <w:t xml:space="preserve">the </w:t>
      </w:r>
      <w:r w:rsidR="00CB73E2">
        <w:rPr>
          <w:bCs/>
        </w:rPr>
        <w:t>migration crisis</w:t>
      </w:r>
      <w:r w:rsidR="008B430D">
        <w:rPr>
          <w:bCs/>
        </w:rPr>
        <w:t xml:space="preserve"> in </w:t>
      </w:r>
      <w:r w:rsidR="00CB73E2">
        <w:rPr>
          <w:bCs/>
        </w:rPr>
        <w:t>2015/2016</w:t>
      </w:r>
      <w:r w:rsidR="001A2E25">
        <w:rPr>
          <w:bCs/>
        </w:rPr>
        <w:t xml:space="preserve">. The pandemic has revealed the vulnerability of the health systems and </w:t>
      </w:r>
      <w:r w:rsidR="00A04D27">
        <w:rPr>
          <w:bCs/>
        </w:rPr>
        <w:t>pushed for a more ambitious response to the pandemic and other health challenges</w:t>
      </w:r>
      <w:r w:rsidR="002C1947" w:rsidRPr="002C1947">
        <w:rPr>
          <w:bCs/>
        </w:rPr>
        <w:t xml:space="preserve">. </w:t>
      </w:r>
      <w:r w:rsidR="00A04D27">
        <w:rPr>
          <w:bCs/>
        </w:rPr>
        <w:t xml:space="preserve">While the EU assistance of </w:t>
      </w:r>
      <w:r w:rsidR="00A04D27" w:rsidRPr="002C1947">
        <w:rPr>
          <w:bCs/>
        </w:rPr>
        <w:t xml:space="preserve">EUR </w:t>
      </w:r>
      <w:r w:rsidR="00A04D27">
        <w:rPr>
          <w:bCs/>
        </w:rPr>
        <w:t>20</w:t>
      </w:r>
      <w:r w:rsidR="00A04D27" w:rsidRPr="002C1947">
        <w:rPr>
          <w:bCs/>
        </w:rPr>
        <w:t xml:space="preserve"> million </w:t>
      </w:r>
      <w:r w:rsidR="00A04D27">
        <w:rPr>
          <w:bCs/>
        </w:rPr>
        <w:t xml:space="preserve">is still under implementation, </w:t>
      </w:r>
      <w:r w:rsidR="002C1947" w:rsidRPr="002C1947">
        <w:rPr>
          <w:bCs/>
        </w:rPr>
        <w:t xml:space="preserve">the following </w:t>
      </w:r>
      <w:r w:rsidR="00A04D27">
        <w:rPr>
          <w:bCs/>
        </w:rPr>
        <w:t xml:space="preserve">lessons have </w:t>
      </w:r>
      <w:r w:rsidR="009F566D">
        <w:rPr>
          <w:bCs/>
        </w:rPr>
        <w:t>crystallised</w:t>
      </w:r>
      <w:r w:rsidR="002C1947" w:rsidRPr="002C1947">
        <w:rPr>
          <w:bCs/>
        </w:rPr>
        <w:t xml:space="preserve">: </w:t>
      </w:r>
    </w:p>
    <w:p w14:paraId="348A3274" w14:textId="736402E2" w:rsidR="009F566D" w:rsidRPr="00DA08B4" w:rsidRDefault="00A04D27" w:rsidP="00B6363B">
      <w:pPr>
        <w:pStyle w:val="ListParagraph"/>
        <w:numPr>
          <w:ilvl w:val="0"/>
          <w:numId w:val="23"/>
        </w:numPr>
        <w:spacing w:before="120"/>
        <w:jc w:val="both"/>
        <w:rPr>
          <w:bCs/>
        </w:rPr>
      </w:pPr>
      <w:r w:rsidRPr="00DA08B4">
        <w:rPr>
          <w:bCs/>
        </w:rPr>
        <w:t xml:space="preserve">The reforms </w:t>
      </w:r>
      <w:r w:rsidR="004318E7" w:rsidRPr="00DA08B4">
        <w:rPr>
          <w:bCs/>
        </w:rPr>
        <w:t xml:space="preserve">in the health sector are resource-intensive and </w:t>
      </w:r>
      <w:r w:rsidRPr="00DA08B4">
        <w:rPr>
          <w:bCs/>
        </w:rPr>
        <w:t xml:space="preserve">require strong </w:t>
      </w:r>
      <w:r w:rsidR="004318E7" w:rsidRPr="00DA08B4">
        <w:rPr>
          <w:bCs/>
        </w:rPr>
        <w:t>political commitment and national consensus in a medium to long-term perspective. The</w:t>
      </w:r>
      <w:r w:rsidR="002C1947" w:rsidRPr="00DA08B4">
        <w:rPr>
          <w:bCs/>
        </w:rPr>
        <w:t xml:space="preserve"> sector policy dialogue must </w:t>
      </w:r>
      <w:r w:rsidR="004318E7" w:rsidRPr="00DA08B4">
        <w:rPr>
          <w:bCs/>
        </w:rPr>
        <w:t>be intense and inclusive</w:t>
      </w:r>
      <w:r w:rsidR="00415F6D" w:rsidRPr="00DA08B4">
        <w:rPr>
          <w:bCs/>
        </w:rPr>
        <w:t>, effectively channelling various inputs, visions, and concerns</w:t>
      </w:r>
      <w:r w:rsidR="002C1947" w:rsidRPr="00DA08B4">
        <w:rPr>
          <w:bCs/>
        </w:rPr>
        <w:t xml:space="preserve">. </w:t>
      </w:r>
      <w:r w:rsidR="00415F6D" w:rsidRPr="00DA08B4">
        <w:rPr>
          <w:bCs/>
        </w:rPr>
        <w:t>Therefore, the sector working group on health must</w:t>
      </w:r>
      <w:r w:rsidR="004318E7" w:rsidRPr="00DA08B4">
        <w:rPr>
          <w:bCs/>
        </w:rPr>
        <w:t xml:space="preserve"> be </w:t>
      </w:r>
      <w:r w:rsidR="00E72B34" w:rsidRPr="00DA08B4">
        <w:rPr>
          <w:bCs/>
        </w:rPr>
        <w:t xml:space="preserve">significantly </w:t>
      </w:r>
      <w:r w:rsidR="004318E7" w:rsidRPr="00DA08B4">
        <w:rPr>
          <w:bCs/>
        </w:rPr>
        <w:t>strengthened</w:t>
      </w:r>
      <w:r w:rsidR="00415F6D" w:rsidRPr="00DA08B4">
        <w:rPr>
          <w:bCs/>
        </w:rPr>
        <w:t>,</w:t>
      </w:r>
      <w:r w:rsidR="004318E7" w:rsidRPr="00DA08B4">
        <w:rPr>
          <w:bCs/>
        </w:rPr>
        <w:t xml:space="preserve"> </w:t>
      </w:r>
      <w:r w:rsidR="00E72B34" w:rsidRPr="00DA08B4">
        <w:rPr>
          <w:bCs/>
        </w:rPr>
        <w:t xml:space="preserve">and the inclusion of patients’ organisations must be ensured. </w:t>
      </w:r>
      <w:bookmarkStart w:id="126" w:name="_Toc47101956"/>
      <w:bookmarkStart w:id="127" w:name="_Toc51270451"/>
      <w:bookmarkStart w:id="128" w:name="_Ref58358933"/>
      <w:bookmarkStart w:id="129" w:name="_Ref58877297"/>
    </w:p>
    <w:p w14:paraId="010398EB" w14:textId="25711E45" w:rsidR="00090E1F" w:rsidRPr="00DA08B4" w:rsidRDefault="00090E1F" w:rsidP="00B6363B">
      <w:pPr>
        <w:pStyle w:val="ListParagraph"/>
        <w:numPr>
          <w:ilvl w:val="0"/>
          <w:numId w:val="23"/>
        </w:numPr>
        <w:spacing w:before="120"/>
        <w:jc w:val="both"/>
        <w:rPr>
          <w:bCs/>
        </w:rPr>
      </w:pPr>
      <w:r>
        <w:t xml:space="preserve">The significant investments needed in the </w:t>
      </w:r>
      <w:r w:rsidR="00415F6D">
        <w:t>healthcare</w:t>
      </w:r>
      <w:r>
        <w:t xml:space="preserve"> sector must be closely linked to sector reforms to improve the effectiveness of the investments. Research shows lung cancer incidents are linked to high pollution, smoking and unhealthy </w:t>
      </w:r>
      <w:r w:rsidR="008B430D">
        <w:t>lifestyle</w:t>
      </w:r>
      <w:r>
        <w:t xml:space="preserve">. Prevention and early detection of lung cancer </w:t>
      </w:r>
      <w:r w:rsidR="00036495">
        <w:t>require</w:t>
      </w:r>
      <w:r>
        <w:t>, along with investments in health care, enhancement of the national anti-</w:t>
      </w:r>
      <w:r>
        <w:lastRenderedPageBreak/>
        <w:t xml:space="preserve">tobacco policy and significant measures to decrease urban pollution due to outdated transport and heating systems.  To address this finding, the Action </w:t>
      </w:r>
      <w:r w:rsidR="00415F6D">
        <w:t>also encompasses</w:t>
      </w:r>
      <w:r>
        <w:t xml:space="preserve"> a policy advisory contract</w:t>
      </w:r>
      <w:r w:rsidR="00415F6D">
        <w:t xml:space="preserve"> to</w:t>
      </w:r>
      <w:r>
        <w:t xml:space="preserve"> guide the authorities in taking </w:t>
      </w:r>
      <w:r w:rsidR="008B430D">
        <w:t xml:space="preserve">suitable </w:t>
      </w:r>
      <w:r>
        <w:t xml:space="preserve">policy measures. </w:t>
      </w:r>
    </w:p>
    <w:p w14:paraId="1C6B7138" w14:textId="6335CA31" w:rsidR="009F566D" w:rsidRPr="00DA08B4" w:rsidRDefault="009F566D" w:rsidP="00B6363B">
      <w:pPr>
        <w:pStyle w:val="ListParagraph"/>
        <w:numPr>
          <w:ilvl w:val="0"/>
          <w:numId w:val="23"/>
        </w:numPr>
        <w:spacing w:before="120"/>
        <w:jc w:val="both"/>
        <w:rPr>
          <w:bCs/>
        </w:rPr>
      </w:pPr>
      <w:r>
        <w:t xml:space="preserve">The administrative capacity of the Ministry of Health to work with the EU assistance </w:t>
      </w:r>
      <w:r w:rsidR="00C407F3">
        <w:t xml:space="preserve">and EU counterparts is very low as the experience is limited and primarily accumulated in </w:t>
      </w:r>
      <w:r w:rsidR="008B430D">
        <w:t xml:space="preserve">the COVID-19 </w:t>
      </w:r>
      <w:r w:rsidR="00C407F3">
        <w:t xml:space="preserve">context. The Ministry </w:t>
      </w:r>
      <w:r w:rsidR="00036495">
        <w:t>must</w:t>
      </w:r>
      <w:r w:rsidR="00C407F3">
        <w:t xml:space="preserve"> establish a well-staffed and prepared project management unit to channel and coordinate external assistance for sector reforms. With this purpose, a policy advisory contract is planned </w:t>
      </w:r>
      <w:r w:rsidR="008D03F9">
        <w:t xml:space="preserve">within the scope of this action. </w:t>
      </w:r>
    </w:p>
    <w:p w14:paraId="09A48267" w14:textId="08232BF9" w:rsidR="00FD7FCD" w:rsidRPr="003C0CD7" w:rsidRDefault="00FD7FCD" w:rsidP="007C0CF8">
      <w:pPr>
        <w:pStyle w:val="Heading1"/>
        <w:ind w:left="567"/>
        <w:rPr>
          <w:lang w:val="en-IE"/>
        </w:rPr>
      </w:pPr>
      <w:bookmarkStart w:id="130" w:name="_Ref59012514"/>
      <w:bookmarkStart w:id="131" w:name="_Toc73090747"/>
      <w:r w:rsidRPr="003C0CD7">
        <w:rPr>
          <w:lang w:val="en-IE"/>
        </w:rPr>
        <w:t>DESCRIPTION OF THE ACTION</w:t>
      </w:r>
      <w:bookmarkEnd w:id="126"/>
      <w:bookmarkEnd w:id="127"/>
      <w:bookmarkEnd w:id="128"/>
      <w:bookmarkEnd w:id="129"/>
      <w:bookmarkEnd w:id="130"/>
      <w:bookmarkEnd w:id="131"/>
    </w:p>
    <w:p w14:paraId="133A6338" w14:textId="2EE1DA08" w:rsidR="00B26539" w:rsidRPr="003C0CD7" w:rsidRDefault="00B26539" w:rsidP="00B26539">
      <w:pPr>
        <w:pStyle w:val="Heading1"/>
        <w:numPr>
          <w:ilvl w:val="1"/>
          <w:numId w:val="1"/>
        </w:numPr>
        <w:rPr>
          <w:lang w:val="en-IE"/>
        </w:rPr>
      </w:pPr>
      <w:bookmarkStart w:id="132" w:name="_Toc58681338"/>
      <w:bookmarkStart w:id="133" w:name="_Toc58836468"/>
      <w:bookmarkStart w:id="134" w:name="_Toc58838086"/>
      <w:bookmarkStart w:id="135" w:name="_Toc58838141"/>
      <w:bookmarkStart w:id="136" w:name="_Toc58845983"/>
      <w:bookmarkStart w:id="137" w:name="_Toc58876993"/>
      <w:bookmarkStart w:id="138" w:name="_Toc58878028"/>
      <w:bookmarkStart w:id="139" w:name="_Toc59012341"/>
      <w:bookmarkStart w:id="140" w:name="_Toc59012917"/>
      <w:bookmarkStart w:id="141" w:name="_Toc59020765"/>
      <w:bookmarkStart w:id="142" w:name="_Toc59023365"/>
      <w:bookmarkStart w:id="143" w:name="_Toc59029534"/>
      <w:bookmarkStart w:id="144" w:name="_Toc59030350"/>
      <w:bookmarkStart w:id="145" w:name="_Toc59031667"/>
      <w:bookmarkStart w:id="146" w:name="_Toc62247166"/>
      <w:bookmarkStart w:id="147" w:name="_Toc62247223"/>
      <w:bookmarkStart w:id="148" w:name="_Toc62459265"/>
      <w:bookmarkStart w:id="149" w:name="_Toc62476929"/>
      <w:bookmarkStart w:id="150" w:name="_Toc63235837"/>
      <w:bookmarkStart w:id="151" w:name="_Toc63248943"/>
      <w:bookmarkStart w:id="152" w:name="_Toc63263272"/>
      <w:bookmarkStart w:id="153" w:name="_Toc64043049"/>
      <w:bookmarkStart w:id="154" w:name="_Toc65663761"/>
      <w:bookmarkStart w:id="155" w:name="_Toc65665576"/>
      <w:bookmarkStart w:id="156" w:name="_Toc65665938"/>
      <w:bookmarkStart w:id="157" w:name="_Toc65666117"/>
      <w:bookmarkStart w:id="158" w:name="_Toc65671194"/>
      <w:bookmarkStart w:id="159" w:name="_Toc65671253"/>
      <w:bookmarkStart w:id="160" w:name="_Toc65671909"/>
      <w:bookmarkStart w:id="161" w:name="_Toc65674765"/>
      <w:bookmarkStart w:id="162" w:name="_Toc65676415"/>
      <w:bookmarkStart w:id="163" w:name="_Toc65688252"/>
      <w:bookmarkStart w:id="164" w:name="_Toc66465141"/>
      <w:bookmarkStart w:id="165" w:name="_Toc66465594"/>
      <w:bookmarkStart w:id="166" w:name="_Toc66465653"/>
      <w:bookmarkStart w:id="167" w:name="_Toc66696379"/>
      <w:bookmarkStart w:id="168" w:name="_Toc67665928"/>
      <w:bookmarkStart w:id="169" w:name="_Toc69384712"/>
      <w:bookmarkStart w:id="170" w:name="_Toc69384843"/>
      <w:bookmarkStart w:id="171" w:name="_Toc69384971"/>
      <w:bookmarkStart w:id="172" w:name="_Toc69385099"/>
      <w:bookmarkStart w:id="173" w:name="_Toc69460848"/>
      <w:bookmarkStart w:id="174" w:name="_Toc69460975"/>
      <w:bookmarkStart w:id="175" w:name="_Toc69469911"/>
      <w:bookmarkStart w:id="176" w:name="_Toc69485774"/>
      <w:bookmarkStart w:id="177" w:name="_Toc69487649"/>
      <w:bookmarkStart w:id="178" w:name="_Toc72142239"/>
      <w:bookmarkStart w:id="179" w:name="_Toc72142325"/>
      <w:bookmarkStart w:id="180" w:name="_Toc73090665"/>
      <w:bookmarkStart w:id="181" w:name="_Toc73090748"/>
      <w:bookmarkStart w:id="182" w:name="_Toc73090749"/>
      <w:bookmarkStart w:id="183" w:name="_Ref58337114"/>
      <w:bookmarkStart w:id="184" w:name="_Ref58337116"/>
      <w:bookmarkStart w:id="185" w:name="_Ref58424170"/>
      <w:bookmarkStart w:id="186" w:name="_Ref58688188"/>
      <w:bookmarkStart w:id="187" w:name="_Ref58859220"/>
      <w:bookmarkStart w:id="188" w:name="_Ref58859419"/>
      <w:bookmarkStart w:id="189" w:name="_Ref60739130"/>
      <w:bookmarkStart w:id="190" w:name="_Ref6074284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C0CD7">
        <w:rPr>
          <w:lang w:val="en-IE"/>
        </w:rPr>
        <w:t xml:space="preserve">Intervention Logic </w:t>
      </w:r>
    </w:p>
    <w:p w14:paraId="14A879E5" w14:textId="0196E1F7" w:rsidR="00AC5B2D" w:rsidRDefault="00AC5B2D" w:rsidP="000E36F8">
      <w:pPr>
        <w:spacing w:before="120"/>
        <w:ind w:left="142"/>
        <w:rPr>
          <w:color w:val="0D0D0D" w:themeColor="text1" w:themeTint="F2"/>
          <w:lang w:val="en-IE"/>
        </w:rPr>
      </w:pPr>
      <w:r w:rsidRPr="003C0CD7">
        <w:rPr>
          <w:color w:val="0D0D0D" w:themeColor="text1" w:themeTint="F2"/>
          <w:lang w:val="en-IE"/>
        </w:rPr>
        <w:t xml:space="preserve">The </w:t>
      </w:r>
      <w:r w:rsidRPr="007C0CF8">
        <w:rPr>
          <w:b/>
          <w:bCs/>
          <w:color w:val="0D0D0D" w:themeColor="text1" w:themeTint="F2"/>
          <w:lang w:val="en-IE"/>
        </w:rPr>
        <w:t>Overall Objective</w:t>
      </w:r>
      <w:r w:rsidR="00FD4CDD" w:rsidRPr="007C0CF8">
        <w:rPr>
          <w:b/>
          <w:bCs/>
          <w:color w:val="0D0D0D" w:themeColor="text1" w:themeTint="F2"/>
          <w:lang w:val="en-IE"/>
        </w:rPr>
        <w:t>s/</w:t>
      </w:r>
      <w:r w:rsidRPr="007C0CF8">
        <w:rPr>
          <w:b/>
          <w:bCs/>
          <w:color w:val="0D0D0D" w:themeColor="text1" w:themeTint="F2"/>
          <w:lang w:val="en-IE"/>
        </w:rPr>
        <w:t>Impact</w:t>
      </w:r>
      <w:r w:rsidRPr="003C0CD7">
        <w:rPr>
          <w:color w:val="0D0D0D" w:themeColor="text1" w:themeTint="F2"/>
          <w:lang w:val="en-IE"/>
        </w:rPr>
        <w:t xml:space="preserve"> of this </w:t>
      </w:r>
      <w:r w:rsidR="002C1947">
        <w:rPr>
          <w:color w:val="0D0D0D" w:themeColor="text1" w:themeTint="F2"/>
          <w:lang w:val="en-IE"/>
        </w:rPr>
        <w:t>A</w:t>
      </w:r>
      <w:r w:rsidRPr="003C0CD7">
        <w:rPr>
          <w:color w:val="0D0D0D" w:themeColor="text1" w:themeTint="F2"/>
          <w:lang w:val="en-IE"/>
        </w:rPr>
        <w:t xml:space="preserve">ction </w:t>
      </w:r>
      <w:r w:rsidRPr="002C1947">
        <w:rPr>
          <w:color w:val="0D0D0D" w:themeColor="text1" w:themeTint="F2"/>
          <w:lang w:val="en-IE"/>
        </w:rPr>
        <w:t>i</w:t>
      </w:r>
      <w:r w:rsidR="002C1947" w:rsidRPr="002C1947">
        <w:rPr>
          <w:color w:val="0D0D0D" w:themeColor="text1" w:themeTint="F2"/>
          <w:lang w:val="en-IE"/>
        </w:rPr>
        <w:t>s</w:t>
      </w:r>
      <w:r w:rsidR="002C1947">
        <w:rPr>
          <w:color w:val="0D0D0D" w:themeColor="text1" w:themeTint="F2"/>
          <w:lang w:val="en-IE"/>
        </w:rPr>
        <w:t>:</w:t>
      </w:r>
      <w:r w:rsidRPr="00AE4D9E">
        <w:rPr>
          <w:color w:val="0D0D0D" w:themeColor="text1" w:themeTint="F2"/>
          <w:lang w:val="en-IE"/>
        </w:rPr>
        <w:t xml:space="preserve"> </w:t>
      </w:r>
    </w:p>
    <w:p w14:paraId="693090B9" w14:textId="0ADD5FFB" w:rsidR="00AC5B2D" w:rsidRDefault="002C1947" w:rsidP="000E36F8">
      <w:pPr>
        <w:spacing w:before="120"/>
        <w:ind w:firstLine="142"/>
        <w:rPr>
          <w:color w:val="0D0D0D" w:themeColor="text1" w:themeTint="F2"/>
        </w:rPr>
      </w:pPr>
      <w:r w:rsidRPr="00B44FA6">
        <w:rPr>
          <w:i/>
          <w:iCs/>
          <w:color w:val="0D0D0D" w:themeColor="text1" w:themeTint="F2"/>
          <w:lang w:val="en-IE"/>
        </w:rPr>
        <w:t xml:space="preserve">To improve the health and well-being of </w:t>
      </w:r>
      <w:r w:rsidR="005B3A3D">
        <w:rPr>
          <w:i/>
          <w:iCs/>
          <w:color w:val="0D0D0D" w:themeColor="text1" w:themeTint="F2"/>
          <w:lang w:val="en-IE"/>
        </w:rPr>
        <w:t xml:space="preserve">North Macedonia’s </w:t>
      </w:r>
      <w:r w:rsidR="00C833CF">
        <w:rPr>
          <w:i/>
          <w:iCs/>
          <w:color w:val="0D0D0D" w:themeColor="text1" w:themeTint="F2"/>
          <w:lang w:val="en-IE"/>
        </w:rPr>
        <w:t>citizens</w:t>
      </w:r>
      <w:r w:rsidRPr="00B44FA6">
        <w:rPr>
          <w:i/>
          <w:iCs/>
          <w:color w:val="0D0D0D" w:themeColor="text1" w:themeTint="F2"/>
          <w:lang w:val="en-IE"/>
        </w:rPr>
        <w:t>.</w:t>
      </w:r>
    </w:p>
    <w:p w14:paraId="072D0777" w14:textId="356E6357" w:rsidR="00AC5B2D" w:rsidRDefault="00AC5B2D" w:rsidP="000E36F8">
      <w:pPr>
        <w:spacing w:before="120"/>
        <w:ind w:firstLine="142"/>
        <w:rPr>
          <w:color w:val="0D0D0D" w:themeColor="text1" w:themeTint="F2"/>
          <w:lang w:val="en-IE"/>
        </w:rPr>
      </w:pPr>
      <w:r w:rsidRPr="003C0CD7">
        <w:rPr>
          <w:color w:val="0D0D0D" w:themeColor="text1" w:themeTint="F2"/>
          <w:lang w:val="en-IE"/>
        </w:rPr>
        <w:t xml:space="preserve">The </w:t>
      </w:r>
      <w:r w:rsidRPr="007C0CF8">
        <w:rPr>
          <w:b/>
          <w:bCs/>
          <w:color w:val="0D0D0D" w:themeColor="text1" w:themeTint="F2"/>
          <w:lang w:val="en-IE"/>
        </w:rPr>
        <w:t>Specific Objective (Outcome)</w:t>
      </w:r>
      <w:r w:rsidRPr="003C0CD7">
        <w:rPr>
          <w:color w:val="0D0D0D" w:themeColor="text1" w:themeTint="F2"/>
          <w:lang w:val="en-IE"/>
        </w:rPr>
        <w:t xml:space="preserve"> of this </w:t>
      </w:r>
      <w:r w:rsidR="00C76CD2">
        <w:rPr>
          <w:color w:val="0D0D0D" w:themeColor="text1" w:themeTint="F2"/>
          <w:lang w:val="en-IE"/>
        </w:rPr>
        <w:t>A</w:t>
      </w:r>
      <w:r w:rsidRPr="003C0CD7">
        <w:rPr>
          <w:color w:val="0D0D0D" w:themeColor="text1" w:themeTint="F2"/>
          <w:lang w:val="en-IE"/>
        </w:rPr>
        <w:t xml:space="preserve">ction </w:t>
      </w:r>
      <w:r w:rsidR="00110973">
        <w:rPr>
          <w:color w:val="0D0D0D" w:themeColor="text1" w:themeTint="F2"/>
          <w:lang w:val="en-IE"/>
        </w:rPr>
        <w:t>is</w:t>
      </w:r>
      <w:r w:rsidR="00C76CD2">
        <w:rPr>
          <w:color w:val="0D0D0D" w:themeColor="text1" w:themeTint="F2"/>
          <w:lang w:val="en-IE"/>
        </w:rPr>
        <w:t>:</w:t>
      </w:r>
      <w:r w:rsidRPr="003C0CD7">
        <w:rPr>
          <w:color w:val="0D0D0D" w:themeColor="text1" w:themeTint="F2"/>
          <w:lang w:val="en-IE"/>
        </w:rPr>
        <w:t xml:space="preserve"> </w:t>
      </w:r>
    </w:p>
    <w:p w14:paraId="6584162D" w14:textId="28F7B349" w:rsidR="00AC5B2D" w:rsidRPr="007C0CF8" w:rsidRDefault="00C76CD2" w:rsidP="000E36F8">
      <w:pPr>
        <w:spacing w:before="120"/>
        <w:ind w:firstLine="142"/>
        <w:rPr>
          <w:i/>
          <w:iCs/>
          <w:color w:val="000000" w:themeColor="text1"/>
          <w:lang w:val="en-IE"/>
        </w:rPr>
      </w:pPr>
      <w:r w:rsidRPr="007C0CF8">
        <w:rPr>
          <w:i/>
          <w:iCs/>
          <w:color w:val="000000" w:themeColor="text1"/>
          <w:lang w:val="en-IE"/>
        </w:rPr>
        <w:t xml:space="preserve">To </w:t>
      </w:r>
      <w:r w:rsidR="00991F26" w:rsidRPr="007C0CF8">
        <w:rPr>
          <w:i/>
          <w:iCs/>
          <w:color w:val="000000" w:themeColor="text1"/>
          <w:lang w:val="en-IE"/>
        </w:rPr>
        <w:t>enhance the digitalisation and modernisation of the Healthcare System.</w:t>
      </w:r>
    </w:p>
    <w:p w14:paraId="064FCAFD" w14:textId="64FA029D" w:rsidR="008D31BE" w:rsidRDefault="00C76CD2" w:rsidP="009861B7">
      <w:pPr>
        <w:spacing w:before="120" w:after="120"/>
        <w:ind w:firstLine="142"/>
        <w:jc w:val="both"/>
        <w:rPr>
          <w:color w:val="0D0D0D" w:themeColor="text1" w:themeTint="F2"/>
        </w:rPr>
      </w:pPr>
      <w:r>
        <w:rPr>
          <w:color w:val="0D0D0D" w:themeColor="text1" w:themeTint="F2"/>
        </w:rPr>
        <w:t>Th</w:t>
      </w:r>
      <w:r w:rsidR="00D80003">
        <w:rPr>
          <w:color w:val="0D0D0D" w:themeColor="text1" w:themeTint="F2"/>
        </w:rPr>
        <w:t>is Outcome</w:t>
      </w:r>
      <w:r w:rsidR="00C13375">
        <w:rPr>
          <w:color w:val="0D0D0D" w:themeColor="text1" w:themeTint="F2"/>
        </w:rPr>
        <w:t xml:space="preserve"> will be achieved through the delivery of the following </w:t>
      </w:r>
      <w:r w:rsidR="00C13375" w:rsidRPr="000E36F8">
        <w:rPr>
          <w:b/>
          <w:bCs/>
          <w:color w:val="0D0D0D" w:themeColor="text1" w:themeTint="F2"/>
        </w:rPr>
        <w:t>Ou</w:t>
      </w:r>
      <w:r w:rsidR="00F05B79" w:rsidRPr="000E36F8">
        <w:rPr>
          <w:b/>
          <w:bCs/>
          <w:color w:val="0D0D0D" w:themeColor="text1" w:themeTint="F2"/>
        </w:rPr>
        <w:t>t</w:t>
      </w:r>
      <w:r w:rsidR="00C13375" w:rsidRPr="000E36F8">
        <w:rPr>
          <w:b/>
          <w:bCs/>
          <w:color w:val="0D0D0D" w:themeColor="text1" w:themeTint="F2"/>
        </w:rPr>
        <w:t>puts</w:t>
      </w:r>
      <w:r w:rsidR="00C13375">
        <w:rPr>
          <w:color w:val="0D0D0D" w:themeColor="text1" w:themeTint="F2"/>
        </w:rPr>
        <w:t>:</w:t>
      </w:r>
    </w:p>
    <w:p w14:paraId="61B26E5F" w14:textId="146766F2" w:rsidR="00217BC6" w:rsidRDefault="00C13375" w:rsidP="009861B7">
      <w:pPr>
        <w:ind w:left="142"/>
        <w:jc w:val="both"/>
        <w:rPr>
          <w:color w:val="000000" w:themeColor="text1"/>
          <w:lang w:val="en-IE"/>
        </w:rPr>
      </w:pPr>
      <w:r w:rsidRPr="00C13375">
        <w:rPr>
          <w:b/>
          <w:bCs/>
          <w:color w:val="0D0D0D" w:themeColor="text1" w:themeTint="F2"/>
        </w:rPr>
        <w:t>Output 1</w:t>
      </w:r>
      <w:r w:rsidR="00991F26">
        <w:rPr>
          <w:b/>
          <w:bCs/>
          <w:color w:val="0D0D0D" w:themeColor="text1" w:themeTint="F2"/>
        </w:rPr>
        <w:t xml:space="preserve">. </w:t>
      </w:r>
      <w:r w:rsidR="001244DF" w:rsidRPr="000D6E69">
        <w:rPr>
          <w:color w:val="000000" w:themeColor="text1"/>
          <w:lang w:val="en-IE"/>
        </w:rPr>
        <w:t xml:space="preserve">Improved National </w:t>
      </w:r>
      <w:r w:rsidR="00C833CF" w:rsidRPr="000D6E69">
        <w:rPr>
          <w:color w:val="000000" w:themeColor="text1"/>
          <w:lang w:val="en-IE"/>
        </w:rPr>
        <w:t>Teleradiology</w:t>
      </w:r>
      <w:r w:rsidR="001244DF" w:rsidRPr="000D6E69">
        <w:rPr>
          <w:color w:val="000000" w:themeColor="text1"/>
          <w:lang w:val="en-IE"/>
        </w:rPr>
        <w:t xml:space="preserve"> System to al</w:t>
      </w:r>
      <w:r w:rsidR="00C833CF">
        <w:rPr>
          <w:color w:val="000000" w:themeColor="text1"/>
          <w:lang w:val="en-IE"/>
        </w:rPr>
        <w:t>low remote use of radiology data</w:t>
      </w:r>
    </w:p>
    <w:p w14:paraId="3AC1C3D0" w14:textId="598AACD8" w:rsidR="00217BC6" w:rsidRDefault="00217BC6" w:rsidP="009861B7">
      <w:pPr>
        <w:ind w:left="142"/>
        <w:jc w:val="both"/>
        <w:rPr>
          <w:color w:val="000000" w:themeColor="text1"/>
          <w:lang w:val="en-IE"/>
        </w:rPr>
      </w:pPr>
      <w:r>
        <w:rPr>
          <w:b/>
          <w:bCs/>
          <w:color w:val="0D0D0D" w:themeColor="text1" w:themeTint="F2"/>
          <w:lang w:val="en-IE"/>
        </w:rPr>
        <w:t>Output 2.</w:t>
      </w:r>
      <w:r>
        <w:rPr>
          <w:color w:val="000000" w:themeColor="text1"/>
          <w:lang w:val="en-IE"/>
        </w:rPr>
        <w:t xml:space="preserve"> </w:t>
      </w:r>
      <w:r w:rsidR="001244DF" w:rsidRPr="00217BC6">
        <w:rPr>
          <w:color w:val="000000" w:themeColor="text1"/>
          <w:lang w:val="en-IE"/>
        </w:rPr>
        <w:t xml:space="preserve">Improved prevention and control of </w:t>
      </w:r>
      <w:r w:rsidR="008D03F9">
        <w:rPr>
          <w:color w:val="000000" w:themeColor="text1"/>
          <w:lang w:val="en-IE"/>
        </w:rPr>
        <w:t xml:space="preserve">non-communicable </w:t>
      </w:r>
      <w:r w:rsidR="00090E1F">
        <w:rPr>
          <w:color w:val="000000" w:themeColor="text1"/>
          <w:lang w:val="en-IE"/>
        </w:rPr>
        <w:t>diseases</w:t>
      </w:r>
    </w:p>
    <w:p w14:paraId="4C17110D" w14:textId="77777777" w:rsidR="00217BC6" w:rsidRDefault="00217BC6" w:rsidP="009861B7">
      <w:pPr>
        <w:ind w:left="142"/>
        <w:jc w:val="both"/>
        <w:rPr>
          <w:color w:val="000000" w:themeColor="text1"/>
          <w:lang w:val="en-IE"/>
        </w:rPr>
      </w:pPr>
      <w:r>
        <w:rPr>
          <w:b/>
          <w:bCs/>
          <w:color w:val="0D0D0D" w:themeColor="text1" w:themeTint="F2"/>
          <w:lang w:val="en-IE"/>
        </w:rPr>
        <w:t>Output 3.</w:t>
      </w:r>
      <w:r>
        <w:rPr>
          <w:color w:val="000000" w:themeColor="text1"/>
          <w:lang w:val="en-IE"/>
        </w:rPr>
        <w:t xml:space="preserve"> </w:t>
      </w:r>
      <w:r w:rsidR="001244DF" w:rsidRPr="00217BC6">
        <w:rPr>
          <w:color w:val="000000" w:themeColor="text1"/>
          <w:lang w:val="en-IE"/>
        </w:rPr>
        <w:t>Improved health cloud infrastructure</w:t>
      </w:r>
    </w:p>
    <w:p w14:paraId="36DCB883" w14:textId="7E12E810" w:rsidR="001244DF" w:rsidRPr="00217BC6" w:rsidRDefault="00217BC6" w:rsidP="009861B7">
      <w:pPr>
        <w:ind w:left="142"/>
        <w:jc w:val="both"/>
        <w:rPr>
          <w:color w:val="000000" w:themeColor="text1"/>
          <w:lang w:val="en-IE"/>
        </w:rPr>
      </w:pPr>
      <w:r>
        <w:rPr>
          <w:b/>
          <w:bCs/>
          <w:color w:val="0D0D0D" w:themeColor="text1" w:themeTint="F2"/>
          <w:lang w:val="en-IE"/>
        </w:rPr>
        <w:t>Output 4.</w:t>
      </w:r>
      <w:r>
        <w:rPr>
          <w:color w:val="000000" w:themeColor="text1"/>
          <w:lang w:val="en-IE"/>
        </w:rPr>
        <w:t xml:space="preserve"> </w:t>
      </w:r>
      <w:r w:rsidR="001244DF" w:rsidRPr="00217BC6">
        <w:rPr>
          <w:color w:val="000000" w:themeColor="text1"/>
          <w:lang w:val="en-IE"/>
        </w:rPr>
        <w:t>Improved mobile primary healthcare service</w:t>
      </w:r>
    </w:p>
    <w:p w14:paraId="59135275" w14:textId="48051F30" w:rsidR="004214FA" w:rsidRPr="00D16994" w:rsidRDefault="00217BC6" w:rsidP="009861B7">
      <w:pPr>
        <w:ind w:left="142"/>
        <w:jc w:val="both"/>
        <w:rPr>
          <w:bCs/>
          <w:color w:val="0D0D0D" w:themeColor="text1" w:themeTint="F2"/>
          <w:lang w:val="en-IE"/>
        </w:rPr>
      </w:pPr>
      <w:r>
        <w:rPr>
          <w:b/>
          <w:bCs/>
          <w:color w:val="0D0D0D" w:themeColor="text1" w:themeTint="F2"/>
          <w:lang w:val="en-IE"/>
        </w:rPr>
        <w:t xml:space="preserve">Output 5. </w:t>
      </w:r>
      <w:r w:rsidRPr="00217BC6">
        <w:rPr>
          <w:bCs/>
          <w:color w:val="0D0D0D" w:themeColor="text1" w:themeTint="F2"/>
          <w:lang w:val="en-IE"/>
        </w:rPr>
        <w:t>Modernised</w:t>
      </w:r>
      <w:r w:rsidR="00991F26" w:rsidRPr="00217BC6">
        <w:rPr>
          <w:bCs/>
          <w:color w:val="0D0D0D" w:themeColor="text1" w:themeTint="F2"/>
          <w:lang w:val="en-IE"/>
        </w:rPr>
        <w:t xml:space="preserve"> Emergency Medical Service (EMS)</w:t>
      </w:r>
      <w:r w:rsidR="00DA08B4">
        <w:rPr>
          <w:bCs/>
          <w:color w:val="0D0D0D" w:themeColor="text1" w:themeTint="F2"/>
          <w:lang w:val="en-IE"/>
        </w:rPr>
        <w:t xml:space="preserve"> (</w:t>
      </w:r>
      <w:r w:rsidR="004214FA">
        <w:rPr>
          <w:b/>
          <w:bCs/>
          <w:color w:val="0D0D0D" w:themeColor="text1" w:themeTint="F2"/>
          <w:lang w:val="en-IE"/>
        </w:rPr>
        <w:t>5</w:t>
      </w:r>
      <w:r w:rsidR="004214FA">
        <w:rPr>
          <w:bCs/>
          <w:color w:val="0D0D0D" w:themeColor="text1" w:themeTint="F2"/>
          <w:lang w:val="en-IE"/>
        </w:rPr>
        <w:t>(a) ICT technology</w:t>
      </w:r>
      <w:r w:rsidR="00DA08B4">
        <w:rPr>
          <w:bCs/>
          <w:color w:val="0D0D0D" w:themeColor="text1" w:themeTint="F2"/>
          <w:lang w:val="en-IE"/>
        </w:rPr>
        <w:t xml:space="preserve">; </w:t>
      </w:r>
      <w:r w:rsidR="004214FA">
        <w:rPr>
          <w:b/>
          <w:bCs/>
          <w:color w:val="0D0D0D" w:themeColor="text1" w:themeTint="F2"/>
          <w:lang w:val="en-IE"/>
        </w:rPr>
        <w:t>5</w:t>
      </w:r>
      <w:r w:rsidR="004214FA">
        <w:rPr>
          <w:bCs/>
          <w:color w:val="0D0D0D" w:themeColor="text1" w:themeTint="F2"/>
          <w:lang w:val="en-IE"/>
        </w:rPr>
        <w:t>(b) ambulances</w:t>
      </w:r>
      <w:r w:rsidR="00DA08B4">
        <w:rPr>
          <w:bCs/>
          <w:color w:val="0D0D0D" w:themeColor="text1" w:themeTint="F2"/>
          <w:lang w:val="en-IE"/>
        </w:rPr>
        <w:t>)</w:t>
      </w:r>
    </w:p>
    <w:p w14:paraId="6A9132BF" w14:textId="77777777" w:rsidR="00C60BF9" w:rsidRPr="003C0CD7" w:rsidRDefault="00C60BF9" w:rsidP="00C60BF9">
      <w:pPr>
        <w:pStyle w:val="Heading1"/>
        <w:numPr>
          <w:ilvl w:val="1"/>
          <w:numId w:val="1"/>
        </w:numPr>
        <w:rPr>
          <w:lang w:val="en-IE"/>
        </w:rPr>
      </w:pPr>
      <w:bookmarkStart w:id="191" w:name="_Ref58424572"/>
      <w:bookmarkStart w:id="192" w:name="_Toc73090752"/>
      <w:bookmarkEnd w:id="182"/>
      <w:r w:rsidRPr="003C0CD7">
        <w:rPr>
          <w:lang w:val="en-IE"/>
        </w:rPr>
        <w:t>Indicative Activities</w:t>
      </w:r>
      <w:bookmarkEnd w:id="191"/>
      <w:bookmarkEnd w:id="192"/>
    </w:p>
    <w:p w14:paraId="0853AD0C" w14:textId="3B839D6D" w:rsidR="00C60BF9" w:rsidRDefault="00E0741A" w:rsidP="007C0CF8">
      <w:pPr>
        <w:ind w:left="142"/>
        <w:rPr>
          <w:lang w:val="en-IE"/>
        </w:rPr>
      </w:pPr>
      <w:r>
        <w:rPr>
          <w:lang w:val="en-IE"/>
        </w:rPr>
        <w:t>The Action will be implemented through the following main activities:</w:t>
      </w:r>
    </w:p>
    <w:p w14:paraId="247A88B7" w14:textId="5DE51DD1" w:rsidR="004C347A" w:rsidRDefault="00DA08B4" w:rsidP="007C0CF8">
      <w:pPr>
        <w:spacing w:before="120"/>
        <w:rPr>
          <w:b/>
          <w:bCs/>
          <w:color w:val="000000" w:themeColor="text1"/>
          <w:lang w:val="en-IE"/>
        </w:rPr>
      </w:pPr>
      <w:r>
        <w:rPr>
          <w:b/>
          <w:bCs/>
          <w:color w:val="000000" w:themeColor="text1"/>
          <w:lang w:val="en-IE"/>
        </w:rPr>
        <w:t xml:space="preserve">   </w:t>
      </w:r>
      <w:r w:rsidR="00217BC6">
        <w:rPr>
          <w:b/>
          <w:bCs/>
          <w:color w:val="000000" w:themeColor="text1"/>
          <w:lang w:val="en-IE"/>
        </w:rPr>
        <w:t xml:space="preserve">Output 1: </w:t>
      </w:r>
      <w:r w:rsidR="004C347A" w:rsidRPr="001003E6">
        <w:rPr>
          <w:b/>
          <w:bCs/>
          <w:color w:val="000000" w:themeColor="text1"/>
          <w:lang w:val="en-IE"/>
        </w:rPr>
        <w:t>Improved National Teleradiology System to allow remote use of radiologic data</w:t>
      </w:r>
    </w:p>
    <w:p w14:paraId="3693ED8C" w14:textId="465B111F" w:rsidR="008D03F9" w:rsidRPr="008D03F9" w:rsidRDefault="00DA08B4" w:rsidP="00B6363B">
      <w:pPr>
        <w:spacing w:before="120"/>
        <w:jc w:val="both"/>
        <w:rPr>
          <w:bCs/>
          <w:color w:val="000000" w:themeColor="text1"/>
          <w:lang w:val="en-IE"/>
        </w:rPr>
      </w:pPr>
      <w:r>
        <w:rPr>
          <w:bCs/>
          <w:color w:val="000000" w:themeColor="text1"/>
          <w:lang w:val="en-IE"/>
        </w:rPr>
        <w:t xml:space="preserve">   </w:t>
      </w:r>
      <w:r w:rsidR="008D03F9" w:rsidRPr="008D03F9">
        <w:rPr>
          <w:bCs/>
          <w:color w:val="000000" w:themeColor="text1"/>
          <w:lang w:val="en-IE"/>
        </w:rPr>
        <w:t xml:space="preserve">This output will be </w:t>
      </w:r>
      <w:r w:rsidR="00305F00">
        <w:rPr>
          <w:bCs/>
          <w:color w:val="000000" w:themeColor="text1"/>
          <w:lang w:val="en-IE"/>
        </w:rPr>
        <w:t xml:space="preserve">attained </w:t>
      </w:r>
      <w:r w:rsidR="008D03F9" w:rsidRPr="008D03F9">
        <w:rPr>
          <w:bCs/>
          <w:color w:val="000000" w:themeColor="text1"/>
          <w:lang w:val="en-IE"/>
        </w:rPr>
        <w:t>through the following activities:</w:t>
      </w:r>
    </w:p>
    <w:p w14:paraId="1033C055" w14:textId="1A964658" w:rsidR="00C04790" w:rsidRPr="00B6363B" w:rsidRDefault="004C347A" w:rsidP="00B6363B">
      <w:pPr>
        <w:pStyle w:val="ListParagraph"/>
        <w:numPr>
          <w:ilvl w:val="1"/>
          <w:numId w:val="25"/>
        </w:numPr>
        <w:spacing w:before="120"/>
        <w:jc w:val="both"/>
        <w:rPr>
          <w:color w:val="000000" w:themeColor="text1"/>
        </w:rPr>
      </w:pPr>
      <w:r w:rsidRPr="247BFA05">
        <w:rPr>
          <w:color w:val="000000" w:themeColor="text1"/>
          <w:lang w:val="en-IE"/>
        </w:rPr>
        <w:t>Establishing a national database of medical imag</w:t>
      </w:r>
      <w:r w:rsidR="00DA4CFD" w:rsidRPr="247BFA05">
        <w:rPr>
          <w:color w:val="000000" w:themeColor="text1"/>
          <w:lang w:val="en-IE"/>
        </w:rPr>
        <w:t>e</w:t>
      </w:r>
      <w:r w:rsidRPr="247BFA05">
        <w:rPr>
          <w:color w:val="000000" w:themeColor="text1"/>
          <w:lang w:val="en-IE"/>
        </w:rPr>
        <w:t xml:space="preserve"> recordings from various diagnostics (tomography, magnetic resonance imaging and mammography) reliable for scien</w:t>
      </w:r>
      <w:r w:rsidR="00C04790" w:rsidRPr="247BFA05">
        <w:rPr>
          <w:color w:val="000000" w:themeColor="text1"/>
          <w:lang w:val="en-IE"/>
        </w:rPr>
        <w:t xml:space="preserve">tific and professional analysis. </w:t>
      </w:r>
      <w:r w:rsidR="00B46C36" w:rsidRPr="247BFA05">
        <w:rPr>
          <w:color w:val="000000" w:themeColor="text1"/>
          <w:lang w:val="en-IE"/>
        </w:rPr>
        <w:t xml:space="preserve">In addition to </w:t>
      </w:r>
      <w:r w:rsidR="004214FA" w:rsidRPr="247BFA05">
        <w:rPr>
          <w:color w:val="000000" w:themeColor="text1"/>
          <w:lang w:val="en-IE"/>
        </w:rPr>
        <w:t>defining</w:t>
      </w:r>
      <w:r w:rsidR="00B46C36" w:rsidRPr="247BFA05">
        <w:rPr>
          <w:color w:val="000000" w:themeColor="text1"/>
          <w:lang w:val="en-IE"/>
        </w:rPr>
        <w:t xml:space="preserve"> the requirements and the scope of medical imaging recordings and putting the database in place, the Action will also establish </w:t>
      </w:r>
      <w:r w:rsidR="004214FA" w:rsidRPr="247BFA05">
        <w:rPr>
          <w:color w:val="000000" w:themeColor="text1"/>
          <w:lang w:val="en-IE"/>
        </w:rPr>
        <w:t xml:space="preserve">a </w:t>
      </w:r>
      <w:r w:rsidR="00B46C36" w:rsidRPr="247BFA05">
        <w:rPr>
          <w:color w:val="000000" w:themeColor="text1"/>
          <w:lang w:val="en-IE"/>
        </w:rPr>
        <w:t>governance system to ensure that the data is collected, managed, and used responsibly and ethically</w:t>
      </w:r>
      <w:r w:rsidR="00A41C7C" w:rsidRPr="247BFA05">
        <w:rPr>
          <w:color w:val="000000" w:themeColor="text1"/>
          <w:lang w:val="en-IE"/>
        </w:rPr>
        <w:t xml:space="preserve">. </w:t>
      </w:r>
      <w:r w:rsidR="004214FA" w:rsidRPr="247BFA05">
        <w:rPr>
          <w:color w:val="000000" w:themeColor="text1"/>
          <w:lang w:val="en-IE"/>
        </w:rPr>
        <w:t>Data</w:t>
      </w:r>
      <w:r w:rsidR="00DA4CFD" w:rsidRPr="247BFA05">
        <w:rPr>
          <w:color w:val="000000" w:themeColor="text1"/>
          <w:lang w:val="en-IE"/>
        </w:rPr>
        <w:t xml:space="preserve"> security </w:t>
      </w:r>
      <w:r w:rsidR="00C04790" w:rsidRPr="247BFA05">
        <w:rPr>
          <w:color w:val="000000" w:themeColor="text1"/>
          <w:lang w:val="en-IE"/>
        </w:rPr>
        <w:t xml:space="preserve">and </w:t>
      </w:r>
      <w:r w:rsidR="00DA4CFD" w:rsidRPr="247BFA05">
        <w:rPr>
          <w:color w:val="000000" w:themeColor="text1"/>
          <w:lang w:val="en-IE"/>
        </w:rPr>
        <w:t xml:space="preserve">privacy </w:t>
      </w:r>
      <w:r w:rsidR="00A41C7C" w:rsidRPr="247BFA05">
        <w:rPr>
          <w:color w:val="000000" w:themeColor="text1"/>
          <w:lang w:val="en-IE"/>
        </w:rPr>
        <w:t xml:space="preserve">will be addressed - </w:t>
      </w:r>
      <w:r w:rsidR="00DA4CFD" w:rsidRPr="247BFA05">
        <w:rPr>
          <w:color w:val="000000" w:themeColor="text1"/>
          <w:lang w:val="en-IE"/>
        </w:rPr>
        <w:t xml:space="preserve">access will be </w:t>
      </w:r>
      <w:r w:rsidR="00A41C7C" w:rsidRPr="247BFA05">
        <w:rPr>
          <w:color w:val="000000" w:themeColor="text1"/>
          <w:lang w:val="en-IE"/>
        </w:rPr>
        <w:t xml:space="preserve">provided </w:t>
      </w:r>
      <w:r w:rsidR="00DA4CFD" w:rsidRPr="247BFA05">
        <w:rPr>
          <w:color w:val="000000" w:themeColor="text1"/>
          <w:lang w:val="en-IE"/>
        </w:rPr>
        <w:t>to authorised users, such as healthcare professionals, researchers, and policymakers</w:t>
      </w:r>
      <w:r w:rsidR="00A07AF2" w:rsidRPr="247BFA05">
        <w:rPr>
          <w:color w:val="000000" w:themeColor="text1"/>
          <w:lang w:val="en-IE"/>
        </w:rPr>
        <w:t>. In contrast,</w:t>
      </w:r>
      <w:r w:rsidR="00DA4CFD" w:rsidRPr="247BFA05">
        <w:rPr>
          <w:color w:val="000000" w:themeColor="text1"/>
          <w:lang w:val="en-IE"/>
        </w:rPr>
        <w:t xml:space="preserve"> </w:t>
      </w:r>
      <w:r w:rsidR="00C04790" w:rsidRPr="247BFA05">
        <w:rPr>
          <w:color w:val="000000" w:themeColor="text1"/>
          <w:lang w:val="en-IE"/>
        </w:rPr>
        <w:t>measures to protect the data from unauthorised access, use, or disclosure</w:t>
      </w:r>
      <w:r w:rsidR="00B46C36" w:rsidRPr="247BFA05">
        <w:rPr>
          <w:color w:val="000000" w:themeColor="text1"/>
          <w:lang w:val="en-IE"/>
        </w:rPr>
        <w:t xml:space="preserve"> will be </w:t>
      </w:r>
      <w:r w:rsidR="00A07AF2" w:rsidRPr="247BFA05">
        <w:rPr>
          <w:color w:val="000000" w:themeColor="text1"/>
          <w:lang w:val="en-IE"/>
        </w:rPr>
        <w:t>implemented</w:t>
      </w:r>
      <w:r w:rsidR="00B46C36" w:rsidRPr="247BFA05">
        <w:rPr>
          <w:color w:val="000000" w:themeColor="text1"/>
          <w:lang w:val="en-IE"/>
        </w:rPr>
        <w:t xml:space="preserve"> in line with the </w:t>
      </w:r>
      <w:r w:rsidR="00C04790" w:rsidRPr="247BFA05">
        <w:rPr>
          <w:color w:val="000000" w:themeColor="text1"/>
          <w:lang w:val="en-IE"/>
        </w:rPr>
        <w:t>data p</w:t>
      </w:r>
      <w:r w:rsidR="00B46C36" w:rsidRPr="247BFA05">
        <w:rPr>
          <w:color w:val="000000" w:themeColor="text1"/>
          <w:lang w:val="en-IE"/>
        </w:rPr>
        <w:t>rotection laws and regulations.</w:t>
      </w:r>
      <w:r w:rsidR="00C30790">
        <w:rPr>
          <w:color w:val="000000" w:themeColor="text1"/>
          <w:lang w:val="en-IE"/>
        </w:rPr>
        <w:t xml:space="preserve"> </w:t>
      </w:r>
      <w:r w:rsidR="00B46C36" w:rsidRPr="247BFA05">
        <w:rPr>
          <w:color w:val="000000" w:themeColor="text1"/>
          <w:lang w:val="en-IE"/>
        </w:rPr>
        <w:t xml:space="preserve"> </w:t>
      </w:r>
      <w:r w:rsidR="00C30790" w:rsidRPr="00741D16">
        <w:rPr>
          <w:color w:val="000000" w:themeColor="text1"/>
          <w:lang w:val="en-IE"/>
        </w:rPr>
        <w:t xml:space="preserve">The intervention will follow best practices of EU Open Science standards with </w:t>
      </w:r>
      <w:r w:rsidR="00C30790" w:rsidRPr="00741D16">
        <w:rPr>
          <w:color w:val="000000" w:themeColor="text1"/>
        </w:rPr>
        <w:t>FAIR (Findable, Accessible, Interoperable and Re-usable data) and open data sharing</w:t>
      </w:r>
      <w:r w:rsidR="00C30790" w:rsidRPr="00741D16">
        <w:rPr>
          <w:color w:val="000000" w:themeColor="text1"/>
          <w:lang w:val="hr-HR"/>
        </w:rPr>
        <w:t>.</w:t>
      </w:r>
      <w:r w:rsidR="00C30790" w:rsidRPr="00741D16">
        <w:rPr>
          <w:color w:val="000000" w:themeColor="text1"/>
        </w:rPr>
        <w:t xml:space="preserve"> </w:t>
      </w:r>
    </w:p>
    <w:p w14:paraId="2AC7FA12" w14:textId="405423F8" w:rsidR="00A41C7C" w:rsidRPr="007C0CF8" w:rsidRDefault="004C347A" w:rsidP="00B6363B">
      <w:pPr>
        <w:pStyle w:val="ListParagraph"/>
        <w:numPr>
          <w:ilvl w:val="1"/>
          <w:numId w:val="25"/>
        </w:numPr>
        <w:spacing w:before="120"/>
        <w:jc w:val="both"/>
        <w:rPr>
          <w:b/>
          <w:bCs/>
          <w:color w:val="000000" w:themeColor="text1"/>
          <w:lang w:val="en-IE"/>
        </w:rPr>
      </w:pPr>
      <w:r w:rsidRPr="007C0CF8">
        <w:rPr>
          <w:color w:val="000000" w:themeColor="text1"/>
          <w:lang w:val="en-IE"/>
        </w:rPr>
        <w:t>Simplifying the implementing procedures for quality control of the operation of radio diagnostic cabinets nationwid</w:t>
      </w:r>
      <w:r w:rsidR="00A41C7C" w:rsidRPr="007C0CF8">
        <w:rPr>
          <w:color w:val="000000" w:themeColor="text1"/>
          <w:lang w:val="en-IE"/>
        </w:rPr>
        <w:t>e and comprehensive training to the technicians who operate the radio diagnostic cabinets to apply</w:t>
      </w:r>
      <w:r w:rsidR="001E697E" w:rsidRPr="007C0CF8">
        <w:rPr>
          <w:color w:val="000000" w:themeColor="text1"/>
          <w:lang w:val="en-IE"/>
        </w:rPr>
        <w:t xml:space="preserve"> the standardise procedures, conduct regular maintenance of the radio diagnostic and ensure the proper use of the equipment and its optimal performance. </w:t>
      </w:r>
      <w:r w:rsidR="00A41C7C" w:rsidRPr="007C0CF8">
        <w:rPr>
          <w:color w:val="000000" w:themeColor="text1"/>
          <w:lang w:val="en-IE"/>
        </w:rPr>
        <w:t xml:space="preserve">The new protocols will allow </w:t>
      </w:r>
      <w:r w:rsidR="00A07AF2" w:rsidRPr="007C0CF8">
        <w:rPr>
          <w:color w:val="000000" w:themeColor="text1"/>
          <w:lang w:val="en-IE"/>
        </w:rPr>
        <w:t>data collection automatisation, simplifying the monitoring process, reducing the risk of errors and streamlining</w:t>
      </w:r>
      <w:r w:rsidR="001E697E" w:rsidRPr="007C0CF8">
        <w:rPr>
          <w:color w:val="000000" w:themeColor="text1"/>
          <w:lang w:val="en-IE"/>
        </w:rPr>
        <w:t xml:space="preserve"> the</w:t>
      </w:r>
      <w:r w:rsidR="00A41C7C" w:rsidRPr="007C0CF8">
        <w:rPr>
          <w:color w:val="000000" w:themeColor="text1"/>
          <w:lang w:val="en-IE"/>
        </w:rPr>
        <w:t xml:space="preserve"> reporting </w:t>
      </w:r>
      <w:r w:rsidR="001E697E" w:rsidRPr="007C0CF8">
        <w:rPr>
          <w:color w:val="000000" w:themeColor="text1"/>
          <w:lang w:val="en-IE"/>
        </w:rPr>
        <w:t xml:space="preserve">procedures. </w:t>
      </w:r>
    </w:p>
    <w:p w14:paraId="26C5DB30" w14:textId="06B5D644" w:rsidR="00C04790" w:rsidRPr="007C0CF8" w:rsidRDefault="00C04790" w:rsidP="00B6363B">
      <w:pPr>
        <w:pStyle w:val="ListParagraph"/>
        <w:numPr>
          <w:ilvl w:val="1"/>
          <w:numId w:val="25"/>
        </w:numPr>
        <w:spacing w:before="120"/>
        <w:jc w:val="both"/>
        <w:rPr>
          <w:b/>
          <w:bCs/>
          <w:color w:val="000000" w:themeColor="text1"/>
          <w:lang w:val="en-IE"/>
        </w:rPr>
      </w:pPr>
      <w:r w:rsidRPr="247BFA05">
        <w:rPr>
          <w:color w:val="000000" w:themeColor="text1"/>
          <w:lang w:val="en-IE"/>
        </w:rPr>
        <w:t xml:space="preserve">Purchase and installation of the ICT hardware and software solutions connecting and integrating the radiological equipment with the National e-Health System. The </w:t>
      </w:r>
      <w:r w:rsidR="009624C3" w:rsidRPr="247BFA05">
        <w:rPr>
          <w:color w:val="000000" w:themeColor="text1"/>
          <w:lang w:val="en-IE"/>
        </w:rPr>
        <w:t>process will involve software upgrades, configurations, custom solutions and/or standardised protocols such as DICOM (Digital Imaging and Communications in Medicine)</w:t>
      </w:r>
      <w:r w:rsidR="00084109" w:rsidRPr="247BFA05">
        <w:rPr>
          <w:color w:val="000000" w:themeColor="text1"/>
          <w:lang w:val="en-IE"/>
        </w:rPr>
        <w:t xml:space="preserve"> for </w:t>
      </w:r>
      <w:r w:rsidR="009624C3" w:rsidRPr="247BFA05">
        <w:rPr>
          <w:color w:val="000000" w:themeColor="text1"/>
          <w:lang w:val="en-IE"/>
        </w:rPr>
        <w:t xml:space="preserve">setting secure connections and </w:t>
      </w:r>
      <w:r w:rsidRPr="247BFA05">
        <w:rPr>
          <w:color w:val="000000" w:themeColor="text1"/>
          <w:lang w:val="en-IE"/>
        </w:rPr>
        <w:t xml:space="preserve">interfaces between the radiological equipment and the e-health system to ensure that data </w:t>
      </w:r>
      <w:r w:rsidR="009624C3" w:rsidRPr="247BFA05">
        <w:rPr>
          <w:color w:val="000000" w:themeColor="text1"/>
          <w:lang w:val="en-IE"/>
        </w:rPr>
        <w:t xml:space="preserve">is exchanged </w:t>
      </w:r>
      <w:r w:rsidR="009624C3" w:rsidRPr="247BFA05">
        <w:rPr>
          <w:color w:val="000000" w:themeColor="text1"/>
          <w:lang w:val="en-IE"/>
        </w:rPr>
        <w:lastRenderedPageBreak/>
        <w:t xml:space="preserve">seamlessly, </w:t>
      </w:r>
      <w:r w:rsidRPr="247BFA05">
        <w:rPr>
          <w:color w:val="000000" w:themeColor="text1"/>
          <w:lang w:val="en-IE"/>
        </w:rPr>
        <w:t>accurately and securely.</w:t>
      </w:r>
      <w:r w:rsidR="00084109" w:rsidRPr="247BFA05">
        <w:rPr>
          <w:color w:val="000000" w:themeColor="text1"/>
          <w:lang w:val="en-IE"/>
        </w:rPr>
        <w:t xml:space="preserve"> A</w:t>
      </w:r>
      <w:r w:rsidRPr="247BFA05">
        <w:rPr>
          <w:color w:val="000000" w:themeColor="text1"/>
          <w:lang w:val="en-IE"/>
        </w:rPr>
        <w:t>ppropriate security measures must be implemented to protect the data and ensure it is only accessible to authorised personnel.</w:t>
      </w:r>
    </w:p>
    <w:p w14:paraId="601F2437" w14:textId="645BC707" w:rsidR="004C347A" w:rsidRPr="001003E6" w:rsidRDefault="004C347A" w:rsidP="007C0CF8">
      <w:pPr>
        <w:spacing w:before="120"/>
        <w:ind w:left="142"/>
        <w:rPr>
          <w:b/>
          <w:bCs/>
          <w:color w:val="000000" w:themeColor="text1"/>
          <w:lang w:val="en-IE"/>
        </w:rPr>
      </w:pPr>
      <w:r w:rsidRPr="001003E6">
        <w:rPr>
          <w:b/>
          <w:bCs/>
          <w:color w:val="000000" w:themeColor="text1"/>
          <w:lang w:val="en-IE"/>
        </w:rPr>
        <w:t>Output 2</w:t>
      </w:r>
      <w:r w:rsidR="00217BC6">
        <w:rPr>
          <w:b/>
          <w:bCs/>
          <w:color w:val="000000" w:themeColor="text1"/>
          <w:lang w:val="en-IE"/>
        </w:rPr>
        <w:t xml:space="preserve">: </w:t>
      </w:r>
      <w:r w:rsidRPr="001003E6">
        <w:rPr>
          <w:b/>
          <w:bCs/>
          <w:color w:val="000000" w:themeColor="text1"/>
          <w:lang w:val="en-IE"/>
        </w:rPr>
        <w:t xml:space="preserve">Improved prevention and control of </w:t>
      </w:r>
      <w:r w:rsidR="008D03F9">
        <w:rPr>
          <w:b/>
          <w:bCs/>
          <w:color w:val="000000" w:themeColor="text1"/>
          <w:lang w:val="en-IE"/>
        </w:rPr>
        <w:t xml:space="preserve">non-communicable diseases </w:t>
      </w:r>
    </w:p>
    <w:p w14:paraId="4B149FAB" w14:textId="43A9DADC" w:rsidR="00090E1F" w:rsidRDefault="00090E1F" w:rsidP="00B6363B">
      <w:pPr>
        <w:spacing w:before="120"/>
        <w:ind w:left="142"/>
        <w:jc w:val="both"/>
        <w:rPr>
          <w:bCs/>
          <w:color w:val="000000" w:themeColor="text1"/>
          <w:lang w:val="en-IE"/>
        </w:rPr>
      </w:pPr>
      <w:r w:rsidRPr="008D03F9">
        <w:rPr>
          <w:bCs/>
          <w:color w:val="000000" w:themeColor="text1"/>
          <w:lang w:val="en-IE"/>
        </w:rPr>
        <w:t xml:space="preserve">This output will be </w:t>
      </w:r>
      <w:r w:rsidR="00305F00">
        <w:rPr>
          <w:bCs/>
          <w:color w:val="000000" w:themeColor="text1"/>
          <w:lang w:val="en-IE"/>
        </w:rPr>
        <w:t>achieved</w:t>
      </w:r>
      <w:r w:rsidRPr="008D03F9">
        <w:rPr>
          <w:bCs/>
          <w:color w:val="000000" w:themeColor="text1"/>
          <w:lang w:val="en-IE"/>
        </w:rPr>
        <w:t xml:space="preserve"> through the following activities:</w:t>
      </w:r>
    </w:p>
    <w:p w14:paraId="0151E2FE" w14:textId="52F7B690" w:rsidR="00084109" w:rsidRPr="007C0CF8" w:rsidRDefault="00090E1F" w:rsidP="00B6363B">
      <w:pPr>
        <w:pStyle w:val="ListParagraph"/>
        <w:numPr>
          <w:ilvl w:val="0"/>
          <w:numId w:val="26"/>
        </w:numPr>
        <w:spacing w:before="120"/>
        <w:ind w:left="851"/>
        <w:jc w:val="both"/>
        <w:rPr>
          <w:b/>
          <w:bCs/>
          <w:color w:val="000000" w:themeColor="text1"/>
          <w:lang w:val="en-IE"/>
        </w:rPr>
      </w:pPr>
      <w:r w:rsidRPr="007C0CF8">
        <w:rPr>
          <w:bCs/>
          <w:color w:val="000000" w:themeColor="text1"/>
          <w:lang w:val="en-IE"/>
        </w:rPr>
        <w:t xml:space="preserve">Policy </w:t>
      </w:r>
      <w:r w:rsidR="00110973" w:rsidRPr="007C0CF8">
        <w:rPr>
          <w:bCs/>
          <w:color w:val="000000" w:themeColor="text1"/>
          <w:lang w:val="en-IE"/>
        </w:rPr>
        <w:t>advice</w:t>
      </w:r>
      <w:r w:rsidRPr="007C0CF8">
        <w:rPr>
          <w:bCs/>
          <w:color w:val="000000" w:themeColor="text1"/>
          <w:lang w:val="en-IE"/>
        </w:rPr>
        <w:t xml:space="preserve"> and support for the implementation of the national far-reaching horizontal cancer prevention measures</w:t>
      </w:r>
      <w:r w:rsidR="00A07AF2" w:rsidRPr="007C0CF8">
        <w:rPr>
          <w:bCs/>
          <w:color w:val="000000" w:themeColor="text1"/>
          <w:lang w:val="en-IE"/>
        </w:rPr>
        <w:t>,</w:t>
      </w:r>
      <w:r w:rsidRPr="007C0CF8">
        <w:rPr>
          <w:bCs/>
          <w:color w:val="000000" w:themeColor="text1"/>
          <w:lang w:val="en-IE"/>
        </w:rPr>
        <w:t xml:space="preserve"> </w:t>
      </w:r>
      <w:r w:rsidR="008246CB" w:rsidRPr="007C0CF8">
        <w:rPr>
          <w:bCs/>
          <w:color w:val="000000" w:themeColor="text1"/>
          <w:lang w:val="en-IE"/>
        </w:rPr>
        <w:t>such as aligning the anti-tobacco policy with the EU</w:t>
      </w:r>
      <w:r w:rsidR="00CC6336" w:rsidRPr="007C0CF8">
        <w:rPr>
          <w:bCs/>
          <w:color w:val="000000" w:themeColor="text1"/>
          <w:lang w:val="en-IE"/>
        </w:rPr>
        <w:t xml:space="preserve"> standards</w:t>
      </w:r>
      <w:r w:rsidR="0033092D" w:rsidRPr="007C0CF8">
        <w:rPr>
          <w:bCs/>
          <w:color w:val="000000" w:themeColor="text1"/>
          <w:lang w:val="en-IE"/>
        </w:rPr>
        <w:t xml:space="preserve"> for free-of-smoke public areas, </w:t>
      </w:r>
      <w:r w:rsidR="00564C6F" w:rsidRPr="007C0CF8">
        <w:rPr>
          <w:color w:val="000000" w:themeColor="text1"/>
          <w:lang w:val="en-IE"/>
        </w:rPr>
        <w:t xml:space="preserve">analysing the exposure of youth, girls and women to higher pollution, </w:t>
      </w:r>
      <w:r w:rsidR="0033092D" w:rsidRPr="007C0CF8">
        <w:rPr>
          <w:color w:val="000000" w:themeColor="text1"/>
          <w:lang w:val="en-IE"/>
        </w:rPr>
        <w:t>raising the awareness of the citizens on the causes of lung cancer, particularly smoking and air pollution</w:t>
      </w:r>
      <w:r w:rsidR="00564C6F" w:rsidRPr="007C0CF8">
        <w:rPr>
          <w:color w:val="000000" w:themeColor="text1"/>
          <w:lang w:val="en-IE"/>
        </w:rPr>
        <w:t xml:space="preserve"> and promotion of </w:t>
      </w:r>
      <w:r w:rsidR="00A07AF2" w:rsidRPr="007C0CF8">
        <w:rPr>
          <w:color w:val="000000" w:themeColor="text1"/>
          <w:lang w:val="en-IE"/>
        </w:rPr>
        <w:t xml:space="preserve">a </w:t>
      </w:r>
      <w:r w:rsidR="00564C6F" w:rsidRPr="007C0CF8">
        <w:rPr>
          <w:color w:val="000000" w:themeColor="text1"/>
          <w:lang w:val="en-IE"/>
        </w:rPr>
        <w:t xml:space="preserve">healthy </w:t>
      </w:r>
      <w:r w:rsidR="00A07AF2" w:rsidRPr="007C0CF8">
        <w:rPr>
          <w:color w:val="000000" w:themeColor="text1"/>
          <w:lang w:val="en-IE"/>
        </w:rPr>
        <w:t>lifestyle</w:t>
      </w:r>
      <w:r w:rsidR="00564C6F" w:rsidRPr="007C0CF8">
        <w:rPr>
          <w:color w:val="000000" w:themeColor="text1"/>
          <w:lang w:val="en-IE"/>
        </w:rPr>
        <w:t xml:space="preserve">.  </w:t>
      </w:r>
      <w:r w:rsidR="00084109" w:rsidRPr="007C0CF8">
        <w:rPr>
          <w:color w:val="000000" w:themeColor="text1"/>
          <w:lang w:val="en-IE"/>
        </w:rPr>
        <w:t>The awareness campaigns should be focused on the following aspects:</w:t>
      </w:r>
    </w:p>
    <w:p w14:paraId="1FCAEAC5" w14:textId="77777777" w:rsidR="00084109" w:rsidRPr="00E214AA" w:rsidRDefault="00084109" w:rsidP="00B6363B">
      <w:pPr>
        <w:pStyle w:val="ListParagraph"/>
        <w:numPr>
          <w:ilvl w:val="0"/>
          <w:numId w:val="27"/>
        </w:numPr>
        <w:spacing w:before="120"/>
        <w:ind w:left="1418"/>
        <w:contextualSpacing w:val="0"/>
        <w:jc w:val="both"/>
        <w:rPr>
          <w:color w:val="000000" w:themeColor="text1"/>
          <w:lang w:val="en-IE"/>
        </w:rPr>
      </w:pPr>
      <w:r w:rsidRPr="00E214AA">
        <w:rPr>
          <w:color w:val="000000" w:themeColor="text1"/>
          <w:lang w:val="en-IE"/>
        </w:rPr>
        <w:t>Smoking is the leading cause of lung cancer: It is essential to highlight the link between smoking and lung cancer. Cigarette smoke contains numerous chemicals that can damage the cells in the lungs and lead to cancer. It's important to emphasise that smoking harms the smoker and those around them through second-hand smoke.</w:t>
      </w:r>
    </w:p>
    <w:p w14:paraId="1DFF4C58" w14:textId="77777777" w:rsidR="00084109" w:rsidRPr="00E214AA" w:rsidRDefault="00084109" w:rsidP="00B6363B">
      <w:pPr>
        <w:pStyle w:val="ListParagraph"/>
        <w:numPr>
          <w:ilvl w:val="0"/>
          <w:numId w:val="27"/>
        </w:numPr>
        <w:spacing w:before="120"/>
        <w:ind w:left="1418"/>
        <w:contextualSpacing w:val="0"/>
        <w:jc w:val="both"/>
        <w:rPr>
          <w:color w:val="000000" w:themeColor="text1"/>
          <w:lang w:val="en-IE"/>
        </w:rPr>
      </w:pPr>
      <w:r w:rsidRPr="00E214AA">
        <w:rPr>
          <w:color w:val="000000" w:themeColor="text1"/>
          <w:lang w:val="en-IE"/>
        </w:rPr>
        <w:t>Air pollution can also cause lung cancer: Air pollution is a significant risk factor. In North Macedonia, sources of air pollution include industrial emissions, vehicle exhaust, and burning solid fuels for heating and cooking. It's essential to educate the public about the steps they can take to reduce their exposure to air pollution.</w:t>
      </w:r>
    </w:p>
    <w:p w14:paraId="0AE24644" w14:textId="77777777" w:rsidR="00084109" w:rsidRPr="00E214AA" w:rsidRDefault="00084109" w:rsidP="00B6363B">
      <w:pPr>
        <w:pStyle w:val="ListParagraph"/>
        <w:numPr>
          <w:ilvl w:val="0"/>
          <w:numId w:val="27"/>
        </w:numPr>
        <w:spacing w:before="120"/>
        <w:ind w:left="1418"/>
        <w:contextualSpacing w:val="0"/>
        <w:jc w:val="both"/>
        <w:rPr>
          <w:color w:val="000000" w:themeColor="text1"/>
          <w:lang w:val="en-IE"/>
        </w:rPr>
      </w:pPr>
      <w:r w:rsidRPr="00E214AA">
        <w:rPr>
          <w:color w:val="000000" w:themeColor="text1"/>
          <w:lang w:val="en-IE"/>
        </w:rPr>
        <w:t>Early detection is crucial: Early detection of lung cancer can significantly improve the chances of successful treatment. Encouraging people to get screened for lung cancer, especially those at high risk due to smoking or exposure to air pollution, can help identify cancer earlier.</w:t>
      </w:r>
    </w:p>
    <w:p w14:paraId="2CE990FF" w14:textId="77777777" w:rsidR="00084109" w:rsidRPr="00E214AA" w:rsidRDefault="00084109" w:rsidP="00B6363B">
      <w:pPr>
        <w:pStyle w:val="ListParagraph"/>
        <w:numPr>
          <w:ilvl w:val="0"/>
          <w:numId w:val="27"/>
        </w:numPr>
        <w:spacing w:before="120"/>
        <w:ind w:left="1418"/>
        <w:contextualSpacing w:val="0"/>
        <w:jc w:val="both"/>
        <w:rPr>
          <w:color w:val="000000" w:themeColor="text1"/>
          <w:lang w:val="en-IE"/>
        </w:rPr>
      </w:pPr>
      <w:r w:rsidRPr="00E214AA">
        <w:rPr>
          <w:color w:val="000000" w:themeColor="text1"/>
          <w:lang w:val="en-IE"/>
        </w:rPr>
        <w:t>Prevention is key: The best way to prevent lung cancer is to avoid smoking and reduce exposure to air pollution. The campaign could provide information on smoking cessation resources, such as counselling and nicotine replacement therapy, as well as tips for reducing exposure to air pollution, such as using public transportation, walking or biking instead of driving, and supporting policies that reduce pollution.</w:t>
      </w:r>
    </w:p>
    <w:p w14:paraId="2F2C0EA1" w14:textId="77777777" w:rsidR="00084109" w:rsidRPr="00E214AA" w:rsidRDefault="00084109" w:rsidP="00B6363B">
      <w:pPr>
        <w:pStyle w:val="ListParagraph"/>
        <w:numPr>
          <w:ilvl w:val="0"/>
          <w:numId w:val="27"/>
        </w:numPr>
        <w:spacing w:before="120"/>
        <w:ind w:left="1418"/>
        <w:contextualSpacing w:val="0"/>
        <w:jc w:val="both"/>
        <w:rPr>
          <w:color w:val="000000" w:themeColor="text1"/>
          <w:lang w:val="en-IE"/>
        </w:rPr>
      </w:pPr>
      <w:r w:rsidRPr="00E214AA">
        <w:rPr>
          <w:color w:val="000000" w:themeColor="text1"/>
          <w:lang w:val="en-IE"/>
        </w:rPr>
        <w:t>Support for those affected: The campaign could also provide information on support resources for those affected by lung cancer, such as support groups and counselling services.</w:t>
      </w:r>
    </w:p>
    <w:p w14:paraId="79AB8E1A" w14:textId="4CE9E3D7" w:rsidR="00084109" w:rsidRPr="007C0CF8" w:rsidRDefault="00CC6336" w:rsidP="00B6363B">
      <w:pPr>
        <w:pStyle w:val="ListParagraph"/>
        <w:numPr>
          <w:ilvl w:val="0"/>
          <w:numId w:val="26"/>
        </w:numPr>
        <w:spacing w:before="120"/>
        <w:ind w:left="851"/>
        <w:jc w:val="both"/>
        <w:rPr>
          <w:bCs/>
          <w:color w:val="000000" w:themeColor="text1"/>
          <w:lang w:val="en-IE"/>
        </w:rPr>
      </w:pPr>
      <w:r w:rsidRPr="007C0CF8">
        <w:rPr>
          <w:color w:val="000000" w:themeColor="text1"/>
          <w:lang w:val="en-IE"/>
        </w:rPr>
        <w:t>Put</w:t>
      </w:r>
      <w:r w:rsidR="00AC7230" w:rsidRPr="007C0CF8">
        <w:rPr>
          <w:color w:val="000000" w:themeColor="text1"/>
          <w:lang w:val="en-IE"/>
        </w:rPr>
        <w:t xml:space="preserve"> in place a lung cancer screening programme which will define the criteria for enrolment in the screening programmes, the qualification and responsibility of the personnel involved, modules for lung cancer screening, quality standards, and technical requirements for imaging.</w:t>
      </w:r>
      <w:r w:rsidR="00084109" w:rsidRPr="007C0CF8">
        <w:rPr>
          <w:color w:val="000000" w:themeColor="text1"/>
          <w:lang w:val="en-IE"/>
        </w:rPr>
        <w:t xml:space="preserve"> More specifically, this lung cancer screening programme involves several steps, including:</w:t>
      </w:r>
    </w:p>
    <w:p w14:paraId="13E66005" w14:textId="77777777" w:rsidR="00084109" w:rsidRPr="00E214AA" w:rsidRDefault="00084109" w:rsidP="00B6363B">
      <w:pPr>
        <w:pStyle w:val="ListParagraph"/>
        <w:numPr>
          <w:ilvl w:val="0"/>
          <w:numId w:val="28"/>
        </w:numPr>
        <w:spacing w:before="120"/>
        <w:ind w:left="1418"/>
        <w:contextualSpacing w:val="0"/>
        <w:jc w:val="both"/>
        <w:rPr>
          <w:b/>
          <w:bCs/>
          <w:color w:val="000000" w:themeColor="text1"/>
          <w:lang w:val="en-IE"/>
        </w:rPr>
      </w:pPr>
      <w:r w:rsidRPr="00E214AA">
        <w:rPr>
          <w:color w:val="000000" w:themeColor="text1"/>
          <w:lang w:val="en-IE"/>
        </w:rPr>
        <w:t>Establish a multidisciplinary team to plan and implement the screening programme. This team should include radiologists, pulmonologists, thoracic surgeons, oncologists, and epidemiologists.</w:t>
      </w:r>
    </w:p>
    <w:p w14:paraId="4497415B" w14:textId="4983B69C" w:rsidR="00084109" w:rsidRPr="00E214AA" w:rsidRDefault="00084109" w:rsidP="00B6363B">
      <w:pPr>
        <w:pStyle w:val="ListParagraph"/>
        <w:numPr>
          <w:ilvl w:val="0"/>
          <w:numId w:val="28"/>
        </w:numPr>
        <w:spacing w:before="120"/>
        <w:ind w:left="1418"/>
        <w:contextualSpacing w:val="0"/>
        <w:jc w:val="both"/>
        <w:rPr>
          <w:b/>
          <w:bCs/>
          <w:color w:val="000000" w:themeColor="text1"/>
          <w:lang w:val="en-IE"/>
        </w:rPr>
      </w:pPr>
      <w:r w:rsidRPr="00E214AA">
        <w:rPr>
          <w:color w:val="000000" w:themeColor="text1"/>
          <w:lang w:val="en-IE"/>
        </w:rPr>
        <w:t xml:space="preserve">Define the target population for the screening programme. This population includes current or former smokers who meet </w:t>
      </w:r>
      <w:r w:rsidR="00D16994">
        <w:rPr>
          <w:color w:val="000000" w:themeColor="text1"/>
          <w:lang w:val="en-IE"/>
        </w:rPr>
        <w:t>specific</w:t>
      </w:r>
      <w:r w:rsidR="00D16994" w:rsidRPr="00E214AA">
        <w:rPr>
          <w:color w:val="000000" w:themeColor="text1"/>
          <w:lang w:val="en-IE"/>
        </w:rPr>
        <w:t xml:space="preserve"> </w:t>
      </w:r>
      <w:r w:rsidRPr="00E214AA">
        <w:rPr>
          <w:color w:val="000000" w:themeColor="text1"/>
          <w:lang w:val="en-IE"/>
        </w:rPr>
        <w:t>criteria, such as age and smoking history.</w:t>
      </w:r>
    </w:p>
    <w:p w14:paraId="666E444E" w14:textId="77777777" w:rsidR="00084109" w:rsidRPr="00E214AA" w:rsidRDefault="00084109" w:rsidP="00B6363B">
      <w:pPr>
        <w:pStyle w:val="ListParagraph"/>
        <w:numPr>
          <w:ilvl w:val="0"/>
          <w:numId w:val="28"/>
        </w:numPr>
        <w:spacing w:before="120"/>
        <w:ind w:left="1418"/>
        <w:contextualSpacing w:val="0"/>
        <w:jc w:val="both"/>
        <w:rPr>
          <w:b/>
          <w:bCs/>
          <w:color w:val="000000" w:themeColor="text1"/>
          <w:lang w:val="en-IE"/>
        </w:rPr>
      </w:pPr>
      <w:r w:rsidRPr="00E214AA">
        <w:rPr>
          <w:color w:val="000000" w:themeColor="text1"/>
          <w:lang w:val="en-IE"/>
        </w:rPr>
        <w:t>Develop enrolment criteria for the screening programme. This may include age, smoking history, and other risk factors for lung cancer.</w:t>
      </w:r>
    </w:p>
    <w:p w14:paraId="287A936F" w14:textId="77777777" w:rsidR="00084109" w:rsidRPr="00E214AA" w:rsidRDefault="00084109" w:rsidP="00B6363B">
      <w:pPr>
        <w:pStyle w:val="ListParagraph"/>
        <w:numPr>
          <w:ilvl w:val="0"/>
          <w:numId w:val="28"/>
        </w:numPr>
        <w:spacing w:before="120"/>
        <w:ind w:left="1418"/>
        <w:contextualSpacing w:val="0"/>
        <w:jc w:val="both"/>
        <w:rPr>
          <w:b/>
          <w:bCs/>
          <w:color w:val="000000" w:themeColor="text1"/>
          <w:lang w:val="en-IE"/>
        </w:rPr>
      </w:pPr>
      <w:r w:rsidRPr="00E214AA">
        <w:rPr>
          <w:color w:val="000000" w:themeColor="text1"/>
          <w:lang w:val="en-IE"/>
        </w:rPr>
        <w:t>Define the screening protocol, which includes the imaging modality (e.g. low-dose CT) and the frequency of screening.</w:t>
      </w:r>
    </w:p>
    <w:p w14:paraId="4809DE89" w14:textId="77777777" w:rsidR="00084109" w:rsidRPr="00E214AA" w:rsidRDefault="00084109" w:rsidP="00B6363B">
      <w:pPr>
        <w:pStyle w:val="ListParagraph"/>
        <w:numPr>
          <w:ilvl w:val="0"/>
          <w:numId w:val="28"/>
        </w:numPr>
        <w:spacing w:before="120"/>
        <w:ind w:left="1418"/>
        <w:contextualSpacing w:val="0"/>
        <w:jc w:val="both"/>
        <w:rPr>
          <w:b/>
          <w:bCs/>
          <w:color w:val="000000" w:themeColor="text1"/>
          <w:lang w:val="en-IE"/>
        </w:rPr>
      </w:pPr>
      <w:r w:rsidRPr="00E214AA">
        <w:rPr>
          <w:color w:val="000000" w:themeColor="text1"/>
          <w:lang w:val="en-IE"/>
        </w:rPr>
        <w:t>Define the qualifications and responsibilities of the personnel involved in the screening programme, including radiologists, technologists, and support staff.</w:t>
      </w:r>
    </w:p>
    <w:p w14:paraId="6424D641" w14:textId="77777777" w:rsidR="00084109" w:rsidRPr="00E214AA" w:rsidRDefault="00084109" w:rsidP="00B6363B">
      <w:pPr>
        <w:pStyle w:val="ListParagraph"/>
        <w:numPr>
          <w:ilvl w:val="0"/>
          <w:numId w:val="28"/>
        </w:numPr>
        <w:spacing w:before="120"/>
        <w:ind w:left="1418"/>
        <w:contextualSpacing w:val="0"/>
        <w:jc w:val="both"/>
        <w:rPr>
          <w:color w:val="000000" w:themeColor="text1"/>
          <w:lang w:val="en-IE"/>
        </w:rPr>
      </w:pPr>
      <w:r w:rsidRPr="00E214AA">
        <w:rPr>
          <w:color w:val="000000" w:themeColor="text1"/>
          <w:lang w:val="en-IE"/>
        </w:rPr>
        <w:t>Establish quality standards, including quality assurance and quality control measures.</w:t>
      </w:r>
    </w:p>
    <w:p w14:paraId="4F1EF5D5" w14:textId="77777777" w:rsidR="00084109" w:rsidRPr="00E214AA" w:rsidRDefault="00084109" w:rsidP="00B6363B">
      <w:pPr>
        <w:pStyle w:val="ListParagraph"/>
        <w:numPr>
          <w:ilvl w:val="0"/>
          <w:numId w:val="28"/>
        </w:numPr>
        <w:spacing w:before="120"/>
        <w:ind w:left="1418"/>
        <w:contextualSpacing w:val="0"/>
        <w:jc w:val="both"/>
        <w:rPr>
          <w:color w:val="000000" w:themeColor="text1"/>
          <w:lang w:val="en-IE"/>
        </w:rPr>
      </w:pPr>
      <w:r w:rsidRPr="00E214AA">
        <w:rPr>
          <w:color w:val="000000" w:themeColor="text1"/>
          <w:lang w:val="en-IE"/>
        </w:rPr>
        <w:lastRenderedPageBreak/>
        <w:t>Develop technical requirements for imaging, including equipment specifications and image interpretation guidelines.</w:t>
      </w:r>
    </w:p>
    <w:p w14:paraId="62E8F97B" w14:textId="77777777" w:rsidR="00084109" w:rsidRPr="00E214AA" w:rsidRDefault="00084109" w:rsidP="00B6363B">
      <w:pPr>
        <w:pStyle w:val="ListParagraph"/>
        <w:numPr>
          <w:ilvl w:val="0"/>
          <w:numId w:val="28"/>
        </w:numPr>
        <w:spacing w:before="120"/>
        <w:ind w:left="1418"/>
        <w:contextualSpacing w:val="0"/>
        <w:jc w:val="both"/>
        <w:rPr>
          <w:color w:val="000000" w:themeColor="text1"/>
          <w:lang w:val="en-IE"/>
        </w:rPr>
      </w:pPr>
      <w:r w:rsidRPr="00E214AA">
        <w:rPr>
          <w:color w:val="000000" w:themeColor="text1"/>
          <w:lang w:val="en-IE"/>
        </w:rPr>
        <w:t>Develop a referral and follow-up process for individuals with suspicious lesions on imaging.</w:t>
      </w:r>
    </w:p>
    <w:p w14:paraId="0EA5D90A" w14:textId="77777777" w:rsidR="00084109" w:rsidRPr="00E214AA" w:rsidRDefault="00084109" w:rsidP="00B6363B">
      <w:pPr>
        <w:pStyle w:val="ListParagraph"/>
        <w:numPr>
          <w:ilvl w:val="0"/>
          <w:numId w:val="28"/>
        </w:numPr>
        <w:spacing w:before="120"/>
        <w:ind w:left="1418"/>
        <w:contextualSpacing w:val="0"/>
        <w:jc w:val="both"/>
        <w:rPr>
          <w:color w:val="000000" w:themeColor="text1"/>
          <w:lang w:val="en-IE"/>
        </w:rPr>
      </w:pPr>
      <w:r w:rsidRPr="00E214AA">
        <w:rPr>
          <w:color w:val="000000" w:themeColor="text1"/>
          <w:lang w:val="en-IE"/>
        </w:rPr>
        <w:t>Develop a data management plan to ensure that data collected during the screening programme is securely stored and managed appropriately.</w:t>
      </w:r>
    </w:p>
    <w:p w14:paraId="627A3461" w14:textId="5D01561D" w:rsidR="00084109" w:rsidRPr="00E214AA" w:rsidRDefault="00084109" w:rsidP="00B6363B">
      <w:pPr>
        <w:pStyle w:val="ListParagraph"/>
        <w:numPr>
          <w:ilvl w:val="0"/>
          <w:numId w:val="28"/>
        </w:numPr>
        <w:spacing w:before="120"/>
        <w:ind w:left="1418"/>
        <w:contextualSpacing w:val="0"/>
        <w:jc w:val="both"/>
        <w:rPr>
          <w:color w:val="000000" w:themeColor="text1"/>
          <w:lang w:val="en-IE"/>
        </w:rPr>
      </w:pPr>
      <w:r w:rsidRPr="00E214AA">
        <w:rPr>
          <w:color w:val="000000" w:themeColor="text1"/>
          <w:lang w:val="en-IE"/>
        </w:rPr>
        <w:t>Evaluate the programme to determine its effectiveness in reducing lung cancer mortality and improving patient outcomes. This evaluation should include ongoing performance and outcomes monitoring and periodic programme reviews and updates as needed.</w:t>
      </w:r>
    </w:p>
    <w:p w14:paraId="22556B00" w14:textId="385467AF" w:rsidR="00AC7230" w:rsidRPr="00E214AA" w:rsidRDefault="00BC3010" w:rsidP="00B6363B">
      <w:pPr>
        <w:pStyle w:val="ListParagraph"/>
        <w:numPr>
          <w:ilvl w:val="0"/>
          <w:numId w:val="12"/>
        </w:numPr>
        <w:spacing w:before="120"/>
        <w:ind w:left="851"/>
        <w:contextualSpacing w:val="0"/>
        <w:jc w:val="both"/>
        <w:rPr>
          <w:b/>
          <w:bCs/>
          <w:color w:val="000000" w:themeColor="text1"/>
          <w:lang w:val="en-IE"/>
        </w:rPr>
      </w:pPr>
      <w:r w:rsidRPr="00BC3010">
        <w:rPr>
          <w:color w:val="000000" w:themeColor="text1"/>
          <w:lang w:val="en-IE"/>
        </w:rPr>
        <w:t>Establish</w:t>
      </w:r>
      <w:r w:rsidR="00CC6336" w:rsidRPr="00BC3010">
        <w:rPr>
          <w:color w:val="000000" w:themeColor="text1"/>
          <w:lang w:val="en-IE"/>
        </w:rPr>
        <w:t xml:space="preserve"> an operational screening programme for colorectal cancer</w:t>
      </w:r>
      <w:r w:rsidR="00CC6336" w:rsidRPr="00BC3010">
        <w:rPr>
          <w:rStyle w:val="FootnoteReference"/>
          <w:color w:val="000000" w:themeColor="text1"/>
          <w:lang w:val="en-IE"/>
        </w:rPr>
        <w:footnoteReference w:id="23"/>
      </w:r>
      <w:r w:rsidR="00CC6336" w:rsidRPr="00BC3010">
        <w:rPr>
          <w:color w:val="000000" w:themeColor="text1"/>
          <w:lang w:val="en-IE"/>
        </w:rPr>
        <w:t xml:space="preserve"> encompassing modernised</w:t>
      </w:r>
      <w:r w:rsidR="00CC6336" w:rsidRPr="00E214AA">
        <w:rPr>
          <w:color w:val="000000" w:themeColor="text1"/>
          <w:lang w:val="en-IE"/>
        </w:rPr>
        <w:t xml:space="preserve"> colonoscopy equipment</w:t>
      </w:r>
      <w:r w:rsidR="0033092D" w:rsidRPr="00E214AA">
        <w:rPr>
          <w:color w:val="000000" w:themeColor="text1"/>
          <w:lang w:val="en-IE"/>
        </w:rPr>
        <w:t xml:space="preserve"> and</w:t>
      </w:r>
      <w:r w:rsidR="00CC6336" w:rsidRPr="00E214AA">
        <w:rPr>
          <w:color w:val="000000" w:themeColor="text1"/>
          <w:lang w:val="en-IE"/>
        </w:rPr>
        <w:t xml:space="preserve"> an integrated IT solution to link all actors in diagnosing and treating colorectal cancer (primary health care doctors, specialists, university clinics, pathology labs, etc.). The improved screening programme will be piloted in Skopje</w:t>
      </w:r>
      <w:r w:rsidR="00415F6D">
        <w:rPr>
          <w:color w:val="000000" w:themeColor="text1"/>
          <w:lang w:val="en-IE"/>
        </w:rPr>
        <w:t>, covering</w:t>
      </w:r>
      <w:r w:rsidR="00CC6336" w:rsidRPr="00E214AA">
        <w:rPr>
          <w:color w:val="000000" w:themeColor="text1"/>
          <w:lang w:val="en-IE"/>
        </w:rPr>
        <w:t xml:space="preserve"> 5,000 women and men </w:t>
      </w:r>
      <w:r w:rsidRPr="00E214AA">
        <w:rPr>
          <w:color w:val="000000" w:themeColor="text1"/>
          <w:lang w:val="en-IE"/>
        </w:rPr>
        <w:t>aged 50-74 per year</w:t>
      </w:r>
      <w:r w:rsidR="00CC6336" w:rsidRPr="00E214AA">
        <w:rPr>
          <w:color w:val="000000" w:themeColor="text1"/>
          <w:lang w:val="en-IE"/>
        </w:rPr>
        <w:t>.</w:t>
      </w:r>
    </w:p>
    <w:p w14:paraId="7541CF85" w14:textId="6E5F366F" w:rsidR="004C347A" w:rsidRDefault="00217BC6" w:rsidP="00B6363B">
      <w:pPr>
        <w:spacing w:before="120"/>
        <w:ind w:left="142"/>
        <w:jc w:val="both"/>
        <w:rPr>
          <w:b/>
          <w:bCs/>
          <w:color w:val="000000" w:themeColor="text1"/>
          <w:lang w:val="en-IE"/>
        </w:rPr>
      </w:pPr>
      <w:r w:rsidRPr="247BFA05">
        <w:rPr>
          <w:b/>
          <w:bCs/>
          <w:color w:val="000000" w:themeColor="text1"/>
          <w:lang w:val="en-IE"/>
        </w:rPr>
        <w:t xml:space="preserve">Output 3: </w:t>
      </w:r>
      <w:r w:rsidR="004C347A" w:rsidRPr="247BFA05">
        <w:rPr>
          <w:b/>
          <w:bCs/>
          <w:color w:val="000000" w:themeColor="text1"/>
          <w:lang w:val="en-IE"/>
        </w:rPr>
        <w:t>Improved health cloud infrastructure</w:t>
      </w:r>
    </w:p>
    <w:p w14:paraId="0F7DE5F7" w14:textId="63CF42A0" w:rsidR="00083B97" w:rsidRDefault="00301EF6" w:rsidP="00B6363B">
      <w:pPr>
        <w:spacing w:before="120"/>
        <w:ind w:left="142"/>
        <w:jc w:val="both"/>
        <w:rPr>
          <w:bCs/>
          <w:color w:val="000000" w:themeColor="text1"/>
        </w:rPr>
      </w:pPr>
      <w:r w:rsidRPr="00301EF6">
        <w:rPr>
          <w:bCs/>
          <w:color w:val="000000" w:themeColor="text1"/>
        </w:rPr>
        <w:t xml:space="preserve">When a medical institution acquires imaging data they can utilise the EOSC </w:t>
      </w:r>
      <w:r>
        <w:rPr>
          <w:bCs/>
          <w:color w:val="000000" w:themeColor="text1"/>
        </w:rPr>
        <w:t>(</w:t>
      </w:r>
      <w:r w:rsidRPr="00301EF6">
        <w:rPr>
          <w:bCs/>
          <w:color w:val="000000" w:themeColor="text1"/>
        </w:rPr>
        <w:t>European Open Science Cloud cloud for research purposes.</w:t>
      </w:r>
      <w:r>
        <w:rPr>
          <w:bCs/>
          <w:color w:val="000000" w:themeColor="text1"/>
        </w:rPr>
        <w:t xml:space="preserve"> </w:t>
      </w:r>
      <w:r w:rsidR="00083B97" w:rsidRPr="00083B97">
        <w:rPr>
          <w:bCs/>
          <w:color w:val="000000" w:themeColor="text1"/>
        </w:rPr>
        <w:t>The health cloud infrastructure in this output refers to the operational infrastructure for governance of the E-Health system.</w:t>
      </w:r>
      <w:r w:rsidR="00083B97">
        <w:rPr>
          <w:bCs/>
          <w:color w:val="000000" w:themeColor="text1"/>
        </w:rPr>
        <w:t xml:space="preserve"> </w:t>
      </w:r>
      <w:r w:rsidR="00083B97" w:rsidRPr="00083B97">
        <w:rPr>
          <w:bCs/>
          <w:color w:val="000000" w:themeColor="text1"/>
        </w:rPr>
        <w:t>Connecting the E-Health system to other cloud infrastructures is an option upon the successful completion of the proposed improvements and upgrades.</w:t>
      </w:r>
      <w:r w:rsidR="00083B97">
        <w:rPr>
          <w:bCs/>
          <w:color w:val="000000" w:themeColor="text1"/>
        </w:rPr>
        <w:t xml:space="preserve"> </w:t>
      </w:r>
    </w:p>
    <w:p w14:paraId="5D5635C4" w14:textId="07EC4E20" w:rsidR="00305F00" w:rsidRPr="00B6363B" w:rsidRDefault="00305F00" w:rsidP="00B6363B">
      <w:pPr>
        <w:spacing w:before="120"/>
        <w:ind w:left="142"/>
        <w:jc w:val="both"/>
        <w:rPr>
          <w:bCs/>
          <w:color w:val="000000" w:themeColor="text1"/>
        </w:rPr>
      </w:pPr>
      <w:r w:rsidRPr="008D03F9">
        <w:rPr>
          <w:bCs/>
          <w:color w:val="000000" w:themeColor="text1"/>
          <w:lang w:val="en-IE"/>
        </w:rPr>
        <w:t xml:space="preserve">This output will be </w:t>
      </w:r>
      <w:r>
        <w:rPr>
          <w:bCs/>
          <w:color w:val="000000" w:themeColor="text1"/>
          <w:lang w:val="en-IE"/>
        </w:rPr>
        <w:t>achieved</w:t>
      </w:r>
      <w:r w:rsidRPr="008D03F9">
        <w:rPr>
          <w:bCs/>
          <w:color w:val="000000" w:themeColor="text1"/>
          <w:lang w:val="en-IE"/>
        </w:rPr>
        <w:t xml:space="preserve"> through the following activities:</w:t>
      </w:r>
    </w:p>
    <w:p w14:paraId="2FF874C0" w14:textId="30413A25" w:rsidR="00084109" w:rsidRPr="00BC3010" w:rsidRDefault="004C347A" w:rsidP="00B6363B">
      <w:pPr>
        <w:pStyle w:val="ListParagraph"/>
        <w:numPr>
          <w:ilvl w:val="0"/>
          <w:numId w:val="13"/>
        </w:numPr>
        <w:spacing w:before="120"/>
        <w:ind w:left="851" w:hanging="357"/>
        <w:contextualSpacing w:val="0"/>
        <w:jc w:val="both"/>
        <w:rPr>
          <w:color w:val="000000" w:themeColor="text1"/>
          <w:lang w:val="en-IE"/>
        </w:rPr>
      </w:pPr>
      <w:r w:rsidRPr="001003E6">
        <w:rPr>
          <w:color w:val="000000" w:themeColor="text1"/>
          <w:lang w:val="en-IE"/>
        </w:rPr>
        <w:t>Providing a cloud infrastructure to support the e-Health system security, business continuity, and numerous potential points of the outage</w:t>
      </w:r>
      <w:r w:rsidRPr="00BC3010">
        <w:rPr>
          <w:color w:val="000000" w:themeColor="text1"/>
          <w:lang w:val="en-IE"/>
        </w:rPr>
        <w:t>.</w:t>
      </w:r>
      <w:r w:rsidR="00084109" w:rsidRPr="00E214AA">
        <w:rPr>
          <w:color w:val="000000" w:themeColor="text1"/>
          <w:lang w:val="en-IE"/>
        </w:rPr>
        <w:t xml:space="preserve"> This will </w:t>
      </w:r>
      <w:r w:rsidR="00612CA3" w:rsidRPr="00E214AA">
        <w:rPr>
          <w:color w:val="000000" w:themeColor="text1"/>
          <w:lang w:val="en-IE"/>
        </w:rPr>
        <w:t>bring</w:t>
      </w:r>
      <w:r w:rsidR="00084109" w:rsidRPr="00E214AA">
        <w:rPr>
          <w:color w:val="000000" w:themeColor="text1"/>
          <w:lang w:val="en-IE"/>
        </w:rPr>
        <w:t xml:space="preserve"> the following benefits related to security, business continuity, and outage management: </w:t>
      </w:r>
    </w:p>
    <w:p w14:paraId="49FDD041" w14:textId="77777777" w:rsidR="00084109" w:rsidRPr="00E214AA" w:rsidRDefault="00084109" w:rsidP="00B6363B">
      <w:pPr>
        <w:pStyle w:val="ListParagraph"/>
        <w:numPr>
          <w:ilvl w:val="0"/>
          <w:numId w:val="29"/>
        </w:numPr>
        <w:spacing w:before="120"/>
        <w:contextualSpacing w:val="0"/>
        <w:jc w:val="both"/>
        <w:rPr>
          <w:color w:val="000000" w:themeColor="text1"/>
          <w:lang w:val="en-IE"/>
        </w:rPr>
      </w:pPr>
      <w:r w:rsidRPr="00E214AA">
        <w:rPr>
          <w:color w:val="000000" w:themeColor="text1"/>
          <w:lang w:val="en-IE"/>
        </w:rPr>
        <w:t xml:space="preserve">Enhance the security of e-Health systems by providing advanced security features such as data encryption, access control, and threat detection. These features can help protect sensitive patient information and prevent unauthorised access, data breaches, and cyber-attacks. </w:t>
      </w:r>
    </w:p>
    <w:p w14:paraId="7522BB01" w14:textId="5B033448" w:rsidR="00084109" w:rsidRPr="00E214AA" w:rsidRDefault="00612CA3" w:rsidP="00B6363B">
      <w:pPr>
        <w:pStyle w:val="ListParagraph"/>
        <w:numPr>
          <w:ilvl w:val="0"/>
          <w:numId w:val="29"/>
        </w:numPr>
        <w:spacing w:before="120"/>
        <w:contextualSpacing w:val="0"/>
        <w:jc w:val="both"/>
        <w:rPr>
          <w:color w:val="000000" w:themeColor="text1"/>
          <w:lang w:val="en-IE"/>
        </w:rPr>
      </w:pPr>
      <w:r w:rsidRPr="00E214AA">
        <w:rPr>
          <w:color w:val="000000" w:themeColor="text1"/>
          <w:lang w:val="en-IE"/>
        </w:rPr>
        <w:t>Ensure</w:t>
      </w:r>
      <w:r w:rsidR="00084109" w:rsidRPr="00E214AA">
        <w:rPr>
          <w:color w:val="000000" w:themeColor="text1"/>
          <w:lang w:val="en-IE"/>
        </w:rPr>
        <w:t xml:space="preserve"> business continuity by offering reliable and scalable computing resources that can </w:t>
      </w:r>
      <w:r w:rsidRPr="00E214AA">
        <w:rPr>
          <w:color w:val="000000" w:themeColor="text1"/>
          <w:lang w:val="en-IE"/>
        </w:rPr>
        <w:t>support</w:t>
      </w:r>
      <w:r w:rsidR="00084109" w:rsidRPr="00E214AA">
        <w:rPr>
          <w:color w:val="000000" w:themeColor="text1"/>
          <w:lang w:val="en-IE"/>
        </w:rPr>
        <w:t xml:space="preserve"> the continuous operation of the e-Health system. In case of hardware or software failures, the cloud can automatically redirect traffic and computing resources to alternative servers or data centres, minimising downtime and preventing service disruptions.</w:t>
      </w:r>
    </w:p>
    <w:p w14:paraId="007754BE" w14:textId="77777777" w:rsidR="00084109" w:rsidRPr="00E214AA" w:rsidRDefault="00084109" w:rsidP="00B6363B">
      <w:pPr>
        <w:pStyle w:val="ListParagraph"/>
        <w:numPr>
          <w:ilvl w:val="0"/>
          <w:numId w:val="29"/>
        </w:numPr>
        <w:spacing w:before="120"/>
        <w:contextualSpacing w:val="0"/>
        <w:jc w:val="both"/>
        <w:rPr>
          <w:color w:val="000000" w:themeColor="text1"/>
          <w:lang w:val="en-IE"/>
        </w:rPr>
      </w:pPr>
      <w:r w:rsidRPr="00E214AA">
        <w:rPr>
          <w:color w:val="000000" w:themeColor="text1"/>
          <w:lang w:val="en-IE"/>
        </w:rPr>
        <w:t>Provide a robust outage management system with real-time monitoring, automated alerting, and rapid recovery mechanisms. In an outage or service disruption, the cloud can quickly identify the root cause, notify the relevant stakeholders, and activate the recovery procedures.</w:t>
      </w:r>
    </w:p>
    <w:p w14:paraId="48165F8D" w14:textId="6BA752F0" w:rsidR="00084109" w:rsidRPr="00BC3010" w:rsidRDefault="004C347A" w:rsidP="00B6363B">
      <w:pPr>
        <w:pStyle w:val="ListParagraph"/>
        <w:numPr>
          <w:ilvl w:val="0"/>
          <w:numId w:val="13"/>
        </w:numPr>
        <w:ind w:left="851"/>
        <w:jc w:val="both"/>
        <w:rPr>
          <w:color w:val="000000" w:themeColor="text1"/>
          <w:lang w:val="en-IE"/>
        </w:rPr>
      </w:pPr>
      <w:r w:rsidRPr="001003E6">
        <w:rPr>
          <w:color w:val="000000" w:themeColor="text1"/>
          <w:lang w:val="en-IE"/>
        </w:rPr>
        <w:t>Setting up an integrated modular security solution that includes Endpoint, N</w:t>
      </w:r>
      <w:r w:rsidR="00612CA3">
        <w:rPr>
          <w:color w:val="000000" w:themeColor="text1"/>
          <w:lang w:val="en-IE"/>
        </w:rPr>
        <w:t xml:space="preserve">etwork and Data Centre security, which </w:t>
      </w:r>
      <w:r w:rsidR="00084109" w:rsidRPr="00E214AA">
        <w:rPr>
          <w:color w:val="000000" w:themeColor="text1"/>
          <w:lang w:val="en-IE"/>
        </w:rPr>
        <w:t>involves</w:t>
      </w:r>
      <w:r w:rsidR="00612CA3" w:rsidRPr="00E214AA">
        <w:rPr>
          <w:color w:val="000000" w:themeColor="text1"/>
          <w:lang w:val="en-IE"/>
        </w:rPr>
        <w:t>:</w:t>
      </w:r>
    </w:p>
    <w:p w14:paraId="013773A9" w14:textId="77195991" w:rsidR="00084109" w:rsidRPr="00E214AA" w:rsidRDefault="00084109" w:rsidP="00B6363B">
      <w:pPr>
        <w:pStyle w:val="ListParagraph"/>
        <w:numPr>
          <w:ilvl w:val="0"/>
          <w:numId w:val="30"/>
        </w:numPr>
        <w:spacing w:before="120"/>
        <w:contextualSpacing w:val="0"/>
        <w:jc w:val="both"/>
        <w:rPr>
          <w:color w:val="000000" w:themeColor="text1"/>
          <w:lang w:val="en-IE"/>
        </w:rPr>
      </w:pPr>
      <w:r w:rsidRPr="00E214AA">
        <w:rPr>
          <w:color w:val="000000" w:themeColor="text1"/>
          <w:lang w:val="en-IE"/>
        </w:rPr>
        <w:t xml:space="preserve">Identifying Security Requirements </w:t>
      </w:r>
      <w:r w:rsidR="00612CA3" w:rsidRPr="00E214AA">
        <w:rPr>
          <w:color w:val="000000" w:themeColor="text1"/>
          <w:lang w:val="en-IE"/>
        </w:rPr>
        <w:t>on the grounds of</w:t>
      </w:r>
      <w:r w:rsidRPr="00E214AA">
        <w:rPr>
          <w:color w:val="000000" w:themeColor="text1"/>
          <w:lang w:val="en-IE"/>
        </w:rPr>
        <w:t xml:space="preserve"> assessing </w:t>
      </w:r>
      <w:r w:rsidR="00612CA3" w:rsidRPr="00E214AA">
        <w:rPr>
          <w:color w:val="000000" w:themeColor="text1"/>
          <w:lang w:val="en-IE"/>
        </w:rPr>
        <w:t xml:space="preserve">the </w:t>
      </w:r>
      <w:r w:rsidRPr="00E214AA">
        <w:rPr>
          <w:color w:val="000000" w:themeColor="text1"/>
          <w:lang w:val="en-IE"/>
        </w:rPr>
        <w:t>potential vulnerabilities and threats to the organisation’s network, endpoints, and data centre infrastructure.</w:t>
      </w:r>
    </w:p>
    <w:p w14:paraId="4D500153" w14:textId="77777777" w:rsidR="00084109" w:rsidRPr="00E214AA" w:rsidRDefault="00084109" w:rsidP="00B6363B">
      <w:pPr>
        <w:pStyle w:val="ListParagraph"/>
        <w:numPr>
          <w:ilvl w:val="0"/>
          <w:numId w:val="30"/>
        </w:numPr>
        <w:spacing w:before="120"/>
        <w:contextualSpacing w:val="0"/>
        <w:jc w:val="both"/>
        <w:rPr>
          <w:color w:val="000000" w:themeColor="text1"/>
          <w:lang w:val="en-IE"/>
        </w:rPr>
      </w:pPr>
      <w:r w:rsidRPr="00E214AA">
        <w:rPr>
          <w:color w:val="000000" w:themeColor="text1"/>
          <w:lang w:val="en-IE"/>
        </w:rPr>
        <w:lastRenderedPageBreak/>
        <w:t>Select the appropriate security technologies that can address those requirements. This can include firewalls, intrusion detection and prevention systems, endpoint protection software, data encryption, access control technologies, and other security tools.</w:t>
      </w:r>
    </w:p>
    <w:p w14:paraId="378412EC" w14:textId="77777777" w:rsidR="00084109" w:rsidRPr="00E214AA" w:rsidRDefault="00084109" w:rsidP="00B6363B">
      <w:pPr>
        <w:pStyle w:val="ListParagraph"/>
        <w:numPr>
          <w:ilvl w:val="0"/>
          <w:numId w:val="30"/>
        </w:numPr>
        <w:spacing w:before="120"/>
        <w:contextualSpacing w:val="0"/>
        <w:jc w:val="both"/>
        <w:rPr>
          <w:color w:val="000000" w:themeColor="text1"/>
          <w:lang w:val="en-IE"/>
        </w:rPr>
      </w:pPr>
      <w:r w:rsidRPr="00E214AA">
        <w:rPr>
          <w:color w:val="000000" w:themeColor="text1"/>
          <w:lang w:val="en-IE"/>
        </w:rPr>
        <w:t xml:space="preserve">Design the integrated modular security solution. </w:t>
      </w:r>
    </w:p>
    <w:p w14:paraId="26B0B9E6" w14:textId="77777777" w:rsidR="00084109" w:rsidRPr="00E214AA" w:rsidRDefault="00084109" w:rsidP="00B6363B">
      <w:pPr>
        <w:pStyle w:val="ListParagraph"/>
        <w:numPr>
          <w:ilvl w:val="0"/>
          <w:numId w:val="30"/>
        </w:numPr>
        <w:spacing w:before="120"/>
        <w:contextualSpacing w:val="0"/>
        <w:jc w:val="both"/>
        <w:rPr>
          <w:color w:val="000000" w:themeColor="text1"/>
          <w:lang w:val="en-IE"/>
        </w:rPr>
      </w:pPr>
      <w:r w:rsidRPr="00E214AA">
        <w:rPr>
          <w:color w:val="000000" w:themeColor="text1"/>
          <w:lang w:val="en-IE"/>
        </w:rPr>
        <w:t>Deploy and configure the security technologies. This can involve installing hardware and software components, configuring network devices, and creating security policies and rules.</w:t>
      </w:r>
    </w:p>
    <w:p w14:paraId="6030134E" w14:textId="77777777" w:rsidR="00084109" w:rsidRPr="00E214AA" w:rsidRDefault="00084109" w:rsidP="00B6363B">
      <w:pPr>
        <w:pStyle w:val="ListParagraph"/>
        <w:numPr>
          <w:ilvl w:val="0"/>
          <w:numId w:val="30"/>
        </w:numPr>
        <w:spacing w:before="120"/>
        <w:contextualSpacing w:val="0"/>
        <w:jc w:val="both"/>
        <w:rPr>
          <w:color w:val="000000" w:themeColor="text1"/>
          <w:lang w:val="en-IE"/>
        </w:rPr>
      </w:pPr>
      <w:r w:rsidRPr="00E214AA">
        <w:rPr>
          <w:color w:val="000000" w:themeColor="text1"/>
          <w:lang w:val="en-IE"/>
        </w:rPr>
        <w:t>Testing and validation to ensure the security solution is effective in detecting and preventing security threats.</w:t>
      </w:r>
    </w:p>
    <w:p w14:paraId="4898B903" w14:textId="77777777" w:rsidR="00084109" w:rsidRPr="00E214AA" w:rsidRDefault="00084109" w:rsidP="00B6363B">
      <w:pPr>
        <w:pStyle w:val="ListParagraph"/>
        <w:numPr>
          <w:ilvl w:val="0"/>
          <w:numId w:val="30"/>
        </w:numPr>
        <w:spacing w:before="120"/>
        <w:contextualSpacing w:val="0"/>
        <w:jc w:val="both"/>
        <w:rPr>
          <w:color w:val="000000" w:themeColor="text1"/>
          <w:lang w:val="en-IE"/>
        </w:rPr>
      </w:pPr>
      <w:r w:rsidRPr="00E214AA">
        <w:rPr>
          <w:color w:val="000000" w:themeColor="text1"/>
          <w:lang w:val="en-IE"/>
        </w:rPr>
        <w:t>Ongoing management and maintenance to ensure it remains effective over time. This involves monitoring security events, updating security policies and rules, and conducting regular security assessments to identify new threats and vulnerabilities.</w:t>
      </w:r>
    </w:p>
    <w:p w14:paraId="78850665" w14:textId="77777777" w:rsidR="004C347A" w:rsidRPr="001003E6" w:rsidRDefault="004C347A" w:rsidP="00B6363B">
      <w:pPr>
        <w:pStyle w:val="ListParagraph"/>
        <w:numPr>
          <w:ilvl w:val="0"/>
          <w:numId w:val="13"/>
        </w:numPr>
        <w:spacing w:before="120"/>
        <w:ind w:left="851"/>
        <w:contextualSpacing w:val="0"/>
        <w:jc w:val="both"/>
        <w:rPr>
          <w:color w:val="000000" w:themeColor="text1"/>
          <w:lang w:val="en-IE"/>
        </w:rPr>
      </w:pPr>
      <w:r w:rsidRPr="00BC3010">
        <w:rPr>
          <w:color w:val="000000" w:themeColor="text1"/>
          <w:lang w:val="en-IE"/>
        </w:rPr>
        <w:t>Elaborating a model for business continuity with a level of unavailability lower than</w:t>
      </w:r>
      <w:r w:rsidRPr="001003E6">
        <w:rPr>
          <w:color w:val="000000" w:themeColor="text1"/>
          <w:lang w:val="en-IE"/>
        </w:rPr>
        <w:t xml:space="preserve"> 43 seconds per day.</w:t>
      </w:r>
    </w:p>
    <w:p w14:paraId="22534A61" w14:textId="763946A5" w:rsidR="004C347A" w:rsidRPr="00BC3010" w:rsidRDefault="004C347A" w:rsidP="00B6363B">
      <w:pPr>
        <w:pStyle w:val="ListParagraph"/>
        <w:numPr>
          <w:ilvl w:val="0"/>
          <w:numId w:val="13"/>
        </w:numPr>
        <w:spacing w:before="120"/>
        <w:ind w:left="851"/>
        <w:contextualSpacing w:val="0"/>
        <w:jc w:val="both"/>
        <w:rPr>
          <w:color w:val="000000" w:themeColor="text1"/>
          <w:lang w:val="en-IE"/>
        </w:rPr>
      </w:pPr>
      <w:r w:rsidRPr="00BC3010">
        <w:rPr>
          <w:color w:val="000000" w:themeColor="text1"/>
          <w:lang w:val="en-IE"/>
        </w:rPr>
        <w:t>Establishing a solution without a Single Point of Failure</w:t>
      </w:r>
      <w:r w:rsidR="00A07AF2" w:rsidRPr="00BC3010">
        <w:rPr>
          <w:color w:val="000000" w:themeColor="text1"/>
          <w:lang w:val="en-IE"/>
        </w:rPr>
        <w:t xml:space="preserve"> will create a resilient system that can</w:t>
      </w:r>
      <w:r w:rsidR="00084109" w:rsidRPr="00E214AA">
        <w:rPr>
          <w:color w:val="000000" w:themeColor="text1"/>
          <w:lang w:val="en-IE"/>
        </w:rPr>
        <w:t xml:space="preserve"> continue functioning even if one part fails. This approach would help to prevent critical breakdowns in the healthcare system and improve overall patient care.</w:t>
      </w:r>
    </w:p>
    <w:p w14:paraId="70591E1D" w14:textId="62D56CF8" w:rsidR="004C347A" w:rsidRPr="001003E6" w:rsidRDefault="004C347A" w:rsidP="00B6363B">
      <w:pPr>
        <w:pStyle w:val="ListParagraph"/>
        <w:numPr>
          <w:ilvl w:val="0"/>
          <w:numId w:val="13"/>
        </w:numPr>
        <w:spacing w:before="120"/>
        <w:ind w:left="851"/>
        <w:contextualSpacing w:val="0"/>
        <w:jc w:val="both"/>
        <w:rPr>
          <w:color w:val="000000" w:themeColor="text1"/>
          <w:lang w:val="en-IE"/>
        </w:rPr>
      </w:pPr>
      <w:r w:rsidRPr="00E214AA">
        <w:rPr>
          <w:color w:val="000000" w:themeColor="text1"/>
          <w:lang w:val="en-IE"/>
        </w:rPr>
        <w:t>Providing the component of the health could infrastructure (hardware components</w:t>
      </w:r>
      <w:r w:rsidRPr="001003E6">
        <w:rPr>
          <w:color w:val="000000" w:themeColor="text1"/>
          <w:lang w:val="en-IE"/>
        </w:rPr>
        <w:t>, system hosting and internet connections</w:t>
      </w:r>
      <w:r w:rsidR="004A6D42" w:rsidRPr="001003E6">
        <w:rPr>
          <w:color w:val="000000" w:themeColor="text1"/>
          <w:lang w:val="en-IE"/>
        </w:rPr>
        <w:t>,</w:t>
      </w:r>
      <w:r w:rsidRPr="001003E6">
        <w:rPr>
          <w:color w:val="000000" w:themeColor="text1"/>
          <w:lang w:val="en-IE"/>
        </w:rPr>
        <w:t xml:space="preserve"> database system licenses, migration of the “Moj Termin” system to the new infrastructure). </w:t>
      </w:r>
    </w:p>
    <w:p w14:paraId="24A7EF5C" w14:textId="0E582DD7" w:rsidR="00DD5685" w:rsidRPr="001003E6" w:rsidRDefault="00DA5B3A" w:rsidP="00B6363B">
      <w:pPr>
        <w:spacing w:before="120"/>
        <w:ind w:left="142"/>
        <w:jc w:val="both"/>
        <w:rPr>
          <w:b/>
          <w:bCs/>
          <w:color w:val="000000" w:themeColor="text1"/>
          <w:lang w:val="en-IE"/>
        </w:rPr>
      </w:pPr>
      <w:r>
        <w:rPr>
          <w:b/>
          <w:bCs/>
          <w:color w:val="000000" w:themeColor="text1"/>
          <w:lang w:val="en-IE"/>
        </w:rPr>
        <w:t>Output 4:</w:t>
      </w:r>
      <w:r w:rsidR="00DD5685" w:rsidRPr="001003E6">
        <w:rPr>
          <w:b/>
          <w:bCs/>
          <w:color w:val="000000" w:themeColor="text1"/>
          <w:lang w:val="en-IE"/>
        </w:rPr>
        <w:t xml:space="preserve"> Improved mobile primary </w:t>
      </w:r>
      <w:r w:rsidR="003F0A0E">
        <w:rPr>
          <w:b/>
          <w:bCs/>
          <w:color w:val="000000" w:themeColor="text1"/>
          <w:lang w:val="en-IE"/>
        </w:rPr>
        <w:t>healthcare</w:t>
      </w:r>
      <w:r w:rsidR="00DD5685" w:rsidRPr="001003E6">
        <w:rPr>
          <w:b/>
          <w:bCs/>
          <w:color w:val="000000" w:themeColor="text1"/>
          <w:lang w:val="en-IE"/>
        </w:rPr>
        <w:t xml:space="preserve"> services </w:t>
      </w:r>
    </w:p>
    <w:p w14:paraId="54EC7108" w14:textId="185D9696" w:rsidR="00305F00" w:rsidRPr="008D03F9" w:rsidRDefault="00305F00" w:rsidP="00B6363B">
      <w:pPr>
        <w:spacing w:before="120"/>
        <w:ind w:left="142"/>
        <w:jc w:val="both"/>
        <w:rPr>
          <w:bCs/>
          <w:color w:val="000000" w:themeColor="text1"/>
          <w:lang w:val="en-IE"/>
        </w:rPr>
      </w:pPr>
      <w:r w:rsidRPr="008D03F9">
        <w:rPr>
          <w:bCs/>
          <w:color w:val="000000" w:themeColor="text1"/>
          <w:lang w:val="en-IE"/>
        </w:rPr>
        <w:t xml:space="preserve">This output </w:t>
      </w:r>
      <w:r w:rsidR="0033092D">
        <w:rPr>
          <w:bCs/>
          <w:color w:val="000000" w:themeColor="text1"/>
          <w:lang w:val="en-IE"/>
        </w:rPr>
        <w:t xml:space="preserve">will connect the emergency services, </w:t>
      </w:r>
      <w:r w:rsidR="0033092D" w:rsidRPr="0033092D">
        <w:rPr>
          <w:bCs/>
          <w:color w:val="000000" w:themeColor="text1"/>
          <w:lang w:val="en-IE"/>
        </w:rPr>
        <w:t xml:space="preserve">patronage, </w:t>
      </w:r>
      <w:r w:rsidR="0033092D">
        <w:rPr>
          <w:bCs/>
          <w:color w:val="000000" w:themeColor="text1"/>
          <w:lang w:val="en-IE"/>
        </w:rPr>
        <w:t xml:space="preserve">medical </w:t>
      </w:r>
      <w:r w:rsidR="0033092D" w:rsidRPr="0033092D">
        <w:rPr>
          <w:bCs/>
          <w:color w:val="000000" w:themeColor="text1"/>
          <w:lang w:val="en-IE"/>
        </w:rPr>
        <w:t>duty service, home treatment, vaccination, and rural doctor to the e-H</w:t>
      </w:r>
      <w:r w:rsidR="0033092D">
        <w:rPr>
          <w:bCs/>
          <w:color w:val="000000" w:themeColor="text1"/>
          <w:lang w:val="en-IE"/>
        </w:rPr>
        <w:t xml:space="preserve">ealth system. It </w:t>
      </w:r>
      <w:r w:rsidRPr="008D03F9">
        <w:rPr>
          <w:bCs/>
          <w:color w:val="000000" w:themeColor="text1"/>
          <w:lang w:val="en-IE"/>
        </w:rPr>
        <w:t xml:space="preserve">will be </w:t>
      </w:r>
      <w:r>
        <w:rPr>
          <w:bCs/>
          <w:color w:val="000000" w:themeColor="text1"/>
          <w:lang w:val="en-IE"/>
        </w:rPr>
        <w:t>achieved</w:t>
      </w:r>
      <w:r w:rsidRPr="008D03F9">
        <w:rPr>
          <w:bCs/>
          <w:color w:val="000000" w:themeColor="text1"/>
          <w:lang w:val="en-IE"/>
        </w:rPr>
        <w:t xml:space="preserve"> through:</w:t>
      </w:r>
    </w:p>
    <w:p w14:paraId="76D4789A" w14:textId="77777777" w:rsidR="00DD5685" w:rsidRPr="001003E6" w:rsidRDefault="00DD5685" w:rsidP="00B6363B">
      <w:pPr>
        <w:pStyle w:val="ListParagraph"/>
        <w:numPr>
          <w:ilvl w:val="0"/>
          <w:numId w:val="31"/>
        </w:numPr>
        <w:spacing w:before="120"/>
        <w:ind w:left="851"/>
        <w:contextualSpacing w:val="0"/>
        <w:jc w:val="both"/>
        <w:rPr>
          <w:b/>
          <w:bCs/>
          <w:color w:val="000000" w:themeColor="text1"/>
          <w:lang w:val="en-IE"/>
        </w:rPr>
      </w:pPr>
      <w:r w:rsidRPr="001003E6">
        <w:rPr>
          <w:color w:val="000000" w:themeColor="text1"/>
          <w:lang w:val="en-IE"/>
        </w:rPr>
        <w:t>Providing hardware and network infrastructure for virtualisation of operations (servers, storage, networking) installed at the central location.</w:t>
      </w:r>
    </w:p>
    <w:p w14:paraId="5023AB66" w14:textId="77777777" w:rsidR="00DD5685" w:rsidRPr="001003E6" w:rsidRDefault="00DD5685" w:rsidP="00B6363B">
      <w:pPr>
        <w:pStyle w:val="ListParagraph"/>
        <w:numPr>
          <w:ilvl w:val="0"/>
          <w:numId w:val="31"/>
        </w:numPr>
        <w:spacing w:before="120"/>
        <w:ind w:left="851"/>
        <w:contextualSpacing w:val="0"/>
        <w:jc w:val="both"/>
        <w:rPr>
          <w:b/>
          <w:bCs/>
          <w:color w:val="000000" w:themeColor="text1"/>
          <w:lang w:val="en-IE"/>
        </w:rPr>
      </w:pPr>
      <w:r w:rsidRPr="001003E6">
        <w:rPr>
          <w:color w:val="000000" w:themeColor="text1"/>
          <w:lang w:val="en-IE"/>
        </w:rPr>
        <w:t>Providing local units with equipment and work devices -static and mobile.</w:t>
      </w:r>
    </w:p>
    <w:p w14:paraId="037340D9" w14:textId="5B64A260" w:rsidR="00DD5685" w:rsidRPr="001003E6" w:rsidRDefault="00DD5685" w:rsidP="00B6363B">
      <w:pPr>
        <w:pStyle w:val="ListParagraph"/>
        <w:numPr>
          <w:ilvl w:val="0"/>
          <w:numId w:val="31"/>
        </w:numPr>
        <w:spacing w:before="120"/>
        <w:ind w:left="851"/>
        <w:contextualSpacing w:val="0"/>
        <w:jc w:val="both"/>
        <w:rPr>
          <w:b/>
          <w:bCs/>
          <w:color w:val="000000" w:themeColor="text1"/>
          <w:lang w:val="en-IE"/>
        </w:rPr>
      </w:pPr>
      <w:r w:rsidRPr="001003E6">
        <w:rPr>
          <w:color w:val="000000" w:themeColor="text1"/>
          <w:lang w:val="en-IE"/>
        </w:rPr>
        <w:t>Providing an integrated IT solution based on “Moj Termin” as a separate module for mobility services and telemedicine.</w:t>
      </w:r>
    </w:p>
    <w:p w14:paraId="7534A8A8" w14:textId="74007B71" w:rsidR="00E0741A" w:rsidRDefault="00E0741A" w:rsidP="007C0CF8">
      <w:pPr>
        <w:spacing w:before="120"/>
        <w:ind w:left="142"/>
        <w:rPr>
          <w:b/>
          <w:bCs/>
          <w:color w:val="0D0D0D" w:themeColor="text1" w:themeTint="F2"/>
          <w:lang w:val="en-IE"/>
        </w:rPr>
      </w:pPr>
      <w:r w:rsidRPr="0029605E">
        <w:rPr>
          <w:b/>
          <w:bCs/>
          <w:color w:val="000000" w:themeColor="text1"/>
          <w:lang w:val="en-IE"/>
        </w:rPr>
        <w:t xml:space="preserve">Output </w:t>
      </w:r>
      <w:r w:rsidR="00217BC6" w:rsidRPr="0029605E">
        <w:rPr>
          <w:b/>
          <w:bCs/>
          <w:color w:val="000000" w:themeColor="text1"/>
          <w:lang w:val="en-IE"/>
        </w:rPr>
        <w:t>5</w:t>
      </w:r>
      <w:r w:rsidR="00DA5B3A">
        <w:rPr>
          <w:b/>
          <w:bCs/>
          <w:color w:val="000000" w:themeColor="text1"/>
          <w:lang w:val="en-IE"/>
        </w:rPr>
        <w:t>:</w:t>
      </w:r>
      <w:r w:rsidRPr="0029605E">
        <w:rPr>
          <w:b/>
          <w:bCs/>
          <w:color w:val="000000" w:themeColor="text1"/>
          <w:lang w:val="en-IE"/>
        </w:rPr>
        <w:t xml:space="preserve"> Modernised </w:t>
      </w:r>
      <w:r w:rsidR="0029605E" w:rsidRPr="0029605E">
        <w:rPr>
          <w:b/>
          <w:bCs/>
          <w:color w:val="0D0D0D" w:themeColor="text1" w:themeTint="F2"/>
          <w:lang w:val="en-IE"/>
        </w:rPr>
        <w:t>Emergency Medical Service (EMS)</w:t>
      </w:r>
    </w:p>
    <w:p w14:paraId="77AE55B7" w14:textId="032ADF56" w:rsidR="00084109" w:rsidRDefault="00305F00" w:rsidP="00B6363B">
      <w:pPr>
        <w:spacing w:before="120"/>
        <w:ind w:left="142"/>
        <w:jc w:val="both"/>
        <w:rPr>
          <w:bCs/>
          <w:color w:val="000000" w:themeColor="text1"/>
          <w:lang w:val="en-IE"/>
        </w:rPr>
      </w:pPr>
      <w:r w:rsidRPr="008D03F9">
        <w:rPr>
          <w:bCs/>
          <w:color w:val="000000" w:themeColor="text1"/>
          <w:lang w:val="en-IE"/>
        </w:rPr>
        <w:t xml:space="preserve">This output will be </w:t>
      </w:r>
      <w:r>
        <w:rPr>
          <w:bCs/>
          <w:color w:val="000000" w:themeColor="text1"/>
          <w:lang w:val="en-IE"/>
        </w:rPr>
        <w:t>achieved</w:t>
      </w:r>
      <w:r w:rsidRPr="008D03F9">
        <w:rPr>
          <w:bCs/>
          <w:color w:val="000000" w:themeColor="text1"/>
          <w:lang w:val="en-IE"/>
        </w:rPr>
        <w:t xml:space="preserve"> through the following activities:</w:t>
      </w:r>
    </w:p>
    <w:p w14:paraId="57E1E9E1" w14:textId="0221673D" w:rsidR="00177C44" w:rsidRPr="007C0CF8" w:rsidRDefault="00177C44" w:rsidP="00B6363B">
      <w:pPr>
        <w:spacing w:before="120"/>
        <w:ind w:firstLine="142"/>
        <w:jc w:val="both"/>
        <w:rPr>
          <w:b/>
          <w:color w:val="000000" w:themeColor="text1"/>
          <w:lang w:val="en-IE"/>
        </w:rPr>
      </w:pPr>
      <w:r w:rsidRPr="007C0CF8">
        <w:rPr>
          <w:b/>
          <w:color w:val="000000" w:themeColor="text1"/>
          <w:lang w:val="en-IE"/>
        </w:rPr>
        <w:t>5 (a) ICT technology</w:t>
      </w:r>
    </w:p>
    <w:p w14:paraId="42C029F2" w14:textId="39B5C058" w:rsidR="00BB02CE" w:rsidRPr="00E214AA" w:rsidRDefault="00BB02CE" w:rsidP="00B6363B">
      <w:pPr>
        <w:pStyle w:val="ListParagraph"/>
        <w:spacing w:before="120"/>
        <w:ind w:left="142"/>
        <w:jc w:val="both"/>
        <w:rPr>
          <w:color w:val="000000" w:themeColor="text1"/>
          <w:lang w:val="en-IE"/>
        </w:rPr>
      </w:pPr>
      <w:r w:rsidRPr="247BFA05">
        <w:rPr>
          <w:color w:val="000000" w:themeColor="text1"/>
          <w:lang w:val="en-IE"/>
        </w:rPr>
        <w:t>Upgrading the EMS ICT technologies</w:t>
      </w:r>
      <w:r w:rsidRPr="247BFA05">
        <w:rPr>
          <w:b/>
          <w:bCs/>
          <w:color w:val="000000" w:themeColor="text1"/>
          <w:lang w:val="en-IE"/>
        </w:rPr>
        <w:t xml:space="preserve"> - </w:t>
      </w:r>
      <w:r w:rsidRPr="247BFA05">
        <w:rPr>
          <w:color w:val="000000" w:themeColor="text1"/>
          <w:lang w:val="en-IE"/>
        </w:rPr>
        <w:t>Establishing fully-functional dispatch centres connecting them with a new IC</w:t>
      </w:r>
      <w:r w:rsidR="0453CD58" w:rsidRPr="247BFA05">
        <w:rPr>
          <w:color w:val="000000" w:themeColor="text1"/>
          <w:lang w:val="en-IE"/>
        </w:rPr>
        <w:t>T</w:t>
      </w:r>
      <w:r w:rsidRPr="247BFA05">
        <w:rPr>
          <w:color w:val="000000" w:themeColor="text1"/>
          <w:lang w:val="en-IE"/>
        </w:rPr>
        <w:t xml:space="preserve"> system for managing the EMS. </w:t>
      </w:r>
      <w:r w:rsidR="00741D16" w:rsidRPr="00741D16">
        <w:rPr>
          <w:color w:val="000000" w:themeColor="text1"/>
          <w:lang w:val="en-US"/>
        </w:rPr>
        <w:t>The country uses a standard emergency call number (112) adopted throughout Europe, and 86 ambulance vehicles were added to the system in 2013 to improve efficiency</w:t>
      </w:r>
      <w:r w:rsidR="00741D16">
        <w:rPr>
          <w:color w:val="000000" w:themeColor="text1"/>
          <w:lang w:val="en-US"/>
        </w:rPr>
        <w:t xml:space="preserve">. </w:t>
      </w:r>
      <w:r w:rsidRPr="247BFA05">
        <w:rPr>
          <w:color w:val="000000" w:themeColor="text1"/>
          <w:lang w:val="en-IE"/>
        </w:rPr>
        <w:t xml:space="preserve">The new system will allow the EMS to collect, track and dispatch emergency and accident-related information and crew report data. Interoperability and data traceability will be achieved with the 112 Emergency Centre, hospital emergency departments and the digital health system. The expected results include: </w:t>
      </w:r>
    </w:p>
    <w:p w14:paraId="61161329" w14:textId="163A93C6" w:rsidR="00BB02CE" w:rsidRPr="00E214AA" w:rsidRDefault="00BB02CE" w:rsidP="00B6363B">
      <w:pPr>
        <w:pStyle w:val="ListParagraph"/>
        <w:numPr>
          <w:ilvl w:val="0"/>
          <w:numId w:val="33"/>
        </w:numPr>
        <w:spacing w:before="120"/>
        <w:ind w:left="851"/>
        <w:contextualSpacing w:val="0"/>
        <w:jc w:val="both"/>
        <w:rPr>
          <w:color w:val="000000" w:themeColor="text1"/>
          <w:lang w:val="en-IE"/>
        </w:rPr>
      </w:pPr>
      <w:r w:rsidRPr="00E214AA">
        <w:rPr>
          <w:color w:val="000000" w:themeColor="text1"/>
          <w:lang w:val="en-IE"/>
        </w:rPr>
        <w:t xml:space="preserve">Improved response times – the new system will allow the emergency medical service to respond </w:t>
      </w:r>
      <w:r w:rsidR="00E16740" w:rsidRPr="00E214AA">
        <w:rPr>
          <w:color w:val="000000" w:themeColor="text1"/>
          <w:lang w:val="en-IE"/>
        </w:rPr>
        <w:t xml:space="preserve">quickly </w:t>
      </w:r>
      <w:r w:rsidRPr="00E214AA">
        <w:rPr>
          <w:color w:val="000000" w:themeColor="text1"/>
          <w:lang w:val="en-IE"/>
        </w:rPr>
        <w:t xml:space="preserve">to emergencies. The system will </w:t>
      </w:r>
      <w:r w:rsidR="003F0A0E" w:rsidRPr="00E214AA">
        <w:rPr>
          <w:color w:val="000000" w:themeColor="text1"/>
          <w:lang w:val="en-IE"/>
        </w:rPr>
        <w:t xml:space="preserve">enable </w:t>
      </w:r>
      <w:r w:rsidR="00A07AF2" w:rsidRPr="00E214AA">
        <w:rPr>
          <w:color w:val="000000" w:themeColor="text1"/>
          <w:lang w:val="en-IE"/>
        </w:rPr>
        <w:t xml:space="preserve">the </w:t>
      </w:r>
      <w:r w:rsidRPr="00E214AA">
        <w:rPr>
          <w:color w:val="000000" w:themeColor="text1"/>
          <w:lang w:val="en-IE"/>
        </w:rPr>
        <w:t xml:space="preserve">collecting, tracking, and dispatching </w:t>
      </w:r>
      <w:r w:rsidR="00A07AF2" w:rsidRPr="00E214AA">
        <w:rPr>
          <w:color w:val="000000" w:themeColor="text1"/>
          <w:lang w:val="en-IE"/>
        </w:rPr>
        <w:t xml:space="preserve">of </w:t>
      </w:r>
      <w:r w:rsidRPr="00E214AA">
        <w:rPr>
          <w:color w:val="000000" w:themeColor="text1"/>
          <w:lang w:val="en-IE"/>
        </w:rPr>
        <w:t xml:space="preserve">information in </w:t>
      </w:r>
      <w:r w:rsidR="00415F6D">
        <w:rPr>
          <w:color w:val="000000" w:themeColor="text1"/>
          <w:lang w:val="en-IE"/>
        </w:rPr>
        <w:t>real time</w:t>
      </w:r>
      <w:r w:rsidRPr="00E214AA">
        <w:rPr>
          <w:color w:val="000000" w:themeColor="text1"/>
          <w:lang w:val="en-IE"/>
        </w:rPr>
        <w:t xml:space="preserve">, significantly reducing response times and improving patient care </w:t>
      </w:r>
      <w:r w:rsidR="00E16740" w:rsidRPr="00E214AA">
        <w:rPr>
          <w:color w:val="000000" w:themeColor="text1"/>
          <w:lang w:val="en-IE"/>
        </w:rPr>
        <w:t>outcomes</w:t>
      </w:r>
      <w:r w:rsidRPr="00E214AA">
        <w:rPr>
          <w:color w:val="000000" w:themeColor="text1"/>
          <w:lang w:val="en-IE"/>
        </w:rPr>
        <w:t xml:space="preserve">. </w:t>
      </w:r>
    </w:p>
    <w:p w14:paraId="26EA06EE" w14:textId="7CF919F3" w:rsidR="00BB02CE" w:rsidRPr="00E214AA" w:rsidRDefault="00BB02CE" w:rsidP="00B6363B">
      <w:pPr>
        <w:pStyle w:val="ListParagraph"/>
        <w:numPr>
          <w:ilvl w:val="0"/>
          <w:numId w:val="33"/>
        </w:numPr>
        <w:spacing w:before="120"/>
        <w:ind w:left="851"/>
        <w:contextualSpacing w:val="0"/>
        <w:jc w:val="both"/>
        <w:rPr>
          <w:color w:val="000000" w:themeColor="text1"/>
          <w:lang w:val="en-IE"/>
        </w:rPr>
      </w:pPr>
      <w:r w:rsidRPr="00E214AA">
        <w:rPr>
          <w:color w:val="000000" w:themeColor="text1"/>
          <w:lang w:val="en-IE"/>
        </w:rPr>
        <w:t xml:space="preserve">Improved </w:t>
      </w:r>
      <w:r w:rsidR="00E16740" w:rsidRPr="00E214AA">
        <w:rPr>
          <w:color w:val="000000" w:themeColor="text1"/>
          <w:lang w:val="en-IE"/>
        </w:rPr>
        <w:t xml:space="preserve">patients </w:t>
      </w:r>
      <w:r w:rsidRPr="00E214AA">
        <w:rPr>
          <w:color w:val="000000" w:themeColor="text1"/>
          <w:lang w:val="en-IE"/>
        </w:rPr>
        <w:t xml:space="preserve">care - The new system will allow emergency crews to quickly access critical information about a patient’s medical conditions and history and transfer information on the </w:t>
      </w:r>
      <w:r w:rsidR="00E16740" w:rsidRPr="00E214AA">
        <w:rPr>
          <w:color w:val="000000" w:themeColor="text1"/>
          <w:lang w:val="en-IE"/>
        </w:rPr>
        <w:lastRenderedPageBreak/>
        <w:t>patient’s</w:t>
      </w:r>
      <w:r w:rsidRPr="00E214AA">
        <w:rPr>
          <w:color w:val="000000" w:themeColor="text1"/>
          <w:lang w:val="en-IE"/>
        </w:rPr>
        <w:t xml:space="preserve"> status to the hospital receiving the patient. This information can help inform treatment decisions, leading to better patient outcomes.</w:t>
      </w:r>
    </w:p>
    <w:p w14:paraId="7B1895AD" w14:textId="1A7ADEDC" w:rsidR="00BB02CE" w:rsidRPr="00E214AA" w:rsidRDefault="00BB02CE" w:rsidP="00B6363B">
      <w:pPr>
        <w:pStyle w:val="ListParagraph"/>
        <w:numPr>
          <w:ilvl w:val="0"/>
          <w:numId w:val="33"/>
        </w:numPr>
        <w:spacing w:before="120"/>
        <w:ind w:left="851"/>
        <w:contextualSpacing w:val="0"/>
        <w:jc w:val="both"/>
        <w:rPr>
          <w:color w:val="000000" w:themeColor="text1"/>
          <w:lang w:val="en-IE"/>
        </w:rPr>
      </w:pPr>
      <w:r w:rsidRPr="00E214AA">
        <w:rPr>
          <w:color w:val="000000" w:themeColor="text1"/>
          <w:lang w:val="en-IE"/>
        </w:rPr>
        <w:t xml:space="preserve">Enhanced coordination: interoperability and data traceability will facilitate communication and coordination between emergency response teams, </w:t>
      </w:r>
      <w:r w:rsidR="00E16740" w:rsidRPr="00E214AA">
        <w:rPr>
          <w:color w:val="000000" w:themeColor="text1"/>
          <w:lang w:val="en-IE"/>
        </w:rPr>
        <w:t>leading</w:t>
      </w:r>
      <w:r w:rsidRPr="00E214AA">
        <w:rPr>
          <w:color w:val="000000" w:themeColor="text1"/>
          <w:lang w:val="en-IE"/>
        </w:rPr>
        <w:t xml:space="preserve"> to more seamless </w:t>
      </w:r>
      <w:r w:rsidR="00E16740" w:rsidRPr="00E214AA">
        <w:rPr>
          <w:color w:val="000000" w:themeColor="text1"/>
          <w:lang w:val="en-IE"/>
        </w:rPr>
        <w:t>emergency response</w:t>
      </w:r>
      <w:r w:rsidRPr="00E214AA">
        <w:rPr>
          <w:color w:val="000000" w:themeColor="text1"/>
          <w:lang w:val="en-IE"/>
        </w:rPr>
        <w:t>.</w:t>
      </w:r>
    </w:p>
    <w:p w14:paraId="7932F70B" w14:textId="77777777" w:rsidR="00BB02CE" w:rsidRPr="00E214AA" w:rsidRDefault="00BB02CE" w:rsidP="00B6363B">
      <w:pPr>
        <w:pStyle w:val="ListParagraph"/>
        <w:numPr>
          <w:ilvl w:val="0"/>
          <w:numId w:val="33"/>
        </w:numPr>
        <w:spacing w:before="120"/>
        <w:ind w:left="851"/>
        <w:contextualSpacing w:val="0"/>
        <w:jc w:val="both"/>
        <w:rPr>
          <w:color w:val="000000" w:themeColor="text1"/>
          <w:lang w:val="en-IE"/>
        </w:rPr>
      </w:pPr>
      <w:r w:rsidRPr="00E214AA">
        <w:rPr>
          <w:color w:val="000000" w:themeColor="text1"/>
          <w:lang w:val="en-IE"/>
        </w:rPr>
        <w:t>More efficient use of resources: the new system will allow emergency crews to collect and record data more efficiently, which can help reduce the burden on the healthcare system and improve the quality of care.</w:t>
      </w:r>
    </w:p>
    <w:p w14:paraId="333C6219" w14:textId="77777777" w:rsidR="00BB02CE" w:rsidRPr="00E214AA" w:rsidRDefault="00BB02CE" w:rsidP="00B6363B">
      <w:pPr>
        <w:pStyle w:val="ListParagraph"/>
        <w:numPr>
          <w:ilvl w:val="0"/>
          <w:numId w:val="33"/>
        </w:numPr>
        <w:spacing w:before="120"/>
        <w:ind w:left="851"/>
        <w:contextualSpacing w:val="0"/>
        <w:jc w:val="both"/>
        <w:rPr>
          <w:color w:val="000000" w:themeColor="text1"/>
          <w:lang w:val="en-IE"/>
        </w:rPr>
      </w:pPr>
      <w:r w:rsidRPr="00E214AA">
        <w:rPr>
          <w:color w:val="000000" w:themeColor="text1"/>
          <w:lang w:val="en-IE"/>
        </w:rPr>
        <w:t>Improved data management: The system will provide better management of data related to emergency incidents, which can help improve the overall quality of care and inform policy decisions.</w:t>
      </w:r>
    </w:p>
    <w:p w14:paraId="1EC695D3" w14:textId="2AD39892" w:rsidR="00BB02CE" w:rsidRPr="00D16994" w:rsidRDefault="00177C44" w:rsidP="00B6363B">
      <w:pPr>
        <w:spacing w:before="120"/>
        <w:ind w:left="142"/>
        <w:jc w:val="both"/>
        <w:rPr>
          <w:b/>
          <w:color w:val="000000" w:themeColor="text1"/>
          <w:lang w:val="en-IE"/>
        </w:rPr>
      </w:pPr>
      <w:r w:rsidRPr="00D16994">
        <w:rPr>
          <w:b/>
          <w:color w:val="000000" w:themeColor="text1"/>
          <w:lang w:val="en-IE"/>
        </w:rPr>
        <w:t>5 (b)</w:t>
      </w:r>
      <w:r>
        <w:rPr>
          <w:b/>
          <w:color w:val="000000" w:themeColor="text1"/>
          <w:lang w:val="en-IE"/>
        </w:rPr>
        <w:t xml:space="preserve"> Ambulances</w:t>
      </w:r>
    </w:p>
    <w:p w14:paraId="3AFAEC40" w14:textId="69057317" w:rsidR="00064B75" w:rsidRPr="00E214AA" w:rsidRDefault="00E0741A" w:rsidP="00B6363B">
      <w:pPr>
        <w:spacing w:before="120"/>
        <w:ind w:left="142"/>
        <w:jc w:val="both"/>
        <w:rPr>
          <w:bCs/>
          <w:color w:val="000000" w:themeColor="text1"/>
          <w:lang w:val="en-IE"/>
        </w:rPr>
      </w:pPr>
      <w:r w:rsidRPr="00D16994">
        <w:rPr>
          <w:color w:val="000000" w:themeColor="text1"/>
          <w:lang w:val="en-IE"/>
        </w:rPr>
        <w:t xml:space="preserve">Replacing 50 technologically old and far from the standard emergency health care vehicles to strengthen the emergency response at the site of events/accidents and in transit, which </w:t>
      </w:r>
      <w:r w:rsidRPr="00D16994">
        <w:rPr>
          <w:color w:val="000000" w:themeColor="text1"/>
          <w:lang w:val="en-US"/>
        </w:rPr>
        <w:t>at the same time</w:t>
      </w:r>
      <w:r w:rsidRPr="00D16994">
        <w:rPr>
          <w:color w:val="000000" w:themeColor="text1"/>
          <w:lang w:val="mk-MK"/>
        </w:rPr>
        <w:t xml:space="preserve"> </w:t>
      </w:r>
      <w:r w:rsidRPr="00D16994">
        <w:rPr>
          <w:color w:val="000000" w:themeColor="text1"/>
          <w:lang w:val="en-IE"/>
        </w:rPr>
        <w:t>will enable low emission of gases in line with gas emission standard EURO 6.</w:t>
      </w:r>
      <w:r w:rsidR="00084109" w:rsidRPr="00D16994">
        <w:rPr>
          <w:color w:val="000000" w:themeColor="text1"/>
          <w:lang w:val="en-IE"/>
        </w:rPr>
        <w:t xml:space="preserve"> </w:t>
      </w:r>
      <w:r w:rsidR="00084109" w:rsidRPr="00E214AA">
        <w:rPr>
          <w:color w:val="000000" w:themeColor="text1"/>
          <w:lang w:val="en-IE"/>
        </w:rPr>
        <w:t xml:space="preserve">The vehicles will be distributed throughout the established network of emergency health care.  </w:t>
      </w:r>
      <w:r w:rsidR="00064B75" w:rsidRPr="00E214AA">
        <w:rPr>
          <w:color w:val="000000" w:themeColor="text1"/>
          <w:lang w:val="en-IE"/>
        </w:rPr>
        <w:t>The</w:t>
      </w:r>
      <w:r w:rsidR="00084109" w:rsidRPr="00E214AA">
        <w:rPr>
          <w:color w:val="000000" w:themeColor="text1"/>
          <w:lang w:val="en-IE"/>
        </w:rPr>
        <w:t xml:space="preserve"> expected results are decreased time of response, better utilisation of the existing teams for emergency health care, </w:t>
      </w:r>
      <w:r w:rsidR="00064B75" w:rsidRPr="00E214AA">
        <w:rPr>
          <w:color w:val="000000" w:themeColor="text1"/>
          <w:lang w:val="en-IE"/>
        </w:rPr>
        <w:t xml:space="preserve">and </w:t>
      </w:r>
      <w:r w:rsidR="00A07AF2" w:rsidRPr="00E214AA">
        <w:rPr>
          <w:color w:val="000000" w:themeColor="text1"/>
          <w:lang w:val="en-IE"/>
        </w:rPr>
        <w:t xml:space="preserve">an </w:t>
      </w:r>
      <w:r w:rsidR="00064B75" w:rsidRPr="00E214AA">
        <w:rPr>
          <w:color w:val="000000" w:themeColor="text1"/>
          <w:lang w:val="en-IE"/>
        </w:rPr>
        <w:t>increasing number of emergency</w:t>
      </w:r>
      <w:r w:rsidR="00084109" w:rsidRPr="00E214AA">
        <w:rPr>
          <w:color w:val="000000" w:themeColor="text1"/>
          <w:lang w:val="en-IE"/>
        </w:rPr>
        <w:t xml:space="preserve"> teams </w:t>
      </w:r>
      <w:r w:rsidR="00064B75" w:rsidRPr="00E214AA">
        <w:rPr>
          <w:color w:val="000000" w:themeColor="text1"/>
          <w:lang w:val="en-IE"/>
        </w:rPr>
        <w:t>in place. This will significantly improve the patients’ care outreach</w:t>
      </w:r>
      <w:r w:rsidR="00084109" w:rsidRPr="00E214AA">
        <w:rPr>
          <w:color w:val="000000" w:themeColor="text1"/>
          <w:lang w:val="en-IE"/>
        </w:rPr>
        <w:t>.</w:t>
      </w:r>
    </w:p>
    <w:p w14:paraId="5A247448" w14:textId="77777777" w:rsidR="00C60BF9" w:rsidRPr="00E214AA" w:rsidRDefault="00C60BF9" w:rsidP="00B6363B">
      <w:pPr>
        <w:pStyle w:val="Heading1"/>
        <w:numPr>
          <w:ilvl w:val="1"/>
          <w:numId w:val="1"/>
        </w:numPr>
        <w:jc w:val="both"/>
        <w:rPr>
          <w:color w:val="000000" w:themeColor="text1"/>
          <w:lang w:val="en-IE"/>
        </w:rPr>
      </w:pPr>
      <w:bookmarkStart w:id="193" w:name="_Toc47101961"/>
      <w:bookmarkStart w:id="194" w:name="_Toc51270456"/>
      <w:bookmarkStart w:id="195" w:name="_Ref58597072"/>
      <w:bookmarkStart w:id="196" w:name="_Toc73090754"/>
      <w:bookmarkStart w:id="197" w:name="_Toc47101960"/>
      <w:bookmarkStart w:id="198" w:name="_Toc51270455"/>
      <w:bookmarkStart w:id="199" w:name="_Ref58425507"/>
      <w:r w:rsidRPr="00E214AA">
        <w:rPr>
          <w:color w:val="000000" w:themeColor="text1"/>
          <w:lang w:val="en-IE"/>
        </w:rPr>
        <w:t>Mainstreaming</w:t>
      </w:r>
      <w:bookmarkEnd w:id="193"/>
      <w:bookmarkEnd w:id="194"/>
      <w:bookmarkEnd w:id="195"/>
      <w:bookmarkEnd w:id="196"/>
      <w:r w:rsidRPr="00E214AA">
        <w:rPr>
          <w:color w:val="000000" w:themeColor="text1"/>
          <w:lang w:val="en-IE"/>
        </w:rPr>
        <w:t xml:space="preserve"> </w:t>
      </w:r>
    </w:p>
    <w:p w14:paraId="55E75344" w14:textId="77777777" w:rsidR="00C60BF9" w:rsidRDefault="00C60BF9" w:rsidP="00B6363B">
      <w:pPr>
        <w:spacing w:before="120"/>
        <w:ind w:left="142"/>
        <w:jc w:val="both"/>
        <w:rPr>
          <w:b/>
          <w:color w:val="0D0D0D" w:themeColor="text1" w:themeTint="F2"/>
          <w:lang w:val="en-IE"/>
        </w:rPr>
      </w:pPr>
      <w:r w:rsidRPr="003C0CD7">
        <w:rPr>
          <w:b/>
          <w:color w:val="0D0D0D" w:themeColor="text1" w:themeTint="F2"/>
          <w:lang w:val="en-IE"/>
        </w:rPr>
        <w:t>Environmental Protection, Climate Change and Biodiversity</w:t>
      </w:r>
    </w:p>
    <w:p w14:paraId="3DDD1F58" w14:textId="4327A1E8" w:rsidR="0059149A" w:rsidRDefault="00D44DD7" w:rsidP="00B6363B">
      <w:pPr>
        <w:spacing w:before="120"/>
        <w:ind w:left="142"/>
        <w:jc w:val="both"/>
        <w:rPr>
          <w:color w:val="0D0D0D" w:themeColor="text1" w:themeTint="F2"/>
          <w:lang w:val="en-IE"/>
        </w:rPr>
      </w:pPr>
      <w:r w:rsidRPr="247BFA05">
        <w:rPr>
          <w:color w:val="0D0D0D" w:themeColor="text1" w:themeTint="F2"/>
          <w:lang w:val="en-IE"/>
        </w:rPr>
        <w:t xml:space="preserve">As part of a broader obligation to sustainable development, the EU is committed to </w:t>
      </w:r>
      <w:r w:rsidR="00177C44" w:rsidRPr="247BFA05">
        <w:rPr>
          <w:color w:val="0D0D0D" w:themeColor="text1" w:themeTint="F2"/>
          <w:lang w:val="en-IE"/>
        </w:rPr>
        <w:t>addressing</w:t>
      </w:r>
      <w:r w:rsidRPr="247BFA05">
        <w:rPr>
          <w:color w:val="0D0D0D" w:themeColor="text1" w:themeTint="F2"/>
          <w:lang w:val="en-IE"/>
        </w:rPr>
        <w:t xml:space="preserve"> environmental concerns in its assistance programmes. This Action does not pursue specific environmental and climate change objectives. Still, its implementation will </w:t>
      </w:r>
      <w:r w:rsidR="00A07AF2" w:rsidRPr="247BFA05">
        <w:rPr>
          <w:color w:val="0D0D0D" w:themeColor="text1" w:themeTint="F2"/>
          <w:lang w:val="en-IE"/>
        </w:rPr>
        <w:t>address environmental challenges concerning pollution and energy efficiency. Promoting tobacco-free public spaces</w:t>
      </w:r>
      <w:r w:rsidR="0059149A" w:rsidRPr="247BFA05">
        <w:rPr>
          <w:color w:val="0D0D0D" w:themeColor="text1" w:themeTint="F2"/>
          <w:lang w:val="en-IE"/>
        </w:rPr>
        <w:t xml:space="preserve"> and </w:t>
      </w:r>
      <w:r w:rsidR="00A07AF2" w:rsidRPr="247BFA05">
        <w:rPr>
          <w:color w:val="0D0D0D" w:themeColor="text1" w:themeTint="F2"/>
          <w:lang w:val="en-IE"/>
        </w:rPr>
        <w:t xml:space="preserve">a </w:t>
      </w:r>
      <w:r w:rsidR="0059149A" w:rsidRPr="247BFA05">
        <w:rPr>
          <w:color w:val="0D0D0D" w:themeColor="text1" w:themeTint="F2"/>
          <w:lang w:val="en-IE"/>
        </w:rPr>
        <w:t xml:space="preserve">healthier </w:t>
      </w:r>
      <w:r w:rsidR="00A07AF2" w:rsidRPr="247BFA05">
        <w:rPr>
          <w:color w:val="0D0D0D" w:themeColor="text1" w:themeTint="F2"/>
          <w:lang w:val="en-IE"/>
        </w:rPr>
        <w:t>lifestyle</w:t>
      </w:r>
      <w:r w:rsidR="0059149A" w:rsidRPr="247BFA05">
        <w:rPr>
          <w:color w:val="0D0D0D" w:themeColor="text1" w:themeTint="F2"/>
          <w:lang w:val="en-IE"/>
        </w:rPr>
        <w:t xml:space="preserve"> will support the change in the </w:t>
      </w:r>
      <w:r w:rsidR="00A07AF2" w:rsidRPr="247BFA05">
        <w:rPr>
          <w:color w:val="0D0D0D" w:themeColor="text1" w:themeTint="F2"/>
          <w:lang w:val="en-IE"/>
        </w:rPr>
        <w:t>mindset</w:t>
      </w:r>
      <w:r w:rsidR="0059149A" w:rsidRPr="247BFA05">
        <w:rPr>
          <w:color w:val="0D0D0D" w:themeColor="text1" w:themeTint="F2"/>
          <w:lang w:val="en-IE"/>
        </w:rPr>
        <w:t xml:space="preserve"> and gradual shift to a more conscientious beh</w:t>
      </w:r>
      <w:r w:rsidR="00D27A4D" w:rsidRPr="247BFA05">
        <w:rPr>
          <w:color w:val="0D0D0D" w:themeColor="text1" w:themeTint="F2"/>
          <w:lang w:val="en-IE"/>
        </w:rPr>
        <w:t>aviour towards the environment. This will be paired with</w:t>
      </w:r>
      <w:r w:rsidRPr="247BFA05">
        <w:rPr>
          <w:color w:val="0D0D0D" w:themeColor="text1" w:themeTint="F2"/>
          <w:lang w:val="en-IE"/>
        </w:rPr>
        <w:t xml:space="preserve"> </w:t>
      </w:r>
      <w:r w:rsidR="00D27A4D" w:rsidRPr="247BFA05">
        <w:rPr>
          <w:color w:val="0D0D0D" w:themeColor="text1" w:themeTint="F2"/>
          <w:lang w:val="en-IE"/>
        </w:rPr>
        <w:t xml:space="preserve">investment in </w:t>
      </w:r>
      <w:r w:rsidRPr="247BFA05">
        <w:rPr>
          <w:color w:val="0D0D0D" w:themeColor="text1" w:themeTint="F2"/>
          <w:lang w:val="en-IE"/>
        </w:rPr>
        <w:t>digitalisation</w:t>
      </w:r>
      <w:r w:rsidR="00D27A4D" w:rsidRPr="247BFA05">
        <w:rPr>
          <w:color w:val="0D0D0D" w:themeColor="text1" w:themeTint="F2"/>
          <w:lang w:val="en-IE"/>
        </w:rPr>
        <w:t xml:space="preserve"> and </w:t>
      </w:r>
      <w:r w:rsidR="00A07AF2" w:rsidRPr="247BFA05">
        <w:rPr>
          <w:color w:val="0D0D0D" w:themeColor="text1" w:themeTint="F2"/>
          <w:lang w:val="en-IE"/>
        </w:rPr>
        <w:t>purchasing</w:t>
      </w:r>
      <w:r w:rsidR="00D27A4D" w:rsidRPr="247BFA05">
        <w:rPr>
          <w:color w:val="0D0D0D" w:themeColor="text1" w:themeTint="F2"/>
          <w:lang w:val="en-IE"/>
        </w:rPr>
        <w:t xml:space="preserve"> ambulances, materials and equipment compliant with the EU environmental standards (i.e.</w:t>
      </w:r>
      <w:r w:rsidR="0059149A" w:rsidRPr="247BFA05">
        <w:rPr>
          <w:color w:val="0D0D0D" w:themeColor="text1" w:themeTint="F2"/>
          <w:lang w:val="en-IE"/>
        </w:rPr>
        <w:t xml:space="preserve"> EURO 6 </w:t>
      </w:r>
      <w:r w:rsidR="00D27A4D" w:rsidRPr="247BFA05">
        <w:rPr>
          <w:color w:val="0D0D0D" w:themeColor="text1" w:themeTint="F2"/>
          <w:lang w:val="en-IE"/>
        </w:rPr>
        <w:t xml:space="preserve">for the ambulances). </w:t>
      </w:r>
      <w:r w:rsidR="00C30790" w:rsidRPr="00741D16">
        <w:rPr>
          <w:color w:val="0D0D0D" w:themeColor="text1" w:themeTint="F2"/>
          <w:lang w:val="en-IE"/>
        </w:rPr>
        <w:t>The Action will be an important reference during planned North Macedonia’s preparation of the National Adaptation Plan with health as a sector of focus, thus contributing to the country’s Nationally Determined Contributions (NDC).</w:t>
      </w:r>
    </w:p>
    <w:p w14:paraId="4D706774" w14:textId="47B8FE86" w:rsidR="00C60BF9" w:rsidRDefault="00C60BF9" w:rsidP="00B6363B">
      <w:pPr>
        <w:spacing w:before="120"/>
        <w:ind w:left="142"/>
        <w:jc w:val="both"/>
        <w:rPr>
          <w:b/>
          <w:color w:val="0D0D0D" w:themeColor="text1" w:themeTint="F2"/>
          <w:lang w:val="en-IE"/>
        </w:rPr>
      </w:pPr>
      <w:r w:rsidRPr="003C0CD7">
        <w:rPr>
          <w:b/>
          <w:color w:val="0D0D0D" w:themeColor="text1" w:themeTint="F2"/>
          <w:lang w:val="en-IE"/>
        </w:rPr>
        <w:t>Gender equality and empowerment of women and girls</w:t>
      </w:r>
    </w:p>
    <w:p w14:paraId="2FB75183" w14:textId="18B52803" w:rsidR="00C60BF9" w:rsidRPr="00564C6F" w:rsidRDefault="00C60BF9" w:rsidP="00B6363B">
      <w:pPr>
        <w:spacing w:before="120"/>
        <w:ind w:left="142"/>
        <w:jc w:val="both"/>
      </w:pPr>
      <w:r w:rsidRPr="003C0CD7">
        <w:rPr>
          <w:lang w:val="en-IE"/>
        </w:rPr>
        <w:t xml:space="preserve">As per OECD Gender DAC codes identified in section 1.1, this action is labelled as </w:t>
      </w:r>
      <w:r w:rsidR="0029605E" w:rsidRPr="00D27A4D">
        <w:rPr>
          <w:lang w:val="en-IE"/>
        </w:rPr>
        <w:t>G1</w:t>
      </w:r>
      <w:r w:rsidRPr="003C0CD7">
        <w:rPr>
          <w:lang w:val="en-IE"/>
        </w:rPr>
        <w:t xml:space="preserve">. This implies that </w:t>
      </w:r>
      <w:r w:rsidR="00A44224">
        <w:rPr>
          <w:bCs/>
          <w:color w:val="0D0D0D" w:themeColor="text1" w:themeTint="F2"/>
          <w:lang w:val="en-IE"/>
        </w:rPr>
        <w:t>t</w:t>
      </w:r>
      <w:r w:rsidR="00A44224" w:rsidRPr="00B44FA6">
        <w:rPr>
          <w:bCs/>
          <w:color w:val="0D0D0D" w:themeColor="text1" w:themeTint="F2"/>
          <w:lang w:val="en-IE"/>
        </w:rPr>
        <w:t>he Action</w:t>
      </w:r>
      <w:r w:rsidR="00A44224">
        <w:rPr>
          <w:bCs/>
          <w:color w:val="0D0D0D" w:themeColor="text1" w:themeTint="F2"/>
          <w:lang w:val="en-IE"/>
        </w:rPr>
        <w:t xml:space="preserve"> is gender-sensitive. </w:t>
      </w:r>
      <w:r w:rsidR="00FA7E56">
        <w:rPr>
          <w:bCs/>
          <w:color w:val="0D0D0D" w:themeColor="text1" w:themeTint="F2"/>
          <w:lang w:val="en-IE"/>
        </w:rPr>
        <w:t xml:space="preserve">The </w:t>
      </w:r>
      <w:r w:rsidR="00FA7E56">
        <w:t>WHO/Europe assessment of North Macedonia has identified important gender equity gaps in the health system</w:t>
      </w:r>
      <w:r w:rsidR="00FA7E56">
        <w:rPr>
          <w:rStyle w:val="FootnoteReference"/>
          <w:bCs/>
          <w:color w:val="0D0D0D" w:themeColor="text1" w:themeTint="F2"/>
          <w:lang w:val="en-IE"/>
        </w:rPr>
        <w:footnoteReference w:id="24"/>
      </w:r>
      <w:r w:rsidR="00FA7E56">
        <w:rPr>
          <w:lang w:val="en-IE"/>
        </w:rPr>
        <w:t xml:space="preserve">, starting from the lack of </w:t>
      </w:r>
      <w:r w:rsidR="008B430D">
        <w:rPr>
          <w:lang w:val="en-IE"/>
        </w:rPr>
        <w:t xml:space="preserve">a </w:t>
      </w:r>
      <w:r w:rsidR="0077134E">
        <w:rPr>
          <w:lang w:val="en-IE"/>
        </w:rPr>
        <w:t xml:space="preserve">systemic approach to collecting </w:t>
      </w:r>
      <w:r w:rsidR="008B430D">
        <w:rPr>
          <w:lang w:val="en-IE"/>
        </w:rPr>
        <w:t>sex-disaggregated</w:t>
      </w:r>
      <w:r w:rsidR="0077134E">
        <w:rPr>
          <w:lang w:val="en-IE"/>
        </w:rPr>
        <w:t xml:space="preserve"> data through </w:t>
      </w:r>
      <w:r w:rsidR="00036495">
        <w:t>healthcare</w:t>
      </w:r>
      <w:r w:rsidR="0077134E">
        <w:t xml:space="preserve"> coverage and </w:t>
      </w:r>
      <w:r w:rsidR="00C83AF8">
        <w:t>reaching</w:t>
      </w:r>
      <w:r w:rsidR="0077134E">
        <w:t xml:space="preserve"> to discriminative practices. </w:t>
      </w:r>
      <w:r w:rsidR="0077134E" w:rsidRPr="00FA7E56">
        <w:t xml:space="preserve">Gender-based violence, unintended pregnancies, early and forced marriage, </w:t>
      </w:r>
      <w:r w:rsidR="008B430D">
        <w:t xml:space="preserve">and </w:t>
      </w:r>
      <w:r w:rsidR="004E53CC" w:rsidRPr="00FA7E56">
        <w:t xml:space="preserve">harmful </w:t>
      </w:r>
      <w:r w:rsidR="004E53CC">
        <w:t xml:space="preserve">gender norms </w:t>
      </w:r>
      <w:r w:rsidR="0077134E">
        <w:t xml:space="preserve">make girls and women more frequent </w:t>
      </w:r>
      <w:r w:rsidR="008B430D">
        <w:t>healthcare system users</w:t>
      </w:r>
      <w:r w:rsidR="004E53CC">
        <w:t xml:space="preserve"> or push them to take </w:t>
      </w:r>
      <w:r w:rsidR="004E53CC" w:rsidRPr="00FA7E56">
        <w:t>health risks a</w:t>
      </w:r>
      <w:r w:rsidR="004E53CC">
        <w:t>nd not seek help or health care in time, aggravating their health status. Improving the health care system is</w:t>
      </w:r>
      <w:r w:rsidR="008B430D">
        <w:t>,</w:t>
      </w:r>
      <w:r w:rsidR="004E53CC">
        <w:t xml:space="preserve"> therefore</w:t>
      </w:r>
      <w:r w:rsidR="008B430D">
        <w:t>, for</w:t>
      </w:r>
      <w:r w:rsidR="0050120E">
        <w:t xml:space="preserve"> the benefit of the women of North Macedonia, who </w:t>
      </w:r>
      <w:r w:rsidR="00564C6F">
        <w:t xml:space="preserve">would benefit most </w:t>
      </w:r>
      <w:r w:rsidR="008B430D">
        <w:t>from</w:t>
      </w:r>
      <w:r w:rsidR="00564C6F">
        <w:t xml:space="preserve"> an equitable</w:t>
      </w:r>
      <w:r w:rsidR="008B430D">
        <w:t>,</w:t>
      </w:r>
      <w:r w:rsidR="00564C6F">
        <w:t xml:space="preserve"> </w:t>
      </w:r>
      <w:r w:rsidR="008B430D">
        <w:t>adequate</w:t>
      </w:r>
      <w:r w:rsidR="00564C6F">
        <w:t xml:space="preserve"> health care system. In addition, the Action </w:t>
      </w:r>
      <w:r w:rsidR="00C83AF8">
        <w:t>also invests</w:t>
      </w:r>
      <w:r w:rsidR="00564C6F">
        <w:t xml:space="preserve"> in health sector reforms by</w:t>
      </w:r>
      <w:r w:rsidR="00CD2A21" w:rsidRPr="00CD2A21">
        <w:t xml:space="preserve"> </w:t>
      </w:r>
      <w:r w:rsidR="00CD2A21">
        <w:t>strengthening policy making and monitoring the health reforms (including disaggregated data in the e-health system</w:t>
      </w:r>
      <w:r w:rsidR="00E16740">
        <w:t>) and</w:t>
      </w:r>
      <w:r w:rsidR="00CD2A21">
        <w:t xml:space="preserve"> </w:t>
      </w:r>
      <w:r w:rsidR="00564C6F">
        <w:t xml:space="preserve">improving </w:t>
      </w:r>
      <w:r w:rsidR="008B430D">
        <w:t>health workers' employment conditions and efficiency, primarily</w:t>
      </w:r>
      <w:r w:rsidR="00564C6F">
        <w:t xml:space="preserve"> women</w:t>
      </w:r>
      <w:r w:rsidR="00CD2A21">
        <w:t>.</w:t>
      </w:r>
      <w:r w:rsidR="00564C6F">
        <w:t xml:space="preserve"> </w:t>
      </w:r>
    </w:p>
    <w:p w14:paraId="0863B59E" w14:textId="0ADD2307" w:rsidR="0006347F" w:rsidRDefault="00C60BF9" w:rsidP="00B6363B">
      <w:pPr>
        <w:spacing w:before="120"/>
        <w:ind w:left="142"/>
        <w:jc w:val="both"/>
        <w:rPr>
          <w:color w:val="0D0D0D" w:themeColor="text1" w:themeTint="F2"/>
          <w:lang w:val="en-IE"/>
        </w:rPr>
      </w:pPr>
      <w:r w:rsidRPr="003C0CD7">
        <w:rPr>
          <w:b/>
          <w:color w:val="0D0D0D" w:themeColor="text1" w:themeTint="F2"/>
          <w:lang w:val="en-IE"/>
        </w:rPr>
        <w:t xml:space="preserve">Human Rights </w:t>
      </w:r>
    </w:p>
    <w:p w14:paraId="052CA41A" w14:textId="469488F5" w:rsidR="00374295" w:rsidRDefault="00A44224" w:rsidP="00B6363B">
      <w:pPr>
        <w:spacing w:before="120"/>
        <w:ind w:left="142"/>
        <w:jc w:val="both"/>
        <w:rPr>
          <w:bCs/>
          <w:color w:val="0D0D0D" w:themeColor="text1" w:themeTint="F2"/>
          <w:lang w:val="en-IE"/>
        </w:rPr>
      </w:pPr>
      <w:r w:rsidRPr="00A44224">
        <w:rPr>
          <w:bCs/>
          <w:color w:val="0D0D0D" w:themeColor="text1" w:themeTint="F2"/>
          <w:lang w:val="en-IE"/>
        </w:rPr>
        <w:lastRenderedPageBreak/>
        <w:t xml:space="preserve">North Macedonia is committed to being a reliable partner in the implementation of the EU Action Plan on Human Rights and Democracy 2020-2024, which sets out the priorities of the EU and its Member States </w:t>
      </w:r>
      <w:r w:rsidR="00374295" w:rsidRPr="00A44224">
        <w:rPr>
          <w:bCs/>
          <w:color w:val="0D0D0D" w:themeColor="text1" w:themeTint="F2"/>
          <w:lang w:val="en-IE"/>
        </w:rPr>
        <w:t xml:space="preserve">on human rights </w:t>
      </w:r>
      <w:r w:rsidRPr="00A44224">
        <w:rPr>
          <w:bCs/>
          <w:color w:val="0D0D0D" w:themeColor="text1" w:themeTint="F2"/>
          <w:lang w:val="en-IE"/>
        </w:rPr>
        <w:t>in relations with third countries</w:t>
      </w:r>
      <w:r w:rsidR="00374295">
        <w:rPr>
          <w:bCs/>
          <w:color w:val="0D0D0D" w:themeColor="text1" w:themeTint="F2"/>
          <w:lang w:val="en-IE"/>
        </w:rPr>
        <w:t xml:space="preserve"> and </w:t>
      </w:r>
      <w:r w:rsidR="00374295" w:rsidRPr="00A44224">
        <w:rPr>
          <w:bCs/>
          <w:color w:val="0D0D0D" w:themeColor="text1" w:themeTint="F2"/>
          <w:lang w:val="en-IE"/>
        </w:rPr>
        <w:t xml:space="preserve">the 2030 Agenda for Sustainable Development and Universal Health Coverage. </w:t>
      </w:r>
      <w:r w:rsidRPr="00A44224">
        <w:rPr>
          <w:bCs/>
          <w:color w:val="0D0D0D" w:themeColor="text1" w:themeTint="F2"/>
          <w:lang w:val="en-IE"/>
        </w:rPr>
        <w:t xml:space="preserve">The Action will support the government </w:t>
      </w:r>
      <w:r w:rsidR="00374295">
        <w:rPr>
          <w:bCs/>
          <w:color w:val="0D0D0D" w:themeColor="text1" w:themeTint="F2"/>
          <w:lang w:val="en-IE"/>
        </w:rPr>
        <w:t>to</w:t>
      </w:r>
      <w:r w:rsidRPr="00A44224">
        <w:rPr>
          <w:bCs/>
          <w:color w:val="0D0D0D" w:themeColor="text1" w:themeTint="F2"/>
          <w:lang w:val="en-IE"/>
        </w:rPr>
        <w:t xml:space="preserve"> </w:t>
      </w:r>
      <w:r w:rsidR="00CD2A21">
        <w:rPr>
          <w:bCs/>
          <w:color w:val="0D0D0D" w:themeColor="text1" w:themeTint="F2"/>
          <w:lang w:val="en-IE"/>
        </w:rPr>
        <w:t>reinforc</w:t>
      </w:r>
      <w:r w:rsidR="00374295">
        <w:rPr>
          <w:bCs/>
          <w:color w:val="0D0D0D" w:themeColor="text1" w:themeTint="F2"/>
          <w:lang w:val="en-IE"/>
        </w:rPr>
        <w:t>e</w:t>
      </w:r>
      <w:r w:rsidR="00CD2A21">
        <w:rPr>
          <w:bCs/>
          <w:color w:val="0D0D0D" w:themeColor="text1" w:themeTint="F2"/>
          <w:lang w:val="en-IE"/>
        </w:rPr>
        <w:t xml:space="preserve"> </w:t>
      </w:r>
      <w:r w:rsidRPr="00A44224">
        <w:rPr>
          <w:bCs/>
          <w:color w:val="0D0D0D" w:themeColor="text1" w:themeTint="F2"/>
          <w:lang w:val="en-IE"/>
        </w:rPr>
        <w:t>the right to health care</w:t>
      </w:r>
      <w:r w:rsidR="00CD2A21">
        <w:rPr>
          <w:bCs/>
          <w:color w:val="0D0D0D" w:themeColor="text1" w:themeTint="F2"/>
          <w:lang w:val="en-IE"/>
        </w:rPr>
        <w:t xml:space="preserve"> for all, </w:t>
      </w:r>
      <w:r w:rsidRPr="00A44224">
        <w:rPr>
          <w:bCs/>
          <w:color w:val="0D0D0D" w:themeColor="text1" w:themeTint="F2"/>
          <w:lang w:val="en-IE"/>
        </w:rPr>
        <w:t xml:space="preserve">paying particular </w:t>
      </w:r>
      <w:r w:rsidR="00CD2A21">
        <w:rPr>
          <w:bCs/>
          <w:color w:val="0D0D0D" w:themeColor="text1" w:themeTint="F2"/>
          <w:lang w:val="en-IE"/>
        </w:rPr>
        <w:t>attention to the needs of th</w:t>
      </w:r>
      <w:r w:rsidR="00332D55">
        <w:rPr>
          <w:bCs/>
          <w:color w:val="0D0D0D" w:themeColor="text1" w:themeTint="F2"/>
          <w:lang w:val="en-IE"/>
        </w:rPr>
        <w:t xml:space="preserve">ose </w:t>
      </w:r>
      <w:r w:rsidR="008B430D">
        <w:rPr>
          <w:bCs/>
          <w:color w:val="0D0D0D" w:themeColor="text1" w:themeTint="F2"/>
          <w:lang w:val="en-IE"/>
        </w:rPr>
        <w:t xml:space="preserve">at </w:t>
      </w:r>
      <w:r w:rsidR="00332D55">
        <w:rPr>
          <w:bCs/>
          <w:color w:val="0D0D0D" w:themeColor="text1" w:themeTint="F2"/>
          <w:lang w:val="en-IE"/>
        </w:rPr>
        <w:t xml:space="preserve">risk of poverty, </w:t>
      </w:r>
      <w:r w:rsidR="008B430D">
        <w:rPr>
          <w:bCs/>
          <w:color w:val="0D0D0D" w:themeColor="text1" w:themeTint="F2"/>
          <w:lang w:val="en-IE"/>
        </w:rPr>
        <w:t>representing</w:t>
      </w:r>
      <w:r w:rsidR="00332D55">
        <w:rPr>
          <w:bCs/>
          <w:color w:val="0D0D0D" w:themeColor="text1" w:themeTint="F2"/>
          <w:lang w:val="en-IE"/>
        </w:rPr>
        <w:t xml:space="preserve"> 40% of the country’s population</w:t>
      </w:r>
      <w:r w:rsidR="00332D55">
        <w:rPr>
          <w:rStyle w:val="FootnoteReference"/>
        </w:rPr>
        <w:footnoteReference w:id="25"/>
      </w:r>
      <w:r w:rsidR="00332D55">
        <w:rPr>
          <w:bCs/>
          <w:color w:val="0D0D0D" w:themeColor="text1" w:themeTint="F2"/>
          <w:lang w:val="en-IE"/>
        </w:rPr>
        <w:t xml:space="preserve">. These </w:t>
      </w:r>
      <w:r w:rsidR="008B430D">
        <w:rPr>
          <w:bCs/>
          <w:color w:val="0D0D0D" w:themeColor="text1" w:themeTint="F2"/>
          <w:lang w:val="en-IE"/>
        </w:rPr>
        <w:t>people</w:t>
      </w:r>
      <w:r w:rsidR="00374295">
        <w:rPr>
          <w:bCs/>
          <w:color w:val="0D0D0D" w:themeColor="text1" w:themeTint="F2"/>
          <w:lang w:val="en-IE"/>
        </w:rPr>
        <w:t xml:space="preserve"> face </w:t>
      </w:r>
      <w:r w:rsidR="00374295">
        <w:t xml:space="preserve">financial insecurity, poor living conditions, gender inequality, </w:t>
      </w:r>
      <w:r w:rsidR="00707383">
        <w:t>and in</w:t>
      </w:r>
      <w:r w:rsidR="00374295">
        <w:t xml:space="preserve">secure employment. </w:t>
      </w:r>
      <w:r w:rsidR="00707383">
        <w:t xml:space="preserve">The majority are located in rural and remote areas. </w:t>
      </w:r>
      <w:r w:rsidRPr="00A44224">
        <w:rPr>
          <w:bCs/>
          <w:color w:val="0D0D0D" w:themeColor="text1" w:themeTint="F2"/>
          <w:lang w:val="en-IE"/>
        </w:rPr>
        <w:t xml:space="preserve">The </w:t>
      </w:r>
      <w:r w:rsidR="00374295">
        <w:rPr>
          <w:bCs/>
          <w:color w:val="0D0D0D" w:themeColor="text1" w:themeTint="F2"/>
          <w:lang w:val="en-IE"/>
        </w:rPr>
        <w:t xml:space="preserve">intended improvements in </w:t>
      </w:r>
      <w:r w:rsidRPr="00A44224">
        <w:rPr>
          <w:bCs/>
          <w:color w:val="0D0D0D" w:themeColor="text1" w:themeTint="F2"/>
          <w:lang w:val="en-IE"/>
        </w:rPr>
        <w:t>emergency medical services</w:t>
      </w:r>
      <w:r w:rsidR="00374295" w:rsidRPr="00374295">
        <w:t xml:space="preserve"> </w:t>
      </w:r>
      <w:r w:rsidR="00332D55">
        <w:t xml:space="preserve">and the enhanced digitalisation </w:t>
      </w:r>
      <w:r w:rsidR="00374295">
        <w:t>will support the</w:t>
      </w:r>
      <w:r w:rsidR="00707383">
        <w:t>se</w:t>
      </w:r>
      <w:r w:rsidR="00374295">
        <w:t xml:space="preserve"> citizens and families</w:t>
      </w:r>
      <w:r w:rsidR="00707383">
        <w:t>, as well as people with acute or</w:t>
      </w:r>
      <w:r w:rsidR="00374295">
        <w:t xml:space="preserve"> </w:t>
      </w:r>
      <w:r w:rsidR="00707383">
        <w:t xml:space="preserve">chronic conditions </w:t>
      </w:r>
      <w:r w:rsidR="00332D55">
        <w:t>obtain adequate medical care</w:t>
      </w:r>
      <w:r w:rsidR="00707383">
        <w:t xml:space="preserve"> and </w:t>
      </w:r>
      <w:r w:rsidR="00374295">
        <w:t>escape health inequities.</w:t>
      </w:r>
    </w:p>
    <w:p w14:paraId="079376A9" w14:textId="34F89BBA" w:rsidR="00C60BF9" w:rsidRDefault="00C60BF9" w:rsidP="00B6363B">
      <w:pPr>
        <w:spacing w:before="120"/>
        <w:ind w:left="142"/>
        <w:jc w:val="both"/>
        <w:rPr>
          <w:color w:val="0D0D0D" w:themeColor="text1" w:themeTint="F2"/>
          <w:lang w:val="en-IE"/>
        </w:rPr>
      </w:pPr>
      <w:r w:rsidRPr="003C0CD7">
        <w:rPr>
          <w:b/>
          <w:color w:val="0D0D0D" w:themeColor="text1" w:themeTint="F2"/>
          <w:lang w:val="en-IE"/>
        </w:rPr>
        <w:t xml:space="preserve">Disability </w:t>
      </w:r>
    </w:p>
    <w:p w14:paraId="442118ED" w14:textId="4152FD71" w:rsidR="00A44224" w:rsidRPr="000634A9" w:rsidRDefault="00C60BF9" w:rsidP="00B6363B">
      <w:pPr>
        <w:spacing w:before="120"/>
        <w:ind w:left="142"/>
        <w:jc w:val="both"/>
        <w:rPr>
          <w:bCs/>
          <w:color w:val="0D0D0D" w:themeColor="text1" w:themeTint="F2"/>
          <w:lang w:val="en-IE"/>
        </w:rPr>
      </w:pPr>
      <w:r w:rsidRPr="003C0CD7">
        <w:rPr>
          <w:lang w:val="en-IE"/>
        </w:rPr>
        <w:t xml:space="preserve">As per OECD Disability DAC codes identified in section 1.1, this action is labelled as </w:t>
      </w:r>
      <w:r w:rsidRPr="00B6363B">
        <w:rPr>
          <w:lang w:val="en-IE"/>
        </w:rPr>
        <w:t>D2</w:t>
      </w:r>
      <w:r w:rsidRPr="003C0CD7">
        <w:rPr>
          <w:lang w:val="en-IE"/>
        </w:rPr>
        <w:t>. This implies that</w:t>
      </w:r>
      <w:r w:rsidRPr="00A44224">
        <w:rPr>
          <w:color w:val="0D0D0D" w:themeColor="text1" w:themeTint="F2"/>
          <w:lang w:val="en-IE"/>
        </w:rPr>
        <w:t xml:space="preserve"> </w:t>
      </w:r>
      <w:r w:rsidR="00A44224">
        <w:rPr>
          <w:bCs/>
          <w:color w:val="0D0D0D" w:themeColor="text1" w:themeTint="F2"/>
          <w:lang w:val="en-IE"/>
        </w:rPr>
        <w:t>t</w:t>
      </w:r>
      <w:r w:rsidR="00A44224" w:rsidRPr="001A6BFC">
        <w:rPr>
          <w:bCs/>
          <w:color w:val="0D0D0D" w:themeColor="text1" w:themeTint="F2"/>
          <w:lang w:val="en-IE"/>
        </w:rPr>
        <w:t xml:space="preserve">his </w:t>
      </w:r>
      <w:r w:rsidR="00A44224">
        <w:rPr>
          <w:bCs/>
          <w:color w:val="0D0D0D" w:themeColor="text1" w:themeTint="F2"/>
          <w:lang w:val="en-IE"/>
        </w:rPr>
        <w:t>A</w:t>
      </w:r>
      <w:r w:rsidR="00A44224" w:rsidRPr="001A6BFC">
        <w:rPr>
          <w:bCs/>
          <w:color w:val="0D0D0D" w:themeColor="text1" w:themeTint="F2"/>
          <w:lang w:val="en-IE"/>
        </w:rPr>
        <w:t>ction will improve the health and living standards and the medical services for the citizens of North Macedonia, particularly for the most disadvantaged people, notable people with disabilities, vulnerable people, and other disadvantaged groups, who are the primary users of social and health services. Moreover, investing in health care will add to the prevention of disabilities in the country.</w:t>
      </w:r>
    </w:p>
    <w:p w14:paraId="09E64B7A" w14:textId="0D583241" w:rsidR="00C60BF9" w:rsidRDefault="00A44224" w:rsidP="00B6363B">
      <w:pPr>
        <w:spacing w:before="120"/>
        <w:ind w:left="142"/>
        <w:jc w:val="both"/>
        <w:rPr>
          <w:color w:val="0D0D0D" w:themeColor="text1" w:themeTint="F2"/>
          <w:lang w:val="en-IE"/>
        </w:rPr>
      </w:pPr>
      <w:r>
        <w:rPr>
          <w:b/>
          <w:color w:val="0D0D0D" w:themeColor="text1" w:themeTint="F2"/>
          <w:lang w:val="en-IE"/>
        </w:rPr>
        <w:t>Civil Society</w:t>
      </w:r>
    </w:p>
    <w:p w14:paraId="29290188" w14:textId="2DF90482" w:rsidR="00A44224" w:rsidRPr="003C0CD7" w:rsidRDefault="00A44224" w:rsidP="00B6363B">
      <w:pPr>
        <w:spacing w:before="120"/>
        <w:ind w:left="142"/>
        <w:jc w:val="both"/>
        <w:rPr>
          <w:lang w:val="en-IE"/>
        </w:rPr>
      </w:pPr>
      <w:r w:rsidRPr="00576EBD">
        <w:rPr>
          <w:color w:val="0D0D0D" w:themeColor="text1" w:themeTint="F2"/>
          <w:lang w:val="en-IE"/>
        </w:rPr>
        <w:t>This Action has been developed in an inclusive process involving civil society as a part of the established sector policy dialogue. This approach will also apply in the next stage, as civil society organisations are</w:t>
      </w:r>
      <w:r>
        <w:rPr>
          <w:color w:val="0D0D0D" w:themeColor="text1" w:themeTint="F2"/>
          <w:lang w:val="en-IE"/>
        </w:rPr>
        <w:t xml:space="preserve"> </w:t>
      </w:r>
      <w:r w:rsidRPr="00576EBD">
        <w:rPr>
          <w:color w:val="0D0D0D" w:themeColor="text1" w:themeTint="F2"/>
          <w:lang w:val="en-IE"/>
        </w:rPr>
        <w:t>part of the Sector Working Groups (SWG), channelling the policy dialogue on sector priorities, IPA programming and reporting.</w:t>
      </w:r>
      <w:r w:rsidR="00707383">
        <w:rPr>
          <w:color w:val="0D0D0D" w:themeColor="text1" w:themeTint="F2"/>
          <w:lang w:val="en-IE"/>
        </w:rPr>
        <w:t xml:space="preserve"> Moreover, the participation of civil society is important for promoting a new health culture and life style, compliant with the EU environmental norms. </w:t>
      </w:r>
    </w:p>
    <w:p w14:paraId="54BDE876" w14:textId="77777777" w:rsidR="00C60BF9" w:rsidRPr="003C0CD7" w:rsidRDefault="00C60BF9" w:rsidP="00C60BF9">
      <w:pPr>
        <w:pStyle w:val="Heading1"/>
        <w:numPr>
          <w:ilvl w:val="1"/>
          <w:numId w:val="1"/>
        </w:numPr>
        <w:rPr>
          <w:lang w:val="en-IE"/>
        </w:rPr>
      </w:pPr>
      <w:bookmarkStart w:id="200" w:name="_Toc73090755"/>
      <w:r w:rsidRPr="003C0CD7">
        <w:rPr>
          <w:lang w:val="en-IE"/>
        </w:rPr>
        <w:t>Risks</w:t>
      </w:r>
      <w:bookmarkEnd w:id="197"/>
      <w:bookmarkEnd w:id="198"/>
      <w:bookmarkEnd w:id="199"/>
      <w:bookmarkEnd w:id="200"/>
      <w:r w:rsidRPr="003C0CD7">
        <w:rPr>
          <w:lang w:val="en-IE"/>
        </w:rPr>
        <w:t xml:space="preserve"> and </w:t>
      </w:r>
      <w:r w:rsidR="00653DDC">
        <w:rPr>
          <w:lang w:val="en-IE"/>
        </w:rPr>
        <w:t>Assumptions</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417"/>
        <w:gridCol w:w="1276"/>
        <w:gridCol w:w="3544"/>
      </w:tblGrid>
      <w:tr w:rsidR="009C2D8B" w:rsidRPr="008704EA" w14:paraId="6E5ED7BA" w14:textId="77777777" w:rsidTr="00EA763F">
        <w:trPr>
          <w:trHeight w:val="757"/>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8420D" w14:textId="4E65AB7F" w:rsidR="009C2D8B" w:rsidRPr="003C0CD7" w:rsidRDefault="009C2D8B" w:rsidP="007C0CF8">
            <w:pPr>
              <w:jc w:val="center"/>
              <w:rPr>
                <w:b/>
                <w:lang w:val="en-IE"/>
              </w:rPr>
            </w:pPr>
            <w:r w:rsidRPr="003C0CD7">
              <w:rPr>
                <w:b/>
                <w:lang w:val="en-IE"/>
              </w:rPr>
              <w:t>Category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AA451" w14:textId="620BB654" w:rsidR="009C2D8B" w:rsidRPr="003C0CD7" w:rsidRDefault="009C2D8B" w:rsidP="007C0CF8">
            <w:pPr>
              <w:jc w:val="center"/>
              <w:rPr>
                <w:b/>
                <w:lang w:val="en-IE"/>
              </w:rPr>
            </w:pPr>
            <w:r w:rsidRPr="003C0CD7">
              <w:rPr>
                <w:b/>
                <w:lang w:val="en-IE"/>
              </w:rPr>
              <w:t>Risks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E0ACA" w14:textId="77777777" w:rsidR="009C2D8B" w:rsidRPr="003C0CD7" w:rsidRDefault="009C2D8B" w:rsidP="007C0CF8">
            <w:pPr>
              <w:jc w:val="center"/>
              <w:rPr>
                <w:b/>
                <w:lang w:val="en-IE"/>
              </w:rPr>
            </w:pPr>
            <w:r w:rsidRPr="003C0CD7">
              <w:rPr>
                <w:b/>
                <w:lang w:val="en-IE"/>
              </w:rPr>
              <w:t>Likelihood</w:t>
            </w:r>
          </w:p>
          <w:p w14:paraId="7800AC64" w14:textId="77777777" w:rsidR="009C2D8B" w:rsidRPr="003C0CD7" w:rsidRDefault="009C2D8B" w:rsidP="007C0CF8">
            <w:pPr>
              <w:jc w:val="center"/>
              <w:rPr>
                <w:b/>
                <w:lang w:val="en-IE"/>
              </w:rPr>
            </w:pPr>
            <w:r w:rsidRPr="003C0CD7">
              <w:rPr>
                <w:b/>
                <w:lang w:val="en-IE"/>
              </w:rPr>
              <w:t>(High/</w:t>
            </w:r>
          </w:p>
          <w:p w14:paraId="4CE25D55" w14:textId="77777777" w:rsidR="009C2D8B" w:rsidRPr="003C0CD7" w:rsidRDefault="009C2D8B" w:rsidP="007C0CF8">
            <w:pPr>
              <w:jc w:val="center"/>
              <w:rPr>
                <w:b/>
                <w:lang w:val="en-IE"/>
              </w:rPr>
            </w:pPr>
            <w:r w:rsidRPr="003C0CD7">
              <w:rPr>
                <w:b/>
                <w:lang w:val="en-IE"/>
              </w:rPr>
              <w:t>Medium/</w:t>
            </w:r>
          </w:p>
          <w:p w14:paraId="002A4C86" w14:textId="23235A07" w:rsidR="009C2D8B" w:rsidRPr="003C0CD7" w:rsidRDefault="009C2D8B" w:rsidP="007C0CF8">
            <w:pPr>
              <w:jc w:val="center"/>
              <w:rPr>
                <w:b/>
                <w:lang w:val="en-IE"/>
              </w:rPr>
            </w:pPr>
            <w:r w:rsidRPr="003C0CD7">
              <w:rPr>
                <w:b/>
                <w:lang w:val="en-IE"/>
              </w:rPr>
              <w:t>Low)</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61CA7" w14:textId="3AE0A840" w:rsidR="009C2D8B" w:rsidRPr="003C0CD7" w:rsidRDefault="009C2D8B" w:rsidP="007C0CF8">
            <w:pPr>
              <w:jc w:val="center"/>
              <w:rPr>
                <w:b/>
                <w:lang w:val="en-IE"/>
              </w:rPr>
            </w:pPr>
            <w:r w:rsidRPr="003C0CD7">
              <w:rPr>
                <w:b/>
                <w:lang w:val="en-IE"/>
              </w:rPr>
              <w:t>Impact</w:t>
            </w:r>
          </w:p>
          <w:p w14:paraId="32A60AC9" w14:textId="77777777" w:rsidR="009C2D8B" w:rsidRPr="003C0CD7" w:rsidRDefault="009C2D8B" w:rsidP="007C0CF8">
            <w:pPr>
              <w:jc w:val="center"/>
              <w:rPr>
                <w:b/>
                <w:lang w:val="en-IE"/>
              </w:rPr>
            </w:pPr>
            <w:r w:rsidRPr="003C0CD7">
              <w:rPr>
                <w:b/>
                <w:lang w:val="en-IE"/>
              </w:rPr>
              <w:t>(High/</w:t>
            </w:r>
          </w:p>
          <w:p w14:paraId="26F88BE0" w14:textId="77777777" w:rsidR="009C2D8B" w:rsidRPr="003C0CD7" w:rsidRDefault="009C2D8B" w:rsidP="007C0CF8">
            <w:pPr>
              <w:jc w:val="center"/>
              <w:rPr>
                <w:b/>
                <w:lang w:val="en-IE"/>
              </w:rPr>
            </w:pPr>
            <w:r w:rsidRPr="003C0CD7">
              <w:rPr>
                <w:b/>
                <w:lang w:val="en-IE"/>
              </w:rPr>
              <w:t>Medium/</w:t>
            </w:r>
          </w:p>
          <w:p w14:paraId="351DE2E8" w14:textId="281AD576" w:rsidR="009C2D8B" w:rsidRPr="003C0CD7" w:rsidRDefault="009C2D8B" w:rsidP="007C0CF8">
            <w:pPr>
              <w:jc w:val="center"/>
              <w:rPr>
                <w:b/>
                <w:lang w:val="en-IE"/>
              </w:rPr>
            </w:pPr>
            <w:r w:rsidRPr="003C0CD7">
              <w:rPr>
                <w:b/>
                <w:lang w:val="en-IE"/>
              </w:rPr>
              <w:t>Low)</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6B306" w14:textId="31B97958" w:rsidR="009C2D8B" w:rsidRPr="003C0CD7" w:rsidRDefault="009C2D8B" w:rsidP="007C0CF8">
            <w:pPr>
              <w:jc w:val="center"/>
              <w:rPr>
                <w:b/>
                <w:lang w:val="en-IE"/>
              </w:rPr>
            </w:pPr>
            <w:r w:rsidRPr="003C0CD7">
              <w:rPr>
                <w:b/>
                <w:lang w:val="en-IE"/>
              </w:rPr>
              <w:t>Mitigating measures</w:t>
            </w:r>
          </w:p>
        </w:tc>
      </w:tr>
      <w:tr w:rsidR="009C2D8B" w:rsidRPr="008704EA" w14:paraId="21B4B051" w14:textId="77777777" w:rsidTr="007C0CF8">
        <w:trPr>
          <w:trHeight w:val="53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786DFA6" w14:textId="3370FE82" w:rsidR="009C2D8B" w:rsidRPr="003C0CD7" w:rsidRDefault="009C2D8B" w:rsidP="009C2D8B">
            <w:pPr>
              <w:rPr>
                <w:lang w:val="en-IE"/>
              </w:rPr>
            </w:pPr>
            <w:r>
              <w:rPr>
                <w:lang w:val="en-IE"/>
              </w:rPr>
              <w:t>People and the organisation</w:t>
            </w:r>
          </w:p>
        </w:tc>
        <w:tc>
          <w:tcPr>
            <w:tcW w:w="1843" w:type="dxa"/>
            <w:tcBorders>
              <w:top w:val="single" w:sz="4" w:space="0" w:color="auto"/>
              <w:left w:val="single" w:sz="4" w:space="0" w:color="auto"/>
              <w:bottom w:val="single" w:sz="4" w:space="0" w:color="auto"/>
              <w:right w:val="single" w:sz="4" w:space="0" w:color="auto"/>
            </w:tcBorders>
          </w:tcPr>
          <w:p w14:paraId="2E1EC3C9" w14:textId="1AAF03E3" w:rsidR="009C2D8B" w:rsidRPr="003C0CD7" w:rsidRDefault="009C2D8B" w:rsidP="002770C3">
            <w:pPr>
              <w:rPr>
                <w:b/>
                <w:bCs/>
                <w:lang w:val="en-IE"/>
              </w:rPr>
            </w:pPr>
            <w:r w:rsidRPr="00AB5EF9">
              <w:t xml:space="preserve">Lack of political will to continue the </w:t>
            </w:r>
            <w:r w:rsidR="002770C3">
              <w:t xml:space="preserve">demanding </w:t>
            </w:r>
            <w:r w:rsidRPr="00AB5EF9">
              <w:t>reforms in the health sector.</w:t>
            </w:r>
          </w:p>
        </w:tc>
        <w:tc>
          <w:tcPr>
            <w:tcW w:w="1417" w:type="dxa"/>
            <w:tcBorders>
              <w:top w:val="single" w:sz="4" w:space="0" w:color="auto"/>
              <w:left w:val="single" w:sz="4" w:space="0" w:color="auto"/>
              <w:bottom w:val="single" w:sz="4" w:space="0" w:color="auto"/>
              <w:right w:val="single" w:sz="4" w:space="0" w:color="auto"/>
            </w:tcBorders>
          </w:tcPr>
          <w:p w14:paraId="1402C8D7" w14:textId="77777777" w:rsidR="009C2D8B" w:rsidRDefault="009C2D8B" w:rsidP="009C2D8B">
            <w:pPr>
              <w:jc w:val="center"/>
              <w:rPr>
                <w:lang w:val="en-IE"/>
              </w:rPr>
            </w:pPr>
          </w:p>
          <w:p w14:paraId="49DFACD5" w14:textId="77777777" w:rsidR="009C2D8B" w:rsidRDefault="009C2D8B" w:rsidP="009C2D8B">
            <w:pPr>
              <w:jc w:val="center"/>
              <w:rPr>
                <w:lang w:val="en-IE"/>
              </w:rPr>
            </w:pPr>
          </w:p>
          <w:p w14:paraId="6D49D1F4" w14:textId="79E9D860" w:rsidR="009C2D8B" w:rsidRPr="003C0CD7" w:rsidRDefault="00880E0C" w:rsidP="009C2D8B">
            <w:pPr>
              <w:jc w:val="center"/>
              <w:rPr>
                <w:b/>
                <w:bCs/>
                <w:lang w:val="en-IE"/>
              </w:rPr>
            </w:pPr>
            <w:r>
              <w:rPr>
                <w:lang w:val="en-IE"/>
              </w:rPr>
              <w:t>M</w:t>
            </w:r>
          </w:p>
        </w:tc>
        <w:tc>
          <w:tcPr>
            <w:tcW w:w="1276" w:type="dxa"/>
            <w:tcBorders>
              <w:top w:val="single" w:sz="4" w:space="0" w:color="auto"/>
              <w:left w:val="single" w:sz="4" w:space="0" w:color="auto"/>
              <w:bottom w:val="single" w:sz="4" w:space="0" w:color="auto"/>
              <w:right w:val="single" w:sz="4" w:space="0" w:color="auto"/>
            </w:tcBorders>
          </w:tcPr>
          <w:p w14:paraId="1630D305" w14:textId="77777777" w:rsidR="009C2D8B" w:rsidRDefault="009C2D8B" w:rsidP="009C2D8B">
            <w:pPr>
              <w:jc w:val="center"/>
              <w:rPr>
                <w:lang w:val="en-IE"/>
              </w:rPr>
            </w:pPr>
          </w:p>
          <w:p w14:paraId="6A1C19D7" w14:textId="77777777" w:rsidR="009C2D8B" w:rsidRDefault="009C2D8B" w:rsidP="009C2D8B">
            <w:pPr>
              <w:jc w:val="center"/>
              <w:rPr>
                <w:lang w:val="en-IE"/>
              </w:rPr>
            </w:pPr>
          </w:p>
          <w:p w14:paraId="440878F9" w14:textId="531841B1" w:rsidR="009C2D8B" w:rsidRPr="003C0CD7" w:rsidRDefault="009C2D8B" w:rsidP="009C2D8B">
            <w:pPr>
              <w:jc w:val="center"/>
              <w:rPr>
                <w:b/>
                <w:bCs/>
                <w:lang w:val="en-IE"/>
              </w:rPr>
            </w:pPr>
            <w:r w:rsidRPr="00B26369">
              <w:rPr>
                <w:lang w:val="en-IE"/>
              </w:rPr>
              <w:t>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15C1B3" w14:textId="5A384BE3" w:rsidR="009C2D8B" w:rsidRPr="003C0CD7" w:rsidRDefault="009C2D8B" w:rsidP="00B6363B">
            <w:pPr>
              <w:rPr>
                <w:b/>
                <w:bCs/>
                <w:lang w:val="en-IE"/>
              </w:rPr>
            </w:pPr>
            <w:r w:rsidRPr="00B44FA6">
              <w:rPr>
                <w:lang w:val="en-IE"/>
              </w:rPr>
              <w:t>Engage in continuous policy dialogue wit</w:t>
            </w:r>
            <w:r w:rsidR="0097769B">
              <w:rPr>
                <w:lang w:val="en-IE"/>
              </w:rPr>
              <w:t>h national authorities through the S</w:t>
            </w:r>
            <w:r w:rsidR="001931BC">
              <w:rPr>
                <w:lang w:val="en-IE"/>
              </w:rPr>
              <w:t xml:space="preserve">ector </w:t>
            </w:r>
            <w:r w:rsidR="0097769B">
              <w:rPr>
                <w:lang w:val="en-IE"/>
              </w:rPr>
              <w:t>W</w:t>
            </w:r>
            <w:r w:rsidR="001931BC">
              <w:rPr>
                <w:lang w:val="en-IE"/>
              </w:rPr>
              <w:t xml:space="preserve">orking </w:t>
            </w:r>
            <w:r w:rsidR="0097769B">
              <w:rPr>
                <w:lang w:val="en-IE"/>
              </w:rPr>
              <w:t>G</w:t>
            </w:r>
            <w:r w:rsidR="001931BC">
              <w:rPr>
                <w:lang w:val="en-IE"/>
              </w:rPr>
              <w:t>roup on Health</w:t>
            </w:r>
            <w:r w:rsidR="0097769B">
              <w:rPr>
                <w:lang w:val="en-IE"/>
              </w:rPr>
              <w:t xml:space="preserve"> engaging authorities, donors and international partners </w:t>
            </w:r>
            <w:r w:rsidR="001931BC">
              <w:rPr>
                <w:lang w:val="en-IE"/>
              </w:rPr>
              <w:t>and</w:t>
            </w:r>
            <w:r w:rsidR="0097769B">
              <w:rPr>
                <w:lang w:val="en-IE"/>
              </w:rPr>
              <w:t xml:space="preserve"> civil society org</w:t>
            </w:r>
            <w:r w:rsidR="001931BC">
              <w:rPr>
                <w:lang w:val="en-IE"/>
              </w:rPr>
              <w:t xml:space="preserve">anisation. </w:t>
            </w:r>
          </w:p>
        </w:tc>
      </w:tr>
      <w:tr w:rsidR="009C2D8B" w:rsidRPr="00F409CB" w14:paraId="30312A42" w14:textId="77777777" w:rsidTr="007C0CF8">
        <w:trPr>
          <w:trHeight w:val="53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BDCE76C" w14:textId="794B75D8" w:rsidR="009C2D8B" w:rsidRPr="00F409CB" w:rsidRDefault="009C2D8B" w:rsidP="009C2D8B">
            <w:pPr>
              <w:rPr>
                <w:lang w:val="en-IE"/>
              </w:rPr>
            </w:pPr>
            <w:r w:rsidRPr="00F409CB">
              <w:rPr>
                <w:lang w:val="en-IE"/>
              </w:rPr>
              <w:t>Planning, process and system</w:t>
            </w:r>
          </w:p>
        </w:tc>
        <w:tc>
          <w:tcPr>
            <w:tcW w:w="1843" w:type="dxa"/>
            <w:tcBorders>
              <w:top w:val="single" w:sz="4" w:space="0" w:color="auto"/>
              <w:left w:val="single" w:sz="4" w:space="0" w:color="auto"/>
              <w:bottom w:val="single" w:sz="4" w:space="0" w:color="auto"/>
              <w:right w:val="single" w:sz="4" w:space="0" w:color="auto"/>
            </w:tcBorders>
          </w:tcPr>
          <w:p w14:paraId="54A6E576" w14:textId="10F58B85" w:rsidR="009C2D8B" w:rsidRPr="00F409CB" w:rsidRDefault="0097769B" w:rsidP="0097769B">
            <w:pPr>
              <w:rPr>
                <w:b/>
                <w:bCs/>
                <w:lang w:val="en-IE"/>
              </w:rPr>
            </w:pPr>
            <w:r w:rsidRPr="00F409CB">
              <w:t xml:space="preserve">Weak administrative capacity and experience with EU assistance </w:t>
            </w:r>
          </w:p>
        </w:tc>
        <w:tc>
          <w:tcPr>
            <w:tcW w:w="1417" w:type="dxa"/>
            <w:tcBorders>
              <w:top w:val="single" w:sz="4" w:space="0" w:color="auto"/>
              <w:left w:val="single" w:sz="4" w:space="0" w:color="auto"/>
              <w:bottom w:val="single" w:sz="4" w:space="0" w:color="auto"/>
              <w:right w:val="single" w:sz="4" w:space="0" w:color="auto"/>
            </w:tcBorders>
          </w:tcPr>
          <w:p w14:paraId="686BE883" w14:textId="77777777" w:rsidR="009C2D8B" w:rsidRPr="00F409CB" w:rsidRDefault="009C2D8B" w:rsidP="009C2D8B">
            <w:pPr>
              <w:jc w:val="center"/>
              <w:rPr>
                <w:bCs/>
                <w:lang w:val="en-IE"/>
              </w:rPr>
            </w:pPr>
          </w:p>
          <w:p w14:paraId="0EC3D6EA" w14:textId="77777777" w:rsidR="009C2D8B" w:rsidRPr="00F409CB" w:rsidRDefault="009C2D8B" w:rsidP="009C2D8B">
            <w:pPr>
              <w:jc w:val="center"/>
              <w:rPr>
                <w:bCs/>
                <w:lang w:val="en-IE"/>
              </w:rPr>
            </w:pPr>
          </w:p>
          <w:p w14:paraId="21BDC7CB" w14:textId="3CFE60E2" w:rsidR="009C2D8B" w:rsidRPr="00F409CB" w:rsidRDefault="00880E0C" w:rsidP="009C2D8B">
            <w:pPr>
              <w:jc w:val="center"/>
              <w:rPr>
                <w:b/>
                <w:lang w:val="en-IE"/>
              </w:rPr>
            </w:pPr>
            <w:r w:rsidRPr="00F409CB">
              <w:rPr>
                <w:bCs/>
                <w:lang w:val="en-IE"/>
              </w:rPr>
              <w:t>H</w:t>
            </w:r>
          </w:p>
        </w:tc>
        <w:tc>
          <w:tcPr>
            <w:tcW w:w="1276" w:type="dxa"/>
            <w:tcBorders>
              <w:top w:val="single" w:sz="4" w:space="0" w:color="auto"/>
              <w:left w:val="single" w:sz="4" w:space="0" w:color="auto"/>
              <w:bottom w:val="single" w:sz="4" w:space="0" w:color="auto"/>
              <w:right w:val="single" w:sz="4" w:space="0" w:color="auto"/>
            </w:tcBorders>
          </w:tcPr>
          <w:p w14:paraId="6966BFD0" w14:textId="77777777" w:rsidR="009C2D8B" w:rsidRPr="00F409CB" w:rsidRDefault="009C2D8B" w:rsidP="009C2D8B">
            <w:pPr>
              <w:jc w:val="center"/>
              <w:rPr>
                <w:bCs/>
                <w:lang w:val="en-IE"/>
              </w:rPr>
            </w:pPr>
          </w:p>
          <w:p w14:paraId="25D97178" w14:textId="77777777" w:rsidR="009C2D8B" w:rsidRPr="00F409CB" w:rsidRDefault="009C2D8B" w:rsidP="009C2D8B">
            <w:pPr>
              <w:jc w:val="center"/>
              <w:rPr>
                <w:bCs/>
                <w:lang w:val="en-IE"/>
              </w:rPr>
            </w:pPr>
          </w:p>
          <w:p w14:paraId="08A68E1E" w14:textId="21E2D972" w:rsidR="009C2D8B" w:rsidRPr="00F409CB" w:rsidRDefault="009C2D8B" w:rsidP="009C2D8B">
            <w:pPr>
              <w:jc w:val="center"/>
              <w:rPr>
                <w:b/>
                <w:lang w:val="en-IE"/>
              </w:rPr>
            </w:pPr>
            <w:r w:rsidRPr="00F409CB">
              <w:rPr>
                <w:bCs/>
                <w:lang w:val="en-IE"/>
              </w:rPr>
              <w:t>M</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A6C06E" w14:textId="1310C33F" w:rsidR="009C2D8B" w:rsidRPr="00F409CB" w:rsidRDefault="001931BC" w:rsidP="00B6363B">
            <w:pPr>
              <w:pStyle w:val="NormalWeb"/>
              <w:shd w:val="clear" w:color="auto" w:fill="FFFFFF"/>
              <w:rPr>
                <w:b/>
                <w:lang w:val="en-IE"/>
              </w:rPr>
            </w:pPr>
            <w:r w:rsidRPr="00F409CB">
              <w:t xml:space="preserve">The ongoing </w:t>
            </w:r>
            <w:r w:rsidR="009C2D8B" w:rsidRPr="00F409CB">
              <w:t xml:space="preserve">Public Administration Reform (PAR) </w:t>
            </w:r>
            <w:r w:rsidRPr="00F409CB">
              <w:t xml:space="preserve">is expected to address the high staff turnover in all institutions by proposing a viable retention and merit-based policy and modern human resource management. As intermediate mitigation approach, technical assistance and capacity building measures, including by this action, will be put in place. </w:t>
            </w:r>
            <w:r w:rsidR="009C2D8B" w:rsidRPr="00F409CB">
              <w:t xml:space="preserve"> </w:t>
            </w:r>
          </w:p>
        </w:tc>
      </w:tr>
    </w:tbl>
    <w:p w14:paraId="5F8449AA" w14:textId="77777777" w:rsidR="001003E6" w:rsidRDefault="001003E6" w:rsidP="005B2F62">
      <w:pPr>
        <w:rPr>
          <w:b/>
          <w:color w:val="0D0D0D" w:themeColor="text1" w:themeTint="F2"/>
        </w:rPr>
      </w:pPr>
    </w:p>
    <w:p w14:paraId="26A35809" w14:textId="20906BCD" w:rsidR="005B2F62" w:rsidRPr="00162DD2" w:rsidRDefault="005B2F62" w:rsidP="007C0CF8">
      <w:pPr>
        <w:ind w:left="142"/>
        <w:rPr>
          <w:b/>
          <w:color w:val="0D0D0D" w:themeColor="text1" w:themeTint="F2"/>
        </w:rPr>
      </w:pPr>
      <w:r w:rsidRPr="00162DD2">
        <w:rPr>
          <w:b/>
          <w:color w:val="0D0D0D" w:themeColor="text1" w:themeTint="F2"/>
        </w:rPr>
        <w:t>External Assumptions</w:t>
      </w:r>
    </w:p>
    <w:p w14:paraId="04CE7631" w14:textId="2327F91D" w:rsidR="005B2F62" w:rsidRDefault="009C2D8B" w:rsidP="00B6363B">
      <w:pPr>
        <w:ind w:left="142"/>
        <w:jc w:val="both"/>
        <w:rPr>
          <w:color w:val="0D0D0D" w:themeColor="text1" w:themeTint="F2"/>
        </w:rPr>
      </w:pPr>
      <w:r>
        <w:rPr>
          <w:color w:val="0D0D0D" w:themeColor="text1" w:themeTint="F2"/>
        </w:rPr>
        <w:t>The following assumptions should hold true to guarantee the success of the intervention:</w:t>
      </w:r>
    </w:p>
    <w:p w14:paraId="689A828E" w14:textId="279DE0A5" w:rsidR="001931BC" w:rsidRDefault="001931BC" w:rsidP="00B6363B">
      <w:pPr>
        <w:pStyle w:val="ListParagraph"/>
        <w:numPr>
          <w:ilvl w:val="0"/>
          <w:numId w:val="10"/>
        </w:numPr>
        <w:spacing w:before="120"/>
        <w:ind w:left="714" w:hanging="357"/>
        <w:contextualSpacing w:val="0"/>
        <w:jc w:val="both"/>
        <w:rPr>
          <w:color w:val="0D0D0D" w:themeColor="text1" w:themeTint="F2"/>
        </w:rPr>
      </w:pPr>
      <w:r>
        <w:rPr>
          <w:color w:val="0D0D0D" w:themeColor="text1" w:themeTint="F2"/>
        </w:rPr>
        <w:t xml:space="preserve">There is a political commitment to continue the </w:t>
      </w:r>
      <w:r w:rsidR="006364AF">
        <w:rPr>
          <w:color w:val="0D0D0D" w:themeColor="text1" w:themeTint="F2"/>
        </w:rPr>
        <w:t>health sector reforms, improve the healthcare funding model, and</w:t>
      </w:r>
      <w:r>
        <w:rPr>
          <w:color w:val="0D0D0D" w:themeColor="text1" w:themeTint="F2"/>
        </w:rPr>
        <w:t xml:space="preserve"> channel investments to </w:t>
      </w:r>
      <w:r w:rsidR="00BB7A5F">
        <w:rPr>
          <w:color w:val="0D0D0D" w:themeColor="text1" w:themeTint="F2"/>
        </w:rPr>
        <w:t>healthcare</w:t>
      </w:r>
      <w:r>
        <w:rPr>
          <w:color w:val="0D0D0D" w:themeColor="text1" w:themeTint="F2"/>
        </w:rPr>
        <w:t xml:space="preserve"> institutions. </w:t>
      </w:r>
    </w:p>
    <w:p w14:paraId="42329F3E" w14:textId="6EBFCEEA" w:rsidR="008E3E04" w:rsidRDefault="008E3E04" w:rsidP="00B6363B">
      <w:pPr>
        <w:pStyle w:val="ListParagraph"/>
        <w:numPr>
          <w:ilvl w:val="0"/>
          <w:numId w:val="10"/>
        </w:numPr>
        <w:spacing w:before="120"/>
        <w:ind w:left="714" w:hanging="357"/>
        <w:contextualSpacing w:val="0"/>
        <w:jc w:val="both"/>
        <w:rPr>
          <w:color w:val="0D0D0D" w:themeColor="text1" w:themeTint="F2"/>
        </w:rPr>
      </w:pPr>
      <w:r>
        <w:rPr>
          <w:color w:val="0D0D0D" w:themeColor="text1" w:themeTint="F2"/>
        </w:rPr>
        <w:t>The population becomes more aware of the health risks created by certain behaviours and adjusts accordingly.</w:t>
      </w:r>
    </w:p>
    <w:p w14:paraId="5F8A124B" w14:textId="4F71D0F5" w:rsidR="008E3E04" w:rsidRDefault="008E3E04" w:rsidP="00B6363B">
      <w:pPr>
        <w:pStyle w:val="ListParagraph"/>
        <w:numPr>
          <w:ilvl w:val="0"/>
          <w:numId w:val="10"/>
        </w:numPr>
        <w:spacing w:before="120"/>
        <w:ind w:left="714" w:hanging="357"/>
        <w:contextualSpacing w:val="0"/>
        <w:jc w:val="both"/>
        <w:rPr>
          <w:color w:val="0D0D0D" w:themeColor="text1" w:themeTint="F2"/>
        </w:rPr>
      </w:pPr>
      <w:r>
        <w:rPr>
          <w:color w:val="0D0D0D" w:themeColor="text1" w:themeTint="F2"/>
        </w:rPr>
        <w:t xml:space="preserve">There is an improvement in public awareness </w:t>
      </w:r>
      <w:r w:rsidR="00BB7A5F">
        <w:rPr>
          <w:color w:val="0D0D0D" w:themeColor="text1" w:themeTint="F2"/>
        </w:rPr>
        <w:t xml:space="preserve">of </w:t>
      </w:r>
      <w:r w:rsidR="006364AF">
        <w:rPr>
          <w:color w:val="0D0D0D" w:themeColor="text1" w:themeTint="F2"/>
        </w:rPr>
        <w:t xml:space="preserve">the </w:t>
      </w:r>
      <w:r w:rsidR="00810F25">
        <w:rPr>
          <w:color w:val="0D0D0D" w:themeColor="text1" w:themeTint="F2"/>
        </w:rPr>
        <w:t xml:space="preserve">need and benefits of </w:t>
      </w:r>
      <w:r>
        <w:rPr>
          <w:color w:val="0D0D0D" w:themeColor="text1" w:themeTint="F2"/>
        </w:rPr>
        <w:t>early screening and health prevention</w:t>
      </w:r>
      <w:r w:rsidR="00C81F5F">
        <w:rPr>
          <w:color w:val="0D0D0D" w:themeColor="text1" w:themeTint="F2"/>
        </w:rPr>
        <w:t>.</w:t>
      </w:r>
    </w:p>
    <w:p w14:paraId="29B2A986" w14:textId="77777777" w:rsidR="009C2D8B" w:rsidRDefault="009C2D8B" w:rsidP="00C60BF9">
      <w:pPr>
        <w:rPr>
          <w:color w:val="0D0D0D" w:themeColor="text1" w:themeTint="F2"/>
        </w:rPr>
      </w:pPr>
    </w:p>
    <w:p w14:paraId="637508DD" w14:textId="7F98F317" w:rsidR="009C2D8B" w:rsidRPr="008E3E04" w:rsidRDefault="009C2D8B" w:rsidP="008E3E04">
      <w:pPr>
        <w:rPr>
          <w:b/>
        </w:rPr>
        <w:sectPr w:rsidR="009C2D8B" w:rsidRPr="008E3E04" w:rsidSect="004318E7">
          <w:headerReference w:type="even" r:id="rId13"/>
          <w:headerReference w:type="default" r:id="rId14"/>
          <w:footerReference w:type="even" r:id="rId15"/>
          <w:footerReference w:type="default" r:id="rId16"/>
          <w:headerReference w:type="first" r:id="rId17"/>
          <w:footerReference w:type="first" r:id="rId18"/>
          <w:pgSz w:w="11906" w:h="16838"/>
          <w:pgMar w:top="993" w:right="1133" w:bottom="426" w:left="720" w:header="510" w:footer="483" w:gutter="0"/>
          <w:cols w:space="708"/>
          <w:docGrid w:linePitch="360"/>
        </w:sectPr>
      </w:pPr>
    </w:p>
    <w:tbl>
      <w:tblPr>
        <w:tblpPr w:leftFromText="180" w:rightFromText="180" w:vertAnchor="text" w:tblpY="1"/>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260"/>
        <w:gridCol w:w="4212"/>
        <w:gridCol w:w="1684"/>
        <w:gridCol w:w="1824"/>
        <w:gridCol w:w="1590"/>
        <w:gridCol w:w="2890"/>
      </w:tblGrid>
      <w:tr w:rsidR="009861B7" w:rsidRPr="001D7106" w14:paraId="72F24460" w14:textId="77777777" w:rsidTr="009861B7">
        <w:trPr>
          <w:trHeight w:val="272"/>
          <w:tblHeader/>
        </w:trPr>
        <w:tc>
          <w:tcPr>
            <w:tcW w:w="5000" w:type="pct"/>
            <w:gridSpan w:val="7"/>
            <w:tcBorders>
              <w:top w:val="nil"/>
              <w:left w:val="nil"/>
              <w:bottom w:val="nil"/>
              <w:right w:val="nil"/>
            </w:tcBorders>
            <w:shd w:val="clear" w:color="auto" w:fill="auto"/>
          </w:tcPr>
          <w:p w14:paraId="6051E75F" w14:textId="77777777" w:rsidR="009861B7" w:rsidRPr="003C0CD7" w:rsidRDefault="009861B7" w:rsidP="009861B7">
            <w:pPr>
              <w:pStyle w:val="Heading1"/>
              <w:numPr>
                <w:ilvl w:val="1"/>
                <w:numId w:val="1"/>
              </w:numPr>
              <w:rPr>
                <w:lang w:val="en-IE"/>
              </w:rPr>
            </w:pPr>
            <w:r w:rsidRPr="003C0CD7">
              <w:rPr>
                <w:lang w:val="en-IE"/>
              </w:rPr>
              <w:lastRenderedPageBreak/>
              <w:t xml:space="preserve">Indicative Logical Framework Matrix </w:t>
            </w:r>
          </w:p>
          <w:p w14:paraId="7EE6AFC6" w14:textId="77777777" w:rsidR="009861B7" w:rsidRPr="00E01934" w:rsidRDefault="009861B7" w:rsidP="001D7106">
            <w:pPr>
              <w:jc w:val="center"/>
              <w:rPr>
                <w:b/>
                <w:color w:val="0D0D0D" w:themeColor="text1" w:themeTint="F2"/>
                <w:sz w:val="18"/>
                <w:szCs w:val="18"/>
              </w:rPr>
            </w:pPr>
          </w:p>
        </w:tc>
      </w:tr>
      <w:tr w:rsidR="00467E51" w:rsidRPr="001D7106" w14:paraId="15BDC191" w14:textId="77777777" w:rsidTr="009861B7">
        <w:trPr>
          <w:trHeight w:val="272"/>
          <w:tblHeader/>
        </w:trPr>
        <w:tc>
          <w:tcPr>
            <w:tcW w:w="362" w:type="pct"/>
            <w:tcBorders>
              <w:top w:val="nil"/>
              <w:bottom w:val="single" w:sz="4" w:space="0" w:color="auto"/>
            </w:tcBorders>
            <w:shd w:val="clear" w:color="auto" w:fill="BFBFBF" w:themeFill="background1" w:themeFillShade="BF"/>
          </w:tcPr>
          <w:p w14:paraId="4B871A03" w14:textId="77777777" w:rsidR="001D7106" w:rsidRPr="00E01934" w:rsidRDefault="001D7106" w:rsidP="00C85643">
            <w:pPr>
              <w:jc w:val="center"/>
              <w:rPr>
                <w:b/>
                <w:bCs/>
                <w:color w:val="0D0D0D" w:themeColor="text1" w:themeTint="F2"/>
                <w:sz w:val="18"/>
                <w:szCs w:val="18"/>
                <w:lang w:val="en-IE"/>
              </w:rPr>
            </w:pPr>
            <w:r w:rsidRPr="00E01934">
              <w:rPr>
                <w:b/>
                <w:bCs/>
                <w:color w:val="0D0D0D" w:themeColor="text1" w:themeTint="F2"/>
                <w:sz w:val="18"/>
                <w:szCs w:val="18"/>
                <w:lang w:val="en-IE"/>
              </w:rPr>
              <w:t>Results</w:t>
            </w:r>
          </w:p>
        </w:tc>
        <w:tc>
          <w:tcPr>
            <w:tcW w:w="725" w:type="pct"/>
            <w:tcBorders>
              <w:top w:val="nil"/>
              <w:bottom w:val="single" w:sz="4" w:space="0" w:color="auto"/>
            </w:tcBorders>
            <w:shd w:val="clear" w:color="auto" w:fill="BFBFBF" w:themeFill="background1" w:themeFillShade="BF"/>
          </w:tcPr>
          <w:p w14:paraId="18FDBFC1" w14:textId="77777777" w:rsidR="001D7106" w:rsidRPr="00E01934" w:rsidRDefault="001D7106" w:rsidP="001D7106">
            <w:pPr>
              <w:jc w:val="center"/>
              <w:rPr>
                <w:b/>
                <w:color w:val="0D0D0D" w:themeColor="text1" w:themeTint="F2"/>
                <w:sz w:val="18"/>
                <w:szCs w:val="18"/>
              </w:rPr>
            </w:pPr>
            <w:r w:rsidRPr="00E01934">
              <w:rPr>
                <w:b/>
                <w:color w:val="0D0D0D" w:themeColor="text1" w:themeTint="F2"/>
                <w:sz w:val="18"/>
                <w:szCs w:val="18"/>
              </w:rPr>
              <w:t>Results chain:</w:t>
            </w:r>
          </w:p>
          <w:p w14:paraId="59B220B5" w14:textId="75BBFBDC" w:rsidR="001D7106" w:rsidRPr="00E01934" w:rsidRDefault="001D7106" w:rsidP="001D7106">
            <w:pPr>
              <w:jc w:val="center"/>
              <w:rPr>
                <w:b/>
                <w:color w:val="0D0D0D" w:themeColor="text1" w:themeTint="F2"/>
                <w:sz w:val="18"/>
                <w:szCs w:val="18"/>
                <w:lang w:val="en-IE"/>
              </w:rPr>
            </w:pPr>
            <w:r w:rsidRPr="00E01934">
              <w:rPr>
                <w:b/>
                <w:color w:val="0D0D0D" w:themeColor="text1" w:themeTint="F2"/>
                <w:sz w:val="18"/>
                <w:szCs w:val="18"/>
              </w:rPr>
              <w:t xml:space="preserve">Main expected results </w:t>
            </w:r>
          </w:p>
        </w:tc>
        <w:tc>
          <w:tcPr>
            <w:tcW w:w="1351" w:type="pct"/>
            <w:tcBorders>
              <w:top w:val="nil"/>
              <w:bottom w:val="single" w:sz="4" w:space="0" w:color="auto"/>
            </w:tcBorders>
            <w:shd w:val="clear" w:color="auto" w:fill="BFBFBF" w:themeFill="background1" w:themeFillShade="BF"/>
          </w:tcPr>
          <w:p w14:paraId="219DB88A" w14:textId="77777777" w:rsidR="001D7106" w:rsidRPr="00E01934" w:rsidRDefault="001D7106" w:rsidP="001D7106">
            <w:pPr>
              <w:jc w:val="center"/>
              <w:rPr>
                <w:b/>
                <w:color w:val="0D0D0D" w:themeColor="text1" w:themeTint="F2"/>
                <w:sz w:val="18"/>
                <w:szCs w:val="18"/>
              </w:rPr>
            </w:pPr>
            <w:r w:rsidRPr="00E01934">
              <w:rPr>
                <w:b/>
                <w:color w:val="0D0D0D" w:themeColor="text1" w:themeTint="F2"/>
                <w:sz w:val="18"/>
                <w:szCs w:val="18"/>
              </w:rPr>
              <w:t xml:space="preserve">Indicators </w:t>
            </w:r>
          </w:p>
          <w:p w14:paraId="3ABD587B" w14:textId="47BA2793" w:rsidR="001D7106" w:rsidRPr="00E01934" w:rsidRDefault="001D7106" w:rsidP="001D7106">
            <w:pPr>
              <w:jc w:val="center"/>
              <w:rPr>
                <w:b/>
                <w:color w:val="0D0D0D" w:themeColor="text1" w:themeTint="F2"/>
                <w:sz w:val="18"/>
                <w:szCs w:val="18"/>
                <w:lang w:val="en-IE"/>
              </w:rPr>
            </w:pPr>
          </w:p>
        </w:tc>
        <w:tc>
          <w:tcPr>
            <w:tcW w:w="540" w:type="pct"/>
            <w:tcBorders>
              <w:top w:val="nil"/>
              <w:bottom w:val="single" w:sz="4" w:space="0" w:color="auto"/>
            </w:tcBorders>
            <w:shd w:val="clear" w:color="auto" w:fill="BFBFBF" w:themeFill="background1" w:themeFillShade="BF"/>
          </w:tcPr>
          <w:p w14:paraId="0CF83211" w14:textId="77777777" w:rsidR="001D7106" w:rsidRPr="00E01934" w:rsidRDefault="001D7106" w:rsidP="001D7106">
            <w:pPr>
              <w:jc w:val="center"/>
              <w:rPr>
                <w:b/>
                <w:color w:val="0D0D0D" w:themeColor="text1" w:themeTint="F2"/>
                <w:sz w:val="18"/>
                <w:szCs w:val="18"/>
              </w:rPr>
            </w:pPr>
            <w:r w:rsidRPr="00E01934">
              <w:rPr>
                <w:b/>
                <w:color w:val="0D0D0D" w:themeColor="text1" w:themeTint="F2"/>
                <w:sz w:val="18"/>
                <w:szCs w:val="18"/>
              </w:rPr>
              <w:t>Baselines</w:t>
            </w:r>
          </w:p>
          <w:p w14:paraId="28A55F50" w14:textId="77777777" w:rsidR="001D7106" w:rsidRPr="00E01934" w:rsidRDefault="001D7106" w:rsidP="001D7106">
            <w:pPr>
              <w:jc w:val="center"/>
              <w:rPr>
                <w:b/>
                <w:color w:val="0D0D0D" w:themeColor="text1" w:themeTint="F2"/>
                <w:sz w:val="18"/>
                <w:szCs w:val="18"/>
                <w:lang w:val="en-IE"/>
              </w:rPr>
            </w:pPr>
            <w:r w:rsidRPr="00E01934">
              <w:rPr>
                <w:b/>
                <w:color w:val="0D0D0D" w:themeColor="text1" w:themeTint="F2"/>
                <w:sz w:val="18"/>
                <w:szCs w:val="18"/>
              </w:rPr>
              <w:t>(values and years)</w:t>
            </w:r>
          </w:p>
        </w:tc>
        <w:tc>
          <w:tcPr>
            <w:tcW w:w="585" w:type="pct"/>
            <w:tcBorders>
              <w:top w:val="nil"/>
              <w:bottom w:val="single" w:sz="4" w:space="0" w:color="auto"/>
            </w:tcBorders>
            <w:shd w:val="clear" w:color="auto" w:fill="BFBFBF" w:themeFill="background1" w:themeFillShade="BF"/>
          </w:tcPr>
          <w:p w14:paraId="6B464F2F" w14:textId="77777777" w:rsidR="001D7106" w:rsidRPr="00E01934" w:rsidRDefault="001D7106" w:rsidP="001D7106">
            <w:pPr>
              <w:jc w:val="center"/>
              <w:rPr>
                <w:b/>
                <w:color w:val="0D0D0D" w:themeColor="text1" w:themeTint="F2"/>
                <w:sz w:val="18"/>
                <w:szCs w:val="18"/>
              </w:rPr>
            </w:pPr>
            <w:r w:rsidRPr="00E01934">
              <w:rPr>
                <w:b/>
                <w:color w:val="0D0D0D" w:themeColor="text1" w:themeTint="F2"/>
                <w:sz w:val="18"/>
                <w:szCs w:val="18"/>
              </w:rPr>
              <w:t>Targets</w:t>
            </w:r>
          </w:p>
          <w:p w14:paraId="0358B716" w14:textId="77777777" w:rsidR="001D7106" w:rsidRPr="00E01934" w:rsidRDefault="001D7106" w:rsidP="001D7106">
            <w:pPr>
              <w:jc w:val="center"/>
              <w:rPr>
                <w:b/>
                <w:color w:val="0D0D0D" w:themeColor="text1" w:themeTint="F2"/>
                <w:sz w:val="18"/>
                <w:szCs w:val="18"/>
                <w:lang w:val="en-IE"/>
              </w:rPr>
            </w:pPr>
            <w:r w:rsidRPr="00E01934">
              <w:rPr>
                <w:b/>
                <w:color w:val="0D0D0D" w:themeColor="text1" w:themeTint="F2"/>
                <w:sz w:val="18"/>
                <w:szCs w:val="18"/>
              </w:rPr>
              <w:t>(values and years)</w:t>
            </w:r>
          </w:p>
        </w:tc>
        <w:tc>
          <w:tcPr>
            <w:tcW w:w="510" w:type="pct"/>
            <w:tcBorders>
              <w:top w:val="nil"/>
              <w:bottom w:val="single" w:sz="4" w:space="0" w:color="auto"/>
            </w:tcBorders>
            <w:shd w:val="clear" w:color="auto" w:fill="BFBFBF" w:themeFill="background1" w:themeFillShade="BF"/>
          </w:tcPr>
          <w:p w14:paraId="7D7487F4" w14:textId="77777777" w:rsidR="001D7106" w:rsidRPr="00E01934" w:rsidRDefault="001D7106" w:rsidP="001D7106">
            <w:pPr>
              <w:jc w:val="center"/>
              <w:rPr>
                <w:b/>
                <w:color w:val="0D0D0D" w:themeColor="text1" w:themeTint="F2"/>
                <w:sz w:val="18"/>
                <w:szCs w:val="18"/>
                <w:lang w:val="en-IE"/>
              </w:rPr>
            </w:pPr>
            <w:r w:rsidRPr="00E01934">
              <w:rPr>
                <w:b/>
                <w:color w:val="0D0D0D" w:themeColor="text1" w:themeTint="F2"/>
                <w:sz w:val="18"/>
                <w:szCs w:val="18"/>
              </w:rPr>
              <w:t>Sources of data</w:t>
            </w:r>
          </w:p>
        </w:tc>
        <w:tc>
          <w:tcPr>
            <w:tcW w:w="927" w:type="pct"/>
            <w:tcBorders>
              <w:top w:val="nil"/>
              <w:bottom w:val="single" w:sz="4" w:space="0" w:color="auto"/>
            </w:tcBorders>
            <w:shd w:val="clear" w:color="auto" w:fill="BFBFBF" w:themeFill="background1" w:themeFillShade="BF"/>
          </w:tcPr>
          <w:p w14:paraId="7A9087FC" w14:textId="77777777" w:rsidR="001D7106" w:rsidRPr="00E01934" w:rsidRDefault="001D7106" w:rsidP="001D7106">
            <w:pPr>
              <w:jc w:val="center"/>
              <w:rPr>
                <w:b/>
                <w:color w:val="0D0D0D" w:themeColor="text1" w:themeTint="F2"/>
                <w:sz w:val="18"/>
                <w:szCs w:val="18"/>
                <w:lang w:val="en-IE"/>
              </w:rPr>
            </w:pPr>
            <w:r w:rsidRPr="00E01934">
              <w:rPr>
                <w:b/>
                <w:color w:val="0D0D0D" w:themeColor="text1" w:themeTint="F2"/>
                <w:sz w:val="18"/>
                <w:szCs w:val="18"/>
              </w:rPr>
              <w:t>Assumptions</w:t>
            </w:r>
          </w:p>
        </w:tc>
      </w:tr>
      <w:tr w:rsidR="00467E51" w:rsidRPr="001D7106" w14:paraId="5E35EBF4" w14:textId="77777777" w:rsidTr="247BFA05">
        <w:trPr>
          <w:trHeight w:val="679"/>
          <w:tblHeader/>
        </w:trPr>
        <w:tc>
          <w:tcPr>
            <w:tcW w:w="362" w:type="pct"/>
            <w:vMerge w:val="restart"/>
            <w:shd w:val="clear" w:color="auto" w:fill="D9D9D9" w:themeFill="background1" w:themeFillShade="D9"/>
            <w:vAlign w:val="center"/>
          </w:tcPr>
          <w:p w14:paraId="2BB78442" w14:textId="77777777" w:rsidR="00C833CF" w:rsidRPr="00E01934" w:rsidRDefault="00C833CF" w:rsidP="00E01934">
            <w:pPr>
              <w:tabs>
                <w:tab w:val="left" w:pos="0"/>
                <w:tab w:val="left" w:pos="132"/>
              </w:tabs>
              <w:ind w:right="113"/>
              <w:rPr>
                <w:b/>
                <w:color w:val="0D0D0D" w:themeColor="text1" w:themeTint="F2"/>
                <w:sz w:val="18"/>
                <w:szCs w:val="18"/>
                <w:lang w:val="en-IE"/>
              </w:rPr>
            </w:pPr>
            <w:r w:rsidRPr="00E01934">
              <w:rPr>
                <w:b/>
                <w:color w:val="0D0D0D" w:themeColor="text1" w:themeTint="F2"/>
                <w:sz w:val="18"/>
                <w:szCs w:val="18"/>
                <w:lang w:val="en-IE"/>
              </w:rPr>
              <w:t>Impact</w:t>
            </w:r>
          </w:p>
        </w:tc>
        <w:tc>
          <w:tcPr>
            <w:tcW w:w="725" w:type="pct"/>
            <w:vMerge w:val="restart"/>
            <w:shd w:val="clear" w:color="auto" w:fill="auto"/>
            <w:vAlign w:val="center"/>
          </w:tcPr>
          <w:p w14:paraId="3A59B4BD" w14:textId="4DA97EE0" w:rsidR="00C833CF" w:rsidRPr="00E01934" w:rsidRDefault="00C833CF" w:rsidP="00E01934">
            <w:pPr>
              <w:autoSpaceDE w:val="0"/>
              <w:autoSpaceDN w:val="0"/>
              <w:adjustRightInd w:val="0"/>
              <w:rPr>
                <w:color w:val="0D0D0D" w:themeColor="text1" w:themeTint="F2"/>
                <w:sz w:val="18"/>
                <w:szCs w:val="18"/>
                <w:lang w:val="en-IE"/>
              </w:rPr>
            </w:pPr>
            <w:r w:rsidRPr="0066559A">
              <w:rPr>
                <w:sz w:val="18"/>
                <w:szCs w:val="18"/>
              </w:rPr>
              <w:t>To improve the health and well-being of the population of North Macedonia through the optimisation of its health care service</w:t>
            </w:r>
          </w:p>
        </w:tc>
        <w:tc>
          <w:tcPr>
            <w:tcW w:w="1351" w:type="pct"/>
            <w:shd w:val="clear" w:color="auto" w:fill="auto"/>
            <w:vAlign w:val="center"/>
          </w:tcPr>
          <w:p w14:paraId="6B3198B4" w14:textId="52AA6968" w:rsidR="00C833CF" w:rsidRPr="00E01934" w:rsidRDefault="00C833CF" w:rsidP="00E01934">
            <w:pPr>
              <w:autoSpaceDE w:val="0"/>
              <w:autoSpaceDN w:val="0"/>
              <w:adjustRightInd w:val="0"/>
              <w:rPr>
                <w:color w:val="0D0D0D" w:themeColor="text1" w:themeTint="F2"/>
                <w:sz w:val="18"/>
                <w:szCs w:val="18"/>
                <w:lang w:val="en-IE"/>
              </w:rPr>
            </w:pPr>
            <w:r w:rsidRPr="0066559A">
              <w:rPr>
                <w:sz w:val="18"/>
                <w:szCs w:val="18"/>
              </w:rPr>
              <w:t>Life expectancy at birth (years)</w:t>
            </w:r>
            <w:r w:rsidRPr="0066559A">
              <w:rPr>
                <w:rStyle w:val="FootnoteReference"/>
                <w:i/>
                <w:iCs/>
                <w:sz w:val="18"/>
                <w:szCs w:val="18"/>
              </w:rPr>
              <w:t xml:space="preserve"> </w:t>
            </w:r>
            <w:r w:rsidRPr="0066559A">
              <w:rPr>
                <w:rStyle w:val="FootnoteReference"/>
                <w:i/>
                <w:iCs/>
                <w:sz w:val="18"/>
                <w:szCs w:val="18"/>
              </w:rPr>
              <w:footnoteReference w:id="26"/>
            </w:r>
          </w:p>
        </w:tc>
        <w:tc>
          <w:tcPr>
            <w:tcW w:w="540" w:type="pct"/>
            <w:vAlign w:val="center"/>
          </w:tcPr>
          <w:p w14:paraId="3E8BC3AC" w14:textId="77777777" w:rsidR="00C833CF" w:rsidRPr="0066559A" w:rsidRDefault="00C833CF" w:rsidP="00E01934">
            <w:pPr>
              <w:shd w:val="clear" w:color="auto" w:fill="FFFFFF" w:themeFill="background1"/>
              <w:rPr>
                <w:sz w:val="18"/>
                <w:szCs w:val="18"/>
                <w:lang w:eastAsia="" w:bidi=""/>
              </w:rPr>
            </w:pPr>
            <w:r w:rsidRPr="0066559A">
              <w:rPr>
                <w:sz w:val="18"/>
                <w:szCs w:val="18"/>
                <w:lang w:eastAsia="" w:bidi=""/>
              </w:rPr>
              <w:t>Total: 76.34</w:t>
            </w:r>
          </w:p>
          <w:p w14:paraId="12DE68F1" w14:textId="77777777" w:rsidR="00C833CF" w:rsidRPr="0066559A" w:rsidRDefault="00C833CF" w:rsidP="00E01934">
            <w:pPr>
              <w:shd w:val="clear" w:color="auto" w:fill="FFFFFF" w:themeFill="background1"/>
              <w:rPr>
                <w:sz w:val="18"/>
                <w:szCs w:val="18"/>
                <w:lang w:eastAsia="" w:bidi=""/>
              </w:rPr>
            </w:pPr>
            <w:r w:rsidRPr="0066559A">
              <w:rPr>
                <w:sz w:val="18"/>
                <w:szCs w:val="18"/>
                <w:lang w:eastAsia="" w:bidi=""/>
              </w:rPr>
              <w:t>Male: 74.39</w:t>
            </w:r>
          </w:p>
          <w:p w14:paraId="173A60CC" w14:textId="796C95A7" w:rsidR="00C833CF" w:rsidRPr="00E01934" w:rsidRDefault="00C833CF" w:rsidP="00E01934">
            <w:pPr>
              <w:autoSpaceDE w:val="0"/>
              <w:autoSpaceDN w:val="0"/>
              <w:adjustRightInd w:val="0"/>
              <w:rPr>
                <w:color w:val="0D0D0D" w:themeColor="text1" w:themeTint="F2"/>
                <w:sz w:val="18"/>
                <w:szCs w:val="18"/>
                <w:lang w:val="en-IE"/>
              </w:rPr>
            </w:pPr>
            <w:r w:rsidRPr="0066559A">
              <w:rPr>
                <w:sz w:val="18"/>
                <w:szCs w:val="18"/>
                <w:lang w:eastAsia="" w:bidi=""/>
              </w:rPr>
              <w:t>Female: 78.29 (2017-2019)</w:t>
            </w:r>
          </w:p>
        </w:tc>
        <w:tc>
          <w:tcPr>
            <w:tcW w:w="585" w:type="pct"/>
            <w:vAlign w:val="center"/>
          </w:tcPr>
          <w:p w14:paraId="55B61909" w14:textId="0CA0B0EF" w:rsidR="00C833CF" w:rsidRPr="0066559A" w:rsidRDefault="00C833CF" w:rsidP="00E01934">
            <w:pPr>
              <w:shd w:val="clear" w:color="auto" w:fill="FFFFFF" w:themeFill="background1"/>
              <w:rPr>
                <w:sz w:val="18"/>
                <w:szCs w:val="18"/>
                <w:lang w:eastAsia="" w:bidi=""/>
              </w:rPr>
            </w:pPr>
            <w:r w:rsidRPr="247BFA05">
              <w:rPr>
                <w:sz w:val="18"/>
                <w:szCs w:val="18"/>
                <w:lang w:eastAsia="" w:bidi=""/>
              </w:rPr>
              <w:t>Total: ≥ 77,</w:t>
            </w:r>
            <w:r w:rsidR="006C5AF2">
              <w:rPr>
                <w:sz w:val="18"/>
                <w:szCs w:val="18"/>
                <w:lang w:eastAsia="" w:bidi=""/>
              </w:rPr>
              <w:t>3</w:t>
            </w:r>
            <w:r w:rsidR="006C5AF2" w:rsidRPr="247BFA05">
              <w:rPr>
                <w:sz w:val="18"/>
                <w:szCs w:val="18"/>
                <w:lang w:eastAsia="" w:bidi=""/>
              </w:rPr>
              <w:t>0</w:t>
            </w:r>
          </w:p>
          <w:p w14:paraId="45EB415D" w14:textId="0E307FB4" w:rsidR="00C833CF" w:rsidRPr="0066559A" w:rsidRDefault="00C833CF" w:rsidP="00E01934">
            <w:pPr>
              <w:shd w:val="clear" w:color="auto" w:fill="FFFFFF" w:themeFill="background1"/>
              <w:rPr>
                <w:sz w:val="18"/>
                <w:szCs w:val="18"/>
                <w:lang w:eastAsia="" w:bidi=""/>
              </w:rPr>
            </w:pPr>
            <w:r w:rsidRPr="0066559A">
              <w:rPr>
                <w:sz w:val="18"/>
                <w:szCs w:val="18"/>
                <w:lang w:eastAsia="" w:bidi=""/>
              </w:rPr>
              <w:t xml:space="preserve">Male: ≥ </w:t>
            </w:r>
            <w:r w:rsidR="006C5AF2" w:rsidRPr="0066559A">
              <w:rPr>
                <w:sz w:val="18"/>
                <w:szCs w:val="18"/>
                <w:lang w:eastAsia="" w:bidi=""/>
              </w:rPr>
              <w:t>7</w:t>
            </w:r>
            <w:r w:rsidR="006C5AF2">
              <w:rPr>
                <w:sz w:val="18"/>
                <w:szCs w:val="18"/>
                <w:lang w:eastAsia="" w:bidi=""/>
              </w:rPr>
              <w:t>5</w:t>
            </w:r>
            <w:r w:rsidRPr="0066559A">
              <w:rPr>
                <w:sz w:val="18"/>
                <w:szCs w:val="18"/>
                <w:lang w:eastAsia="" w:bidi=""/>
              </w:rPr>
              <w:t>,</w:t>
            </w:r>
            <w:r w:rsidR="006C5AF2">
              <w:rPr>
                <w:sz w:val="18"/>
                <w:szCs w:val="18"/>
                <w:lang w:eastAsia="" w:bidi=""/>
              </w:rPr>
              <w:t>3</w:t>
            </w:r>
            <w:r w:rsidR="006C5AF2" w:rsidRPr="0066559A">
              <w:rPr>
                <w:sz w:val="18"/>
                <w:szCs w:val="18"/>
                <w:lang w:eastAsia="" w:bidi=""/>
              </w:rPr>
              <w:t>0</w:t>
            </w:r>
          </w:p>
          <w:p w14:paraId="5B13E592" w14:textId="759FE152" w:rsidR="00C833CF" w:rsidRPr="00E01934" w:rsidRDefault="00C833CF" w:rsidP="00E01934">
            <w:pPr>
              <w:autoSpaceDE w:val="0"/>
              <w:autoSpaceDN w:val="0"/>
              <w:adjustRightInd w:val="0"/>
              <w:rPr>
                <w:color w:val="0D0D0D" w:themeColor="text1" w:themeTint="F2"/>
                <w:sz w:val="18"/>
                <w:szCs w:val="18"/>
                <w:lang w:val="en-IE"/>
              </w:rPr>
            </w:pPr>
            <w:r w:rsidRPr="247BFA05">
              <w:rPr>
                <w:sz w:val="18"/>
                <w:szCs w:val="18"/>
                <w:lang w:eastAsia="" w:bidi=""/>
              </w:rPr>
              <w:t>Female: ≥ 79,30 (20</w:t>
            </w:r>
            <w:r w:rsidR="00D92000">
              <w:rPr>
                <w:sz w:val="18"/>
                <w:szCs w:val="18"/>
                <w:lang w:eastAsia="" w:bidi=""/>
              </w:rPr>
              <w:t>3</w:t>
            </w:r>
            <w:r w:rsidR="000B3252">
              <w:rPr>
                <w:sz w:val="18"/>
                <w:szCs w:val="18"/>
                <w:lang w:eastAsia="" w:bidi=""/>
              </w:rPr>
              <w:t>1</w:t>
            </w:r>
            <w:r w:rsidRPr="247BFA05">
              <w:rPr>
                <w:sz w:val="18"/>
                <w:szCs w:val="18"/>
                <w:lang w:eastAsia="" w:bidi=""/>
              </w:rPr>
              <w:t>)</w:t>
            </w:r>
          </w:p>
        </w:tc>
        <w:tc>
          <w:tcPr>
            <w:tcW w:w="510" w:type="pct"/>
            <w:shd w:val="clear" w:color="auto" w:fill="auto"/>
            <w:vAlign w:val="center"/>
          </w:tcPr>
          <w:p w14:paraId="2BECCA5A" w14:textId="11940B31" w:rsidR="00C833CF" w:rsidRPr="00E01934" w:rsidRDefault="00301EF6" w:rsidP="00E01934">
            <w:pPr>
              <w:autoSpaceDE w:val="0"/>
              <w:autoSpaceDN w:val="0"/>
              <w:adjustRightInd w:val="0"/>
              <w:rPr>
                <w:color w:val="0D0D0D" w:themeColor="text1" w:themeTint="F2"/>
                <w:sz w:val="18"/>
                <w:szCs w:val="18"/>
                <w:lang w:val="en-IE"/>
              </w:rPr>
            </w:pPr>
            <w:r>
              <w:rPr>
                <w:sz w:val="18"/>
                <w:szCs w:val="18"/>
                <w:lang w:val="hr-HR"/>
              </w:rPr>
              <w:t>Annual Yearbook of the State Statistical Office</w:t>
            </w:r>
          </w:p>
        </w:tc>
        <w:tc>
          <w:tcPr>
            <w:tcW w:w="927" w:type="pct"/>
            <w:vMerge w:val="restart"/>
            <w:shd w:val="clear" w:color="auto" w:fill="7F7F7F" w:themeFill="text1" w:themeFillTint="80"/>
            <w:vAlign w:val="center"/>
          </w:tcPr>
          <w:p w14:paraId="361BA92D" w14:textId="77777777" w:rsidR="00C833CF" w:rsidRPr="00E01934" w:rsidRDefault="00C833CF" w:rsidP="00E01934">
            <w:pPr>
              <w:rPr>
                <w:i/>
                <w:color w:val="0D0D0D" w:themeColor="text1" w:themeTint="F2"/>
                <w:sz w:val="18"/>
                <w:szCs w:val="18"/>
                <w:highlight w:val="yellow"/>
                <w:lang w:val="en-IE"/>
              </w:rPr>
            </w:pPr>
            <w:r w:rsidRPr="00E01934">
              <w:rPr>
                <w:i/>
                <w:color w:val="0D0D0D" w:themeColor="text1" w:themeTint="F2"/>
                <w:sz w:val="18"/>
                <w:szCs w:val="18"/>
                <w:lang w:val="en-IE"/>
              </w:rPr>
              <w:t>Not applicable</w:t>
            </w:r>
          </w:p>
        </w:tc>
      </w:tr>
      <w:tr w:rsidR="00467E51" w:rsidRPr="001D7106" w14:paraId="66F30CAC" w14:textId="77777777" w:rsidTr="247BFA05">
        <w:trPr>
          <w:trHeight w:val="278"/>
          <w:tblHeader/>
        </w:trPr>
        <w:tc>
          <w:tcPr>
            <w:tcW w:w="362" w:type="pct"/>
            <w:vMerge/>
            <w:vAlign w:val="center"/>
          </w:tcPr>
          <w:p w14:paraId="3738D4B1" w14:textId="77777777" w:rsidR="00C833CF" w:rsidRPr="00E01934" w:rsidRDefault="00C833CF" w:rsidP="00E01934">
            <w:pPr>
              <w:tabs>
                <w:tab w:val="left" w:pos="0"/>
                <w:tab w:val="left" w:pos="132"/>
              </w:tabs>
              <w:ind w:right="113"/>
              <w:rPr>
                <w:b/>
                <w:color w:val="0D0D0D" w:themeColor="text1" w:themeTint="F2"/>
                <w:sz w:val="18"/>
                <w:szCs w:val="18"/>
                <w:lang w:val="en-IE"/>
              </w:rPr>
            </w:pPr>
          </w:p>
        </w:tc>
        <w:tc>
          <w:tcPr>
            <w:tcW w:w="725" w:type="pct"/>
            <w:vMerge/>
            <w:vAlign w:val="center"/>
          </w:tcPr>
          <w:p w14:paraId="1A4462A5" w14:textId="77777777" w:rsidR="00C833CF" w:rsidRPr="0066559A" w:rsidRDefault="00C833CF" w:rsidP="00E01934">
            <w:pPr>
              <w:autoSpaceDE w:val="0"/>
              <w:autoSpaceDN w:val="0"/>
              <w:adjustRightInd w:val="0"/>
              <w:rPr>
                <w:sz w:val="18"/>
                <w:szCs w:val="18"/>
              </w:rPr>
            </w:pPr>
          </w:p>
        </w:tc>
        <w:tc>
          <w:tcPr>
            <w:tcW w:w="1351" w:type="pct"/>
            <w:shd w:val="clear" w:color="auto" w:fill="auto"/>
            <w:vAlign w:val="center"/>
          </w:tcPr>
          <w:p w14:paraId="4C890D56" w14:textId="428883E6" w:rsidR="00C833CF" w:rsidRPr="0066559A" w:rsidRDefault="00C833CF" w:rsidP="00E01934">
            <w:pPr>
              <w:autoSpaceDE w:val="0"/>
              <w:autoSpaceDN w:val="0"/>
              <w:adjustRightInd w:val="0"/>
              <w:rPr>
                <w:sz w:val="18"/>
                <w:szCs w:val="18"/>
              </w:rPr>
            </w:pPr>
            <w:r w:rsidRPr="0066559A">
              <w:rPr>
                <w:sz w:val="18"/>
                <w:szCs w:val="18"/>
                <w:lang w:eastAsia="" w:bidi=""/>
              </w:rPr>
              <w:t>Healthy life expectancy at birth (years)</w:t>
            </w:r>
            <w:r w:rsidRPr="0066559A">
              <w:rPr>
                <w:rStyle w:val="FootnoteReference"/>
                <w:i/>
                <w:iCs/>
                <w:sz w:val="18"/>
                <w:szCs w:val="18"/>
              </w:rPr>
              <w:footnoteReference w:id="27"/>
            </w:r>
          </w:p>
        </w:tc>
        <w:tc>
          <w:tcPr>
            <w:tcW w:w="540" w:type="pct"/>
            <w:vAlign w:val="center"/>
          </w:tcPr>
          <w:p w14:paraId="40D17B54" w14:textId="4651C42E" w:rsidR="00C833CF" w:rsidRPr="0066559A" w:rsidRDefault="00C833CF" w:rsidP="00E01934">
            <w:pPr>
              <w:shd w:val="clear" w:color="auto" w:fill="FFFFFF" w:themeFill="background1"/>
              <w:rPr>
                <w:sz w:val="18"/>
                <w:szCs w:val="18"/>
                <w:lang w:eastAsia="" w:bidi=""/>
              </w:rPr>
            </w:pPr>
            <w:r w:rsidRPr="0066559A">
              <w:rPr>
                <w:sz w:val="18"/>
                <w:szCs w:val="18"/>
                <w:lang w:eastAsia="" w:bidi=""/>
              </w:rPr>
              <w:t>66.14 (2019)</w:t>
            </w:r>
          </w:p>
        </w:tc>
        <w:tc>
          <w:tcPr>
            <w:tcW w:w="585" w:type="pct"/>
            <w:vAlign w:val="center"/>
          </w:tcPr>
          <w:p w14:paraId="3F750C40" w14:textId="777E08C6" w:rsidR="00C833CF" w:rsidRPr="0066559A" w:rsidRDefault="00C833CF" w:rsidP="00E01934">
            <w:pPr>
              <w:shd w:val="clear" w:color="auto" w:fill="FFFFFF" w:themeFill="background1"/>
              <w:rPr>
                <w:sz w:val="18"/>
                <w:szCs w:val="18"/>
                <w:lang w:eastAsia="" w:bidi=""/>
              </w:rPr>
            </w:pPr>
            <w:r w:rsidRPr="0066559A">
              <w:rPr>
                <w:sz w:val="18"/>
                <w:szCs w:val="18"/>
                <w:lang w:eastAsia="" w:bidi=""/>
              </w:rPr>
              <w:t>≥ 67.70 (20</w:t>
            </w:r>
            <w:r w:rsidR="00301EF6">
              <w:rPr>
                <w:sz w:val="18"/>
                <w:szCs w:val="18"/>
                <w:lang w:val="hr-HR" w:eastAsia="" w:bidi=""/>
              </w:rPr>
              <w:t>3</w:t>
            </w:r>
            <w:r w:rsidR="000B3252">
              <w:rPr>
                <w:sz w:val="18"/>
                <w:szCs w:val="18"/>
                <w:lang w:val="hr-HR" w:eastAsia="" w:bidi=""/>
              </w:rPr>
              <w:t>1</w:t>
            </w:r>
            <w:r w:rsidRPr="0066559A">
              <w:rPr>
                <w:sz w:val="18"/>
                <w:szCs w:val="18"/>
                <w:lang w:eastAsia="" w:bidi=""/>
              </w:rPr>
              <w:t>)</w:t>
            </w:r>
          </w:p>
        </w:tc>
        <w:tc>
          <w:tcPr>
            <w:tcW w:w="510" w:type="pct"/>
            <w:shd w:val="clear" w:color="auto" w:fill="auto"/>
            <w:vAlign w:val="center"/>
          </w:tcPr>
          <w:p w14:paraId="0863B8B6" w14:textId="2ED6437E" w:rsidR="00C833CF" w:rsidRPr="0066559A" w:rsidRDefault="00C833CF" w:rsidP="00E01934">
            <w:pPr>
              <w:autoSpaceDE w:val="0"/>
              <w:autoSpaceDN w:val="0"/>
              <w:adjustRightInd w:val="0"/>
              <w:rPr>
                <w:sz w:val="18"/>
                <w:szCs w:val="18"/>
              </w:rPr>
            </w:pPr>
            <w:r w:rsidRPr="0066559A">
              <w:rPr>
                <w:sz w:val="18"/>
                <w:szCs w:val="18"/>
              </w:rPr>
              <w:t>WHO</w:t>
            </w:r>
          </w:p>
        </w:tc>
        <w:tc>
          <w:tcPr>
            <w:tcW w:w="927" w:type="pct"/>
            <w:vMerge/>
            <w:vAlign w:val="center"/>
          </w:tcPr>
          <w:p w14:paraId="74B1E033" w14:textId="77777777" w:rsidR="00C833CF" w:rsidRPr="00E01934" w:rsidRDefault="00C833CF" w:rsidP="00E01934">
            <w:pPr>
              <w:rPr>
                <w:i/>
                <w:color w:val="0D0D0D" w:themeColor="text1" w:themeTint="F2"/>
                <w:sz w:val="18"/>
                <w:szCs w:val="18"/>
                <w:lang w:val="en-IE"/>
              </w:rPr>
            </w:pPr>
          </w:p>
        </w:tc>
      </w:tr>
      <w:tr w:rsidR="00467E51" w:rsidRPr="001D7106" w14:paraId="1F2ADA9C" w14:textId="77777777" w:rsidTr="247BFA05">
        <w:trPr>
          <w:trHeight w:val="679"/>
          <w:tblHeader/>
        </w:trPr>
        <w:tc>
          <w:tcPr>
            <w:tcW w:w="362" w:type="pct"/>
            <w:vMerge/>
            <w:vAlign w:val="center"/>
          </w:tcPr>
          <w:p w14:paraId="7A6297FB" w14:textId="77777777" w:rsidR="00C833CF" w:rsidRPr="00E01934" w:rsidRDefault="00C833CF" w:rsidP="001C5AC4">
            <w:pPr>
              <w:tabs>
                <w:tab w:val="left" w:pos="0"/>
                <w:tab w:val="left" w:pos="132"/>
              </w:tabs>
              <w:ind w:right="113"/>
              <w:rPr>
                <w:b/>
                <w:color w:val="0D0D0D" w:themeColor="text1" w:themeTint="F2"/>
                <w:sz w:val="18"/>
                <w:szCs w:val="18"/>
                <w:lang w:val="en-IE"/>
              </w:rPr>
            </w:pPr>
          </w:p>
        </w:tc>
        <w:tc>
          <w:tcPr>
            <w:tcW w:w="725" w:type="pct"/>
            <w:vMerge/>
            <w:vAlign w:val="center"/>
          </w:tcPr>
          <w:p w14:paraId="336D67C1" w14:textId="77777777" w:rsidR="00C833CF" w:rsidRPr="0066559A" w:rsidRDefault="00C833CF" w:rsidP="001C5AC4">
            <w:pPr>
              <w:autoSpaceDE w:val="0"/>
              <w:autoSpaceDN w:val="0"/>
              <w:adjustRightInd w:val="0"/>
              <w:rPr>
                <w:sz w:val="18"/>
                <w:szCs w:val="18"/>
              </w:rPr>
            </w:pPr>
          </w:p>
        </w:tc>
        <w:tc>
          <w:tcPr>
            <w:tcW w:w="1351" w:type="pct"/>
            <w:shd w:val="clear" w:color="auto" w:fill="auto"/>
            <w:vAlign w:val="center"/>
          </w:tcPr>
          <w:p w14:paraId="07321C6D" w14:textId="69F9C56B" w:rsidR="00C833CF" w:rsidRPr="00E25DDE" w:rsidRDefault="00C833CF" w:rsidP="001C5AC4">
            <w:pPr>
              <w:autoSpaceDE w:val="0"/>
              <w:autoSpaceDN w:val="0"/>
              <w:adjustRightInd w:val="0"/>
              <w:rPr>
                <w:color w:val="000000" w:themeColor="text1"/>
                <w:sz w:val="18"/>
                <w:szCs w:val="18"/>
                <w:lang w:eastAsia="" w:bidi=""/>
              </w:rPr>
            </w:pPr>
            <w:r w:rsidRPr="00E25DDE">
              <w:rPr>
                <w:color w:val="000000" w:themeColor="text1"/>
                <w:sz w:val="18"/>
                <w:szCs w:val="18"/>
              </w:rPr>
              <w:t>Percentage of new lung cancer cases by sex</w:t>
            </w:r>
            <w:r w:rsidRPr="00E25DDE">
              <w:rPr>
                <w:rStyle w:val="FootnoteReference"/>
                <w:color w:val="000000" w:themeColor="text1"/>
                <w:sz w:val="18"/>
                <w:szCs w:val="18"/>
              </w:rPr>
              <w:footnoteReference w:id="28"/>
            </w:r>
            <w:r w:rsidRPr="00E25DDE">
              <w:rPr>
                <w:color w:val="000000" w:themeColor="text1"/>
                <w:sz w:val="18"/>
                <w:szCs w:val="18"/>
              </w:rPr>
              <w:t xml:space="preserve"> </w:t>
            </w:r>
          </w:p>
        </w:tc>
        <w:tc>
          <w:tcPr>
            <w:tcW w:w="540" w:type="pct"/>
            <w:vAlign w:val="center"/>
          </w:tcPr>
          <w:p w14:paraId="46AA503A" w14:textId="77777777" w:rsidR="00C833CF" w:rsidRPr="00E25DDE" w:rsidRDefault="00C833CF" w:rsidP="001C5AC4">
            <w:pPr>
              <w:rPr>
                <w:color w:val="000000" w:themeColor="text1"/>
                <w:sz w:val="18"/>
                <w:szCs w:val="18"/>
              </w:rPr>
            </w:pPr>
            <w:r w:rsidRPr="00E25DDE">
              <w:rPr>
                <w:color w:val="000000" w:themeColor="text1"/>
                <w:sz w:val="18"/>
                <w:szCs w:val="18"/>
              </w:rPr>
              <w:t>21% (males)</w:t>
            </w:r>
          </w:p>
          <w:p w14:paraId="0ED49D89" w14:textId="77777777" w:rsidR="00C833CF" w:rsidRPr="00E25DDE" w:rsidRDefault="00C833CF" w:rsidP="001C5AC4">
            <w:pPr>
              <w:rPr>
                <w:color w:val="000000" w:themeColor="text1"/>
                <w:sz w:val="18"/>
                <w:szCs w:val="18"/>
              </w:rPr>
            </w:pPr>
            <w:r w:rsidRPr="00E25DDE">
              <w:rPr>
                <w:color w:val="000000" w:themeColor="text1"/>
                <w:sz w:val="18"/>
                <w:szCs w:val="18"/>
              </w:rPr>
              <w:t>7,2% (females)</w:t>
            </w:r>
          </w:p>
          <w:p w14:paraId="287935C0" w14:textId="0DAC49CB" w:rsidR="00C833CF" w:rsidRPr="00E25DDE" w:rsidRDefault="00C833CF" w:rsidP="001C5AC4">
            <w:pPr>
              <w:shd w:val="clear" w:color="auto" w:fill="FFFFFF" w:themeFill="background1"/>
              <w:rPr>
                <w:color w:val="000000" w:themeColor="text1"/>
                <w:sz w:val="18"/>
                <w:szCs w:val="18"/>
                <w:lang w:eastAsia="" w:bidi=""/>
              </w:rPr>
            </w:pPr>
            <w:r w:rsidRPr="00E25DDE">
              <w:rPr>
                <w:color w:val="000000" w:themeColor="text1"/>
                <w:sz w:val="18"/>
                <w:szCs w:val="18"/>
              </w:rPr>
              <w:t>(2020)</w:t>
            </w:r>
          </w:p>
        </w:tc>
        <w:tc>
          <w:tcPr>
            <w:tcW w:w="585" w:type="pct"/>
            <w:vAlign w:val="center"/>
          </w:tcPr>
          <w:p w14:paraId="2597ACFE" w14:textId="77777777" w:rsidR="00C833CF" w:rsidRPr="00E25DDE" w:rsidRDefault="00C833CF" w:rsidP="001C5AC4">
            <w:pPr>
              <w:rPr>
                <w:color w:val="000000" w:themeColor="text1"/>
                <w:sz w:val="18"/>
                <w:szCs w:val="18"/>
              </w:rPr>
            </w:pPr>
            <w:r w:rsidRPr="00E25DDE">
              <w:rPr>
                <w:color w:val="000000" w:themeColor="text1"/>
                <w:sz w:val="18"/>
                <w:szCs w:val="18"/>
              </w:rPr>
              <w:t>≤ 17% (males)</w:t>
            </w:r>
          </w:p>
          <w:p w14:paraId="46D4413F" w14:textId="77777777" w:rsidR="00C833CF" w:rsidRPr="00E25DDE" w:rsidRDefault="00C833CF" w:rsidP="001C5AC4">
            <w:pPr>
              <w:rPr>
                <w:color w:val="000000" w:themeColor="text1"/>
                <w:sz w:val="18"/>
                <w:szCs w:val="18"/>
              </w:rPr>
            </w:pPr>
            <w:r w:rsidRPr="00E25DDE">
              <w:rPr>
                <w:color w:val="000000" w:themeColor="text1"/>
                <w:sz w:val="18"/>
                <w:szCs w:val="18"/>
              </w:rPr>
              <w:t>≤ 5.9% (females)</w:t>
            </w:r>
          </w:p>
          <w:p w14:paraId="4D0FCA69" w14:textId="39239A0D" w:rsidR="00C833CF" w:rsidRPr="00E25DDE" w:rsidRDefault="00C833CF" w:rsidP="001C5AC4">
            <w:pPr>
              <w:shd w:val="clear" w:color="auto" w:fill="FFFFFF" w:themeFill="background1"/>
              <w:rPr>
                <w:color w:val="000000" w:themeColor="text1"/>
                <w:sz w:val="18"/>
                <w:szCs w:val="18"/>
                <w:lang w:eastAsia="" w:bidi=""/>
              </w:rPr>
            </w:pPr>
            <w:r w:rsidRPr="00E25DDE">
              <w:rPr>
                <w:color w:val="000000" w:themeColor="text1"/>
                <w:sz w:val="18"/>
                <w:szCs w:val="18"/>
              </w:rPr>
              <w:t>(20</w:t>
            </w:r>
            <w:r w:rsidR="00E124AA">
              <w:rPr>
                <w:color w:val="000000" w:themeColor="text1"/>
                <w:sz w:val="18"/>
                <w:szCs w:val="18"/>
                <w:lang w:val="hr-HR"/>
              </w:rPr>
              <w:t>31</w:t>
            </w:r>
            <w:r w:rsidRPr="00E25DDE">
              <w:rPr>
                <w:color w:val="000000" w:themeColor="text1"/>
                <w:sz w:val="18"/>
                <w:szCs w:val="18"/>
              </w:rPr>
              <w:t>)</w:t>
            </w:r>
          </w:p>
        </w:tc>
        <w:tc>
          <w:tcPr>
            <w:tcW w:w="510" w:type="pct"/>
            <w:shd w:val="clear" w:color="auto" w:fill="auto"/>
            <w:vAlign w:val="center"/>
          </w:tcPr>
          <w:p w14:paraId="71D4F8CE" w14:textId="0719DFC4" w:rsidR="00C833CF" w:rsidRPr="00B6363B" w:rsidRDefault="00C833CF" w:rsidP="001C5AC4">
            <w:pPr>
              <w:autoSpaceDE w:val="0"/>
              <w:autoSpaceDN w:val="0"/>
              <w:adjustRightInd w:val="0"/>
              <w:rPr>
                <w:color w:val="000000" w:themeColor="text1"/>
                <w:sz w:val="18"/>
                <w:szCs w:val="18"/>
                <w:lang w:val="hr-HR"/>
              </w:rPr>
            </w:pPr>
            <w:r w:rsidRPr="00E25DDE">
              <w:rPr>
                <w:color w:val="000000" w:themeColor="text1"/>
                <w:sz w:val="18"/>
                <w:szCs w:val="18"/>
              </w:rPr>
              <w:t>The Global Cancer Observatory (WHO)</w:t>
            </w:r>
            <w:r w:rsidR="00301EF6">
              <w:rPr>
                <w:color w:val="000000" w:themeColor="text1"/>
                <w:sz w:val="18"/>
                <w:szCs w:val="18"/>
                <w:lang w:val="hr-HR"/>
              </w:rPr>
              <w:t xml:space="preserve"> Report</w:t>
            </w:r>
          </w:p>
        </w:tc>
        <w:tc>
          <w:tcPr>
            <w:tcW w:w="927" w:type="pct"/>
            <w:vMerge/>
            <w:vAlign w:val="center"/>
          </w:tcPr>
          <w:p w14:paraId="1259EECD" w14:textId="77777777" w:rsidR="00C833CF" w:rsidRPr="00E01934" w:rsidRDefault="00C833CF" w:rsidP="001C5AC4">
            <w:pPr>
              <w:rPr>
                <w:i/>
                <w:color w:val="0D0D0D" w:themeColor="text1" w:themeTint="F2"/>
                <w:sz w:val="18"/>
                <w:szCs w:val="18"/>
                <w:lang w:val="en-IE"/>
              </w:rPr>
            </w:pPr>
          </w:p>
        </w:tc>
      </w:tr>
      <w:tr w:rsidR="00467E51" w:rsidRPr="001D7106" w14:paraId="0B0DC2EB" w14:textId="77777777" w:rsidTr="247BFA05">
        <w:trPr>
          <w:trHeight w:val="422"/>
          <w:tblHeader/>
        </w:trPr>
        <w:tc>
          <w:tcPr>
            <w:tcW w:w="362" w:type="pct"/>
            <w:vMerge/>
            <w:vAlign w:val="center"/>
          </w:tcPr>
          <w:p w14:paraId="77BD74CA" w14:textId="77777777" w:rsidR="00C833CF" w:rsidRPr="00E01934" w:rsidRDefault="00C833CF" w:rsidP="003E6052">
            <w:pPr>
              <w:tabs>
                <w:tab w:val="left" w:pos="0"/>
                <w:tab w:val="left" w:pos="132"/>
              </w:tabs>
              <w:ind w:right="113"/>
              <w:rPr>
                <w:b/>
                <w:color w:val="0D0D0D" w:themeColor="text1" w:themeTint="F2"/>
                <w:sz w:val="18"/>
                <w:szCs w:val="18"/>
                <w:lang w:val="en-IE"/>
              </w:rPr>
            </w:pPr>
          </w:p>
        </w:tc>
        <w:tc>
          <w:tcPr>
            <w:tcW w:w="725" w:type="pct"/>
            <w:vMerge/>
            <w:vAlign w:val="center"/>
          </w:tcPr>
          <w:p w14:paraId="3A364FE3" w14:textId="77777777" w:rsidR="00C833CF" w:rsidRPr="0066559A" w:rsidRDefault="00C833CF" w:rsidP="003E6052">
            <w:pPr>
              <w:autoSpaceDE w:val="0"/>
              <w:autoSpaceDN w:val="0"/>
              <w:adjustRightInd w:val="0"/>
              <w:rPr>
                <w:sz w:val="18"/>
                <w:szCs w:val="18"/>
              </w:rPr>
            </w:pPr>
          </w:p>
        </w:tc>
        <w:tc>
          <w:tcPr>
            <w:tcW w:w="1351" w:type="pct"/>
            <w:shd w:val="clear" w:color="auto" w:fill="auto"/>
            <w:vAlign w:val="center"/>
          </w:tcPr>
          <w:p w14:paraId="50A37D86" w14:textId="45104BB8" w:rsidR="00C833CF" w:rsidRPr="00E25DDE" w:rsidRDefault="00C833CF" w:rsidP="003E6052">
            <w:pPr>
              <w:autoSpaceDE w:val="0"/>
              <w:autoSpaceDN w:val="0"/>
              <w:adjustRightInd w:val="0"/>
              <w:rPr>
                <w:color w:val="000000" w:themeColor="text1"/>
                <w:sz w:val="18"/>
                <w:szCs w:val="18"/>
              </w:rPr>
            </w:pPr>
            <w:r w:rsidRPr="00E25DDE">
              <w:rPr>
                <w:color w:val="000000" w:themeColor="text1"/>
                <w:sz w:val="18"/>
                <w:szCs w:val="18"/>
              </w:rPr>
              <w:t>Colon cancer mortality rate (per 100 000 inhabitants)</w:t>
            </w:r>
            <w:r w:rsidRPr="00E25DDE">
              <w:rPr>
                <w:rStyle w:val="FootnoteReference"/>
                <w:color w:val="000000" w:themeColor="text1"/>
                <w:sz w:val="18"/>
                <w:szCs w:val="18"/>
              </w:rPr>
              <w:t xml:space="preserve"> </w:t>
            </w:r>
            <w:r w:rsidRPr="00E25DDE">
              <w:rPr>
                <w:color w:val="000000" w:themeColor="text1"/>
                <w:sz w:val="18"/>
                <w:szCs w:val="18"/>
              </w:rPr>
              <w:t>by sex</w:t>
            </w:r>
          </w:p>
        </w:tc>
        <w:tc>
          <w:tcPr>
            <w:tcW w:w="540" w:type="pct"/>
            <w:vAlign w:val="center"/>
          </w:tcPr>
          <w:p w14:paraId="2B135127" w14:textId="4EDE0C58" w:rsidR="00C833CF" w:rsidRPr="00E25DDE" w:rsidRDefault="00C833CF" w:rsidP="003E6052">
            <w:pPr>
              <w:rPr>
                <w:color w:val="000000" w:themeColor="text1"/>
                <w:sz w:val="18"/>
                <w:szCs w:val="18"/>
              </w:rPr>
            </w:pPr>
            <w:r w:rsidRPr="00E25DDE">
              <w:rPr>
                <w:color w:val="000000" w:themeColor="text1"/>
                <w:sz w:val="18"/>
                <w:szCs w:val="18"/>
              </w:rPr>
              <w:t>6% (2020)</w:t>
            </w:r>
          </w:p>
        </w:tc>
        <w:tc>
          <w:tcPr>
            <w:tcW w:w="585" w:type="pct"/>
            <w:vAlign w:val="center"/>
          </w:tcPr>
          <w:p w14:paraId="1F1D05FC" w14:textId="25D9C3CF" w:rsidR="00C833CF" w:rsidRPr="00E25DDE" w:rsidRDefault="00C833CF" w:rsidP="003E6052">
            <w:pPr>
              <w:rPr>
                <w:color w:val="000000" w:themeColor="text1"/>
                <w:sz w:val="18"/>
                <w:szCs w:val="18"/>
              </w:rPr>
            </w:pPr>
            <w:r w:rsidRPr="00E25DDE">
              <w:rPr>
                <w:color w:val="000000" w:themeColor="text1"/>
                <w:sz w:val="18"/>
                <w:szCs w:val="18"/>
              </w:rPr>
              <w:t>≤ 3% (20</w:t>
            </w:r>
            <w:r w:rsidR="00E124AA">
              <w:rPr>
                <w:color w:val="000000" w:themeColor="text1"/>
                <w:sz w:val="18"/>
                <w:szCs w:val="18"/>
                <w:lang w:val="hr-HR"/>
              </w:rPr>
              <w:t>31</w:t>
            </w:r>
            <w:r w:rsidRPr="00E25DDE">
              <w:rPr>
                <w:color w:val="000000" w:themeColor="text1"/>
                <w:sz w:val="18"/>
                <w:szCs w:val="18"/>
              </w:rPr>
              <w:t>)</w:t>
            </w:r>
          </w:p>
        </w:tc>
        <w:tc>
          <w:tcPr>
            <w:tcW w:w="510" w:type="pct"/>
            <w:shd w:val="clear" w:color="auto" w:fill="auto"/>
            <w:vAlign w:val="center"/>
          </w:tcPr>
          <w:p w14:paraId="377B4C98" w14:textId="201C2885" w:rsidR="00C833CF" w:rsidRPr="00E25DDE" w:rsidRDefault="00C833CF" w:rsidP="003E6052">
            <w:pPr>
              <w:autoSpaceDE w:val="0"/>
              <w:autoSpaceDN w:val="0"/>
              <w:adjustRightInd w:val="0"/>
              <w:rPr>
                <w:color w:val="000000" w:themeColor="text1"/>
                <w:sz w:val="18"/>
                <w:szCs w:val="18"/>
              </w:rPr>
            </w:pPr>
            <w:r w:rsidRPr="00E25DDE">
              <w:rPr>
                <w:color w:val="000000" w:themeColor="text1"/>
                <w:sz w:val="18"/>
                <w:szCs w:val="18"/>
              </w:rPr>
              <w:t>Cancer registry IPH</w:t>
            </w:r>
          </w:p>
        </w:tc>
        <w:tc>
          <w:tcPr>
            <w:tcW w:w="927" w:type="pct"/>
            <w:vMerge/>
            <w:vAlign w:val="center"/>
          </w:tcPr>
          <w:p w14:paraId="103637F7" w14:textId="77777777" w:rsidR="00C833CF" w:rsidRPr="00E01934" w:rsidRDefault="00C833CF" w:rsidP="003E6052">
            <w:pPr>
              <w:rPr>
                <w:i/>
                <w:color w:val="0D0D0D" w:themeColor="text1" w:themeTint="F2"/>
                <w:sz w:val="18"/>
                <w:szCs w:val="18"/>
                <w:lang w:val="en-IE"/>
              </w:rPr>
            </w:pPr>
          </w:p>
        </w:tc>
      </w:tr>
      <w:tr w:rsidR="00467E51" w:rsidRPr="001D7106" w14:paraId="427B237C" w14:textId="77777777" w:rsidTr="247BFA05">
        <w:trPr>
          <w:trHeight w:val="496"/>
          <w:tblHeader/>
        </w:trPr>
        <w:tc>
          <w:tcPr>
            <w:tcW w:w="362" w:type="pct"/>
            <w:vMerge w:val="restart"/>
            <w:shd w:val="clear" w:color="auto" w:fill="D9D9D9" w:themeFill="background1" w:themeFillShade="D9"/>
            <w:vAlign w:val="center"/>
          </w:tcPr>
          <w:p w14:paraId="55A9C9DA" w14:textId="74001C4F" w:rsidR="0029605E" w:rsidRPr="00E01934" w:rsidRDefault="0029605E" w:rsidP="00DC5761">
            <w:pPr>
              <w:tabs>
                <w:tab w:val="left" w:pos="0"/>
              </w:tabs>
              <w:ind w:left="12"/>
              <w:rPr>
                <w:b/>
                <w:color w:val="0D0D0D" w:themeColor="text1" w:themeTint="F2"/>
                <w:sz w:val="18"/>
                <w:szCs w:val="18"/>
                <w:lang w:val="en-IE"/>
              </w:rPr>
            </w:pPr>
            <w:r w:rsidRPr="00E01934">
              <w:rPr>
                <w:b/>
                <w:color w:val="0D0D0D" w:themeColor="text1" w:themeTint="F2"/>
                <w:sz w:val="18"/>
                <w:szCs w:val="18"/>
                <w:lang w:val="en-IE"/>
              </w:rPr>
              <w:t>Outcome 1</w:t>
            </w:r>
          </w:p>
        </w:tc>
        <w:tc>
          <w:tcPr>
            <w:tcW w:w="725" w:type="pct"/>
            <w:vMerge w:val="restart"/>
            <w:shd w:val="clear" w:color="auto" w:fill="auto"/>
            <w:vAlign w:val="center"/>
          </w:tcPr>
          <w:p w14:paraId="53089EE7" w14:textId="007C9C1D" w:rsidR="0029605E" w:rsidRPr="00E25DDE" w:rsidRDefault="0029605E" w:rsidP="0029605E">
            <w:pPr>
              <w:autoSpaceDE w:val="0"/>
              <w:autoSpaceDN w:val="0"/>
              <w:adjustRightInd w:val="0"/>
              <w:rPr>
                <w:color w:val="000000" w:themeColor="text1"/>
                <w:sz w:val="18"/>
                <w:szCs w:val="18"/>
                <w:lang w:val="en-IE"/>
              </w:rPr>
            </w:pPr>
            <w:r w:rsidRPr="00E25DDE">
              <w:rPr>
                <w:color w:val="000000" w:themeColor="text1"/>
                <w:sz w:val="18"/>
                <w:szCs w:val="18"/>
                <w:lang w:val="en-IE"/>
              </w:rPr>
              <w:t xml:space="preserve">Enhanced digitalisation and modernisation of the Healthcare System </w:t>
            </w:r>
          </w:p>
        </w:tc>
        <w:tc>
          <w:tcPr>
            <w:tcW w:w="1351" w:type="pct"/>
            <w:tcBorders>
              <w:bottom w:val="single" w:sz="4" w:space="0" w:color="auto"/>
            </w:tcBorders>
            <w:shd w:val="clear" w:color="auto" w:fill="auto"/>
            <w:vAlign w:val="center"/>
          </w:tcPr>
          <w:p w14:paraId="760C3DB3" w14:textId="320A9EF9" w:rsidR="0029605E" w:rsidRPr="00E25DDE" w:rsidRDefault="0029605E" w:rsidP="003E6052">
            <w:pPr>
              <w:autoSpaceDE w:val="0"/>
              <w:autoSpaceDN w:val="0"/>
              <w:adjustRightInd w:val="0"/>
              <w:rPr>
                <w:color w:val="000000" w:themeColor="text1"/>
                <w:sz w:val="18"/>
                <w:szCs w:val="18"/>
                <w:lang w:val="en-IE"/>
              </w:rPr>
            </w:pPr>
            <w:r w:rsidRPr="00E25DDE">
              <w:rPr>
                <w:color w:val="000000" w:themeColor="text1"/>
                <w:sz w:val="18"/>
                <w:szCs w:val="18"/>
              </w:rPr>
              <w:t xml:space="preserve">Percentage of the population with access to its health records </w:t>
            </w:r>
          </w:p>
        </w:tc>
        <w:tc>
          <w:tcPr>
            <w:tcW w:w="540" w:type="pct"/>
            <w:tcBorders>
              <w:bottom w:val="single" w:sz="4" w:space="0" w:color="auto"/>
            </w:tcBorders>
            <w:vAlign w:val="center"/>
          </w:tcPr>
          <w:p w14:paraId="1C030683" w14:textId="511C3955" w:rsidR="0029605E" w:rsidRPr="00E25DDE" w:rsidRDefault="0029605E" w:rsidP="003E6052">
            <w:pPr>
              <w:rPr>
                <w:color w:val="000000" w:themeColor="text1"/>
                <w:sz w:val="18"/>
                <w:szCs w:val="18"/>
                <w:lang w:val="en-IE"/>
              </w:rPr>
            </w:pPr>
            <w:r w:rsidRPr="00E25DDE">
              <w:rPr>
                <w:color w:val="000000" w:themeColor="text1"/>
                <w:sz w:val="18"/>
                <w:szCs w:val="18"/>
              </w:rPr>
              <w:t>0% (2022)</w:t>
            </w:r>
          </w:p>
        </w:tc>
        <w:tc>
          <w:tcPr>
            <w:tcW w:w="585" w:type="pct"/>
            <w:tcBorders>
              <w:bottom w:val="single" w:sz="4" w:space="0" w:color="auto"/>
            </w:tcBorders>
            <w:vAlign w:val="center"/>
          </w:tcPr>
          <w:p w14:paraId="7978AF78" w14:textId="2E39A2EF" w:rsidR="0029605E" w:rsidRPr="00E25DDE" w:rsidRDefault="0029605E" w:rsidP="003E6052">
            <w:pPr>
              <w:rPr>
                <w:color w:val="000000" w:themeColor="text1"/>
                <w:sz w:val="18"/>
                <w:szCs w:val="18"/>
                <w:lang w:val="en-IE"/>
              </w:rPr>
            </w:pPr>
            <w:r w:rsidRPr="00E25DDE">
              <w:rPr>
                <w:color w:val="000000" w:themeColor="text1"/>
                <w:sz w:val="18"/>
                <w:szCs w:val="18"/>
              </w:rPr>
              <w:t>20% (20</w:t>
            </w:r>
            <w:r w:rsidR="00E124AA">
              <w:rPr>
                <w:color w:val="000000" w:themeColor="text1"/>
                <w:sz w:val="18"/>
                <w:szCs w:val="18"/>
              </w:rPr>
              <w:t>28</w:t>
            </w:r>
            <w:r w:rsidRPr="00E25DDE">
              <w:rPr>
                <w:color w:val="000000" w:themeColor="text1"/>
                <w:sz w:val="18"/>
                <w:szCs w:val="18"/>
              </w:rPr>
              <w:t>)</w:t>
            </w:r>
          </w:p>
        </w:tc>
        <w:tc>
          <w:tcPr>
            <w:tcW w:w="510" w:type="pct"/>
            <w:tcBorders>
              <w:bottom w:val="single" w:sz="4" w:space="0" w:color="auto"/>
            </w:tcBorders>
            <w:shd w:val="clear" w:color="auto" w:fill="auto"/>
            <w:vAlign w:val="center"/>
          </w:tcPr>
          <w:p w14:paraId="184F9DAF" w14:textId="0FC6AAC2" w:rsidR="0029605E" w:rsidRPr="00E25DDE" w:rsidRDefault="0029605E" w:rsidP="003E6052">
            <w:pPr>
              <w:rPr>
                <w:color w:val="000000" w:themeColor="text1"/>
                <w:sz w:val="18"/>
                <w:szCs w:val="18"/>
                <w:highlight w:val="yellow"/>
                <w:lang w:val="en-IE"/>
              </w:rPr>
            </w:pPr>
            <w:r w:rsidRPr="00E25DDE">
              <w:rPr>
                <w:color w:val="000000" w:themeColor="text1"/>
                <w:sz w:val="18"/>
                <w:szCs w:val="18"/>
              </w:rPr>
              <w:t>E-health monitoring system</w:t>
            </w:r>
          </w:p>
        </w:tc>
        <w:tc>
          <w:tcPr>
            <w:tcW w:w="927" w:type="pct"/>
            <w:vMerge w:val="restart"/>
            <w:shd w:val="clear" w:color="auto" w:fill="auto"/>
            <w:vAlign w:val="center"/>
          </w:tcPr>
          <w:p w14:paraId="6960D1CB" w14:textId="77777777" w:rsidR="0029605E" w:rsidRPr="00276DFD" w:rsidRDefault="0029605E" w:rsidP="004F5803">
            <w:pPr>
              <w:numPr>
                <w:ilvl w:val="12"/>
                <w:numId w:val="0"/>
              </w:numPr>
              <w:shd w:val="clear" w:color="auto" w:fill="FFFFFF"/>
              <w:rPr>
                <w:sz w:val="18"/>
                <w:szCs w:val="18"/>
              </w:rPr>
            </w:pPr>
            <w:r w:rsidRPr="00276DFD">
              <w:rPr>
                <w:sz w:val="18"/>
                <w:szCs w:val="18"/>
              </w:rPr>
              <w:t>Government continues investing in the health protection</w:t>
            </w:r>
          </w:p>
          <w:p w14:paraId="425D3FC6" w14:textId="77777777" w:rsidR="0029605E" w:rsidRPr="00276DFD" w:rsidRDefault="0029605E" w:rsidP="004F5803">
            <w:pPr>
              <w:numPr>
                <w:ilvl w:val="12"/>
                <w:numId w:val="0"/>
              </w:numPr>
              <w:shd w:val="clear" w:color="auto" w:fill="FFFFFF"/>
              <w:rPr>
                <w:sz w:val="18"/>
                <w:szCs w:val="18"/>
              </w:rPr>
            </w:pPr>
          </w:p>
          <w:p w14:paraId="416107F5" w14:textId="22E480E2" w:rsidR="0029605E" w:rsidRPr="00467E51" w:rsidRDefault="0029605E" w:rsidP="00467E51">
            <w:pPr>
              <w:numPr>
                <w:ilvl w:val="12"/>
                <w:numId w:val="0"/>
              </w:numPr>
              <w:shd w:val="clear" w:color="auto" w:fill="FFFFFF"/>
              <w:rPr>
                <w:sz w:val="18"/>
                <w:szCs w:val="18"/>
              </w:rPr>
            </w:pPr>
            <w:r w:rsidRPr="00276DFD">
              <w:rPr>
                <w:sz w:val="18"/>
                <w:szCs w:val="18"/>
              </w:rPr>
              <w:t>Population becomes more aware of the health risks created by certain behavi</w:t>
            </w:r>
            <w:r w:rsidR="00467E51">
              <w:rPr>
                <w:sz w:val="18"/>
                <w:szCs w:val="18"/>
              </w:rPr>
              <w:t>ours and adjusts it accordingly</w:t>
            </w:r>
          </w:p>
        </w:tc>
      </w:tr>
      <w:tr w:rsidR="00467E51" w:rsidRPr="001D7106" w14:paraId="40D9B3D4" w14:textId="77777777" w:rsidTr="247BFA05">
        <w:trPr>
          <w:trHeight w:val="75"/>
          <w:tblHeader/>
        </w:trPr>
        <w:tc>
          <w:tcPr>
            <w:tcW w:w="362" w:type="pct"/>
            <w:vMerge/>
            <w:vAlign w:val="center"/>
          </w:tcPr>
          <w:p w14:paraId="12303812" w14:textId="77777777" w:rsidR="0029605E" w:rsidRPr="00E01934" w:rsidRDefault="0029605E" w:rsidP="0097769B">
            <w:pPr>
              <w:tabs>
                <w:tab w:val="left" w:pos="0"/>
                <w:tab w:val="left" w:pos="132"/>
              </w:tabs>
              <w:rPr>
                <w:b/>
                <w:color w:val="0D0D0D" w:themeColor="text1" w:themeTint="F2"/>
                <w:sz w:val="18"/>
                <w:szCs w:val="18"/>
                <w:lang w:val="en-IE"/>
              </w:rPr>
            </w:pPr>
          </w:p>
        </w:tc>
        <w:tc>
          <w:tcPr>
            <w:tcW w:w="725" w:type="pct"/>
            <w:vMerge/>
            <w:vAlign w:val="center"/>
          </w:tcPr>
          <w:p w14:paraId="5EE3CC2D" w14:textId="77777777" w:rsidR="0029605E" w:rsidRPr="00E25DDE" w:rsidRDefault="0029605E" w:rsidP="003E6052">
            <w:pPr>
              <w:autoSpaceDE w:val="0"/>
              <w:autoSpaceDN w:val="0"/>
              <w:adjustRightInd w:val="0"/>
              <w:rPr>
                <w:color w:val="000000" w:themeColor="text1"/>
                <w:sz w:val="18"/>
                <w:szCs w:val="18"/>
                <w:lang w:val="en-IE"/>
              </w:rPr>
            </w:pPr>
          </w:p>
        </w:tc>
        <w:tc>
          <w:tcPr>
            <w:tcW w:w="1351" w:type="pct"/>
            <w:tcBorders>
              <w:bottom w:val="single" w:sz="4" w:space="0" w:color="auto"/>
            </w:tcBorders>
            <w:shd w:val="clear" w:color="auto" w:fill="auto"/>
            <w:vAlign w:val="center"/>
          </w:tcPr>
          <w:p w14:paraId="641CB8AE" w14:textId="0F309B0A" w:rsidR="0029605E" w:rsidRPr="00E25DDE" w:rsidRDefault="0029605E" w:rsidP="003E6052">
            <w:pPr>
              <w:autoSpaceDE w:val="0"/>
              <w:autoSpaceDN w:val="0"/>
              <w:adjustRightInd w:val="0"/>
              <w:rPr>
                <w:color w:val="000000" w:themeColor="text1"/>
                <w:sz w:val="18"/>
                <w:szCs w:val="18"/>
              </w:rPr>
            </w:pPr>
            <w:r w:rsidRPr="00E25DDE">
              <w:rPr>
                <w:color w:val="000000" w:themeColor="text1"/>
                <w:sz w:val="18"/>
                <w:szCs w:val="18"/>
              </w:rPr>
              <w:t>Proportion of early detected CRC</w:t>
            </w:r>
          </w:p>
        </w:tc>
        <w:tc>
          <w:tcPr>
            <w:tcW w:w="540" w:type="pct"/>
            <w:tcBorders>
              <w:bottom w:val="single" w:sz="4" w:space="0" w:color="auto"/>
            </w:tcBorders>
            <w:vAlign w:val="center"/>
          </w:tcPr>
          <w:p w14:paraId="3CE5DF5A" w14:textId="43A1142D" w:rsidR="0029605E" w:rsidRPr="00E25DDE" w:rsidRDefault="0029605E" w:rsidP="003E6052">
            <w:pPr>
              <w:rPr>
                <w:color w:val="000000" w:themeColor="text1"/>
                <w:sz w:val="18"/>
                <w:szCs w:val="18"/>
              </w:rPr>
            </w:pPr>
            <w:r w:rsidRPr="00E25DDE">
              <w:rPr>
                <w:color w:val="000000" w:themeColor="text1"/>
                <w:sz w:val="18"/>
                <w:szCs w:val="18"/>
              </w:rPr>
              <w:t>14% (2021)</w:t>
            </w:r>
          </w:p>
        </w:tc>
        <w:tc>
          <w:tcPr>
            <w:tcW w:w="585" w:type="pct"/>
            <w:tcBorders>
              <w:bottom w:val="single" w:sz="4" w:space="0" w:color="auto"/>
            </w:tcBorders>
            <w:vAlign w:val="center"/>
          </w:tcPr>
          <w:p w14:paraId="59B64800" w14:textId="742C7048" w:rsidR="0029605E" w:rsidRPr="00E25DDE" w:rsidRDefault="0029605E" w:rsidP="003E6052">
            <w:pPr>
              <w:rPr>
                <w:color w:val="000000" w:themeColor="text1"/>
                <w:sz w:val="18"/>
                <w:szCs w:val="18"/>
              </w:rPr>
            </w:pPr>
            <w:r w:rsidRPr="00E25DDE">
              <w:rPr>
                <w:color w:val="000000" w:themeColor="text1"/>
                <w:sz w:val="18"/>
                <w:szCs w:val="18"/>
              </w:rPr>
              <w:t>≥ 50% (20</w:t>
            </w:r>
            <w:r w:rsidR="00E124AA">
              <w:rPr>
                <w:color w:val="000000" w:themeColor="text1"/>
                <w:sz w:val="18"/>
                <w:szCs w:val="18"/>
                <w:lang w:val="hr-HR"/>
              </w:rPr>
              <w:t>28</w:t>
            </w:r>
            <w:r w:rsidRPr="00E25DDE">
              <w:rPr>
                <w:color w:val="000000" w:themeColor="text1"/>
                <w:sz w:val="18"/>
                <w:szCs w:val="18"/>
              </w:rPr>
              <w:t>)</w:t>
            </w:r>
          </w:p>
        </w:tc>
        <w:tc>
          <w:tcPr>
            <w:tcW w:w="510" w:type="pct"/>
            <w:tcBorders>
              <w:bottom w:val="single" w:sz="4" w:space="0" w:color="auto"/>
            </w:tcBorders>
            <w:shd w:val="clear" w:color="auto" w:fill="auto"/>
            <w:vAlign w:val="center"/>
          </w:tcPr>
          <w:p w14:paraId="26C55B07" w14:textId="77777777" w:rsidR="00E124AA" w:rsidRPr="00E124AA" w:rsidRDefault="00E124AA" w:rsidP="00E124AA">
            <w:pPr>
              <w:rPr>
                <w:color w:val="000000" w:themeColor="text1"/>
                <w:sz w:val="18"/>
                <w:szCs w:val="18"/>
                <w:lang w:val="en-US"/>
              </w:rPr>
            </w:pPr>
            <w:r w:rsidRPr="00E124AA">
              <w:rPr>
                <w:color w:val="000000" w:themeColor="text1"/>
                <w:sz w:val="18"/>
                <w:szCs w:val="18"/>
              </w:rPr>
              <w:t>MoH-</w:t>
            </w:r>
            <w:r w:rsidRPr="00E124AA">
              <w:rPr>
                <w:color w:val="000000" w:themeColor="text1"/>
                <w:sz w:val="18"/>
                <w:szCs w:val="18"/>
                <w:lang w:val="en-US"/>
              </w:rPr>
              <w:t xml:space="preserve"> Program for early detection and screening of malignant diseases in the Republic of North</w:t>
            </w:r>
          </w:p>
          <w:p w14:paraId="7C41DC5A" w14:textId="77777777" w:rsidR="00E124AA" w:rsidRPr="00E124AA" w:rsidRDefault="00E124AA" w:rsidP="00E124AA">
            <w:pPr>
              <w:rPr>
                <w:color w:val="000000" w:themeColor="text1"/>
                <w:sz w:val="18"/>
                <w:szCs w:val="18"/>
                <w:lang w:val="en-US"/>
              </w:rPr>
            </w:pPr>
            <w:r w:rsidRPr="00E124AA">
              <w:rPr>
                <w:color w:val="000000" w:themeColor="text1"/>
                <w:sz w:val="18"/>
                <w:szCs w:val="18"/>
                <w:lang w:val="en-US"/>
              </w:rPr>
              <w:t>Macedonia</w:t>
            </w:r>
          </w:p>
          <w:p w14:paraId="40F50CB4" w14:textId="67DC629B" w:rsidR="0029605E" w:rsidRPr="00E25DDE" w:rsidRDefault="0029605E" w:rsidP="003E6052">
            <w:pPr>
              <w:rPr>
                <w:color w:val="000000" w:themeColor="text1"/>
                <w:sz w:val="18"/>
                <w:szCs w:val="18"/>
              </w:rPr>
            </w:pPr>
          </w:p>
        </w:tc>
        <w:tc>
          <w:tcPr>
            <w:tcW w:w="927" w:type="pct"/>
            <w:vMerge/>
            <w:vAlign w:val="center"/>
          </w:tcPr>
          <w:p w14:paraId="13F53407" w14:textId="77777777" w:rsidR="0029605E" w:rsidRPr="00276DFD" w:rsidRDefault="0029605E" w:rsidP="003E6052">
            <w:pPr>
              <w:numPr>
                <w:ilvl w:val="12"/>
                <w:numId w:val="0"/>
              </w:numPr>
              <w:shd w:val="clear" w:color="auto" w:fill="FFFFFF"/>
              <w:rPr>
                <w:sz w:val="18"/>
                <w:szCs w:val="18"/>
              </w:rPr>
            </w:pPr>
          </w:p>
        </w:tc>
      </w:tr>
      <w:tr w:rsidR="00467E51" w:rsidRPr="001D7106" w14:paraId="75047C10" w14:textId="77777777" w:rsidTr="247BFA05">
        <w:trPr>
          <w:trHeight w:val="433"/>
          <w:tblHeader/>
        </w:trPr>
        <w:tc>
          <w:tcPr>
            <w:tcW w:w="362" w:type="pct"/>
            <w:vMerge/>
            <w:vAlign w:val="center"/>
          </w:tcPr>
          <w:p w14:paraId="5A421250" w14:textId="1FEE3B0A" w:rsidR="0029605E" w:rsidRPr="00E01934" w:rsidRDefault="0029605E" w:rsidP="003E6052">
            <w:pPr>
              <w:tabs>
                <w:tab w:val="left" w:pos="0"/>
                <w:tab w:val="left" w:pos="132"/>
              </w:tabs>
              <w:rPr>
                <w:b/>
                <w:color w:val="0D0D0D" w:themeColor="text1" w:themeTint="F2"/>
                <w:sz w:val="18"/>
                <w:szCs w:val="18"/>
                <w:lang w:val="en-IE"/>
              </w:rPr>
            </w:pPr>
          </w:p>
        </w:tc>
        <w:tc>
          <w:tcPr>
            <w:tcW w:w="725" w:type="pct"/>
            <w:vMerge/>
            <w:vAlign w:val="center"/>
          </w:tcPr>
          <w:p w14:paraId="33C57B81" w14:textId="6B8C3B26" w:rsidR="0029605E" w:rsidRPr="00E25DDE" w:rsidRDefault="0029605E" w:rsidP="0029605E">
            <w:pPr>
              <w:autoSpaceDE w:val="0"/>
              <w:autoSpaceDN w:val="0"/>
              <w:adjustRightInd w:val="0"/>
              <w:rPr>
                <w:color w:val="000000" w:themeColor="text1"/>
                <w:sz w:val="18"/>
                <w:szCs w:val="18"/>
                <w:lang w:val="en-IE"/>
              </w:rPr>
            </w:pPr>
          </w:p>
        </w:tc>
        <w:tc>
          <w:tcPr>
            <w:tcW w:w="1351" w:type="pct"/>
            <w:shd w:val="clear" w:color="auto" w:fill="FFFFFF" w:themeFill="background1"/>
            <w:vAlign w:val="center"/>
          </w:tcPr>
          <w:p w14:paraId="6F56046E" w14:textId="7520EC05" w:rsidR="0029605E" w:rsidRPr="00E25DDE" w:rsidRDefault="0029605E" w:rsidP="003E6052">
            <w:pPr>
              <w:autoSpaceDE w:val="0"/>
              <w:autoSpaceDN w:val="0"/>
              <w:adjustRightInd w:val="0"/>
              <w:rPr>
                <w:color w:val="000000" w:themeColor="text1"/>
                <w:sz w:val="18"/>
                <w:szCs w:val="18"/>
                <w:lang w:val="en-IE"/>
              </w:rPr>
            </w:pPr>
            <w:r w:rsidRPr="00E25DDE">
              <w:rPr>
                <w:color w:val="000000" w:themeColor="text1"/>
                <w:sz w:val="18"/>
                <w:szCs w:val="18"/>
                <w:lang w:val="en-IE"/>
              </w:rPr>
              <w:t>Rate of ambulances available (100 000 inhabitants)</w:t>
            </w:r>
          </w:p>
        </w:tc>
        <w:tc>
          <w:tcPr>
            <w:tcW w:w="540" w:type="pct"/>
            <w:shd w:val="clear" w:color="auto" w:fill="FFFFFF" w:themeFill="background1"/>
            <w:vAlign w:val="center"/>
          </w:tcPr>
          <w:p w14:paraId="37E0045B" w14:textId="0B0B6432" w:rsidR="0029605E" w:rsidRPr="00E25DDE" w:rsidRDefault="0029605E" w:rsidP="003E6052">
            <w:pPr>
              <w:rPr>
                <w:color w:val="000000" w:themeColor="text1"/>
                <w:sz w:val="18"/>
                <w:szCs w:val="18"/>
                <w:lang w:val="en-IE"/>
              </w:rPr>
            </w:pPr>
            <w:r w:rsidRPr="00E25DDE">
              <w:rPr>
                <w:color w:val="000000" w:themeColor="text1"/>
                <w:sz w:val="18"/>
                <w:szCs w:val="18"/>
              </w:rPr>
              <w:t>160/1,836,000x100,000 = 8.7 (2022)</w:t>
            </w:r>
          </w:p>
        </w:tc>
        <w:tc>
          <w:tcPr>
            <w:tcW w:w="585" w:type="pct"/>
            <w:shd w:val="clear" w:color="auto" w:fill="FFFFFF" w:themeFill="background1"/>
            <w:vAlign w:val="center"/>
          </w:tcPr>
          <w:p w14:paraId="20E50F88" w14:textId="0CBFB618" w:rsidR="0029605E" w:rsidRPr="00E25DDE" w:rsidRDefault="0029605E" w:rsidP="00467E51">
            <w:pPr>
              <w:rPr>
                <w:color w:val="000000" w:themeColor="text1"/>
                <w:sz w:val="18"/>
                <w:szCs w:val="18"/>
                <w:lang w:val="en-IE"/>
              </w:rPr>
            </w:pPr>
            <w:r w:rsidRPr="00E25DDE">
              <w:rPr>
                <w:color w:val="000000" w:themeColor="text1"/>
                <w:sz w:val="18"/>
                <w:szCs w:val="18"/>
              </w:rPr>
              <w:t>210/1,836,0000x100,000 = 11,4</w:t>
            </w:r>
            <w:r w:rsidR="00467E51">
              <w:rPr>
                <w:color w:val="000000" w:themeColor="text1"/>
                <w:sz w:val="18"/>
                <w:szCs w:val="18"/>
              </w:rPr>
              <w:t xml:space="preserve"> </w:t>
            </w:r>
            <w:r w:rsidRPr="00E25DDE">
              <w:rPr>
                <w:color w:val="000000" w:themeColor="text1"/>
                <w:sz w:val="18"/>
                <w:szCs w:val="18"/>
              </w:rPr>
              <w:t>(20</w:t>
            </w:r>
            <w:r w:rsidR="00E124AA">
              <w:rPr>
                <w:color w:val="000000" w:themeColor="text1"/>
                <w:sz w:val="18"/>
                <w:szCs w:val="18"/>
              </w:rPr>
              <w:t>28</w:t>
            </w:r>
            <w:r w:rsidRPr="00E25DDE">
              <w:rPr>
                <w:color w:val="000000" w:themeColor="text1"/>
                <w:sz w:val="18"/>
                <w:szCs w:val="18"/>
              </w:rPr>
              <w:t>)</w:t>
            </w:r>
          </w:p>
        </w:tc>
        <w:tc>
          <w:tcPr>
            <w:tcW w:w="510" w:type="pct"/>
            <w:shd w:val="clear" w:color="auto" w:fill="FFFFFF" w:themeFill="background1"/>
            <w:vAlign w:val="center"/>
          </w:tcPr>
          <w:p w14:paraId="7FB21F4C" w14:textId="3CBA14AD" w:rsidR="0029605E" w:rsidRPr="00E25DDE" w:rsidRDefault="0029605E" w:rsidP="003E6052">
            <w:pPr>
              <w:rPr>
                <w:color w:val="000000" w:themeColor="text1"/>
                <w:sz w:val="18"/>
                <w:szCs w:val="18"/>
                <w:highlight w:val="yellow"/>
                <w:lang w:val="en-IE"/>
              </w:rPr>
            </w:pPr>
            <w:r w:rsidRPr="00E25DDE">
              <w:rPr>
                <w:color w:val="000000" w:themeColor="text1"/>
                <w:sz w:val="18"/>
                <w:szCs w:val="18"/>
                <w:lang w:val="en-IE"/>
              </w:rPr>
              <w:t>MoH</w:t>
            </w:r>
            <w:r w:rsidR="00C74DE4">
              <w:rPr>
                <w:color w:val="000000" w:themeColor="text1"/>
                <w:sz w:val="18"/>
                <w:szCs w:val="18"/>
                <w:lang w:val="en-IE"/>
              </w:rPr>
              <w:t xml:space="preserve"> </w:t>
            </w:r>
            <w:r w:rsidR="00C74DE4" w:rsidRPr="00C74DE4">
              <w:rPr>
                <w:color w:val="000000" w:themeColor="text1"/>
                <w:sz w:val="18"/>
                <w:szCs w:val="18"/>
                <w:lang w:val="hr-HR"/>
              </w:rPr>
              <w:t xml:space="preserve"> Directorate for Medical Equipment</w:t>
            </w:r>
          </w:p>
        </w:tc>
        <w:tc>
          <w:tcPr>
            <w:tcW w:w="927" w:type="pct"/>
            <w:vMerge/>
            <w:vAlign w:val="center"/>
          </w:tcPr>
          <w:p w14:paraId="6F679D25" w14:textId="77777777" w:rsidR="0029605E" w:rsidRPr="00E01934" w:rsidRDefault="0029605E" w:rsidP="003E6052">
            <w:pPr>
              <w:autoSpaceDE w:val="0"/>
              <w:autoSpaceDN w:val="0"/>
              <w:adjustRightInd w:val="0"/>
              <w:rPr>
                <w:color w:val="0D0D0D" w:themeColor="text1" w:themeTint="F2"/>
                <w:sz w:val="18"/>
                <w:szCs w:val="18"/>
                <w:highlight w:val="yellow"/>
                <w:lang w:val="en-IE"/>
              </w:rPr>
            </w:pPr>
          </w:p>
        </w:tc>
      </w:tr>
      <w:tr w:rsidR="00467E51" w:rsidRPr="001D7106" w14:paraId="28142653" w14:textId="77777777" w:rsidTr="247BFA05">
        <w:trPr>
          <w:trHeight w:val="260"/>
          <w:tblHeader/>
        </w:trPr>
        <w:tc>
          <w:tcPr>
            <w:tcW w:w="362" w:type="pct"/>
            <w:vMerge/>
            <w:vAlign w:val="center"/>
          </w:tcPr>
          <w:p w14:paraId="48187A1B" w14:textId="77777777" w:rsidR="0029605E" w:rsidRPr="00E01934" w:rsidRDefault="0029605E" w:rsidP="003E6052">
            <w:pPr>
              <w:tabs>
                <w:tab w:val="left" w:pos="0"/>
                <w:tab w:val="left" w:pos="132"/>
              </w:tabs>
              <w:rPr>
                <w:b/>
                <w:color w:val="0D0D0D" w:themeColor="text1" w:themeTint="F2"/>
                <w:sz w:val="18"/>
                <w:szCs w:val="18"/>
                <w:lang w:val="en-IE"/>
              </w:rPr>
            </w:pPr>
          </w:p>
        </w:tc>
        <w:tc>
          <w:tcPr>
            <w:tcW w:w="725" w:type="pct"/>
            <w:vMerge/>
            <w:vAlign w:val="center"/>
          </w:tcPr>
          <w:p w14:paraId="6E11473B" w14:textId="29E1F985" w:rsidR="0029605E" w:rsidRPr="00E25DDE" w:rsidRDefault="0029605E" w:rsidP="003E6052">
            <w:pPr>
              <w:autoSpaceDE w:val="0"/>
              <w:autoSpaceDN w:val="0"/>
              <w:adjustRightInd w:val="0"/>
              <w:rPr>
                <w:color w:val="000000" w:themeColor="text1"/>
                <w:sz w:val="18"/>
                <w:szCs w:val="18"/>
                <w:lang w:val="en-IE"/>
              </w:rPr>
            </w:pPr>
          </w:p>
        </w:tc>
        <w:tc>
          <w:tcPr>
            <w:tcW w:w="1351" w:type="pct"/>
            <w:shd w:val="clear" w:color="auto" w:fill="FFFFFF" w:themeFill="background1"/>
            <w:vAlign w:val="center"/>
          </w:tcPr>
          <w:p w14:paraId="27E69214" w14:textId="751EFB4F" w:rsidR="0029605E" w:rsidRPr="00E25DDE" w:rsidRDefault="0029605E" w:rsidP="003E6052">
            <w:pPr>
              <w:autoSpaceDE w:val="0"/>
              <w:autoSpaceDN w:val="0"/>
              <w:adjustRightInd w:val="0"/>
              <w:rPr>
                <w:color w:val="000000" w:themeColor="text1"/>
                <w:sz w:val="18"/>
                <w:szCs w:val="18"/>
                <w:lang w:val="en-IE"/>
              </w:rPr>
            </w:pPr>
            <w:r w:rsidRPr="00E25DDE">
              <w:rPr>
                <w:color w:val="000000" w:themeColor="text1"/>
                <w:sz w:val="18"/>
                <w:szCs w:val="18"/>
              </w:rPr>
              <w:t xml:space="preserve">Number of </w:t>
            </w:r>
            <w:r w:rsidR="00467E51">
              <w:rPr>
                <w:color w:val="000000" w:themeColor="text1"/>
                <w:sz w:val="18"/>
                <w:szCs w:val="18"/>
              </w:rPr>
              <w:t xml:space="preserve">emergency </w:t>
            </w:r>
            <w:r w:rsidRPr="00E25DDE">
              <w:rPr>
                <w:color w:val="000000" w:themeColor="text1"/>
                <w:sz w:val="18"/>
                <w:szCs w:val="18"/>
              </w:rPr>
              <w:t>teams</w:t>
            </w:r>
            <w:r w:rsidR="00467E51">
              <w:rPr>
                <w:color w:val="000000" w:themeColor="text1"/>
                <w:sz w:val="18"/>
                <w:szCs w:val="18"/>
              </w:rPr>
              <w:t xml:space="preserve"> in effective operation</w:t>
            </w:r>
          </w:p>
        </w:tc>
        <w:tc>
          <w:tcPr>
            <w:tcW w:w="540" w:type="pct"/>
            <w:shd w:val="clear" w:color="auto" w:fill="FFFFFF" w:themeFill="background1"/>
            <w:vAlign w:val="center"/>
          </w:tcPr>
          <w:p w14:paraId="537ED59E" w14:textId="2E112CC1" w:rsidR="0029605E" w:rsidRPr="00E25DDE" w:rsidRDefault="0029605E" w:rsidP="003E6052">
            <w:pPr>
              <w:rPr>
                <w:color w:val="000000" w:themeColor="text1"/>
                <w:sz w:val="18"/>
                <w:szCs w:val="18"/>
                <w:lang w:val="en-IE"/>
              </w:rPr>
            </w:pPr>
            <w:r w:rsidRPr="00E25DDE">
              <w:rPr>
                <w:color w:val="000000" w:themeColor="text1"/>
                <w:sz w:val="18"/>
                <w:szCs w:val="18"/>
              </w:rPr>
              <w:t>176 (2022)</w:t>
            </w:r>
          </w:p>
        </w:tc>
        <w:tc>
          <w:tcPr>
            <w:tcW w:w="585" w:type="pct"/>
            <w:shd w:val="clear" w:color="auto" w:fill="FFFFFF" w:themeFill="background1"/>
            <w:vAlign w:val="center"/>
          </w:tcPr>
          <w:p w14:paraId="43D5EBC2" w14:textId="31B96BC5" w:rsidR="0029605E" w:rsidRPr="00E25DDE" w:rsidRDefault="0029605E" w:rsidP="003E6052">
            <w:pPr>
              <w:rPr>
                <w:color w:val="000000" w:themeColor="text1"/>
                <w:sz w:val="18"/>
                <w:szCs w:val="18"/>
                <w:lang w:val="en-IE"/>
              </w:rPr>
            </w:pPr>
            <w:r w:rsidRPr="00E25DDE">
              <w:rPr>
                <w:color w:val="000000" w:themeColor="text1"/>
                <w:sz w:val="18"/>
                <w:szCs w:val="18"/>
              </w:rPr>
              <w:t>≥ 308 (20</w:t>
            </w:r>
            <w:r w:rsidR="00E124AA">
              <w:rPr>
                <w:color w:val="000000" w:themeColor="text1"/>
                <w:sz w:val="18"/>
                <w:szCs w:val="18"/>
              </w:rPr>
              <w:t>28</w:t>
            </w:r>
            <w:r w:rsidRPr="00E25DDE">
              <w:rPr>
                <w:color w:val="000000" w:themeColor="text1"/>
                <w:sz w:val="18"/>
                <w:szCs w:val="18"/>
              </w:rPr>
              <w:t>)</w:t>
            </w:r>
          </w:p>
        </w:tc>
        <w:tc>
          <w:tcPr>
            <w:tcW w:w="510" w:type="pct"/>
            <w:shd w:val="clear" w:color="auto" w:fill="FFFFFF" w:themeFill="background1"/>
            <w:vAlign w:val="center"/>
          </w:tcPr>
          <w:p w14:paraId="00C257C2" w14:textId="29311156" w:rsidR="0029605E" w:rsidRPr="00B6363B" w:rsidRDefault="0029605E" w:rsidP="003E6052">
            <w:pPr>
              <w:rPr>
                <w:color w:val="000000" w:themeColor="text1"/>
                <w:sz w:val="18"/>
                <w:szCs w:val="18"/>
                <w:lang w:val="hr-HR"/>
              </w:rPr>
            </w:pPr>
            <w:r w:rsidRPr="00E25DDE">
              <w:rPr>
                <w:color w:val="000000" w:themeColor="text1"/>
                <w:sz w:val="18"/>
                <w:szCs w:val="18"/>
              </w:rPr>
              <w:t>MoH</w:t>
            </w:r>
            <w:r w:rsidR="00C74DE4">
              <w:rPr>
                <w:color w:val="000000" w:themeColor="text1"/>
                <w:sz w:val="18"/>
                <w:szCs w:val="18"/>
                <w:lang w:val="hr-HR"/>
              </w:rPr>
              <w:t xml:space="preserve"> </w:t>
            </w:r>
            <w:r w:rsidR="00C74DE4" w:rsidRPr="00C74DE4">
              <w:rPr>
                <w:color w:val="000000" w:themeColor="text1"/>
                <w:sz w:val="18"/>
                <w:szCs w:val="18"/>
                <w:lang w:val="hr-HR"/>
              </w:rPr>
              <w:t xml:space="preserve"> Directorate for Medical Equipment</w:t>
            </w:r>
          </w:p>
        </w:tc>
        <w:tc>
          <w:tcPr>
            <w:tcW w:w="927" w:type="pct"/>
            <w:vMerge/>
            <w:vAlign w:val="center"/>
          </w:tcPr>
          <w:p w14:paraId="3AAD5EA1" w14:textId="77777777" w:rsidR="0029605E" w:rsidRPr="00E01934" w:rsidRDefault="0029605E" w:rsidP="003E6052">
            <w:pPr>
              <w:autoSpaceDE w:val="0"/>
              <w:autoSpaceDN w:val="0"/>
              <w:adjustRightInd w:val="0"/>
              <w:rPr>
                <w:color w:val="0D0D0D" w:themeColor="text1" w:themeTint="F2"/>
                <w:sz w:val="18"/>
                <w:szCs w:val="18"/>
                <w:highlight w:val="yellow"/>
                <w:lang w:val="en-IE"/>
              </w:rPr>
            </w:pPr>
          </w:p>
        </w:tc>
      </w:tr>
      <w:tr w:rsidR="00467E51" w:rsidRPr="001D7106" w14:paraId="4A9F2D67" w14:textId="77777777" w:rsidTr="247BFA05">
        <w:trPr>
          <w:trHeight w:val="117"/>
          <w:tblHeader/>
        </w:trPr>
        <w:tc>
          <w:tcPr>
            <w:tcW w:w="362" w:type="pct"/>
            <w:vMerge w:val="restart"/>
            <w:shd w:val="clear" w:color="auto" w:fill="D9D9D9" w:themeFill="background1" w:themeFillShade="D9"/>
            <w:vAlign w:val="center"/>
          </w:tcPr>
          <w:p w14:paraId="63E4D64B" w14:textId="5E7F84FD" w:rsidR="00142136" w:rsidRPr="00E01934" w:rsidRDefault="0029605E" w:rsidP="00E25DDE">
            <w:pPr>
              <w:tabs>
                <w:tab w:val="left" w:pos="0"/>
                <w:tab w:val="left" w:pos="132"/>
              </w:tabs>
              <w:rPr>
                <w:b/>
                <w:color w:val="0D0D0D" w:themeColor="text1" w:themeTint="F2"/>
                <w:sz w:val="18"/>
                <w:szCs w:val="18"/>
                <w:lang w:val="en-IE"/>
              </w:rPr>
            </w:pPr>
            <w:r>
              <w:rPr>
                <w:b/>
                <w:color w:val="0D0D0D" w:themeColor="text1" w:themeTint="F2"/>
                <w:sz w:val="18"/>
                <w:szCs w:val="18"/>
                <w:lang w:val="en-IE"/>
              </w:rPr>
              <w:t>Output 1</w:t>
            </w:r>
            <w:r w:rsidR="00DC5761">
              <w:rPr>
                <w:b/>
                <w:color w:val="0D0D0D" w:themeColor="text1" w:themeTint="F2"/>
                <w:sz w:val="18"/>
                <w:szCs w:val="18"/>
                <w:lang w:val="en-IE"/>
              </w:rPr>
              <w:t>.</w:t>
            </w:r>
            <w:r w:rsidR="00DC5761" w:rsidRPr="00E01934">
              <w:rPr>
                <w:b/>
                <w:color w:val="0D0D0D" w:themeColor="text1" w:themeTint="F2"/>
                <w:sz w:val="18"/>
                <w:szCs w:val="18"/>
                <w:lang w:val="en-IE"/>
              </w:rPr>
              <w:t>1</w:t>
            </w:r>
          </w:p>
        </w:tc>
        <w:tc>
          <w:tcPr>
            <w:tcW w:w="725" w:type="pct"/>
            <w:vMerge w:val="restart"/>
            <w:shd w:val="clear" w:color="auto" w:fill="auto"/>
            <w:vAlign w:val="center"/>
          </w:tcPr>
          <w:p w14:paraId="1123BBD2" w14:textId="0E8C41E1"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lang w:val="en-IE"/>
              </w:rPr>
              <w:t>Improved National Tele</w:t>
            </w:r>
            <w:r w:rsidR="00C833CF">
              <w:rPr>
                <w:color w:val="000000" w:themeColor="text1"/>
                <w:sz w:val="18"/>
                <w:szCs w:val="18"/>
                <w:lang w:val="en-IE"/>
              </w:rPr>
              <w:t>-</w:t>
            </w:r>
            <w:r w:rsidRPr="00E25DDE">
              <w:rPr>
                <w:color w:val="000000" w:themeColor="text1"/>
                <w:sz w:val="18"/>
                <w:szCs w:val="18"/>
                <w:lang w:val="en-IE"/>
              </w:rPr>
              <w:t>radiology System to allow remote use of radiologic data</w:t>
            </w:r>
          </w:p>
        </w:tc>
        <w:tc>
          <w:tcPr>
            <w:tcW w:w="1351" w:type="pct"/>
            <w:shd w:val="clear" w:color="auto" w:fill="FFFFFF" w:themeFill="background1"/>
            <w:vAlign w:val="center"/>
          </w:tcPr>
          <w:p w14:paraId="674C797D" w14:textId="37027B1A"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rPr>
              <w:t>Number of radiologists using tele</w:t>
            </w:r>
            <w:r w:rsidR="00C833CF">
              <w:rPr>
                <w:color w:val="000000" w:themeColor="text1"/>
                <w:sz w:val="18"/>
                <w:szCs w:val="18"/>
              </w:rPr>
              <w:t>-</w:t>
            </w:r>
            <w:r w:rsidRPr="00E25DDE">
              <w:rPr>
                <w:color w:val="000000" w:themeColor="text1"/>
                <w:sz w:val="18"/>
                <w:szCs w:val="18"/>
              </w:rPr>
              <w:t>radiology system</w:t>
            </w:r>
          </w:p>
        </w:tc>
        <w:tc>
          <w:tcPr>
            <w:tcW w:w="540" w:type="pct"/>
            <w:shd w:val="clear" w:color="auto" w:fill="FFFFFF" w:themeFill="background1"/>
            <w:vAlign w:val="center"/>
          </w:tcPr>
          <w:p w14:paraId="00942251" w14:textId="31682F1F" w:rsidR="00142136" w:rsidRPr="00E25DDE" w:rsidRDefault="00142136" w:rsidP="003E6052">
            <w:pPr>
              <w:rPr>
                <w:color w:val="000000" w:themeColor="text1"/>
                <w:sz w:val="18"/>
                <w:szCs w:val="18"/>
                <w:lang w:val="en-IE"/>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53DD4E85" w14:textId="4E3BF2D6" w:rsidR="00142136" w:rsidRPr="00E25DDE" w:rsidRDefault="00142136" w:rsidP="003E6052">
            <w:pPr>
              <w:rPr>
                <w:color w:val="000000" w:themeColor="text1"/>
                <w:sz w:val="18"/>
                <w:szCs w:val="18"/>
                <w:lang w:val="en-IE"/>
              </w:rPr>
            </w:pPr>
            <w:r w:rsidRPr="00E25DDE">
              <w:rPr>
                <w:color w:val="000000" w:themeColor="text1"/>
                <w:sz w:val="18"/>
                <w:szCs w:val="18"/>
              </w:rPr>
              <w:t>≥ 140 (20</w:t>
            </w:r>
            <w:r w:rsidR="00E124AA">
              <w:rPr>
                <w:color w:val="000000" w:themeColor="text1"/>
                <w:sz w:val="18"/>
                <w:szCs w:val="18"/>
              </w:rPr>
              <w:t>28</w:t>
            </w:r>
            <w:r w:rsidRPr="00E25DDE">
              <w:rPr>
                <w:color w:val="000000" w:themeColor="text1"/>
                <w:sz w:val="18"/>
                <w:szCs w:val="18"/>
              </w:rPr>
              <w:t>)</w:t>
            </w:r>
          </w:p>
        </w:tc>
        <w:tc>
          <w:tcPr>
            <w:tcW w:w="510" w:type="pct"/>
            <w:shd w:val="clear" w:color="auto" w:fill="FFFFFF" w:themeFill="background1"/>
            <w:vAlign w:val="center"/>
          </w:tcPr>
          <w:p w14:paraId="41A1CF17" w14:textId="6CDFCA44" w:rsidR="00142136" w:rsidRPr="00E25DDE" w:rsidRDefault="00E124AA" w:rsidP="003E6052">
            <w:pPr>
              <w:rPr>
                <w:color w:val="000000" w:themeColor="text1"/>
                <w:sz w:val="18"/>
                <w:szCs w:val="18"/>
                <w:highlight w:val="yellow"/>
                <w:lang w:val="en-IE"/>
              </w:rPr>
            </w:pPr>
            <w:r w:rsidRPr="00E124AA">
              <w:rPr>
                <w:color w:val="000000" w:themeColor="text1"/>
                <w:sz w:val="18"/>
                <w:szCs w:val="18"/>
              </w:rPr>
              <w:t>MoH- Directorate for E-Health</w:t>
            </w:r>
            <w:r w:rsidRPr="00E124AA">
              <w:rPr>
                <w:color w:val="000000" w:themeColor="text1"/>
                <w:sz w:val="18"/>
                <w:szCs w:val="18"/>
                <w:vertAlign w:val="superscript"/>
              </w:rPr>
              <w:footnoteReference w:id="29"/>
            </w:r>
          </w:p>
        </w:tc>
        <w:tc>
          <w:tcPr>
            <w:tcW w:w="927" w:type="pct"/>
            <w:vMerge w:val="restart"/>
            <w:shd w:val="clear" w:color="auto" w:fill="auto"/>
            <w:vAlign w:val="center"/>
          </w:tcPr>
          <w:p w14:paraId="1ACB4E8B" w14:textId="1E19CEE4" w:rsidR="00142136" w:rsidRDefault="00142136" w:rsidP="004F5803">
            <w:pPr>
              <w:shd w:val="clear" w:color="auto" w:fill="FFFFFF"/>
              <w:rPr>
                <w:sz w:val="18"/>
                <w:szCs w:val="18"/>
              </w:rPr>
            </w:pPr>
            <w:r>
              <w:rPr>
                <w:sz w:val="18"/>
                <w:szCs w:val="18"/>
              </w:rPr>
              <w:t>There are sufficient resources, including financial and human resources, to implement and sustain the proposed interventions.</w:t>
            </w:r>
          </w:p>
          <w:p w14:paraId="1303567B" w14:textId="77777777" w:rsidR="00142136" w:rsidRDefault="00142136" w:rsidP="004F5803">
            <w:pPr>
              <w:shd w:val="clear" w:color="auto" w:fill="FFFFFF"/>
              <w:rPr>
                <w:sz w:val="18"/>
                <w:szCs w:val="18"/>
              </w:rPr>
            </w:pPr>
          </w:p>
          <w:p w14:paraId="390ED867" w14:textId="02196003" w:rsidR="00142136" w:rsidRPr="00276DFD" w:rsidRDefault="00142136" w:rsidP="004F5803">
            <w:pPr>
              <w:shd w:val="clear" w:color="auto" w:fill="FFFFFF"/>
              <w:rPr>
                <w:sz w:val="18"/>
                <w:szCs w:val="18"/>
              </w:rPr>
            </w:pPr>
            <w:r w:rsidRPr="00276DFD">
              <w:rPr>
                <w:sz w:val="18"/>
                <w:szCs w:val="18"/>
              </w:rPr>
              <w:t>Improved public awareness on early screening and health prevention</w:t>
            </w:r>
            <w:r>
              <w:rPr>
                <w:sz w:val="18"/>
                <w:szCs w:val="18"/>
              </w:rPr>
              <w:t>.</w:t>
            </w:r>
          </w:p>
          <w:p w14:paraId="0990B3C6" w14:textId="77777777" w:rsidR="00142136" w:rsidRPr="00276DFD" w:rsidRDefault="00142136" w:rsidP="004F5803">
            <w:pPr>
              <w:shd w:val="clear" w:color="auto" w:fill="FFFFFF"/>
              <w:rPr>
                <w:sz w:val="18"/>
                <w:szCs w:val="18"/>
              </w:rPr>
            </w:pPr>
          </w:p>
          <w:p w14:paraId="0F4D69EE" w14:textId="5F22C862" w:rsidR="00142136" w:rsidRPr="00276DFD" w:rsidRDefault="00142136" w:rsidP="004F5803">
            <w:pPr>
              <w:shd w:val="clear" w:color="auto" w:fill="FFFFFF"/>
              <w:rPr>
                <w:sz w:val="18"/>
                <w:szCs w:val="18"/>
              </w:rPr>
            </w:pPr>
            <w:r w:rsidRPr="00276DFD">
              <w:rPr>
                <w:sz w:val="18"/>
                <w:szCs w:val="18"/>
              </w:rPr>
              <w:t>Reforms in the health sector continue</w:t>
            </w:r>
            <w:r>
              <w:rPr>
                <w:sz w:val="18"/>
                <w:szCs w:val="18"/>
              </w:rPr>
              <w:t>,</w:t>
            </w:r>
            <w:r w:rsidRPr="00276DFD">
              <w:rPr>
                <w:sz w:val="18"/>
                <w:szCs w:val="18"/>
              </w:rPr>
              <w:t xml:space="preserve"> and the funding model for health care is improved</w:t>
            </w:r>
            <w:r>
              <w:rPr>
                <w:sz w:val="18"/>
                <w:szCs w:val="18"/>
              </w:rPr>
              <w:t>.</w:t>
            </w:r>
          </w:p>
          <w:p w14:paraId="5AFE9AFF" w14:textId="77777777" w:rsidR="00142136" w:rsidRDefault="00142136" w:rsidP="004F5803">
            <w:pPr>
              <w:autoSpaceDE w:val="0"/>
              <w:autoSpaceDN w:val="0"/>
              <w:adjustRightInd w:val="0"/>
              <w:rPr>
                <w:color w:val="0D0D0D" w:themeColor="text1" w:themeTint="F2"/>
                <w:sz w:val="18"/>
                <w:szCs w:val="18"/>
                <w:highlight w:val="yellow"/>
              </w:rPr>
            </w:pPr>
          </w:p>
          <w:p w14:paraId="77928257" w14:textId="68D7950E" w:rsidR="00142136" w:rsidRPr="00CF3008" w:rsidRDefault="00142136" w:rsidP="004F5803">
            <w:pPr>
              <w:autoSpaceDE w:val="0"/>
              <w:autoSpaceDN w:val="0"/>
              <w:adjustRightInd w:val="0"/>
              <w:rPr>
                <w:color w:val="0D0D0D" w:themeColor="text1" w:themeTint="F2"/>
                <w:sz w:val="18"/>
                <w:szCs w:val="18"/>
                <w:highlight w:val="yellow"/>
              </w:rPr>
            </w:pPr>
            <w:r w:rsidRPr="00927C93">
              <w:rPr>
                <w:color w:val="0D0D0D" w:themeColor="text1" w:themeTint="F2"/>
                <w:sz w:val="18"/>
                <w:szCs w:val="18"/>
              </w:rPr>
              <w:lastRenderedPageBreak/>
              <w:t>Collaboration and partnerships between Government agencies, civil society organisations, health professionals, and communities will be fostered to ensure the success of the proposed interventions.</w:t>
            </w:r>
          </w:p>
        </w:tc>
      </w:tr>
      <w:tr w:rsidR="00467E51" w:rsidRPr="001D7106" w14:paraId="072807B4" w14:textId="77777777" w:rsidTr="247BFA05">
        <w:trPr>
          <w:trHeight w:val="421"/>
          <w:tblHeader/>
        </w:trPr>
        <w:tc>
          <w:tcPr>
            <w:tcW w:w="362" w:type="pct"/>
            <w:vMerge/>
            <w:vAlign w:val="center"/>
          </w:tcPr>
          <w:p w14:paraId="57363B58" w14:textId="77777777" w:rsidR="00142136" w:rsidRPr="00E01934" w:rsidRDefault="00142136" w:rsidP="00E25DDE">
            <w:pPr>
              <w:tabs>
                <w:tab w:val="left" w:pos="0"/>
                <w:tab w:val="left" w:pos="132"/>
              </w:tabs>
              <w:rPr>
                <w:b/>
                <w:color w:val="0D0D0D" w:themeColor="text1" w:themeTint="F2"/>
                <w:sz w:val="18"/>
                <w:szCs w:val="18"/>
                <w:lang w:val="en-IE"/>
              </w:rPr>
            </w:pPr>
          </w:p>
        </w:tc>
        <w:tc>
          <w:tcPr>
            <w:tcW w:w="725" w:type="pct"/>
            <w:vMerge/>
            <w:vAlign w:val="center"/>
          </w:tcPr>
          <w:p w14:paraId="568F7A4E" w14:textId="77777777" w:rsidR="00142136" w:rsidRPr="00E25DDE" w:rsidRDefault="00142136" w:rsidP="003E6052">
            <w:pPr>
              <w:autoSpaceDE w:val="0"/>
              <w:autoSpaceDN w:val="0"/>
              <w:adjustRightInd w:val="0"/>
              <w:rPr>
                <w:color w:val="000000" w:themeColor="text1"/>
                <w:sz w:val="18"/>
                <w:szCs w:val="18"/>
                <w:lang w:val="en-IE"/>
              </w:rPr>
            </w:pPr>
          </w:p>
        </w:tc>
        <w:tc>
          <w:tcPr>
            <w:tcW w:w="1351" w:type="pct"/>
            <w:shd w:val="clear" w:color="auto" w:fill="FFFFFF" w:themeFill="background1"/>
            <w:vAlign w:val="center"/>
          </w:tcPr>
          <w:p w14:paraId="5953EC49" w14:textId="47FBC318" w:rsidR="00142136" w:rsidRPr="00E25DDE" w:rsidRDefault="00142136" w:rsidP="003E6052">
            <w:pPr>
              <w:autoSpaceDE w:val="0"/>
              <w:autoSpaceDN w:val="0"/>
              <w:adjustRightInd w:val="0"/>
              <w:rPr>
                <w:color w:val="000000" w:themeColor="text1"/>
                <w:sz w:val="18"/>
                <w:szCs w:val="18"/>
              </w:rPr>
            </w:pPr>
            <w:r w:rsidRPr="00E25DDE">
              <w:rPr>
                <w:color w:val="000000" w:themeColor="text1"/>
                <w:sz w:val="18"/>
                <w:szCs w:val="18"/>
              </w:rPr>
              <w:t>% of results of CT, MRI, Mammography, PET CT read 2 day plus the exam is done</w:t>
            </w:r>
          </w:p>
        </w:tc>
        <w:tc>
          <w:tcPr>
            <w:tcW w:w="540" w:type="pct"/>
            <w:shd w:val="clear" w:color="auto" w:fill="FFFFFF" w:themeFill="background1"/>
            <w:vAlign w:val="center"/>
          </w:tcPr>
          <w:p w14:paraId="039C8038" w14:textId="20784703" w:rsidR="00142136" w:rsidRPr="00E25DDE" w:rsidRDefault="00142136" w:rsidP="003E6052">
            <w:pPr>
              <w:rPr>
                <w:color w:val="000000" w:themeColor="text1"/>
                <w:sz w:val="18"/>
                <w:szCs w:val="18"/>
              </w:rPr>
            </w:pPr>
            <w:r w:rsidRPr="00E25DDE">
              <w:rPr>
                <w:color w:val="000000" w:themeColor="text1"/>
                <w:sz w:val="18"/>
                <w:szCs w:val="18"/>
              </w:rPr>
              <w:t>25% (2021)</w:t>
            </w:r>
          </w:p>
        </w:tc>
        <w:tc>
          <w:tcPr>
            <w:tcW w:w="585" w:type="pct"/>
            <w:shd w:val="clear" w:color="auto" w:fill="FFFFFF" w:themeFill="background1"/>
            <w:vAlign w:val="center"/>
          </w:tcPr>
          <w:p w14:paraId="25EF93B3" w14:textId="49E4CA72" w:rsidR="00142136" w:rsidRPr="00E25DDE" w:rsidRDefault="00142136" w:rsidP="003E6052">
            <w:pPr>
              <w:rPr>
                <w:color w:val="000000" w:themeColor="text1"/>
                <w:sz w:val="18"/>
                <w:szCs w:val="18"/>
              </w:rPr>
            </w:pPr>
            <w:r w:rsidRPr="00E25DDE">
              <w:rPr>
                <w:color w:val="000000" w:themeColor="text1"/>
                <w:sz w:val="18"/>
                <w:szCs w:val="18"/>
              </w:rPr>
              <w:t>≤ 5% (20</w:t>
            </w:r>
            <w:r w:rsidR="000B3252">
              <w:rPr>
                <w:color w:val="000000" w:themeColor="text1"/>
                <w:sz w:val="18"/>
                <w:szCs w:val="18"/>
                <w:lang w:val="hr-HR"/>
              </w:rPr>
              <w:t>31</w:t>
            </w:r>
            <w:r w:rsidRPr="00E25DDE">
              <w:rPr>
                <w:color w:val="000000" w:themeColor="text1"/>
                <w:sz w:val="18"/>
                <w:szCs w:val="18"/>
              </w:rPr>
              <w:t>)</w:t>
            </w:r>
          </w:p>
        </w:tc>
        <w:tc>
          <w:tcPr>
            <w:tcW w:w="510" w:type="pct"/>
            <w:shd w:val="clear" w:color="auto" w:fill="FFFFFF" w:themeFill="background1"/>
            <w:vAlign w:val="center"/>
          </w:tcPr>
          <w:p w14:paraId="73020C12" w14:textId="29EBD0DF" w:rsidR="00142136" w:rsidRPr="00E25DDE" w:rsidRDefault="00142136" w:rsidP="003E6052">
            <w:pPr>
              <w:rPr>
                <w:color w:val="000000" w:themeColor="text1"/>
                <w:sz w:val="18"/>
                <w:szCs w:val="18"/>
              </w:rPr>
            </w:pPr>
            <w:r w:rsidRPr="00E25DDE">
              <w:rPr>
                <w:color w:val="000000" w:themeColor="text1"/>
                <w:sz w:val="18"/>
                <w:szCs w:val="18"/>
              </w:rPr>
              <w:t>MoH</w:t>
            </w:r>
          </w:p>
        </w:tc>
        <w:tc>
          <w:tcPr>
            <w:tcW w:w="927" w:type="pct"/>
            <w:vMerge/>
            <w:vAlign w:val="center"/>
          </w:tcPr>
          <w:p w14:paraId="30960AC5" w14:textId="77777777" w:rsidR="00142136" w:rsidRDefault="00142136" w:rsidP="003E6052">
            <w:pPr>
              <w:shd w:val="clear" w:color="auto" w:fill="FFFFFF"/>
              <w:rPr>
                <w:sz w:val="18"/>
                <w:szCs w:val="18"/>
              </w:rPr>
            </w:pPr>
          </w:p>
        </w:tc>
      </w:tr>
      <w:tr w:rsidR="00467E51" w:rsidRPr="001D7106" w14:paraId="727A108C" w14:textId="77777777" w:rsidTr="247BFA05">
        <w:trPr>
          <w:trHeight w:val="173"/>
          <w:tblHeader/>
        </w:trPr>
        <w:tc>
          <w:tcPr>
            <w:tcW w:w="362" w:type="pct"/>
            <w:vMerge w:val="restart"/>
            <w:shd w:val="clear" w:color="auto" w:fill="D9D9D9" w:themeFill="background1" w:themeFillShade="D9"/>
            <w:vAlign w:val="center"/>
          </w:tcPr>
          <w:p w14:paraId="579DB48A" w14:textId="2F98B356" w:rsidR="00142136" w:rsidRPr="00E01934" w:rsidRDefault="00142136" w:rsidP="0029605E">
            <w:pPr>
              <w:tabs>
                <w:tab w:val="left" w:pos="0"/>
                <w:tab w:val="left" w:pos="132"/>
              </w:tabs>
              <w:rPr>
                <w:b/>
                <w:color w:val="0D0D0D" w:themeColor="text1" w:themeTint="F2"/>
                <w:sz w:val="18"/>
                <w:szCs w:val="18"/>
                <w:lang w:val="en-IE"/>
              </w:rPr>
            </w:pPr>
            <w:r w:rsidRPr="00E01934">
              <w:rPr>
                <w:b/>
                <w:color w:val="0D0D0D" w:themeColor="text1" w:themeTint="F2"/>
                <w:sz w:val="18"/>
                <w:szCs w:val="18"/>
                <w:lang w:val="en-IE"/>
              </w:rPr>
              <w:t>Output</w:t>
            </w:r>
            <w:r w:rsidR="00DC5761">
              <w:rPr>
                <w:b/>
                <w:color w:val="0D0D0D" w:themeColor="text1" w:themeTint="F2"/>
                <w:sz w:val="18"/>
                <w:szCs w:val="18"/>
                <w:lang w:val="en-IE"/>
              </w:rPr>
              <w:t xml:space="preserve"> 1</w:t>
            </w:r>
            <w:r w:rsidRPr="00E01934">
              <w:rPr>
                <w:b/>
                <w:color w:val="0D0D0D" w:themeColor="text1" w:themeTint="F2"/>
                <w:sz w:val="18"/>
                <w:szCs w:val="18"/>
                <w:lang w:val="en-IE"/>
              </w:rPr>
              <w:t xml:space="preserve"> </w:t>
            </w:r>
            <w:r w:rsidR="00DC5761">
              <w:rPr>
                <w:b/>
                <w:color w:val="0D0D0D" w:themeColor="text1" w:themeTint="F2"/>
                <w:sz w:val="18"/>
                <w:szCs w:val="18"/>
                <w:lang w:val="en-IE"/>
              </w:rPr>
              <w:t>.</w:t>
            </w:r>
            <w:r w:rsidRPr="00E01934">
              <w:rPr>
                <w:b/>
                <w:color w:val="0D0D0D" w:themeColor="text1" w:themeTint="F2"/>
                <w:sz w:val="18"/>
                <w:szCs w:val="18"/>
                <w:lang w:val="en-IE"/>
              </w:rPr>
              <w:t xml:space="preserve">2 </w:t>
            </w:r>
          </w:p>
        </w:tc>
        <w:tc>
          <w:tcPr>
            <w:tcW w:w="725" w:type="pct"/>
            <w:vMerge w:val="restart"/>
            <w:shd w:val="clear" w:color="auto" w:fill="auto"/>
            <w:vAlign w:val="center"/>
          </w:tcPr>
          <w:p w14:paraId="5823F017" w14:textId="7C7BFE03"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rPr>
              <w:t>Improved prevention and control of lung and colorectal cancers</w:t>
            </w:r>
          </w:p>
        </w:tc>
        <w:tc>
          <w:tcPr>
            <w:tcW w:w="1351" w:type="pct"/>
            <w:shd w:val="clear" w:color="auto" w:fill="FFFFFF" w:themeFill="background1"/>
            <w:vAlign w:val="center"/>
          </w:tcPr>
          <w:p w14:paraId="2C27685E" w14:textId="39C0976A"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lang w:val="en-IE"/>
              </w:rPr>
              <w:t>Number of people annually dying of lung cancer</w:t>
            </w:r>
          </w:p>
        </w:tc>
        <w:tc>
          <w:tcPr>
            <w:tcW w:w="540" w:type="pct"/>
            <w:shd w:val="clear" w:color="auto" w:fill="FFFFFF" w:themeFill="background1"/>
            <w:vAlign w:val="center"/>
          </w:tcPr>
          <w:p w14:paraId="49C76947" w14:textId="693760C3" w:rsidR="00142136" w:rsidRPr="00E25DDE" w:rsidRDefault="00142136" w:rsidP="003E6052">
            <w:pPr>
              <w:rPr>
                <w:color w:val="000000" w:themeColor="text1"/>
                <w:sz w:val="18"/>
                <w:szCs w:val="18"/>
                <w:lang w:val="en-IE"/>
              </w:rPr>
            </w:pPr>
            <w:r w:rsidRPr="00E25DDE">
              <w:rPr>
                <w:color w:val="000000" w:themeColor="text1"/>
                <w:sz w:val="18"/>
                <w:szCs w:val="18"/>
              </w:rPr>
              <w:t>984 (202</w:t>
            </w:r>
            <w:r w:rsidR="009A51FB">
              <w:rPr>
                <w:color w:val="000000" w:themeColor="text1"/>
                <w:sz w:val="18"/>
                <w:szCs w:val="18"/>
                <w:lang w:val="hr-HR"/>
              </w:rPr>
              <w:t>0</w:t>
            </w:r>
            <w:r w:rsidRPr="00E25DDE">
              <w:rPr>
                <w:color w:val="000000" w:themeColor="text1"/>
                <w:sz w:val="18"/>
                <w:szCs w:val="18"/>
              </w:rPr>
              <w:t>)</w:t>
            </w:r>
          </w:p>
        </w:tc>
        <w:tc>
          <w:tcPr>
            <w:tcW w:w="585" w:type="pct"/>
            <w:shd w:val="clear" w:color="auto" w:fill="FFFFFF" w:themeFill="background1"/>
            <w:vAlign w:val="center"/>
          </w:tcPr>
          <w:p w14:paraId="6CE76BCC" w14:textId="58AEF546" w:rsidR="00142136" w:rsidRPr="00E25DDE" w:rsidRDefault="00142136" w:rsidP="003E6052">
            <w:pPr>
              <w:rPr>
                <w:color w:val="000000" w:themeColor="text1"/>
                <w:sz w:val="18"/>
                <w:szCs w:val="18"/>
                <w:lang w:val="en-IE"/>
              </w:rPr>
            </w:pPr>
            <w:r w:rsidRPr="00E25DDE">
              <w:rPr>
                <w:color w:val="000000" w:themeColor="text1"/>
                <w:sz w:val="18"/>
                <w:szCs w:val="18"/>
              </w:rPr>
              <w:t>&lt; 645 (20</w:t>
            </w:r>
            <w:r w:rsidR="00E124AA">
              <w:rPr>
                <w:color w:val="000000" w:themeColor="text1"/>
                <w:sz w:val="18"/>
                <w:szCs w:val="18"/>
              </w:rPr>
              <w:t>28</w:t>
            </w:r>
            <w:r w:rsidRPr="00E25DDE">
              <w:rPr>
                <w:color w:val="000000" w:themeColor="text1"/>
                <w:sz w:val="18"/>
                <w:szCs w:val="18"/>
              </w:rPr>
              <w:t>)</w:t>
            </w:r>
          </w:p>
        </w:tc>
        <w:tc>
          <w:tcPr>
            <w:tcW w:w="510" w:type="pct"/>
            <w:shd w:val="clear" w:color="auto" w:fill="FFFFFF" w:themeFill="background1"/>
            <w:vAlign w:val="center"/>
          </w:tcPr>
          <w:p w14:paraId="24B6994C" w14:textId="77777777" w:rsidR="00E124AA" w:rsidRPr="00E124AA" w:rsidRDefault="00E124AA" w:rsidP="00E124AA">
            <w:pPr>
              <w:rPr>
                <w:color w:val="000000" w:themeColor="text1"/>
                <w:sz w:val="18"/>
                <w:szCs w:val="18"/>
                <w:lang w:val="en-US"/>
              </w:rPr>
            </w:pPr>
            <w:r w:rsidRPr="00E124AA">
              <w:rPr>
                <w:color w:val="000000" w:themeColor="text1"/>
                <w:sz w:val="18"/>
                <w:szCs w:val="18"/>
              </w:rPr>
              <w:t xml:space="preserve">MoH- </w:t>
            </w:r>
            <w:r w:rsidRPr="00E124AA">
              <w:rPr>
                <w:color w:val="000000" w:themeColor="text1"/>
                <w:sz w:val="18"/>
                <w:szCs w:val="18"/>
                <w:lang w:val="en-US"/>
              </w:rPr>
              <w:t xml:space="preserve"> Program for early detection and screening of malignant diseases in the Republic of North</w:t>
            </w:r>
          </w:p>
          <w:p w14:paraId="1EDB5A50" w14:textId="4B0473D8" w:rsidR="00142136" w:rsidRPr="00B6363B" w:rsidRDefault="00E124AA" w:rsidP="00E124AA">
            <w:pPr>
              <w:rPr>
                <w:color w:val="000000" w:themeColor="text1"/>
                <w:sz w:val="18"/>
                <w:szCs w:val="18"/>
                <w:highlight w:val="yellow"/>
                <w:lang w:val="hr-HR"/>
              </w:rPr>
            </w:pPr>
            <w:r w:rsidRPr="00E124AA">
              <w:rPr>
                <w:color w:val="000000" w:themeColor="text1"/>
                <w:sz w:val="18"/>
                <w:szCs w:val="18"/>
                <w:lang w:val="en-US"/>
              </w:rPr>
              <w:t>Macedonia</w:t>
            </w:r>
          </w:p>
        </w:tc>
        <w:tc>
          <w:tcPr>
            <w:tcW w:w="927" w:type="pct"/>
            <w:vMerge/>
            <w:vAlign w:val="center"/>
          </w:tcPr>
          <w:p w14:paraId="60247A70" w14:textId="77777777" w:rsidR="00142136" w:rsidRPr="00E01934" w:rsidRDefault="00142136" w:rsidP="003E6052">
            <w:pPr>
              <w:autoSpaceDE w:val="0"/>
              <w:autoSpaceDN w:val="0"/>
              <w:adjustRightInd w:val="0"/>
              <w:rPr>
                <w:color w:val="0D0D0D" w:themeColor="text1" w:themeTint="F2"/>
                <w:sz w:val="18"/>
                <w:szCs w:val="18"/>
                <w:highlight w:val="yellow"/>
                <w:lang w:val="en-IE"/>
              </w:rPr>
            </w:pPr>
          </w:p>
        </w:tc>
      </w:tr>
      <w:tr w:rsidR="00467E51" w:rsidRPr="001D7106" w14:paraId="454C0DF5" w14:textId="77777777" w:rsidTr="247BFA05">
        <w:trPr>
          <w:trHeight w:val="418"/>
          <w:tblHeader/>
        </w:trPr>
        <w:tc>
          <w:tcPr>
            <w:tcW w:w="362" w:type="pct"/>
            <w:vMerge/>
            <w:vAlign w:val="center"/>
          </w:tcPr>
          <w:p w14:paraId="6FB4E8FA" w14:textId="23776EC5" w:rsidR="00142136" w:rsidRPr="00E01934" w:rsidRDefault="00142136" w:rsidP="00E25DDE">
            <w:pPr>
              <w:tabs>
                <w:tab w:val="left" w:pos="0"/>
                <w:tab w:val="left" w:pos="132"/>
              </w:tabs>
              <w:rPr>
                <w:b/>
                <w:color w:val="0D0D0D" w:themeColor="text1" w:themeTint="F2"/>
                <w:sz w:val="18"/>
                <w:szCs w:val="18"/>
                <w:lang w:val="en-IE"/>
              </w:rPr>
            </w:pPr>
          </w:p>
        </w:tc>
        <w:tc>
          <w:tcPr>
            <w:tcW w:w="725" w:type="pct"/>
            <w:vMerge/>
            <w:vAlign w:val="center"/>
          </w:tcPr>
          <w:p w14:paraId="0A5AA613" w14:textId="6DEF4B95" w:rsidR="00142136" w:rsidRPr="00E25DDE" w:rsidRDefault="00142136" w:rsidP="003E6052">
            <w:pPr>
              <w:autoSpaceDE w:val="0"/>
              <w:autoSpaceDN w:val="0"/>
              <w:adjustRightInd w:val="0"/>
              <w:rPr>
                <w:color w:val="000000" w:themeColor="text1"/>
                <w:sz w:val="18"/>
                <w:szCs w:val="18"/>
                <w:lang w:val="en-IE"/>
              </w:rPr>
            </w:pPr>
          </w:p>
        </w:tc>
        <w:tc>
          <w:tcPr>
            <w:tcW w:w="1351" w:type="pct"/>
            <w:shd w:val="clear" w:color="auto" w:fill="FFFFFF" w:themeFill="background1"/>
            <w:vAlign w:val="center"/>
          </w:tcPr>
          <w:p w14:paraId="2803F8BD" w14:textId="70B4DA8A"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rPr>
              <w:t>Number of people per year encompassed with the CRC (Colorectal Cancer) screening</w:t>
            </w:r>
          </w:p>
        </w:tc>
        <w:tc>
          <w:tcPr>
            <w:tcW w:w="540" w:type="pct"/>
            <w:shd w:val="clear" w:color="auto" w:fill="FFFFFF" w:themeFill="background1"/>
            <w:vAlign w:val="center"/>
          </w:tcPr>
          <w:p w14:paraId="72662720" w14:textId="04DCF126" w:rsidR="00142136" w:rsidRPr="00E25DDE" w:rsidRDefault="00142136" w:rsidP="003E6052">
            <w:pPr>
              <w:rPr>
                <w:color w:val="000000" w:themeColor="text1"/>
                <w:sz w:val="18"/>
                <w:szCs w:val="18"/>
                <w:lang w:val="en-IE"/>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66D12248" w14:textId="6CCB2790" w:rsidR="00142136" w:rsidRPr="00E25DDE" w:rsidRDefault="00142136" w:rsidP="003E6052">
            <w:pPr>
              <w:rPr>
                <w:color w:val="000000" w:themeColor="text1"/>
                <w:sz w:val="18"/>
                <w:szCs w:val="18"/>
                <w:lang w:val="en-IE"/>
              </w:rPr>
            </w:pPr>
            <w:r w:rsidRPr="00E25DDE">
              <w:rPr>
                <w:color w:val="000000" w:themeColor="text1"/>
                <w:sz w:val="18"/>
                <w:szCs w:val="18"/>
              </w:rPr>
              <w:t>≥5000 (20</w:t>
            </w:r>
            <w:r w:rsidR="00E124AA">
              <w:rPr>
                <w:color w:val="000000" w:themeColor="text1"/>
                <w:sz w:val="18"/>
                <w:szCs w:val="18"/>
              </w:rPr>
              <w:t>28</w:t>
            </w:r>
            <w:r w:rsidRPr="00E25DDE">
              <w:rPr>
                <w:color w:val="000000" w:themeColor="text1"/>
                <w:sz w:val="18"/>
                <w:szCs w:val="18"/>
              </w:rPr>
              <w:t>)</w:t>
            </w:r>
          </w:p>
        </w:tc>
        <w:tc>
          <w:tcPr>
            <w:tcW w:w="510" w:type="pct"/>
            <w:shd w:val="clear" w:color="auto" w:fill="FFFFFF" w:themeFill="background1"/>
            <w:vAlign w:val="center"/>
          </w:tcPr>
          <w:p w14:paraId="706A7314" w14:textId="77777777" w:rsidR="00E124AA" w:rsidRPr="00D72FF5" w:rsidRDefault="00E124AA" w:rsidP="00E124AA">
            <w:pPr>
              <w:rPr>
                <w:sz w:val="18"/>
                <w:szCs w:val="18"/>
                <w:lang w:val="en-US"/>
              </w:rPr>
            </w:pPr>
            <w:r w:rsidRPr="00E25DDE">
              <w:rPr>
                <w:color w:val="000000" w:themeColor="text1"/>
                <w:sz w:val="18"/>
                <w:szCs w:val="18"/>
              </w:rPr>
              <w:t>MoH</w:t>
            </w:r>
            <w:r>
              <w:rPr>
                <w:color w:val="000000" w:themeColor="text1"/>
                <w:sz w:val="18"/>
                <w:szCs w:val="18"/>
              </w:rPr>
              <w:t>-</w:t>
            </w:r>
            <w:r w:rsidRPr="00D72FF5">
              <w:rPr>
                <w:sz w:val="18"/>
                <w:szCs w:val="18"/>
                <w:lang w:val="en-US"/>
              </w:rPr>
              <w:t xml:space="preserve"> Program for early detection and </w:t>
            </w:r>
            <w:r w:rsidRPr="00D72FF5">
              <w:rPr>
                <w:sz w:val="18"/>
                <w:szCs w:val="18"/>
                <w:lang w:val="en-US"/>
              </w:rPr>
              <w:lastRenderedPageBreak/>
              <w:t>screening of malignant diseases in the Republic of North</w:t>
            </w:r>
          </w:p>
          <w:p w14:paraId="78EED041" w14:textId="48B9B9D2" w:rsidR="00142136" w:rsidRPr="00E25DDE" w:rsidRDefault="00142136" w:rsidP="003E6052">
            <w:pPr>
              <w:rPr>
                <w:color w:val="000000" w:themeColor="text1"/>
                <w:sz w:val="18"/>
                <w:szCs w:val="18"/>
                <w:highlight w:val="yellow"/>
                <w:lang w:val="en-IE"/>
              </w:rPr>
            </w:pPr>
          </w:p>
        </w:tc>
        <w:tc>
          <w:tcPr>
            <w:tcW w:w="927" w:type="pct"/>
            <w:vMerge/>
            <w:vAlign w:val="center"/>
          </w:tcPr>
          <w:p w14:paraId="7CB84C17" w14:textId="77777777" w:rsidR="00142136" w:rsidRPr="00E01934" w:rsidRDefault="00142136" w:rsidP="003E6052">
            <w:pPr>
              <w:autoSpaceDE w:val="0"/>
              <w:autoSpaceDN w:val="0"/>
              <w:adjustRightInd w:val="0"/>
              <w:rPr>
                <w:color w:val="0D0D0D" w:themeColor="text1" w:themeTint="F2"/>
                <w:sz w:val="18"/>
                <w:szCs w:val="18"/>
                <w:highlight w:val="yellow"/>
                <w:lang w:val="en-IE"/>
              </w:rPr>
            </w:pPr>
          </w:p>
        </w:tc>
      </w:tr>
      <w:tr w:rsidR="00467E51" w:rsidRPr="001D7106" w14:paraId="1210E825" w14:textId="77777777" w:rsidTr="247BFA05">
        <w:trPr>
          <w:trHeight w:val="239"/>
          <w:tblHeader/>
        </w:trPr>
        <w:tc>
          <w:tcPr>
            <w:tcW w:w="362" w:type="pct"/>
            <w:vMerge w:val="restart"/>
            <w:shd w:val="clear" w:color="auto" w:fill="D9D9D9" w:themeFill="background1" w:themeFillShade="D9"/>
            <w:vAlign w:val="center"/>
          </w:tcPr>
          <w:p w14:paraId="4BFBF6BA" w14:textId="2A065EA2" w:rsidR="00142136" w:rsidRPr="00E01934" w:rsidRDefault="00142136" w:rsidP="0029605E">
            <w:pPr>
              <w:tabs>
                <w:tab w:val="left" w:pos="0"/>
                <w:tab w:val="left" w:pos="132"/>
              </w:tabs>
              <w:rPr>
                <w:b/>
                <w:color w:val="0D0D0D" w:themeColor="text1" w:themeTint="F2"/>
                <w:sz w:val="18"/>
                <w:szCs w:val="18"/>
                <w:lang w:val="en-IE"/>
              </w:rPr>
            </w:pPr>
            <w:r w:rsidRPr="00E01934">
              <w:rPr>
                <w:b/>
                <w:color w:val="0D0D0D" w:themeColor="text1" w:themeTint="F2"/>
                <w:sz w:val="18"/>
                <w:szCs w:val="18"/>
                <w:lang w:val="en-IE"/>
              </w:rPr>
              <w:lastRenderedPageBreak/>
              <w:t xml:space="preserve">Output </w:t>
            </w:r>
            <w:r w:rsidR="00DC5761">
              <w:rPr>
                <w:b/>
                <w:color w:val="0D0D0D" w:themeColor="text1" w:themeTint="F2"/>
                <w:sz w:val="18"/>
                <w:szCs w:val="18"/>
                <w:lang w:val="en-IE"/>
              </w:rPr>
              <w:t>1.3</w:t>
            </w:r>
            <w:r w:rsidR="00DC5761" w:rsidRPr="00E01934">
              <w:rPr>
                <w:b/>
                <w:color w:val="0D0D0D" w:themeColor="text1" w:themeTint="F2"/>
                <w:sz w:val="18"/>
                <w:szCs w:val="18"/>
                <w:lang w:val="en-IE"/>
              </w:rPr>
              <w:t xml:space="preserve"> </w:t>
            </w:r>
            <w:r w:rsidRPr="00E01934">
              <w:rPr>
                <w:b/>
                <w:color w:val="0D0D0D" w:themeColor="text1" w:themeTint="F2"/>
                <w:sz w:val="18"/>
                <w:szCs w:val="18"/>
                <w:lang w:val="en-IE"/>
              </w:rPr>
              <w:t xml:space="preserve"> </w:t>
            </w:r>
          </w:p>
        </w:tc>
        <w:tc>
          <w:tcPr>
            <w:tcW w:w="725" w:type="pct"/>
            <w:vMerge w:val="restart"/>
            <w:shd w:val="clear" w:color="auto" w:fill="auto"/>
            <w:vAlign w:val="center"/>
          </w:tcPr>
          <w:p w14:paraId="1C351AA2" w14:textId="4D616DAD"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rPr>
              <w:t>Improved health cloud infrastructure</w:t>
            </w:r>
          </w:p>
        </w:tc>
        <w:tc>
          <w:tcPr>
            <w:tcW w:w="1351" w:type="pct"/>
            <w:shd w:val="clear" w:color="auto" w:fill="FFFFFF" w:themeFill="background1"/>
            <w:vAlign w:val="center"/>
          </w:tcPr>
          <w:p w14:paraId="3C4B8342" w14:textId="243E983A"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rPr>
              <w:t>Level of information security (scale 7-10)</w:t>
            </w:r>
          </w:p>
        </w:tc>
        <w:tc>
          <w:tcPr>
            <w:tcW w:w="540" w:type="pct"/>
            <w:shd w:val="clear" w:color="auto" w:fill="FFFFFF" w:themeFill="background1"/>
            <w:vAlign w:val="center"/>
          </w:tcPr>
          <w:p w14:paraId="37F73C9D" w14:textId="1062A76A" w:rsidR="00142136" w:rsidRPr="00E25DDE" w:rsidRDefault="00142136" w:rsidP="003E6052">
            <w:pPr>
              <w:rPr>
                <w:color w:val="000000" w:themeColor="text1"/>
                <w:sz w:val="18"/>
                <w:szCs w:val="18"/>
                <w:lang w:val="en-IE"/>
              </w:rPr>
            </w:pPr>
            <w:r w:rsidRPr="00E25DDE">
              <w:rPr>
                <w:color w:val="000000" w:themeColor="text1"/>
                <w:sz w:val="18"/>
                <w:szCs w:val="18"/>
              </w:rPr>
              <w:t>7 (2022)</w:t>
            </w:r>
          </w:p>
        </w:tc>
        <w:tc>
          <w:tcPr>
            <w:tcW w:w="585" w:type="pct"/>
            <w:shd w:val="clear" w:color="auto" w:fill="FFFFFF" w:themeFill="background1"/>
            <w:vAlign w:val="center"/>
          </w:tcPr>
          <w:p w14:paraId="22DD315F" w14:textId="4CA7CFB2" w:rsidR="00142136" w:rsidRPr="00E25DDE" w:rsidRDefault="0F1FB19F" w:rsidP="003E6052">
            <w:pPr>
              <w:rPr>
                <w:color w:val="000000" w:themeColor="text1"/>
                <w:sz w:val="18"/>
                <w:szCs w:val="18"/>
                <w:lang w:val="en-IE"/>
              </w:rPr>
            </w:pPr>
            <w:r w:rsidRPr="247BFA05">
              <w:rPr>
                <w:color w:val="000000" w:themeColor="text1"/>
                <w:sz w:val="18"/>
                <w:szCs w:val="18"/>
              </w:rPr>
              <w:t>10 (20</w:t>
            </w:r>
            <w:r w:rsidR="00E124AA">
              <w:rPr>
                <w:color w:val="000000" w:themeColor="text1"/>
                <w:sz w:val="18"/>
                <w:szCs w:val="18"/>
              </w:rPr>
              <w:t>28</w:t>
            </w:r>
            <w:r w:rsidRPr="247BFA05">
              <w:rPr>
                <w:color w:val="000000" w:themeColor="text1"/>
                <w:sz w:val="18"/>
                <w:szCs w:val="18"/>
              </w:rPr>
              <w:t>)</w:t>
            </w:r>
          </w:p>
        </w:tc>
        <w:tc>
          <w:tcPr>
            <w:tcW w:w="510" w:type="pct"/>
            <w:shd w:val="clear" w:color="auto" w:fill="FFFFFF" w:themeFill="background1"/>
            <w:vAlign w:val="center"/>
          </w:tcPr>
          <w:p w14:paraId="1ABBD74A" w14:textId="1EF2411B" w:rsidR="00142136" w:rsidRPr="00E25DDE" w:rsidRDefault="00142136" w:rsidP="003E6052">
            <w:pPr>
              <w:rPr>
                <w:color w:val="000000" w:themeColor="text1"/>
                <w:sz w:val="18"/>
                <w:szCs w:val="18"/>
                <w:lang w:val="en-IE"/>
              </w:rPr>
            </w:pPr>
            <w:r w:rsidRPr="00E25DDE">
              <w:rPr>
                <w:color w:val="000000" w:themeColor="text1"/>
                <w:sz w:val="18"/>
                <w:szCs w:val="18"/>
              </w:rPr>
              <w:t>MoH</w:t>
            </w:r>
            <w:r w:rsidR="00E124AA" w:rsidRPr="00E124AA">
              <w:rPr>
                <w:color w:val="000000" w:themeColor="text1"/>
                <w:sz w:val="18"/>
                <w:szCs w:val="18"/>
              </w:rPr>
              <w:t xml:space="preserve"> Directorate for E-Health</w:t>
            </w:r>
            <w:r w:rsidR="00E124AA" w:rsidRPr="00E124AA">
              <w:rPr>
                <w:color w:val="000000" w:themeColor="text1"/>
                <w:sz w:val="18"/>
                <w:szCs w:val="18"/>
                <w:vertAlign w:val="superscript"/>
              </w:rPr>
              <w:footnoteReference w:id="30"/>
            </w:r>
          </w:p>
        </w:tc>
        <w:tc>
          <w:tcPr>
            <w:tcW w:w="927" w:type="pct"/>
            <w:vMerge/>
            <w:vAlign w:val="center"/>
          </w:tcPr>
          <w:p w14:paraId="333EFA31" w14:textId="77777777" w:rsidR="00142136" w:rsidRPr="00E01934" w:rsidRDefault="00142136" w:rsidP="003E6052">
            <w:pPr>
              <w:autoSpaceDE w:val="0"/>
              <w:autoSpaceDN w:val="0"/>
              <w:adjustRightInd w:val="0"/>
              <w:rPr>
                <w:color w:val="0D0D0D" w:themeColor="text1" w:themeTint="F2"/>
                <w:sz w:val="18"/>
                <w:szCs w:val="18"/>
                <w:highlight w:val="yellow"/>
                <w:lang w:val="en-IE"/>
              </w:rPr>
            </w:pPr>
          </w:p>
        </w:tc>
      </w:tr>
      <w:tr w:rsidR="00467E51" w:rsidRPr="001D7106" w14:paraId="403B0D1A" w14:textId="77777777" w:rsidTr="247BFA05">
        <w:trPr>
          <w:trHeight w:val="115"/>
          <w:tblHeader/>
        </w:trPr>
        <w:tc>
          <w:tcPr>
            <w:tcW w:w="362" w:type="pct"/>
            <w:vMerge/>
            <w:vAlign w:val="center"/>
          </w:tcPr>
          <w:p w14:paraId="73435EB4" w14:textId="77777777" w:rsidR="00142136" w:rsidRPr="00E01934" w:rsidRDefault="00142136" w:rsidP="00E25DDE">
            <w:pPr>
              <w:tabs>
                <w:tab w:val="left" w:pos="0"/>
                <w:tab w:val="left" w:pos="132"/>
              </w:tabs>
              <w:rPr>
                <w:b/>
                <w:color w:val="0D0D0D" w:themeColor="text1" w:themeTint="F2"/>
                <w:sz w:val="18"/>
                <w:szCs w:val="18"/>
                <w:lang w:val="en-IE"/>
              </w:rPr>
            </w:pPr>
          </w:p>
        </w:tc>
        <w:tc>
          <w:tcPr>
            <w:tcW w:w="725" w:type="pct"/>
            <w:vMerge/>
            <w:vAlign w:val="center"/>
          </w:tcPr>
          <w:p w14:paraId="7A952176" w14:textId="77777777" w:rsidR="00142136" w:rsidRPr="00E25DDE" w:rsidRDefault="00142136" w:rsidP="003E6052">
            <w:pPr>
              <w:autoSpaceDE w:val="0"/>
              <w:autoSpaceDN w:val="0"/>
              <w:adjustRightInd w:val="0"/>
              <w:rPr>
                <w:color w:val="000000" w:themeColor="text1"/>
                <w:sz w:val="18"/>
                <w:szCs w:val="18"/>
                <w:lang w:val="en-IE"/>
              </w:rPr>
            </w:pPr>
          </w:p>
        </w:tc>
        <w:tc>
          <w:tcPr>
            <w:tcW w:w="1351" w:type="pct"/>
            <w:shd w:val="clear" w:color="auto" w:fill="FFFFFF" w:themeFill="background1"/>
            <w:vAlign w:val="center"/>
          </w:tcPr>
          <w:p w14:paraId="4631B8A8" w14:textId="51CBEDA7" w:rsidR="00142136" w:rsidRPr="00E25DDE" w:rsidRDefault="00142136" w:rsidP="00142136">
            <w:pPr>
              <w:rPr>
                <w:color w:val="000000" w:themeColor="text1"/>
                <w:sz w:val="18"/>
                <w:szCs w:val="18"/>
              </w:rPr>
            </w:pPr>
            <w:r w:rsidRPr="00E25DDE">
              <w:rPr>
                <w:color w:val="000000" w:themeColor="text1"/>
                <w:sz w:val="18"/>
                <w:szCs w:val="18"/>
              </w:rPr>
              <w:t>Average response time (API)</w:t>
            </w:r>
          </w:p>
        </w:tc>
        <w:tc>
          <w:tcPr>
            <w:tcW w:w="540" w:type="pct"/>
            <w:shd w:val="clear" w:color="auto" w:fill="FFFFFF" w:themeFill="background1"/>
            <w:vAlign w:val="center"/>
          </w:tcPr>
          <w:p w14:paraId="7C85EA8E" w14:textId="68B477EB" w:rsidR="00142136" w:rsidRPr="00E25DDE" w:rsidRDefault="00142136" w:rsidP="003E6052">
            <w:pPr>
              <w:rPr>
                <w:color w:val="000000" w:themeColor="text1"/>
                <w:sz w:val="18"/>
                <w:szCs w:val="18"/>
              </w:rPr>
            </w:pPr>
            <w:r w:rsidRPr="00E25DDE">
              <w:rPr>
                <w:color w:val="000000" w:themeColor="text1"/>
                <w:sz w:val="18"/>
                <w:szCs w:val="18"/>
              </w:rPr>
              <w:t>145ms (2021)</w:t>
            </w:r>
          </w:p>
        </w:tc>
        <w:tc>
          <w:tcPr>
            <w:tcW w:w="585" w:type="pct"/>
            <w:shd w:val="clear" w:color="auto" w:fill="FFFFFF" w:themeFill="background1"/>
            <w:vAlign w:val="center"/>
          </w:tcPr>
          <w:p w14:paraId="38844E82" w14:textId="5A14259F" w:rsidR="00142136" w:rsidRPr="00E25DDE" w:rsidRDefault="0F1FB19F" w:rsidP="003E6052">
            <w:pPr>
              <w:rPr>
                <w:color w:val="000000" w:themeColor="text1"/>
                <w:sz w:val="18"/>
                <w:szCs w:val="18"/>
              </w:rPr>
            </w:pPr>
            <w:r w:rsidRPr="247BFA05">
              <w:rPr>
                <w:color w:val="000000" w:themeColor="text1"/>
                <w:sz w:val="18"/>
                <w:szCs w:val="18"/>
              </w:rPr>
              <w:t>≤50ms (20</w:t>
            </w:r>
            <w:r w:rsidR="00E124AA">
              <w:rPr>
                <w:color w:val="000000" w:themeColor="text1"/>
                <w:sz w:val="18"/>
                <w:szCs w:val="18"/>
                <w:lang w:val="hr-HR"/>
              </w:rPr>
              <w:t>28</w:t>
            </w:r>
            <w:r w:rsidRPr="247BFA05">
              <w:rPr>
                <w:color w:val="000000" w:themeColor="text1"/>
                <w:sz w:val="18"/>
                <w:szCs w:val="18"/>
              </w:rPr>
              <w:t>)</w:t>
            </w:r>
          </w:p>
        </w:tc>
        <w:tc>
          <w:tcPr>
            <w:tcW w:w="510" w:type="pct"/>
            <w:shd w:val="clear" w:color="auto" w:fill="FFFFFF" w:themeFill="background1"/>
            <w:vAlign w:val="center"/>
          </w:tcPr>
          <w:p w14:paraId="46C4B40F" w14:textId="056C5E7C" w:rsidR="00142136" w:rsidRPr="00E25DDE" w:rsidRDefault="00142136" w:rsidP="003E6052">
            <w:pPr>
              <w:rPr>
                <w:color w:val="000000" w:themeColor="text1"/>
                <w:sz w:val="18"/>
                <w:szCs w:val="18"/>
              </w:rPr>
            </w:pPr>
            <w:r w:rsidRPr="00E25DDE">
              <w:rPr>
                <w:color w:val="000000" w:themeColor="text1"/>
                <w:sz w:val="18"/>
                <w:szCs w:val="18"/>
              </w:rPr>
              <w:t>MoH</w:t>
            </w:r>
            <w:r w:rsidR="00E124AA" w:rsidRPr="00E124AA">
              <w:rPr>
                <w:color w:val="000000" w:themeColor="text1"/>
                <w:sz w:val="18"/>
                <w:szCs w:val="18"/>
              </w:rPr>
              <w:t xml:space="preserve"> Directorate for E-Health</w:t>
            </w:r>
            <w:r w:rsidR="00E124AA" w:rsidRPr="00E124AA">
              <w:rPr>
                <w:color w:val="000000" w:themeColor="text1"/>
                <w:sz w:val="18"/>
                <w:szCs w:val="18"/>
                <w:vertAlign w:val="superscript"/>
              </w:rPr>
              <w:footnoteReference w:id="31"/>
            </w:r>
          </w:p>
        </w:tc>
        <w:tc>
          <w:tcPr>
            <w:tcW w:w="927" w:type="pct"/>
            <w:vMerge/>
            <w:vAlign w:val="center"/>
          </w:tcPr>
          <w:p w14:paraId="033C6D55" w14:textId="77777777" w:rsidR="00142136" w:rsidRPr="00E01934" w:rsidRDefault="00142136" w:rsidP="003E6052">
            <w:pPr>
              <w:autoSpaceDE w:val="0"/>
              <w:autoSpaceDN w:val="0"/>
              <w:adjustRightInd w:val="0"/>
              <w:rPr>
                <w:color w:val="0D0D0D" w:themeColor="text1" w:themeTint="F2"/>
                <w:sz w:val="18"/>
                <w:szCs w:val="18"/>
                <w:highlight w:val="yellow"/>
                <w:lang w:val="en-IE"/>
              </w:rPr>
            </w:pPr>
          </w:p>
        </w:tc>
      </w:tr>
      <w:tr w:rsidR="00467E51" w:rsidRPr="001D7106" w14:paraId="34FA53D9" w14:textId="77777777" w:rsidTr="247BFA05">
        <w:trPr>
          <w:trHeight w:val="441"/>
          <w:tblHeader/>
        </w:trPr>
        <w:tc>
          <w:tcPr>
            <w:tcW w:w="362" w:type="pct"/>
            <w:shd w:val="clear" w:color="auto" w:fill="D9D9D9" w:themeFill="background1" w:themeFillShade="D9"/>
            <w:vAlign w:val="center"/>
          </w:tcPr>
          <w:p w14:paraId="624BBB27" w14:textId="1AB1CCAA" w:rsidR="00142136" w:rsidRPr="00E01934" w:rsidRDefault="00142136" w:rsidP="0029605E">
            <w:pPr>
              <w:tabs>
                <w:tab w:val="left" w:pos="0"/>
                <w:tab w:val="left" w:pos="132"/>
              </w:tabs>
              <w:rPr>
                <w:b/>
                <w:color w:val="0D0D0D" w:themeColor="text1" w:themeTint="F2"/>
                <w:sz w:val="18"/>
                <w:szCs w:val="18"/>
                <w:lang w:val="en-IE"/>
              </w:rPr>
            </w:pPr>
            <w:r>
              <w:rPr>
                <w:b/>
                <w:color w:val="0D0D0D" w:themeColor="text1" w:themeTint="F2"/>
                <w:sz w:val="18"/>
                <w:szCs w:val="18"/>
                <w:lang w:val="en-IE"/>
              </w:rPr>
              <w:t xml:space="preserve">Output </w:t>
            </w:r>
            <w:r w:rsidR="00DC5761">
              <w:rPr>
                <w:b/>
                <w:color w:val="0D0D0D" w:themeColor="text1" w:themeTint="F2"/>
                <w:sz w:val="18"/>
                <w:szCs w:val="18"/>
                <w:lang w:val="en-IE"/>
              </w:rPr>
              <w:t>1.4</w:t>
            </w:r>
            <w:r>
              <w:rPr>
                <w:b/>
                <w:color w:val="0D0D0D" w:themeColor="text1" w:themeTint="F2"/>
                <w:sz w:val="18"/>
                <w:szCs w:val="18"/>
                <w:lang w:val="en-IE"/>
              </w:rPr>
              <w:t xml:space="preserve"> </w:t>
            </w:r>
          </w:p>
        </w:tc>
        <w:tc>
          <w:tcPr>
            <w:tcW w:w="725" w:type="pct"/>
            <w:shd w:val="clear" w:color="auto" w:fill="auto"/>
            <w:vAlign w:val="center"/>
          </w:tcPr>
          <w:p w14:paraId="0E57AA00" w14:textId="489C2070" w:rsidR="00142136" w:rsidRPr="00E25DDE" w:rsidRDefault="00142136" w:rsidP="003E6052">
            <w:pPr>
              <w:autoSpaceDE w:val="0"/>
              <w:autoSpaceDN w:val="0"/>
              <w:adjustRightInd w:val="0"/>
              <w:rPr>
                <w:color w:val="000000" w:themeColor="text1"/>
                <w:sz w:val="18"/>
                <w:szCs w:val="18"/>
                <w:lang w:val="en-IE"/>
              </w:rPr>
            </w:pPr>
            <w:r w:rsidRPr="00E25DDE">
              <w:rPr>
                <w:color w:val="000000" w:themeColor="text1"/>
                <w:sz w:val="18"/>
                <w:szCs w:val="18"/>
              </w:rPr>
              <w:t>Improved mobile primary health care service</w:t>
            </w:r>
          </w:p>
        </w:tc>
        <w:tc>
          <w:tcPr>
            <w:tcW w:w="1351" w:type="pct"/>
            <w:shd w:val="clear" w:color="auto" w:fill="FFFFFF" w:themeFill="background1"/>
            <w:vAlign w:val="center"/>
          </w:tcPr>
          <w:p w14:paraId="54218BE1" w14:textId="06ED6B46" w:rsidR="00142136" w:rsidRPr="00E25DDE" w:rsidRDefault="00142136" w:rsidP="002D782C">
            <w:pPr>
              <w:rPr>
                <w:strike/>
                <w:color w:val="000000" w:themeColor="text1"/>
                <w:sz w:val="18"/>
                <w:szCs w:val="18"/>
              </w:rPr>
            </w:pPr>
            <w:r w:rsidRPr="00E25DDE">
              <w:rPr>
                <w:color w:val="000000" w:themeColor="text1"/>
                <w:sz w:val="18"/>
                <w:szCs w:val="18"/>
              </w:rPr>
              <w:t xml:space="preserve">Number of </w:t>
            </w:r>
            <w:r w:rsidR="005756EA" w:rsidRPr="00E25DDE">
              <w:rPr>
                <w:color w:val="000000" w:themeColor="text1"/>
                <w:sz w:val="18"/>
                <w:szCs w:val="18"/>
              </w:rPr>
              <w:t xml:space="preserve">local </w:t>
            </w:r>
            <w:r w:rsidRPr="00E25DDE">
              <w:rPr>
                <w:color w:val="000000" w:themeColor="text1"/>
                <w:sz w:val="18"/>
                <w:szCs w:val="18"/>
              </w:rPr>
              <w:t xml:space="preserve">mobile </w:t>
            </w:r>
            <w:r w:rsidR="005756EA" w:rsidRPr="00E25DDE">
              <w:rPr>
                <w:color w:val="000000" w:themeColor="text1"/>
                <w:sz w:val="18"/>
                <w:szCs w:val="18"/>
              </w:rPr>
              <w:t>units’</w:t>
            </w:r>
            <w:r w:rsidRPr="00E25DDE">
              <w:rPr>
                <w:color w:val="000000" w:themeColor="text1"/>
                <w:sz w:val="18"/>
                <w:szCs w:val="18"/>
              </w:rPr>
              <w:t xml:space="preserve"> equip</w:t>
            </w:r>
            <w:r w:rsidR="005756EA" w:rsidRPr="00E25DDE">
              <w:rPr>
                <w:color w:val="000000" w:themeColor="text1"/>
                <w:sz w:val="18"/>
                <w:szCs w:val="18"/>
              </w:rPr>
              <w:t>ment and work devices delivered</w:t>
            </w:r>
          </w:p>
        </w:tc>
        <w:tc>
          <w:tcPr>
            <w:tcW w:w="540" w:type="pct"/>
            <w:shd w:val="clear" w:color="auto" w:fill="FFFFFF" w:themeFill="background1"/>
            <w:vAlign w:val="center"/>
          </w:tcPr>
          <w:p w14:paraId="26001453" w14:textId="51F42CB0" w:rsidR="00142136" w:rsidRPr="00E25DDE" w:rsidRDefault="00142136" w:rsidP="002D782C">
            <w:pPr>
              <w:rPr>
                <w:color w:val="000000" w:themeColor="text1"/>
                <w:sz w:val="18"/>
                <w:szCs w:val="18"/>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6C1888F8" w14:textId="3BB4093C" w:rsidR="00142136" w:rsidRPr="00E25DDE" w:rsidRDefault="00142136" w:rsidP="002D782C">
            <w:pPr>
              <w:rPr>
                <w:color w:val="000000" w:themeColor="text1"/>
                <w:sz w:val="18"/>
                <w:szCs w:val="18"/>
              </w:rPr>
            </w:pPr>
            <w:r w:rsidRPr="00E25DDE">
              <w:rPr>
                <w:color w:val="000000" w:themeColor="text1"/>
                <w:sz w:val="18"/>
                <w:szCs w:val="18"/>
              </w:rPr>
              <w:t>≥30 (20</w:t>
            </w:r>
            <w:r w:rsidR="00E124AA">
              <w:rPr>
                <w:color w:val="000000" w:themeColor="text1"/>
                <w:sz w:val="18"/>
                <w:szCs w:val="18"/>
                <w:lang w:val="hr-HR"/>
              </w:rPr>
              <w:t>28</w:t>
            </w:r>
            <w:r w:rsidRPr="00E25DDE">
              <w:rPr>
                <w:color w:val="000000" w:themeColor="text1"/>
                <w:sz w:val="18"/>
                <w:szCs w:val="18"/>
              </w:rPr>
              <w:t>)</w:t>
            </w:r>
          </w:p>
        </w:tc>
        <w:tc>
          <w:tcPr>
            <w:tcW w:w="510" w:type="pct"/>
            <w:shd w:val="clear" w:color="auto" w:fill="FFFFFF" w:themeFill="background1"/>
            <w:vAlign w:val="center"/>
          </w:tcPr>
          <w:p w14:paraId="044B839D" w14:textId="04D30ABB" w:rsidR="00142136" w:rsidRPr="00B6363B" w:rsidRDefault="00E124AA" w:rsidP="003E6052">
            <w:pPr>
              <w:rPr>
                <w:color w:val="000000" w:themeColor="text1"/>
                <w:sz w:val="18"/>
                <w:szCs w:val="18"/>
                <w:lang w:val="hr-HR"/>
              </w:rPr>
            </w:pPr>
            <w:r>
              <w:rPr>
                <w:color w:val="000000" w:themeColor="text1"/>
                <w:sz w:val="18"/>
                <w:szCs w:val="18"/>
                <w:lang w:val="hr-HR"/>
              </w:rPr>
              <w:t>Final report</w:t>
            </w:r>
          </w:p>
        </w:tc>
        <w:tc>
          <w:tcPr>
            <w:tcW w:w="927" w:type="pct"/>
            <w:vMerge/>
            <w:vAlign w:val="center"/>
          </w:tcPr>
          <w:p w14:paraId="6004D8B4" w14:textId="77777777" w:rsidR="00142136" w:rsidRPr="00E01934" w:rsidRDefault="00142136" w:rsidP="003E6052">
            <w:pPr>
              <w:autoSpaceDE w:val="0"/>
              <w:autoSpaceDN w:val="0"/>
              <w:adjustRightInd w:val="0"/>
              <w:rPr>
                <w:color w:val="0D0D0D" w:themeColor="text1" w:themeTint="F2"/>
                <w:sz w:val="18"/>
                <w:szCs w:val="18"/>
                <w:highlight w:val="yellow"/>
                <w:lang w:val="en-IE"/>
              </w:rPr>
            </w:pPr>
          </w:p>
        </w:tc>
      </w:tr>
      <w:tr w:rsidR="00467E51" w:rsidRPr="001D7106" w14:paraId="15B6C789" w14:textId="77777777" w:rsidTr="247BFA05">
        <w:trPr>
          <w:trHeight w:val="379"/>
          <w:tblHeader/>
        </w:trPr>
        <w:tc>
          <w:tcPr>
            <w:tcW w:w="362" w:type="pct"/>
            <w:vMerge w:val="restart"/>
            <w:shd w:val="clear" w:color="auto" w:fill="D9D9D9" w:themeFill="background1" w:themeFillShade="D9"/>
            <w:vAlign w:val="center"/>
          </w:tcPr>
          <w:p w14:paraId="0C259D07" w14:textId="72E73E78" w:rsidR="00467E51" w:rsidRDefault="00467E51" w:rsidP="0029605E">
            <w:pPr>
              <w:tabs>
                <w:tab w:val="left" w:pos="0"/>
                <w:tab w:val="left" w:pos="132"/>
              </w:tabs>
              <w:rPr>
                <w:b/>
                <w:color w:val="0D0D0D" w:themeColor="text1" w:themeTint="F2"/>
                <w:sz w:val="18"/>
                <w:szCs w:val="18"/>
                <w:lang w:val="en-IE"/>
              </w:rPr>
            </w:pPr>
            <w:r>
              <w:rPr>
                <w:b/>
                <w:color w:val="0D0D0D" w:themeColor="text1" w:themeTint="F2"/>
                <w:sz w:val="18"/>
                <w:szCs w:val="18"/>
                <w:lang w:val="en-IE"/>
              </w:rPr>
              <w:t xml:space="preserve">Output </w:t>
            </w:r>
            <w:r w:rsidR="00DC5761">
              <w:rPr>
                <w:b/>
                <w:color w:val="0D0D0D" w:themeColor="text1" w:themeTint="F2"/>
                <w:sz w:val="18"/>
                <w:szCs w:val="18"/>
                <w:lang w:val="en-IE"/>
              </w:rPr>
              <w:t>1.</w:t>
            </w:r>
            <w:r>
              <w:rPr>
                <w:b/>
                <w:color w:val="0D0D0D" w:themeColor="text1" w:themeTint="F2"/>
                <w:sz w:val="18"/>
                <w:szCs w:val="18"/>
                <w:lang w:val="en-IE"/>
              </w:rPr>
              <w:t>5</w:t>
            </w:r>
          </w:p>
        </w:tc>
        <w:tc>
          <w:tcPr>
            <w:tcW w:w="725" w:type="pct"/>
            <w:vMerge w:val="restart"/>
            <w:shd w:val="clear" w:color="auto" w:fill="auto"/>
            <w:vAlign w:val="center"/>
          </w:tcPr>
          <w:p w14:paraId="15075FE6" w14:textId="25128877" w:rsidR="00467E51" w:rsidRPr="00E25DDE" w:rsidRDefault="00467E51" w:rsidP="0029605E">
            <w:pPr>
              <w:autoSpaceDE w:val="0"/>
              <w:autoSpaceDN w:val="0"/>
              <w:adjustRightInd w:val="0"/>
              <w:rPr>
                <w:color w:val="000000" w:themeColor="text1"/>
                <w:sz w:val="18"/>
                <w:szCs w:val="18"/>
                <w:lang w:val="en-IE"/>
              </w:rPr>
            </w:pPr>
            <w:r w:rsidRPr="00E25DDE">
              <w:rPr>
                <w:color w:val="000000" w:themeColor="text1"/>
                <w:sz w:val="18"/>
                <w:szCs w:val="18"/>
                <w:lang w:val="en-IE"/>
              </w:rPr>
              <w:t xml:space="preserve">Modernised Emergency Medical Service (EMS) system </w:t>
            </w:r>
          </w:p>
          <w:p w14:paraId="1A05CFD7" w14:textId="32DB316F" w:rsidR="00467E51" w:rsidRPr="00E25DDE" w:rsidRDefault="00467E51" w:rsidP="003E6052">
            <w:pPr>
              <w:autoSpaceDE w:val="0"/>
              <w:autoSpaceDN w:val="0"/>
              <w:adjustRightInd w:val="0"/>
              <w:rPr>
                <w:color w:val="000000" w:themeColor="text1"/>
                <w:sz w:val="18"/>
                <w:szCs w:val="18"/>
              </w:rPr>
            </w:pPr>
          </w:p>
        </w:tc>
        <w:tc>
          <w:tcPr>
            <w:tcW w:w="1351" w:type="pct"/>
            <w:shd w:val="clear" w:color="auto" w:fill="FFFFFF" w:themeFill="background1"/>
            <w:vAlign w:val="center"/>
          </w:tcPr>
          <w:p w14:paraId="6C032AB8" w14:textId="687554F9" w:rsidR="00467E51" w:rsidRPr="00E25DDE" w:rsidRDefault="00467E51" w:rsidP="00467E51">
            <w:pPr>
              <w:rPr>
                <w:color w:val="000000" w:themeColor="text1"/>
                <w:sz w:val="18"/>
                <w:szCs w:val="18"/>
              </w:rPr>
            </w:pPr>
            <w:r w:rsidRPr="00E25DDE">
              <w:rPr>
                <w:color w:val="000000" w:themeColor="text1"/>
                <w:sz w:val="18"/>
                <w:szCs w:val="18"/>
              </w:rPr>
              <w:t xml:space="preserve">Number of newly equipped and operational ambulances </w:t>
            </w:r>
          </w:p>
        </w:tc>
        <w:tc>
          <w:tcPr>
            <w:tcW w:w="540" w:type="pct"/>
            <w:shd w:val="clear" w:color="auto" w:fill="FFFFFF" w:themeFill="background1"/>
            <w:vAlign w:val="center"/>
          </w:tcPr>
          <w:p w14:paraId="508AB6D9" w14:textId="2F4F69CC" w:rsidR="00467E51" w:rsidRPr="00E25DDE" w:rsidRDefault="00467E51" w:rsidP="003E6052">
            <w:pPr>
              <w:rPr>
                <w:color w:val="000000" w:themeColor="text1"/>
                <w:sz w:val="18"/>
                <w:szCs w:val="18"/>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74959326" w14:textId="06C64254" w:rsidR="00467E51" w:rsidRPr="00E25DDE" w:rsidRDefault="00467E51" w:rsidP="003E6052">
            <w:pPr>
              <w:rPr>
                <w:color w:val="000000" w:themeColor="text1"/>
                <w:sz w:val="18"/>
                <w:szCs w:val="18"/>
              </w:rPr>
            </w:pPr>
            <w:r>
              <w:rPr>
                <w:color w:val="000000" w:themeColor="text1"/>
                <w:sz w:val="18"/>
                <w:szCs w:val="18"/>
              </w:rPr>
              <w:t>≥ 50 (20</w:t>
            </w:r>
            <w:r w:rsidR="00E124AA">
              <w:rPr>
                <w:color w:val="000000" w:themeColor="text1"/>
                <w:sz w:val="18"/>
                <w:szCs w:val="18"/>
              </w:rPr>
              <w:t>28</w:t>
            </w:r>
            <w:r>
              <w:rPr>
                <w:color w:val="000000" w:themeColor="text1"/>
                <w:sz w:val="18"/>
                <w:szCs w:val="18"/>
              </w:rPr>
              <w:t>)</w:t>
            </w:r>
          </w:p>
        </w:tc>
        <w:tc>
          <w:tcPr>
            <w:tcW w:w="510" w:type="pct"/>
            <w:shd w:val="clear" w:color="auto" w:fill="FFFFFF" w:themeFill="background1"/>
            <w:vAlign w:val="center"/>
          </w:tcPr>
          <w:p w14:paraId="2FAEA374" w14:textId="7EEB3394" w:rsidR="00467E51" w:rsidRPr="00B6363B" w:rsidRDefault="00E124AA" w:rsidP="003E6052">
            <w:pPr>
              <w:rPr>
                <w:color w:val="000000" w:themeColor="text1"/>
                <w:sz w:val="18"/>
                <w:szCs w:val="18"/>
                <w:lang w:val="hr-HR"/>
              </w:rPr>
            </w:pPr>
            <w:r>
              <w:rPr>
                <w:color w:val="000000" w:themeColor="text1"/>
                <w:sz w:val="18"/>
                <w:szCs w:val="18"/>
                <w:lang w:val="hr-HR"/>
              </w:rPr>
              <w:t>Final report</w:t>
            </w:r>
          </w:p>
          <w:p w14:paraId="293AFD5C" w14:textId="77777777" w:rsidR="00467E51" w:rsidRPr="00E25DDE" w:rsidRDefault="00467E51" w:rsidP="003E6052">
            <w:pPr>
              <w:rPr>
                <w:color w:val="000000" w:themeColor="text1"/>
                <w:sz w:val="18"/>
                <w:szCs w:val="18"/>
              </w:rPr>
            </w:pPr>
          </w:p>
        </w:tc>
        <w:tc>
          <w:tcPr>
            <w:tcW w:w="927" w:type="pct"/>
            <w:vMerge/>
            <w:vAlign w:val="center"/>
          </w:tcPr>
          <w:p w14:paraId="57168345" w14:textId="77777777" w:rsidR="00467E51" w:rsidRPr="00E01934" w:rsidRDefault="00467E51" w:rsidP="003E6052">
            <w:pPr>
              <w:autoSpaceDE w:val="0"/>
              <w:autoSpaceDN w:val="0"/>
              <w:adjustRightInd w:val="0"/>
              <w:rPr>
                <w:color w:val="0D0D0D" w:themeColor="text1" w:themeTint="F2"/>
                <w:sz w:val="18"/>
                <w:szCs w:val="18"/>
                <w:highlight w:val="yellow"/>
                <w:lang w:val="en-IE"/>
              </w:rPr>
            </w:pPr>
          </w:p>
        </w:tc>
      </w:tr>
      <w:tr w:rsidR="00467E51" w:rsidRPr="001D7106" w14:paraId="6F66B85B" w14:textId="77777777" w:rsidTr="247BFA05">
        <w:trPr>
          <w:trHeight w:val="314"/>
          <w:tblHeader/>
        </w:trPr>
        <w:tc>
          <w:tcPr>
            <w:tcW w:w="362" w:type="pct"/>
            <w:vMerge/>
            <w:vAlign w:val="center"/>
          </w:tcPr>
          <w:p w14:paraId="0DD76BE8" w14:textId="03018AD9" w:rsidR="00467E51" w:rsidRDefault="00467E51" w:rsidP="00E25DDE">
            <w:pPr>
              <w:tabs>
                <w:tab w:val="left" w:pos="0"/>
                <w:tab w:val="left" w:pos="132"/>
              </w:tabs>
              <w:rPr>
                <w:b/>
                <w:color w:val="0D0D0D" w:themeColor="text1" w:themeTint="F2"/>
                <w:sz w:val="18"/>
                <w:szCs w:val="18"/>
                <w:lang w:val="en-IE"/>
              </w:rPr>
            </w:pPr>
          </w:p>
        </w:tc>
        <w:tc>
          <w:tcPr>
            <w:tcW w:w="725" w:type="pct"/>
            <w:vMerge/>
            <w:vAlign w:val="center"/>
          </w:tcPr>
          <w:p w14:paraId="1C536200" w14:textId="76FEFEBA" w:rsidR="00467E51" w:rsidRPr="00E25DDE" w:rsidRDefault="00467E51" w:rsidP="003E6052">
            <w:pPr>
              <w:autoSpaceDE w:val="0"/>
              <w:autoSpaceDN w:val="0"/>
              <w:adjustRightInd w:val="0"/>
              <w:rPr>
                <w:color w:val="000000" w:themeColor="text1"/>
                <w:sz w:val="18"/>
                <w:szCs w:val="18"/>
                <w:lang w:val="en-IE"/>
              </w:rPr>
            </w:pPr>
          </w:p>
        </w:tc>
        <w:tc>
          <w:tcPr>
            <w:tcW w:w="1351" w:type="pct"/>
            <w:shd w:val="clear" w:color="auto" w:fill="FFFFFF" w:themeFill="background1"/>
            <w:vAlign w:val="center"/>
          </w:tcPr>
          <w:p w14:paraId="45E34EC0" w14:textId="609DEEA1" w:rsidR="00467E51" w:rsidRPr="00E25DDE" w:rsidRDefault="00467E51" w:rsidP="003E6052">
            <w:pPr>
              <w:rPr>
                <w:color w:val="000000" w:themeColor="text1"/>
                <w:sz w:val="18"/>
                <w:szCs w:val="18"/>
              </w:rPr>
            </w:pPr>
            <w:r w:rsidRPr="00E25DDE">
              <w:rPr>
                <w:color w:val="000000" w:themeColor="text1"/>
                <w:sz w:val="18"/>
                <w:szCs w:val="18"/>
              </w:rPr>
              <w:t>Number of fully functional dispatch centres connected with ICT system for managing the EMS</w:t>
            </w:r>
          </w:p>
        </w:tc>
        <w:tc>
          <w:tcPr>
            <w:tcW w:w="540" w:type="pct"/>
            <w:shd w:val="clear" w:color="auto" w:fill="FFFFFF" w:themeFill="background1"/>
            <w:vAlign w:val="center"/>
          </w:tcPr>
          <w:p w14:paraId="3C50F0CB" w14:textId="2026B545" w:rsidR="00467E51" w:rsidRPr="00E25DDE" w:rsidRDefault="00467E51" w:rsidP="00235BE4">
            <w:pPr>
              <w:rPr>
                <w:color w:val="000000" w:themeColor="text1"/>
                <w:sz w:val="18"/>
                <w:szCs w:val="18"/>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75576FBC" w14:textId="77777777" w:rsidR="00467E51" w:rsidRPr="00E25DDE" w:rsidRDefault="00467E51" w:rsidP="00235BE4">
            <w:pPr>
              <w:rPr>
                <w:color w:val="000000" w:themeColor="text1"/>
                <w:sz w:val="18"/>
                <w:szCs w:val="18"/>
              </w:rPr>
            </w:pPr>
          </w:p>
          <w:p w14:paraId="08327BCF" w14:textId="3DF84307" w:rsidR="00467E51" w:rsidRPr="00E25DDE" w:rsidRDefault="00085101" w:rsidP="00235BE4">
            <w:pPr>
              <w:rPr>
                <w:color w:val="000000" w:themeColor="text1"/>
                <w:sz w:val="18"/>
                <w:szCs w:val="18"/>
              </w:rPr>
            </w:pPr>
            <w:r>
              <w:rPr>
                <w:color w:val="000000" w:themeColor="text1"/>
                <w:sz w:val="18"/>
                <w:szCs w:val="18"/>
              </w:rPr>
              <w:t>≥ 30 (20</w:t>
            </w:r>
            <w:r w:rsidR="00E124AA">
              <w:rPr>
                <w:color w:val="000000" w:themeColor="text1"/>
                <w:sz w:val="18"/>
                <w:szCs w:val="18"/>
              </w:rPr>
              <w:t>28</w:t>
            </w:r>
            <w:r>
              <w:rPr>
                <w:color w:val="000000" w:themeColor="text1"/>
                <w:sz w:val="18"/>
                <w:szCs w:val="18"/>
              </w:rPr>
              <w:t>)</w:t>
            </w:r>
          </w:p>
        </w:tc>
        <w:tc>
          <w:tcPr>
            <w:tcW w:w="510" w:type="pct"/>
            <w:shd w:val="clear" w:color="auto" w:fill="FFFFFF" w:themeFill="background1"/>
            <w:vAlign w:val="center"/>
          </w:tcPr>
          <w:p w14:paraId="13C4626F" w14:textId="78302F24" w:rsidR="00467E51" w:rsidRPr="00B6363B" w:rsidRDefault="00E124AA" w:rsidP="003E6052">
            <w:pPr>
              <w:rPr>
                <w:color w:val="000000" w:themeColor="text1"/>
                <w:sz w:val="18"/>
                <w:szCs w:val="18"/>
                <w:lang w:val="hr-HR"/>
              </w:rPr>
            </w:pPr>
            <w:r>
              <w:rPr>
                <w:color w:val="000000" w:themeColor="text1"/>
                <w:sz w:val="18"/>
                <w:szCs w:val="18"/>
                <w:lang w:val="hr-HR"/>
              </w:rPr>
              <w:t>Final Report</w:t>
            </w:r>
          </w:p>
        </w:tc>
        <w:tc>
          <w:tcPr>
            <w:tcW w:w="927" w:type="pct"/>
            <w:vMerge/>
            <w:vAlign w:val="center"/>
          </w:tcPr>
          <w:p w14:paraId="7000F292" w14:textId="77777777" w:rsidR="00467E51" w:rsidRPr="00E01934" w:rsidRDefault="00467E51" w:rsidP="003E6052">
            <w:pPr>
              <w:autoSpaceDE w:val="0"/>
              <w:autoSpaceDN w:val="0"/>
              <w:adjustRightInd w:val="0"/>
              <w:rPr>
                <w:color w:val="0D0D0D" w:themeColor="text1" w:themeTint="F2"/>
                <w:sz w:val="18"/>
                <w:szCs w:val="18"/>
                <w:highlight w:val="yellow"/>
                <w:lang w:val="en-IE"/>
              </w:rPr>
            </w:pPr>
          </w:p>
        </w:tc>
      </w:tr>
      <w:tr w:rsidR="00467E51" w:rsidRPr="001D7106" w14:paraId="39A64497" w14:textId="77777777" w:rsidTr="247BFA05">
        <w:trPr>
          <w:trHeight w:val="418"/>
          <w:tblHeader/>
        </w:trPr>
        <w:tc>
          <w:tcPr>
            <w:tcW w:w="362" w:type="pct"/>
            <w:vMerge/>
            <w:vAlign w:val="center"/>
          </w:tcPr>
          <w:p w14:paraId="44CAE415" w14:textId="77777777" w:rsidR="00467E51" w:rsidRDefault="00467E51" w:rsidP="003E6052">
            <w:pPr>
              <w:tabs>
                <w:tab w:val="left" w:pos="0"/>
                <w:tab w:val="left" w:pos="132"/>
              </w:tabs>
              <w:rPr>
                <w:b/>
                <w:color w:val="0D0D0D" w:themeColor="text1" w:themeTint="F2"/>
                <w:sz w:val="18"/>
                <w:szCs w:val="18"/>
                <w:lang w:val="en-IE"/>
              </w:rPr>
            </w:pPr>
          </w:p>
        </w:tc>
        <w:tc>
          <w:tcPr>
            <w:tcW w:w="725" w:type="pct"/>
            <w:vMerge/>
            <w:vAlign w:val="center"/>
          </w:tcPr>
          <w:p w14:paraId="369CDDF5" w14:textId="77777777" w:rsidR="00467E51" w:rsidRPr="00A95E8F" w:rsidRDefault="00467E51" w:rsidP="003E6052">
            <w:pPr>
              <w:autoSpaceDE w:val="0"/>
              <w:autoSpaceDN w:val="0"/>
              <w:adjustRightInd w:val="0"/>
              <w:rPr>
                <w:color w:val="FF0000"/>
                <w:sz w:val="18"/>
                <w:szCs w:val="18"/>
                <w:lang w:val="en-IE"/>
              </w:rPr>
            </w:pPr>
          </w:p>
        </w:tc>
        <w:tc>
          <w:tcPr>
            <w:tcW w:w="1351" w:type="pct"/>
            <w:shd w:val="clear" w:color="auto" w:fill="FFFFFF" w:themeFill="background1"/>
            <w:vAlign w:val="center"/>
          </w:tcPr>
          <w:p w14:paraId="3AFBE229" w14:textId="4D486E92" w:rsidR="00467E51" w:rsidRPr="00E25DDE" w:rsidRDefault="00467E51" w:rsidP="003E6052">
            <w:pPr>
              <w:rPr>
                <w:color w:val="000000" w:themeColor="text1"/>
                <w:sz w:val="18"/>
                <w:szCs w:val="18"/>
              </w:rPr>
            </w:pPr>
            <w:r w:rsidRPr="00E25DDE">
              <w:rPr>
                <w:color w:val="000000" w:themeColor="text1"/>
                <w:sz w:val="18"/>
                <w:szCs w:val="18"/>
              </w:rPr>
              <w:t>Number of software prepared for integrating dispatch information and communication with hospital emergency departments</w:t>
            </w:r>
          </w:p>
        </w:tc>
        <w:tc>
          <w:tcPr>
            <w:tcW w:w="540" w:type="pct"/>
            <w:shd w:val="clear" w:color="auto" w:fill="FFFFFF" w:themeFill="background1"/>
            <w:vAlign w:val="center"/>
          </w:tcPr>
          <w:p w14:paraId="6C2016C8" w14:textId="6B8D82D8" w:rsidR="00467E51" w:rsidRPr="00E25DDE" w:rsidRDefault="00467E51" w:rsidP="003E6052">
            <w:pPr>
              <w:rPr>
                <w:color w:val="000000" w:themeColor="text1"/>
                <w:sz w:val="18"/>
                <w:szCs w:val="18"/>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2616F955" w14:textId="1C357811" w:rsidR="00467E51" w:rsidRPr="00E25DDE" w:rsidRDefault="00467E51" w:rsidP="003E6052">
            <w:pPr>
              <w:rPr>
                <w:color w:val="000000" w:themeColor="text1"/>
                <w:sz w:val="18"/>
                <w:szCs w:val="18"/>
              </w:rPr>
            </w:pPr>
            <w:r w:rsidRPr="00E25DDE">
              <w:rPr>
                <w:color w:val="000000" w:themeColor="text1"/>
                <w:sz w:val="18"/>
                <w:szCs w:val="18"/>
              </w:rPr>
              <w:t>1 (20</w:t>
            </w:r>
            <w:r w:rsidR="00E124AA">
              <w:rPr>
                <w:color w:val="000000" w:themeColor="text1"/>
                <w:sz w:val="18"/>
                <w:szCs w:val="18"/>
              </w:rPr>
              <w:t>28</w:t>
            </w:r>
            <w:r w:rsidRPr="00E25DDE">
              <w:rPr>
                <w:color w:val="000000" w:themeColor="text1"/>
                <w:sz w:val="18"/>
                <w:szCs w:val="18"/>
              </w:rPr>
              <w:t>)</w:t>
            </w:r>
          </w:p>
        </w:tc>
        <w:tc>
          <w:tcPr>
            <w:tcW w:w="510" w:type="pct"/>
            <w:shd w:val="clear" w:color="auto" w:fill="FFFFFF" w:themeFill="background1"/>
            <w:vAlign w:val="center"/>
          </w:tcPr>
          <w:p w14:paraId="5A680353" w14:textId="4A4BE178" w:rsidR="00467E51" w:rsidRPr="00E25DDE" w:rsidRDefault="00E124AA" w:rsidP="003E6052">
            <w:pPr>
              <w:rPr>
                <w:color w:val="000000" w:themeColor="text1"/>
                <w:sz w:val="18"/>
                <w:szCs w:val="18"/>
              </w:rPr>
            </w:pPr>
            <w:r w:rsidRPr="00E25DDE">
              <w:rPr>
                <w:color w:val="000000" w:themeColor="text1"/>
                <w:sz w:val="18"/>
                <w:szCs w:val="18"/>
              </w:rPr>
              <w:t>MoH</w:t>
            </w:r>
            <w:r>
              <w:rPr>
                <w:color w:val="000000" w:themeColor="text1"/>
                <w:sz w:val="18"/>
                <w:szCs w:val="18"/>
                <w:lang w:val="hr-HR"/>
              </w:rPr>
              <w:t xml:space="preserve"> Provisional/Final Acceptance</w:t>
            </w:r>
          </w:p>
        </w:tc>
        <w:tc>
          <w:tcPr>
            <w:tcW w:w="927" w:type="pct"/>
            <w:vMerge/>
            <w:vAlign w:val="center"/>
          </w:tcPr>
          <w:p w14:paraId="63547200" w14:textId="77777777" w:rsidR="00467E51" w:rsidRPr="00E01934" w:rsidRDefault="00467E51" w:rsidP="003E6052">
            <w:pPr>
              <w:autoSpaceDE w:val="0"/>
              <w:autoSpaceDN w:val="0"/>
              <w:adjustRightInd w:val="0"/>
              <w:rPr>
                <w:color w:val="0D0D0D" w:themeColor="text1" w:themeTint="F2"/>
                <w:sz w:val="18"/>
                <w:szCs w:val="18"/>
                <w:highlight w:val="yellow"/>
                <w:lang w:val="en-IE"/>
              </w:rPr>
            </w:pPr>
          </w:p>
        </w:tc>
      </w:tr>
      <w:tr w:rsidR="00467E51" w:rsidRPr="001D7106" w14:paraId="25181D53" w14:textId="77777777" w:rsidTr="247BFA05">
        <w:trPr>
          <w:trHeight w:val="418"/>
          <w:tblHeader/>
        </w:trPr>
        <w:tc>
          <w:tcPr>
            <w:tcW w:w="362" w:type="pct"/>
            <w:vMerge/>
            <w:vAlign w:val="center"/>
          </w:tcPr>
          <w:p w14:paraId="1BC6CF90" w14:textId="77777777" w:rsidR="00467E51" w:rsidRDefault="00467E51" w:rsidP="003E6052">
            <w:pPr>
              <w:tabs>
                <w:tab w:val="left" w:pos="0"/>
                <w:tab w:val="left" w:pos="132"/>
              </w:tabs>
              <w:rPr>
                <w:b/>
                <w:color w:val="0D0D0D" w:themeColor="text1" w:themeTint="F2"/>
                <w:sz w:val="18"/>
                <w:szCs w:val="18"/>
                <w:lang w:val="en-IE"/>
              </w:rPr>
            </w:pPr>
          </w:p>
        </w:tc>
        <w:tc>
          <w:tcPr>
            <w:tcW w:w="725" w:type="pct"/>
            <w:vMerge/>
            <w:vAlign w:val="center"/>
          </w:tcPr>
          <w:p w14:paraId="35157698" w14:textId="77777777" w:rsidR="00467E51" w:rsidRPr="00A95E8F" w:rsidRDefault="00467E51" w:rsidP="003E6052">
            <w:pPr>
              <w:autoSpaceDE w:val="0"/>
              <w:autoSpaceDN w:val="0"/>
              <w:adjustRightInd w:val="0"/>
              <w:rPr>
                <w:color w:val="FF0000"/>
                <w:sz w:val="18"/>
                <w:szCs w:val="18"/>
                <w:lang w:val="en-IE"/>
              </w:rPr>
            </w:pPr>
          </w:p>
        </w:tc>
        <w:tc>
          <w:tcPr>
            <w:tcW w:w="1351" w:type="pct"/>
            <w:shd w:val="clear" w:color="auto" w:fill="FFFFFF" w:themeFill="background1"/>
            <w:vAlign w:val="center"/>
          </w:tcPr>
          <w:p w14:paraId="1373704D" w14:textId="7D533F41" w:rsidR="00467E51" w:rsidRPr="00E25DDE" w:rsidRDefault="00467E51" w:rsidP="003E6052">
            <w:pPr>
              <w:rPr>
                <w:color w:val="000000" w:themeColor="text1"/>
                <w:sz w:val="18"/>
                <w:szCs w:val="18"/>
              </w:rPr>
            </w:pPr>
            <w:r w:rsidRPr="00E25DDE">
              <w:rPr>
                <w:color w:val="000000" w:themeColor="text1"/>
                <w:sz w:val="18"/>
                <w:szCs w:val="18"/>
              </w:rPr>
              <w:t>Number of software prepared for management and monitoring of vehicles for EMS</w:t>
            </w:r>
          </w:p>
        </w:tc>
        <w:tc>
          <w:tcPr>
            <w:tcW w:w="540" w:type="pct"/>
            <w:shd w:val="clear" w:color="auto" w:fill="FFFFFF" w:themeFill="background1"/>
            <w:vAlign w:val="center"/>
          </w:tcPr>
          <w:p w14:paraId="4EA7ED99" w14:textId="5C158266" w:rsidR="00467E51" w:rsidRPr="00E25DDE" w:rsidRDefault="00467E51" w:rsidP="003E6052">
            <w:pPr>
              <w:rPr>
                <w:color w:val="000000" w:themeColor="text1"/>
                <w:sz w:val="18"/>
                <w:szCs w:val="18"/>
              </w:rPr>
            </w:pPr>
            <w:r w:rsidRPr="00E25DDE">
              <w:rPr>
                <w:color w:val="000000" w:themeColor="text1"/>
                <w:sz w:val="18"/>
                <w:szCs w:val="18"/>
              </w:rPr>
              <w:t>0 (202</w:t>
            </w:r>
            <w:r w:rsidR="009A51FB">
              <w:rPr>
                <w:color w:val="000000" w:themeColor="text1"/>
                <w:sz w:val="18"/>
                <w:szCs w:val="18"/>
              </w:rPr>
              <w:t>3</w:t>
            </w:r>
            <w:r w:rsidRPr="00E25DDE">
              <w:rPr>
                <w:color w:val="000000" w:themeColor="text1"/>
                <w:sz w:val="18"/>
                <w:szCs w:val="18"/>
              </w:rPr>
              <w:t>)</w:t>
            </w:r>
          </w:p>
        </w:tc>
        <w:tc>
          <w:tcPr>
            <w:tcW w:w="585" w:type="pct"/>
            <w:shd w:val="clear" w:color="auto" w:fill="FFFFFF" w:themeFill="background1"/>
            <w:vAlign w:val="center"/>
          </w:tcPr>
          <w:p w14:paraId="1B52E631" w14:textId="4CD4F46C" w:rsidR="00467E51" w:rsidRPr="00E25DDE" w:rsidRDefault="00467E51" w:rsidP="003E6052">
            <w:pPr>
              <w:rPr>
                <w:color w:val="000000" w:themeColor="text1"/>
                <w:sz w:val="18"/>
                <w:szCs w:val="18"/>
              </w:rPr>
            </w:pPr>
            <w:r w:rsidRPr="00E25DDE">
              <w:rPr>
                <w:color w:val="000000" w:themeColor="text1"/>
                <w:sz w:val="18"/>
                <w:szCs w:val="18"/>
              </w:rPr>
              <w:t>1 (20</w:t>
            </w:r>
            <w:r w:rsidR="00E124AA">
              <w:rPr>
                <w:color w:val="000000" w:themeColor="text1"/>
                <w:sz w:val="18"/>
                <w:szCs w:val="18"/>
                <w:lang w:val="hr-HR"/>
              </w:rPr>
              <w:t>28</w:t>
            </w:r>
            <w:r w:rsidRPr="00E25DDE">
              <w:rPr>
                <w:color w:val="000000" w:themeColor="text1"/>
                <w:sz w:val="18"/>
                <w:szCs w:val="18"/>
              </w:rPr>
              <w:t>)</w:t>
            </w:r>
          </w:p>
        </w:tc>
        <w:tc>
          <w:tcPr>
            <w:tcW w:w="510" w:type="pct"/>
            <w:shd w:val="clear" w:color="auto" w:fill="FFFFFF" w:themeFill="background1"/>
            <w:vAlign w:val="center"/>
          </w:tcPr>
          <w:p w14:paraId="5655B6F2" w14:textId="3C1F8B40" w:rsidR="00467E51" w:rsidRPr="00B6363B" w:rsidRDefault="00467E51" w:rsidP="003E6052">
            <w:pPr>
              <w:rPr>
                <w:color w:val="000000" w:themeColor="text1"/>
                <w:sz w:val="18"/>
                <w:szCs w:val="18"/>
                <w:lang w:val="hr-HR"/>
              </w:rPr>
            </w:pPr>
            <w:r w:rsidRPr="00E25DDE">
              <w:rPr>
                <w:color w:val="000000" w:themeColor="text1"/>
                <w:sz w:val="18"/>
                <w:szCs w:val="18"/>
              </w:rPr>
              <w:t>MoH</w:t>
            </w:r>
            <w:r w:rsidR="00E124AA">
              <w:rPr>
                <w:color w:val="000000" w:themeColor="text1"/>
                <w:sz w:val="18"/>
                <w:szCs w:val="18"/>
                <w:lang w:val="hr-HR"/>
              </w:rPr>
              <w:t xml:space="preserve"> Provisional/Final Acceptance</w:t>
            </w:r>
          </w:p>
        </w:tc>
        <w:tc>
          <w:tcPr>
            <w:tcW w:w="927" w:type="pct"/>
            <w:vMerge/>
            <w:vAlign w:val="center"/>
          </w:tcPr>
          <w:p w14:paraId="31585741" w14:textId="77777777" w:rsidR="00467E51" w:rsidRPr="00E01934" w:rsidRDefault="00467E51" w:rsidP="003E6052">
            <w:pPr>
              <w:autoSpaceDE w:val="0"/>
              <w:autoSpaceDN w:val="0"/>
              <w:adjustRightInd w:val="0"/>
              <w:rPr>
                <w:color w:val="0D0D0D" w:themeColor="text1" w:themeTint="F2"/>
                <w:sz w:val="18"/>
                <w:szCs w:val="18"/>
                <w:highlight w:val="yellow"/>
                <w:lang w:val="en-IE"/>
              </w:rPr>
            </w:pPr>
          </w:p>
        </w:tc>
      </w:tr>
    </w:tbl>
    <w:p w14:paraId="287A0B2B" w14:textId="095B9F7D" w:rsidR="00D370B8" w:rsidRPr="00F409CB" w:rsidRDefault="00D370B8" w:rsidP="00F409CB">
      <w:pPr>
        <w:rPr>
          <w:lang w:val="en-IE"/>
        </w:rPr>
        <w:sectPr w:rsidR="00D370B8" w:rsidRPr="00F409CB" w:rsidSect="009D4EF1">
          <w:pgSz w:w="16838" w:h="11906" w:orient="landscape"/>
          <w:pgMar w:top="720" w:right="993" w:bottom="720" w:left="426" w:header="510" w:footer="483" w:gutter="0"/>
          <w:cols w:space="708"/>
          <w:docGrid w:linePitch="360"/>
        </w:sectPr>
      </w:pPr>
    </w:p>
    <w:p w14:paraId="6BBE1648" w14:textId="77777777" w:rsidR="008E6AFF" w:rsidRPr="009B333B" w:rsidRDefault="008E6AFF" w:rsidP="007C0CF8">
      <w:pPr>
        <w:pStyle w:val="Heading1"/>
        <w:ind w:left="567"/>
      </w:pPr>
      <w:bookmarkStart w:id="201" w:name="_Toc47101964"/>
      <w:bookmarkStart w:id="202" w:name="_Toc51270459"/>
      <w:bookmarkStart w:id="203" w:name="_Toc59031675"/>
      <w:bookmarkStart w:id="204" w:name="_Toc73090757"/>
      <w:bookmarkStart w:id="205" w:name="_Ref58337274"/>
      <w:bookmarkStart w:id="206" w:name="_Toc47101982"/>
      <w:bookmarkStart w:id="207" w:name="_Toc51270477"/>
      <w:bookmarkStart w:id="208" w:name="_Ref58359378"/>
      <w:bookmarkEnd w:id="183"/>
      <w:bookmarkEnd w:id="184"/>
      <w:bookmarkEnd w:id="185"/>
      <w:bookmarkEnd w:id="186"/>
      <w:bookmarkEnd w:id="187"/>
      <w:bookmarkEnd w:id="188"/>
      <w:bookmarkEnd w:id="189"/>
      <w:bookmarkEnd w:id="190"/>
      <w:r w:rsidRPr="009B333B">
        <w:lastRenderedPageBreak/>
        <w:t xml:space="preserve">IMPLEMENTATION </w:t>
      </w:r>
      <w:bookmarkEnd w:id="201"/>
      <w:bookmarkEnd w:id="202"/>
      <w:r w:rsidRPr="009B333B">
        <w:t>ARRANGEMENTS</w:t>
      </w:r>
      <w:bookmarkEnd w:id="203"/>
      <w:bookmarkEnd w:id="204"/>
      <w:r w:rsidR="00635A0A">
        <w:rPr>
          <w:rStyle w:val="FootnoteReference"/>
          <w:lang w:val="en-IE"/>
        </w:rPr>
        <w:footnoteReference w:id="32"/>
      </w:r>
      <w:r w:rsidRPr="009B333B">
        <w:t xml:space="preserve"> </w:t>
      </w:r>
      <w:bookmarkStart w:id="209" w:name="_Toc59023374"/>
      <w:bookmarkStart w:id="210" w:name="_Toc59029543"/>
      <w:bookmarkStart w:id="211" w:name="_Toc59030359"/>
      <w:bookmarkStart w:id="212" w:name="_Toc59031676"/>
      <w:bookmarkStart w:id="213" w:name="_Toc62247175"/>
      <w:bookmarkStart w:id="214" w:name="_Toc62247232"/>
      <w:bookmarkStart w:id="215" w:name="_Toc62459274"/>
      <w:bookmarkStart w:id="216" w:name="_Toc62476938"/>
      <w:bookmarkStart w:id="217" w:name="_Toc63235846"/>
      <w:bookmarkStart w:id="218" w:name="_Toc63248952"/>
      <w:bookmarkStart w:id="219" w:name="_Toc63263281"/>
      <w:bookmarkStart w:id="220" w:name="_Toc64043058"/>
      <w:bookmarkStart w:id="221" w:name="_Toc65663771"/>
      <w:bookmarkStart w:id="222" w:name="_Toc65665587"/>
      <w:bookmarkStart w:id="223" w:name="_Toc65665949"/>
      <w:bookmarkStart w:id="224" w:name="_Toc65666126"/>
      <w:bookmarkStart w:id="225" w:name="_Toc65671203"/>
      <w:bookmarkStart w:id="226" w:name="_Toc65671262"/>
      <w:bookmarkStart w:id="227" w:name="_Toc65671919"/>
      <w:bookmarkStart w:id="228" w:name="_Toc65674775"/>
      <w:bookmarkStart w:id="229" w:name="_Toc65676425"/>
      <w:bookmarkStart w:id="230" w:name="_Toc65688262"/>
      <w:bookmarkStart w:id="231" w:name="_Toc66465152"/>
      <w:bookmarkStart w:id="232" w:name="_Toc66465605"/>
      <w:bookmarkStart w:id="233" w:name="_Toc66465664"/>
      <w:bookmarkStart w:id="234" w:name="_Toc66696390"/>
      <w:bookmarkStart w:id="235" w:name="_Toc67665938"/>
      <w:bookmarkStart w:id="236" w:name="_Toc69384766"/>
      <w:bookmarkStart w:id="237" w:name="_Toc69384897"/>
      <w:bookmarkStart w:id="238" w:name="_Toc69385025"/>
      <w:bookmarkStart w:id="239" w:name="_Toc69385153"/>
      <w:bookmarkStart w:id="240" w:name="_Toc69460902"/>
      <w:bookmarkStart w:id="241" w:name="_Toc69461029"/>
      <w:bookmarkStart w:id="242" w:name="_Toc69469921"/>
      <w:bookmarkStart w:id="243" w:name="_Toc69485784"/>
      <w:bookmarkStart w:id="244" w:name="_Toc69487659"/>
      <w:bookmarkStart w:id="245" w:name="_Toc72142249"/>
      <w:bookmarkStart w:id="246" w:name="_Toc72142335"/>
      <w:bookmarkStart w:id="247" w:name="_Toc73090675"/>
      <w:bookmarkStart w:id="248" w:name="_Toc73090758"/>
      <w:bookmarkStart w:id="249" w:name="_Toc47101965"/>
      <w:bookmarkStart w:id="250" w:name="_Toc51270460"/>
      <w:bookmarkStart w:id="251" w:name="_Ref58359167"/>
      <w:bookmarkEnd w:id="20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669B506" w14:textId="77777777" w:rsidR="008E6AFF" w:rsidRPr="003C0CD7" w:rsidRDefault="008E6AFF" w:rsidP="003C0CD7">
      <w:pPr>
        <w:pStyle w:val="Heading1"/>
        <w:numPr>
          <w:ilvl w:val="1"/>
          <w:numId w:val="1"/>
        </w:numPr>
        <w:rPr>
          <w:lang w:val="en-IE"/>
        </w:rPr>
      </w:pPr>
      <w:bookmarkStart w:id="252" w:name="_Toc59031677"/>
      <w:bookmarkStart w:id="253" w:name="_Ref65665776"/>
      <w:bookmarkStart w:id="254" w:name="_Toc73090759"/>
      <w:r w:rsidRPr="003C0CD7">
        <w:rPr>
          <w:lang w:val="en-IE"/>
        </w:rPr>
        <w:t>Financing Agreement</w:t>
      </w:r>
      <w:bookmarkEnd w:id="249"/>
      <w:bookmarkEnd w:id="250"/>
      <w:bookmarkEnd w:id="251"/>
      <w:bookmarkEnd w:id="252"/>
      <w:bookmarkEnd w:id="253"/>
      <w:bookmarkEnd w:id="254"/>
    </w:p>
    <w:p w14:paraId="7230EA11" w14:textId="5DFC5505" w:rsidR="004A3EFD" w:rsidRPr="003C0CD7" w:rsidRDefault="004A3EFD" w:rsidP="00B6363B">
      <w:pPr>
        <w:ind w:left="142"/>
        <w:jc w:val="both"/>
        <w:rPr>
          <w:lang w:val="en-IE"/>
        </w:rPr>
      </w:pPr>
      <w:bookmarkStart w:id="255" w:name="_Toc47101966"/>
      <w:bookmarkStart w:id="256" w:name="_Toc51270461"/>
      <w:bookmarkStart w:id="257" w:name="_Toc59031678"/>
      <w:r w:rsidRPr="003C0CD7">
        <w:rPr>
          <w:lang w:val="en-IE"/>
        </w:rPr>
        <w:t xml:space="preserve">In order to implement this </w:t>
      </w:r>
      <w:r w:rsidR="00927C93">
        <w:rPr>
          <w:lang w:val="en-IE"/>
        </w:rPr>
        <w:t>A</w:t>
      </w:r>
      <w:r w:rsidRPr="003C0CD7">
        <w:rPr>
          <w:lang w:val="en-IE"/>
        </w:rPr>
        <w:t xml:space="preserve">ction, it is envisaged to conclude a financing agreement with </w:t>
      </w:r>
      <w:r w:rsidR="00B6363B">
        <w:rPr>
          <w:lang w:val="en-IE"/>
        </w:rPr>
        <w:t xml:space="preserve">the Republic of </w:t>
      </w:r>
      <w:r w:rsidR="00927C93">
        <w:rPr>
          <w:lang w:val="en-IE"/>
        </w:rPr>
        <w:t>North Macedonia.</w:t>
      </w:r>
    </w:p>
    <w:p w14:paraId="16A5142A" w14:textId="28DD878F" w:rsidR="008E6AFF" w:rsidRPr="003C0CD7" w:rsidRDefault="008E6AFF" w:rsidP="003C0CD7">
      <w:pPr>
        <w:pStyle w:val="Heading1"/>
        <w:numPr>
          <w:ilvl w:val="1"/>
          <w:numId w:val="1"/>
        </w:numPr>
        <w:rPr>
          <w:color w:val="auto"/>
          <w:lang w:val="en-IE"/>
        </w:rPr>
      </w:pPr>
      <w:bookmarkStart w:id="258"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55"/>
      <w:bookmarkEnd w:id="256"/>
      <w:bookmarkEnd w:id="257"/>
      <w:bookmarkEnd w:id="258"/>
      <w:r w:rsidRPr="003C0CD7">
        <w:rPr>
          <w:color w:val="auto"/>
          <w:lang w:val="en-IE"/>
        </w:rPr>
        <w:t xml:space="preserve"> </w:t>
      </w:r>
    </w:p>
    <w:p w14:paraId="4F73F51A" w14:textId="36CEEE67" w:rsidR="00A32BB1" w:rsidRDefault="00A32BB1" w:rsidP="00B6363B">
      <w:pPr>
        <w:spacing w:before="120"/>
        <w:ind w:left="142"/>
        <w:jc w:val="both"/>
        <w:rPr>
          <w:lang w:val="en-IE"/>
        </w:rPr>
      </w:pPr>
      <w:bookmarkStart w:id="259" w:name="_Toc47101967"/>
      <w:bookmarkStart w:id="260" w:name="_Toc51270462"/>
      <w:bookmarkStart w:id="261" w:name="_Ref58357974"/>
      <w:bookmarkStart w:id="262" w:name="_Ref58360386"/>
      <w:bookmarkStart w:id="263" w:name="_Ref58360539"/>
      <w:bookmarkStart w:id="264" w:name="_Ref58440441"/>
      <w:bookmarkStart w:id="265" w:name="_Ref58878099"/>
      <w:bookmarkStart w:id="266" w:name="_Ref58878176"/>
      <w:bookmarkStart w:id="267" w:name="_Ref58878177"/>
      <w:bookmarkStart w:id="268" w:name="_Ref58878225"/>
      <w:bookmarkStart w:id="269" w:name="_Toc59031679"/>
      <w:r w:rsidRPr="003C0CD7">
        <w:rPr>
          <w:lang w:val="en-IE"/>
        </w:rPr>
        <w:t xml:space="preserve">The indicative operational implementation period of this </w:t>
      </w:r>
      <w:r w:rsidR="00927C93">
        <w:rPr>
          <w:lang w:val="en-IE"/>
        </w:rPr>
        <w:t>A</w:t>
      </w:r>
      <w:r w:rsidRPr="003C0CD7">
        <w:rPr>
          <w:lang w:val="en-IE"/>
        </w:rPr>
        <w:t xml:space="preserve">ction, during which the activities described in section </w:t>
      </w:r>
      <w:r w:rsidR="00C242E3">
        <w:rPr>
          <w:lang w:val="en-IE"/>
        </w:rPr>
        <w:t>3</w:t>
      </w:r>
      <w:r w:rsidRPr="003C0CD7">
        <w:rPr>
          <w:lang w:val="en-IE"/>
        </w:rPr>
        <w:t xml:space="preserve"> will be carried out and the corresponding contracts and agreements implemented, is </w:t>
      </w:r>
      <w:r w:rsidR="00927C93">
        <w:rPr>
          <w:lang w:val="en-IE"/>
        </w:rPr>
        <w:t xml:space="preserve">72 </w:t>
      </w:r>
      <w:r w:rsidRPr="003C0CD7">
        <w:rPr>
          <w:lang w:val="en-IE"/>
        </w:rPr>
        <w:t xml:space="preserve">months from the date of </w:t>
      </w:r>
      <w:r w:rsidR="00646C98" w:rsidRPr="008E2B16">
        <w:rPr>
          <w:lang w:val="en-IE"/>
        </w:rPr>
        <w:t>conclusion</w:t>
      </w:r>
      <w:r w:rsidRPr="008E2B16">
        <w:rPr>
          <w:lang w:val="en-IE"/>
        </w:rPr>
        <w:t xml:space="preserve"> of the financing agreement</w:t>
      </w:r>
      <w:r w:rsidR="008E2B16" w:rsidRPr="008E2B16">
        <w:rPr>
          <w:lang w:val="en-IE"/>
        </w:rPr>
        <w:t>.</w:t>
      </w:r>
      <w:r w:rsidRPr="003C0CD7">
        <w:rPr>
          <w:lang w:val="en-IE"/>
        </w:rPr>
        <w:t xml:space="preserve"> </w:t>
      </w:r>
    </w:p>
    <w:p w14:paraId="2E8ED09F" w14:textId="77777777" w:rsidR="00A32BB1" w:rsidRPr="003C0CD7" w:rsidRDefault="00A32BB1" w:rsidP="00B6363B">
      <w:pPr>
        <w:spacing w:before="120"/>
        <w:ind w:left="142"/>
        <w:jc w:val="both"/>
        <w:rPr>
          <w:lang w:val="en-IE"/>
        </w:rPr>
      </w:pPr>
      <w:r w:rsidRPr="003C0CD7">
        <w:rPr>
          <w:lang w:val="en-IE"/>
        </w:rPr>
        <w:t>Extensions of the implementation period may be agreed by the Commission’s responsible authorising officer by amending this Financing Decision and the relevant contracts and agreements.</w:t>
      </w:r>
    </w:p>
    <w:p w14:paraId="2D812006" w14:textId="47DF4653" w:rsidR="008E6AFF" w:rsidRPr="003C0CD7" w:rsidRDefault="00240ECF" w:rsidP="003C0CD7">
      <w:pPr>
        <w:pStyle w:val="Heading1"/>
        <w:numPr>
          <w:ilvl w:val="1"/>
          <w:numId w:val="1"/>
        </w:numPr>
        <w:rPr>
          <w:lang w:val="en-IE"/>
        </w:rPr>
      </w:pPr>
      <w:bookmarkStart w:id="270" w:name="_Toc73090765"/>
      <w:bookmarkEnd w:id="259"/>
      <w:bookmarkEnd w:id="260"/>
      <w:bookmarkEnd w:id="261"/>
      <w:bookmarkEnd w:id="262"/>
      <w:bookmarkEnd w:id="263"/>
      <w:bookmarkEnd w:id="264"/>
      <w:bookmarkEnd w:id="265"/>
      <w:bookmarkEnd w:id="266"/>
      <w:bookmarkEnd w:id="267"/>
      <w:bookmarkEnd w:id="268"/>
      <w:bookmarkEnd w:id="269"/>
      <w:r>
        <w:rPr>
          <w:lang w:val="en-IE"/>
        </w:rPr>
        <w:t>Implementation Modalities</w:t>
      </w:r>
      <w:r w:rsidR="008E6AFF" w:rsidRPr="003C0CD7">
        <w:rPr>
          <w:lang w:val="en-IE"/>
        </w:rPr>
        <w:t xml:space="preserve"> </w:t>
      </w:r>
      <w:bookmarkEnd w:id="270"/>
    </w:p>
    <w:p w14:paraId="28174481" w14:textId="77777777" w:rsidR="00A32BB1" w:rsidRDefault="00A32BB1" w:rsidP="00B6363B">
      <w:pPr>
        <w:spacing w:before="120" w:after="120"/>
        <w:ind w:left="142"/>
        <w:jc w:val="both"/>
        <w:rPr>
          <w:lang w:val="en-IE"/>
        </w:rPr>
      </w:pPr>
      <w:r w:rsidRPr="003C0CD7">
        <w:rPr>
          <w:lang w:val="en-IE"/>
        </w:rPr>
        <w:t>The Commission will ensure that the EU appropriate rules and procedures for providing financing to third parties are respected, including review procedures, where appropriate, and compliance of the action with EU restrictive measures</w:t>
      </w:r>
      <w:r w:rsidRPr="003C0CD7">
        <w:rPr>
          <w:vertAlign w:val="superscript"/>
          <w:lang w:val="en-IE"/>
        </w:rPr>
        <w:footnoteReference w:id="33"/>
      </w:r>
      <w:r w:rsidRPr="003C0CD7">
        <w:rPr>
          <w:lang w:val="en-IE"/>
        </w:rPr>
        <w:t>.</w:t>
      </w:r>
    </w:p>
    <w:p w14:paraId="587C4700" w14:textId="77777777" w:rsidR="008E6AFF" w:rsidRPr="003C0CD7" w:rsidRDefault="008E6AFF" w:rsidP="007C0CF8">
      <w:pPr>
        <w:pStyle w:val="Heading1"/>
        <w:numPr>
          <w:ilvl w:val="2"/>
          <w:numId w:val="1"/>
        </w:numPr>
        <w:spacing w:before="120" w:after="120"/>
        <w:ind w:left="1225" w:hanging="505"/>
        <w:rPr>
          <w:lang w:val="en-IE"/>
        </w:rPr>
      </w:pPr>
      <w:bookmarkStart w:id="271" w:name="_Toc47101974"/>
      <w:bookmarkStart w:id="272" w:name="_Toc51270469"/>
      <w:bookmarkStart w:id="273" w:name="_Ref58360241"/>
      <w:bookmarkStart w:id="274" w:name="_Ref58360566"/>
      <w:bookmarkStart w:id="275" w:name="_Ref58360631"/>
      <w:bookmarkStart w:id="276" w:name="_Ref58360683"/>
      <w:bookmarkStart w:id="277" w:name="_Ref58678977"/>
      <w:bookmarkStart w:id="278" w:name="_Toc59031686"/>
      <w:bookmarkStart w:id="279" w:name="_Toc73090768"/>
      <w:r w:rsidRPr="003C0CD7">
        <w:rPr>
          <w:lang w:val="en-IE"/>
        </w:rPr>
        <w:t>Direct Management (Procurement)</w:t>
      </w:r>
      <w:bookmarkEnd w:id="271"/>
      <w:bookmarkEnd w:id="272"/>
      <w:bookmarkEnd w:id="273"/>
      <w:bookmarkEnd w:id="274"/>
      <w:bookmarkEnd w:id="275"/>
      <w:bookmarkEnd w:id="276"/>
      <w:bookmarkEnd w:id="277"/>
      <w:bookmarkEnd w:id="278"/>
      <w:bookmarkEnd w:id="279"/>
    </w:p>
    <w:p w14:paraId="070FA5A0" w14:textId="31384278" w:rsidR="00A338BF" w:rsidRDefault="00A338BF" w:rsidP="007C0CF8">
      <w:pPr>
        <w:pStyle w:val="Heading1"/>
        <w:numPr>
          <w:ilvl w:val="0"/>
          <w:numId w:val="0"/>
        </w:numPr>
        <w:ind w:left="142"/>
        <w:rPr>
          <w:b w:val="0"/>
          <w:bCs/>
          <w:color w:val="000000" w:themeColor="text1"/>
          <w:lang w:val="en-IE"/>
        </w:rPr>
      </w:pPr>
      <w:r w:rsidRPr="001003E6">
        <w:rPr>
          <w:rFonts w:cs="Calibri"/>
          <w:b w:val="0"/>
          <w:bCs/>
          <w:color w:val="000000" w:themeColor="text1"/>
          <w:lang w:val="en-IE"/>
        </w:rPr>
        <w:t xml:space="preserve">Procurement will be used to achieve </w:t>
      </w:r>
      <w:r w:rsidR="00F30C4B">
        <w:rPr>
          <w:rFonts w:cs="Calibri"/>
          <w:b w:val="0"/>
          <w:bCs/>
          <w:color w:val="000000" w:themeColor="text1"/>
          <w:lang w:val="en-IE"/>
        </w:rPr>
        <w:t xml:space="preserve">all </w:t>
      </w:r>
      <w:r w:rsidR="0063269D">
        <w:rPr>
          <w:rFonts w:cs="Calibri"/>
          <w:b w:val="0"/>
          <w:bCs/>
          <w:color w:val="000000" w:themeColor="text1"/>
          <w:lang w:val="en-IE"/>
        </w:rPr>
        <w:t xml:space="preserve">5 </w:t>
      </w:r>
      <w:r w:rsidR="00F30C4B">
        <w:rPr>
          <w:rFonts w:cs="Calibri"/>
          <w:b w:val="0"/>
          <w:bCs/>
          <w:color w:val="000000" w:themeColor="text1"/>
          <w:lang w:val="en-IE"/>
        </w:rPr>
        <w:t>outputs</w:t>
      </w:r>
      <w:r w:rsidR="00A221BB">
        <w:rPr>
          <w:rFonts w:cs="Calibri"/>
          <w:b w:val="0"/>
          <w:bCs/>
          <w:color w:val="000000" w:themeColor="text1"/>
          <w:lang w:val="en-IE"/>
        </w:rPr>
        <w:t xml:space="preserve"> of the Action</w:t>
      </w:r>
      <w:r w:rsidR="002B5389">
        <w:rPr>
          <w:b w:val="0"/>
          <w:bCs/>
          <w:color w:val="000000" w:themeColor="text1"/>
          <w:lang w:val="en-IE"/>
        </w:rPr>
        <w:t>.</w:t>
      </w:r>
    </w:p>
    <w:p w14:paraId="5EF47E52" w14:textId="019FCDD4" w:rsidR="00C30790" w:rsidRPr="00542F3B" w:rsidRDefault="00C30790" w:rsidP="00B6363B">
      <w:pPr>
        <w:pStyle w:val="Heading1"/>
        <w:numPr>
          <w:ilvl w:val="2"/>
          <w:numId w:val="1"/>
        </w:numPr>
        <w:rPr>
          <w:lang w:val="en-IE"/>
        </w:rPr>
      </w:pPr>
      <w:bookmarkStart w:id="280" w:name="_Toc73090773"/>
      <w:r w:rsidRPr="00542F3B">
        <w:rPr>
          <w:lang w:val="en-IE"/>
        </w:rPr>
        <w:t>Changes from indirect to direct management (and vice versa) mode due to exceptional circumstances</w:t>
      </w:r>
      <w:bookmarkEnd w:id="280"/>
    </w:p>
    <w:p w14:paraId="7DB4EDDD" w14:textId="68951543" w:rsidR="00B6363B" w:rsidRDefault="00542F3B" w:rsidP="00B6363B">
      <w:pPr>
        <w:pStyle w:val="Heading1"/>
        <w:numPr>
          <w:ilvl w:val="0"/>
          <w:numId w:val="0"/>
        </w:numPr>
        <w:spacing w:before="120" w:after="120"/>
        <w:ind w:left="142"/>
        <w:jc w:val="both"/>
        <w:rPr>
          <w:b w:val="0"/>
        </w:rPr>
      </w:pPr>
      <w:r w:rsidRPr="00B6363B">
        <w:rPr>
          <w:b w:val="0"/>
        </w:rPr>
        <w:t xml:space="preserve">Due to exceptional circumstances, in cases when the project could not be implemented due to failed and not successful tender procedures or other reasons, the </w:t>
      </w:r>
      <w:r w:rsidR="00B6363B" w:rsidRPr="00B6363B">
        <w:rPr>
          <w:b w:val="0"/>
          <w:lang w:val="hr-HR"/>
        </w:rPr>
        <w:t xml:space="preserve">Contracting Authority </w:t>
      </w:r>
      <w:r w:rsidRPr="00B6363B">
        <w:rPr>
          <w:b w:val="0"/>
        </w:rPr>
        <w:t xml:space="preserve">could decide, on </w:t>
      </w:r>
      <w:r w:rsidR="0063269D">
        <w:rPr>
          <w:b w:val="0"/>
          <w:lang w:val="hr-HR"/>
        </w:rPr>
        <w:t xml:space="preserve">a </w:t>
      </w:r>
      <w:r w:rsidRPr="00B6363B">
        <w:rPr>
          <w:b w:val="0"/>
        </w:rPr>
        <w:t>case by case and if it happens at least 6 month</w:t>
      </w:r>
      <w:r w:rsidR="0063269D">
        <w:rPr>
          <w:b w:val="0"/>
          <w:lang w:val="hr-HR"/>
        </w:rPr>
        <w:t>s</w:t>
      </w:r>
      <w:r w:rsidRPr="00B6363B">
        <w:rPr>
          <w:b w:val="0"/>
        </w:rPr>
        <w:t xml:space="preserve"> before the expiry of contracting deadlie, to propose amendments of the programme vis a vis the implementing mode.   </w:t>
      </w:r>
      <w:bookmarkStart w:id="281" w:name="_Toc47101979"/>
      <w:bookmarkStart w:id="282" w:name="_Toc51270474"/>
      <w:bookmarkStart w:id="283" w:name="_Ref58440353"/>
      <w:bookmarkStart w:id="284" w:name="_Toc73090774"/>
    </w:p>
    <w:p w14:paraId="4B43CBD8" w14:textId="68C11A70" w:rsidR="008E6AFF" w:rsidRPr="00B6363B" w:rsidRDefault="008E6AFF" w:rsidP="00B6363B">
      <w:pPr>
        <w:pStyle w:val="Heading1"/>
        <w:numPr>
          <w:ilvl w:val="1"/>
          <w:numId w:val="1"/>
        </w:numPr>
        <w:spacing w:before="120" w:after="120"/>
        <w:rPr>
          <w:bCs/>
          <w:lang w:val="en-IE"/>
        </w:rPr>
      </w:pPr>
      <w:r w:rsidRPr="00B6363B">
        <w:rPr>
          <w:bCs/>
          <w:lang w:val="en-IE"/>
        </w:rPr>
        <w:t>Scope of geographical eligibility for procurement and grants</w:t>
      </w:r>
      <w:bookmarkEnd w:id="281"/>
      <w:bookmarkEnd w:id="282"/>
      <w:bookmarkEnd w:id="283"/>
      <w:bookmarkEnd w:id="284"/>
    </w:p>
    <w:p w14:paraId="02EFF3A4" w14:textId="31D4C158" w:rsidR="00E360A2" w:rsidRPr="003C0CD7" w:rsidRDefault="00E360A2" w:rsidP="00B6363B">
      <w:pPr>
        <w:pStyle w:val="Text2"/>
        <w:ind w:left="142"/>
        <w:jc w:val="both"/>
        <w:rPr>
          <w:lang w:val="en-IE"/>
        </w:rPr>
      </w:pPr>
      <w:r w:rsidRPr="003C0CD7">
        <w:rPr>
          <w:lang w:val="en-IE"/>
        </w:rPr>
        <w:t xml:space="preserve">The geographical eligibility in terms of place of establishment for participating in procurement and grant award procedures and in terms of </w:t>
      </w:r>
      <w:r w:rsidR="00E16740">
        <w:rPr>
          <w:lang w:val="en-IE"/>
        </w:rPr>
        <w:t xml:space="preserve">the </w:t>
      </w:r>
      <w:r w:rsidRPr="003C0CD7">
        <w:rPr>
          <w:lang w:val="en-IE"/>
        </w:rPr>
        <w:t>origin of supplies purchased as established in the basic act and set out in the relevant contractual documents shall apply, subject to the following provisions.</w:t>
      </w:r>
    </w:p>
    <w:p w14:paraId="4A6289B5" w14:textId="77777777" w:rsidR="00622FAE" w:rsidRPr="003C0CD7" w:rsidRDefault="00622FAE" w:rsidP="00B6363B">
      <w:pPr>
        <w:pStyle w:val="Text2"/>
        <w:ind w:left="142"/>
        <w:jc w:val="both"/>
        <w:rPr>
          <w:szCs w:val="22"/>
          <w:lang w:val="en-IE"/>
        </w:rPr>
      </w:pPr>
      <w:r w:rsidRPr="003C0CD7">
        <w:rPr>
          <w:szCs w:val="22"/>
          <w:lang w:val="en-IE"/>
        </w:rPr>
        <w:t>The Commission’s authorising officer responsible may extend the geographical eligibility on the basis of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 Regulation).</w:t>
      </w:r>
    </w:p>
    <w:p w14:paraId="4AC73E69" w14:textId="77777777" w:rsidR="008E6AFF" w:rsidRPr="003C0CD7" w:rsidRDefault="008E6AFF" w:rsidP="003C0CD7">
      <w:pPr>
        <w:pStyle w:val="Heading1"/>
        <w:numPr>
          <w:ilvl w:val="1"/>
          <w:numId w:val="1"/>
        </w:numPr>
        <w:rPr>
          <w:lang w:val="en-IE"/>
        </w:rPr>
      </w:pPr>
      <w:bookmarkStart w:id="285" w:name="_Toc47101980"/>
      <w:bookmarkStart w:id="286" w:name="_Toc51270475"/>
      <w:bookmarkStart w:id="287" w:name="_Ref58357938"/>
      <w:bookmarkStart w:id="288" w:name="_Ref58358953"/>
      <w:bookmarkStart w:id="289" w:name="_Ref58359519"/>
      <w:bookmarkStart w:id="290" w:name="_Ref58360787"/>
      <w:bookmarkStart w:id="291" w:name="_Ref58360817"/>
      <w:bookmarkStart w:id="292" w:name="_Toc59031692"/>
      <w:bookmarkStart w:id="293" w:name="_Toc73090775"/>
      <w:r w:rsidRPr="003C0CD7">
        <w:rPr>
          <w:lang w:val="en-IE"/>
        </w:rPr>
        <w:t>Indicative Budget</w:t>
      </w:r>
      <w:bookmarkEnd w:id="285"/>
      <w:bookmarkEnd w:id="286"/>
      <w:bookmarkEnd w:id="287"/>
      <w:bookmarkEnd w:id="288"/>
      <w:bookmarkEnd w:id="289"/>
      <w:bookmarkEnd w:id="290"/>
      <w:bookmarkEnd w:id="291"/>
      <w:bookmarkEnd w:id="292"/>
      <w:bookmarkEnd w:id="293"/>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268"/>
        <w:gridCol w:w="2126"/>
      </w:tblGrid>
      <w:tr w:rsidR="00C25EBB" w:rsidRPr="008704EA" w14:paraId="0579AEF9" w14:textId="77777777" w:rsidTr="007C0CF8">
        <w:tc>
          <w:tcPr>
            <w:tcW w:w="5954" w:type="dxa"/>
            <w:shd w:val="clear" w:color="auto" w:fill="auto"/>
          </w:tcPr>
          <w:p w14:paraId="0015D57F" w14:textId="77777777" w:rsidR="00C25EBB" w:rsidRPr="003C0CD7" w:rsidRDefault="00C25EBB" w:rsidP="005364BC">
            <w:pPr>
              <w:pStyle w:val="Text2"/>
              <w:spacing w:before="60" w:after="60"/>
              <w:ind w:left="0"/>
              <w:jc w:val="center"/>
              <w:rPr>
                <w:b/>
                <w:bCs/>
                <w:lang w:val="en-IE"/>
              </w:rPr>
            </w:pPr>
            <w:r w:rsidRPr="003C0CD7">
              <w:rPr>
                <w:b/>
                <w:bCs/>
                <w:lang w:val="en-IE"/>
              </w:rPr>
              <w:t>Indicative Budget components</w:t>
            </w:r>
          </w:p>
        </w:tc>
        <w:tc>
          <w:tcPr>
            <w:tcW w:w="2268" w:type="dxa"/>
            <w:shd w:val="clear" w:color="auto" w:fill="auto"/>
          </w:tcPr>
          <w:p w14:paraId="60AC2620" w14:textId="77777777" w:rsidR="00C25EBB" w:rsidRPr="003C0CD7" w:rsidRDefault="00C25EBB" w:rsidP="005364BC">
            <w:pPr>
              <w:pStyle w:val="Text2"/>
              <w:spacing w:before="60" w:after="60"/>
              <w:ind w:left="0"/>
              <w:jc w:val="center"/>
              <w:rPr>
                <w:b/>
                <w:lang w:val="en-IE"/>
              </w:rPr>
            </w:pPr>
            <w:r w:rsidRPr="003C0CD7">
              <w:rPr>
                <w:b/>
                <w:lang w:val="en-IE"/>
              </w:rPr>
              <w:t>EU contribution</w:t>
            </w:r>
          </w:p>
          <w:p w14:paraId="473F9449" w14:textId="77777777" w:rsidR="00C25EBB" w:rsidRPr="003C0CD7" w:rsidRDefault="00C25EBB" w:rsidP="005364BC">
            <w:pPr>
              <w:pStyle w:val="Text2"/>
              <w:spacing w:before="60" w:after="60"/>
              <w:ind w:left="0"/>
              <w:jc w:val="center"/>
              <w:rPr>
                <w:b/>
                <w:lang w:val="en-IE"/>
              </w:rPr>
            </w:pPr>
            <w:r w:rsidRPr="003C0CD7">
              <w:rPr>
                <w:b/>
                <w:lang w:val="en-IE"/>
              </w:rPr>
              <w:t>(amount in EUR)</w:t>
            </w:r>
          </w:p>
          <w:p w14:paraId="546AD43E" w14:textId="2A63757C" w:rsidR="00C25EBB" w:rsidRPr="003C0CD7" w:rsidRDefault="00C25EBB" w:rsidP="00E25DDE">
            <w:pPr>
              <w:pStyle w:val="Text2"/>
              <w:spacing w:before="60" w:after="60"/>
              <w:ind w:left="0"/>
              <w:rPr>
                <w:b/>
                <w:lang w:val="en-IE"/>
              </w:rPr>
            </w:pPr>
            <w:r w:rsidRPr="003C0CD7">
              <w:rPr>
                <w:b/>
                <w:lang w:val="en-IE"/>
              </w:rPr>
              <w:lastRenderedPageBreak/>
              <w:t xml:space="preserve"> </w:t>
            </w:r>
          </w:p>
        </w:tc>
        <w:tc>
          <w:tcPr>
            <w:tcW w:w="2126" w:type="dxa"/>
          </w:tcPr>
          <w:p w14:paraId="1129A3B2" w14:textId="0639BF12" w:rsidR="00C25EBB" w:rsidRPr="00E25DDE" w:rsidRDefault="00C25EBB" w:rsidP="00E25DDE">
            <w:pPr>
              <w:pStyle w:val="Text2"/>
              <w:spacing w:before="60" w:after="60"/>
              <w:ind w:left="0"/>
              <w:jc w:val="center"/>
              <w:rPr>
                <w:b/>
                <w:bCs/>
                <w:lang w:val="en-IE"/>
              </w:rPr>
            </w:pPr>
            <w:r w:rsidRPr="003C0CD7">
              <w:rPr>
                <w:b/>
                <w:bCs/>
                <w:lang w:val="en-IE"/>
              </w:rPr>
              <w:lastRenderedPageBreak/>
              <w:t xml:space="preserve">Indicative third-party </w:t>
            </w:r>
            <w:r w:rsidRPr="003C0CD7">
              <w:rPr>
                <w:b/>
                <w:bCs/>
                <w:lang w:val="en-IE"/>
              </w:rPr>
              <w:lastRenderedPageBreak/>
              <w:t>contribution, in currency identified</w:t>
            </w:r>
          </w:p>
        </w:tc>
      </w:tr>
      <w:tr w:rsidR="00C25EBB" w:rsidRPr="008704EA" w14:paraId="66067CE7" w14:textId="77777777" w:rsidTr="007C0CF8">
        <w:tc>
          <w:tcPr>
            <w:tcW w:w="5954" w:type="dxa"/>
            <w:shd w:val="clear" w:color="auto" w:fill="auto"/>
          </w:tcPr>
          <w:p w14:paraId="076A6D96" w14:textId="55C86F2A" w:rsidR="00C25EBB" w:rsidRPr="003C0CD7" w:rsidRDefault="00BB4ECD" w:rsidP="00BB4ECD">
            <w:pPr>
              <w:pStyle w:val="Text2"/>
              <w:spacing w:before="60" w:after="60"/>
              <w:ind w:left="0"/>
              <w:rPr>
                <w:b/>
                <w:highlight w:val="lightGray"/>
                <w:lang w:val="en-IE"/>
              </w:rPr>
            </w:pPr>
            <w:r w:rsidRPr="00DE4BC6">
              <w:rPr>
                <w:b/>
                <w:lang w:val="en-IE"/>
              </w:rPr>
              <w:lastRenderedPageBreak/>
              <w:t xml:space="preserve">Methods of implementation </w:t>
            </w:r>
            <w:r w:rsidR="00C25EBB" w:rsidRPr="00DE4BC6">
              <w:rPr>
                <w:b/>
                <w:lang w:val="en-IE"/>
              </w:rPr>
              <w:t xml:space="preserve">– </w:t>
            </w:r>
            <w:r w:rsidR="00C25EBB" w:rsidRPr="00DE4BC6">
              <w:rPr>
                <w:lang w:val="en-IE"/>
              </w:rPr>
              <w:t>cf</w:t>
            </w:r>
            <w:r w:rsidR="006E658E" w:rsidRPr="00DE4BC6">
              <w:rPr>
                <w:lang w:val="en-IE"/>
              </w:rPr>
              <w:t>.</w:t>
            </w:r>
            <w:r w:rsidR="00C25EBB" w:rsidRPr="00DE4BC6">
              <w:rPr>
                <w:lang w:val="en-IE"/>
              </w:rPr>
              <w:t xml:space="preserve"> section 4.</w:t>
            </w:r>
            <w:r w:rsidR="00DE4BC6">
              <w:rPr>
                <w:lang w:val="en-IE"/>
              </w:rPr>
              <w:t>3</w:t>
            </w:r>
          </w:p>
        </w:tc>
        <w:tc>
          <w:tcPr>
            <w:tcW w:w="4394" w:type="dxa"/>
            <w:gridSpan w:val="2"/>
            <w:shd w:val="clear" w:color="auto" w:fill="auto"/>
          </w:tcPr>
          <w:p w14:paraId="18FABBE2" w14:textId="77777777" w:rsidR="00C25EBB" w:rsidRPr="003C0CD7" w:rsidRDefault="00C25EBB" w:rsidP="005A7732">
            <w:pPr>
              <w:pStyle w:val="Text2"/>
              <w:spacing w:before="60" w:after="60"/>
              <w:ind w:left="0"/>
              <w:jc w:val="center"/>
              <w:rPr>
                <w:highlight w:val="yellow"/>
                <w:lang w:val="en-IE"/>
              </w:rPr>
            </w:pPr>
          </w:p>
        </w:tc>
      </w:tr>
      <w:tr w:rsidR="00DE4BC6" w:rsidRPr="008704EA" w14:paraId="01159A86" w14:textId="77777777" w:rsidTr="007C0CF8">
        <w:tc>
          <w:tcPr>
            <w:tcW w:w="5954" w:type="dxa"/>
            <w:shd w:val="clear" w:color="auto" w:fill="auto"/>
          </w:tcPr>
          <w:p w14:paraId="21F2A5C7" w14:textId="121CE073" w:rsidR="00DE4BC6" w:rsidRPr="003C0CD7" w:rsidRDefault="00DE4BC6" w:rsidP="00F30C4B">
            <w:pPr>
              <w:pStyle w:val="Text2"/>
              <w:spacing w:before="60" w:after="60"/>
              <w:ind w:left="0"/>
              <w:rPr>
                <w:highlight w:val="lightGray"/>
                <w:lang w:val="en-IE"/>
              </w:rPr>
            </w:pPr>
            <w:r w:rsidRPr="00B44FA6">
              <w:rPr>
                <w:b/>
                <w:lang w:val="en-IE"/>
              </w:rPr>
              <w:t>Outcome</w:t>
            </w:r>
            <w:r w:rsidRPr="00F10C1E">
              <w:rPr>
                <w:b/>
                <w:lang w:val="en-IE"/>
              </w:rPr>
              <w:t xml:space="preserve"> 1: </w:t>
            </w:r>
            <w:r w:rsidR="00F30C4B">
              <w:rPr>
                <w:b/>
                <w:bCs/>
                <w:lang w:val="en-IE"/>
              </w:rPr>
              <w:t>Enhanced</w:t>
            </w:r>
            <w:r w:rsidR="00F30C4B" w:rsidRPr="00B44FA6" w:rsidDel="00F10C1E">
              <w:rPr>
                <w:b/>
                <w:lang w:val="en-IE"/>
              </w:rPr>
              <w:t xml:space="preserve"> </w:t>
            </w:r>
            <w:r w:rsidR="00F30C4B">
              <w:rPr>
                <w:b/>
                <w:bCs/>
                <w:lang w:val="en-IE"/>
              </w:rPr>
              <w:t xml:space="preserve">digitalisation </w:t>
            </w:r>
            <w:r w:rsidR="00546831">
              <w:rPr>
                <w:b/>
                <w:bCs/>
                <w:lang w:val="en-IE"/>
              </w:rPr>
              <w:t xml:space="preserve">and modernisation of the Healthcare System </w:t>
            </w:r>
            <w:r w:rsidRPr="00F10C1E">
              <w:rPr>
                <w:lang w:val="en-IE"/>
              </w:rPr>
              <w:t>composed of</w:t>
            </w:r>
          </w:p>
        </w:tc>
        <w:tc>
          <w:tcPr>
            <w:tcW w:w="2268" w:type="dxa"/>
            <w:shd w:val="clear" w:color="auto" w:fill="auto"/>
          </w:tcPr>
          <w:p w14:paraId="74CE806E" w14:textId="46A7BAE3" w:rsidR="00DE4BC6" w:rsidRPr="00610A90" w:rsidRDefault="00610A90" w:rsidP="00DE4BC6">
            <w:pPr>
              <w:pStyle w:val="Text2"/>
              <w:spacing w:before="60" w:after="60"/>
              <w:ind w:left="0"/>
              <w:jc w:val="center"/>
              <w:rPr>
                <w:lang w:val="en-IE"/>
              </w:rPr>
            </w:pPr>
            <w:r w:rsidRPr="00610A90">
              <w:rPr>
                <w:lang w:val="en-IE"/>
              </w:rPr>
              <w:t>12 000 000</w:t>
            </w:r>
          </w:p>
        </w:tc>
        <w:tc>
          <w:tcPr>
            <w:tcW w:w="2126" w:type="dxa"/>
          </w:tcPr>
          <w:p w14:paraId="3122048E" w14:textId="328A43C6" w:rsidR="00DE4BC6" w:rsidRPr="00610A90" w:rsidRDefault="00610A90" w:rsidP="00DE4BC6">
            <w:pPr>
              <w:pStyle w:val="Text2"/>
              <w:spacing w:before="60" w:after="60"/>
              <w:ind w:left="0"/>
              <w:jc w:val="center"/>
              <w:rPr>
                <w:lang w:val="en-IE"/>
              </w:rPr>
            </w:pPr>
            <w:r w:rsidRPr="00610A90">
              <w:rPr>
                <w:lang w:val="en-IE"/>
              </w:rPr>
              <w:t>2 160 000</w:t>
            </w:r>
          </w:p>
        </w:tc>
      </w:tr>
      <w:tr w:rsidR="004F6EFD" w:rsidRPr="008704EA" w14:paraId="12A498EE" w14:textId="77777777" w:rsidTr="00A8062B">
        <w:tc>
          <w:tcPr>
            <w:tcW w:w="5954" w:type="dxa"/>
            <w:shd w:val="clear" w:color="auto" w:fill="auto"/>
          </w:tcPr>
          <w:p w14:paraId="071F7907" w14:textId="240DC542" w:rsidR="004F6EFD" w:rsidRPr="00F30C4B" w:rsidRDefault="004F6EFD" w:rsidP="00DE4BC6">
            <w:pPr>
              <w:pStyle w:val="Text2"/>
              <w:spacing w:before="60" w:after="60"/>
              <w:ind w:left="0"/>
              <w:rPr>
                <w:lang w:val="fr-BE"/>
              </w:rPr>
            </w:pPr>
            <w:r>
              <w:rPr>
                <w:lang w:val="fr-BE"/>
              </w:rPr>
              <w:t xml:space="preserve">  </w:t>
            </w:r>
            <w:r w:rsidRPr="00F30C4B">
              <w:rPr>
                <w:lang w:val="fr-BE"/>
              </w:rPr>
              <w:t xml:space="preserve">Procurement (direct management) – cf. section </w:t>
            </w:r>
            <w:r w:rsidRPr="00B44FA6">
              <w:fldChar w:fldCharType="begin"/>
            </w:r>
            <w:r w:rsidRPr="00F30C4B">
              <w:rPr>
                <w:lang w:val="fr-BE"/>
              </w:rPr>
              <w:instrText xml:space="preserve"> REF _Ref58360566 \r \h  \* MERGEFORMAT </w:instrText>
            </w:r>
            <w:r w:rsidRPr="00B44FA6">
              <w:fldChar w:fldCharType="separate"/>
            </w:r>
            <w:r w:rsidRPr="00F30C4B">
              <w:rPr>
                <w:lang w:val="fr-BE"/>
              </w:rPr>
              <w:t>4.3</w:t>
            </w:r>
            <w:r w:rsidRPr="00B44FA6">
              <w:fldChar w:fldCharType="end"/>
            </w:r>
            <w:r w:rsidRPr="00F30C4B">
              <w:rPr>
                <w:lang w:val="fr-BE"/>
              </w:rPr>
              <w:t>.1</w:t>
            </w:r>
          </w:p>
        </w:tc>
        <w:tc>
          <w:tcPr>
            <w:tcW w:w="4394" w:type="dxa"/>
            <w:gridSpan w:val="2"/>
            <w:shd w:val="clear" w:color="auto" w:fill="auto"/>
          </w:tcPr>
          <w:p w14:paraId="5D72A804" w14:textId="553AE408" w:rsidR="004F6EFD" w:rsidRPr="003C0CD7" w:rsidRDefault="004F6EFD" w:rsidP="00DE4BC6">
            <w:pPr>
              <w:pStyle w:val="Text2"/>
              <w:spacing w:before="60" w:after="60"/>
              <w:ind w:left="0"/>
              <w:jc w:val="center"/>
              <w:rPr>
                <w:lang w:val="en-IE"/>
              </w:rPr>
            </w:pPr>
            <w:r>
              <w:rPr>
                <w:lang w:val="en-IE"/>
              </w:rPr>
              <w:t>N.A.</w:t>
            </w:r>
          </w:p>
        </w:tc>
      </w:tr>
      <w:tr w:rsidR="004F6EFD" w:rsidRPr="008704EA" w14:paraId="6AA37218" w14:textId="77777777" w:rsidTr="007C0CF8">
        <w:tc>
          <w:tcPr>
            <w:tcW w:w="5954" w:type="dxa"/>
            <w:shd w:val="clear" w:color="auto" w:fill="auto"/>
          </w:tcPr>
          <w:p w14:paraId="1F73F69F" w14:textId="7EECD61E" w:rsidR="004F6EFD" w:rsidRPr="00F30C4B" w:rsidRDefault="004F6EFD" w:rsidP="004F6EFD">
            <w:pPr>
              <w:pStyle w:val="Text2"/>
              <w:spacing w:before="60" w:after="60"/>
              <w:ind w:left="0"/>
            </w:pPr>
            <w:r w:rsidRPr="00B6363B">
              <w:rPr>
                <w:b/>
                <w:bCs/>
              </w:rPr>
              <w:t>Procurement – total envelope under section 4.3.1</w:t>
            </w:r>
          </w:p>
        </w:tc>
        <w:tc>
          <w:tcPr>
            <w:tcW w:w="2268" w:type="dxa"/>
            <w:shd w:val="clear" w:color="auto" w:fill="auto"/>
          </w:tcPr>
          <w:p w14:paraId="3EC9011C" w14:textId="430C9E2E" w:rsidR="004F6EFD" w:rsidRPr="003C0CD7" w:rsidRDefault="004F6EFD" w:rsidP="004F6EFD">
            <w:pPr>
              <w:pStyle w:val="Text2"/>
              <w:spacing w:before="60" w:after="60"/>
              <w:ind w:left="0"/>
              <w:jc w:val="center"/>
              <w:rPr>
                <w:lang w:val="en-IE"/>
              </w:rPr>
            </w:pPr>
            <w:r w:rsidRPr="00357525">
              <w:t>12 000 000</w:t>
            </w:r>
          </w:p>
        </w:tc>
        <w:tc>
          <w:tcPr>
            <w:tcW w:w="2126" w:type="dxa"/>
          </w:tcPr>
          <w:p w14:paraId="403C76B9" w14:textId="38ADF446" w:rsidR="004F6EFD" w:rsidRPr="003C0CD7" w:rsidRDefault="004F6EFD" w:rsidP="004F6EFD">
            <w:pPr>
              <w:pStyle w:val="Text2"/>
              <w:spacing w:before="60" w:after="60"/>
              <w:ind w:left="0"/>
              <w:jc w:val="center"/>
              <w:rPr>
                <w:highlight w:val="yellow"/>
                <w:lang w:val="en-IE"/>
              </w:rPr>
            </w:pPr>
            <w:r w:rsidRPr="00357525">
              <w:t>2 160 000</w:t>
            </w:r>
          </w:p>
        </w:tc>
      </w:tr>
      <w:tr w:rsidR="00DE4BC6" w:rsidRPr="008704EA" w14:paraId="463685E5" w14:textId="77777777" w:rsidTr="007C0CF8">
        <w:tc>
          <w:tcPr>
            <w:tcW w:w="5954" w:type="dxa"/>
            <w:shd w:val="clear" w:color="auto" w:fill="auto"/>
          </w:tcPr>
          <w:p w14:paraId="5580F5F2" w14:textId="77777777" w:rsidR="00DE4BC6" w:rsidRPr="003C0CD7" w:rsidRDefault="00DE4BC6" w:rsidP="00DE4BC6">
            <w:pPr>
              <w:pStyle w:val="Text2"/>
              <w:spacing w:before="60" w:after="60"/>
              <w:ind w:left="0"/>
              <w:rPr>
                <w:lang w:val="en-IE"/>
              </w:rPr>
            </w:pPr>
            <w:r w:rsidRPr="003C0CD7">
              <w:rPr>
                <w:b/>
                <w:lang w:val="en-IE"/>
              </w:rPr>
              <w:t xml:space="preserve">Evaluation </w:t>
            </w:r>
            <w:r w:rsidRPr="003C0CD7">
              <w:rPr>
                <w:lang w:val="en-IE"/>
              </w:rPr>
              <w:t>– cf. section 5.2</w:t>
            </w:r>
          </w:p>
          <w:p w14:paraId="64DEDC4E" w14:textId="547632A0" w:rsidR="00DE4BC6" w:rsidRPr="003C0CD7" w:rsidRDefault="00DE4BC6" w:rsidP="00DE4BC6">
            <w:pPr>
              <w:pStyle w:val="Text2"/>
              <w:spacing w:before="60" w:after="60"/>
              <w:ind w:left="0"/>
              <w:rPr>
                <w:lang w:val="en-IE"/>
              </w:rPr>
            </w:pPr>
          </w:p>
        </w:tc>
        <w:tc>
          <w:tcPr>
            <w:tcW w:w="2268" w:type="dxa"/>
            <w:shd w:val="clear" w:color="auto" w:fill="auto"/>
          </w:tcPr>
          <w:p w14:paraId="54B67713" w14:textId="6A760C81" w:rsidR="00DE4BC6" w:rsidRPr="003C0CD7" w:rsidRDefault="00DE4BC6" w:rsidP="00DE4BC6">
            <w:pPr>
              <w:pStyle w:val="Text2"/>
              <w:spacing w:before="60" w:after="60"/>
              <w:ind w:left="0"/>
              <w:jc w:val="center"/>
              <w:rPr>
                <w:lang w:val="en-IE"/>
              </w:rPr>
            </w:pPr>
            <w:r w:rsidRPr="00B44FA6">
              <w:rPr>
                <w:lang w:val="en-IE"/>
              </w:rPr>
              <w:t xml:space="preserve"> Will be covered by another Decision</w:t>
            </w:r>
            <w:r w:rsidRPr="00B44FA6">
              <w:rPr>
                <w:rStyle w:val="Heading2Char"/>
                <w:lang w:val="en-IE"/>
              </w:rPr>
              <w:t xml:space="preserve"> </w:t>
            </w:r>
            <w:r w:rsidRPr="00B44FA6">
              <w:rPr>
                <w:rStyle w:val="FootnoteReference"/>
                <w:lang w:val="en-IE"/>
              </w:rPr>
              <w:footnoteReference w:id="34"/>
            </w:r>
          </w:p>
        </w:tc>
        <w:tc>
          <w:tcPr>
            <w:tcW w:w="2126" w:type="dxa"/>
          </w:tcPr>
          <w:p w14:paraId="7702EC77" w14:textId="526C7FAF" w:rsidR="00DE4BC6" w:rsidRPr="003C0CD7" w:rsidRDefault="00DE4BC6" w:rsidP="00DE4BC6">
            <w:pPr>
              <w:pStyle w:val="Text2"/>
              <w:spacing w:before="60" w:after="60"/>
              <w:ind w:left="0"/>
              <w:jc w:val="center"/>
              <w:rPr>
                <w:highlight w:val="yellow"/>
                <w:lang w:val="en-IE"/>
              </w:rPr>
            </w:pPr>
            <w:r w:rsidRPr="003C0CD7">
              <w:rPr>
                <w:lang w:val="en-IE"/>
              </w:rPr>
              <w:t>N.A.</w:t>
            </w:r>
          </w:p>
        </w:tc>
      </w:tr>
      <w:tr w:rsidR="00D85356" w:rsidRPr="008704EA" w14:paraId="5BB7F56E" w14:textId="77777777" w:rsidTr="007C0CF8">
        <w:tc>
          <w:tcPr>
            <w:tcW w:w="5954" w:type="dxa"/>
            <w:shd w:val="clear" w:color="auto" w:fill="auto"/>
          </w:tcPr>
          <w:p w14:paraId="34BB74FD" w14:textId="56D9D4C4" w:rsidR="00D85356" w:rsidRPr="003C0CD7" w:rsidRDefault="00D85356" w:rsidP="00DE4BC6">
            <w:pPr>
              <w:pStyle w:val="Text2"/>
              <w:spacing w:before="60" w:after="60"/>
              <w:ind w:left="0"/>
              <w:rPr>
                <w:lang w:val="fr-BE"/>
              </w:rPr>
            </w:pPr>
            <w:r w:rsidRPr="003C0CD7">
              <w:rPr>
                <w:b/>
                <w:lang w:val="en-IE"/>
              </w:rPr>
              <w:t>Audit</w:t>
            </w:r>
            <w:r>
              <w:rPr>
                <w:b/>
                <w:lang w:val="en-IE"/>
              </w:rPr>
              <w:t>/Expenditure verification</w:t>
            </w:r>
            <w:r w:rsidRPr="003C0CD7">
              <w:rPr>
                <w:b/>
                <w:lang w:val="en-IE"/>
              </w:rPr>
              <w:t xml:space="preserve"> </w:t>
            </w:r>
            <w:r w:rsidRPr="003C0CD7">
              <w:rPr>
                <w:lang w:val="en-IE"/>
              </w:rPr>
              <w:t>– cf. section 5.3</w:t>
            </w:r>
          </w:p>
        </w:tc>
        <w:tc>
          <w:tcPr>
            <w:tcW w:w="2268" w:type="dxa"/>
            <w:shd w:val="clear" w:color="auto" w:fill="auto"/>
          </w:tcPr>
          <w:p w14:paraId="1E25F021" w14:textId="77777777" w:rsidR="00D85356" w:rsidRPr="003C0CD7" w:rsidRDefault="00D85356" w:rsidP="00DE4BC6">
            <w:pPr>
              <w:pStyle w:val="Text2"/>
              <w:spacing w:before="60" w:after="60"/>
              <w:ind w:left="0"/>
              <w:jc w:val="center"/>
              <w:rPr>
                <w:highlight w:val="yellow"/>
                <w:lang w:val="en-IE"/>
              </w:rPr>
            </w:pPr>
            <w:r w:rsidRPr="00F766B4">
              <w:rPr>
                <w:lang w:val="en-IE"/>
              </w:rPr>
              <w:t>Will be covered by another Decision</w:t>
            </w:r>
          </w:p>
        </w:tc>
        <w:tc>
          <w:tcPr>
            <w:tcW w:w="2126" w:type="dxa"/>
            <w:shd w:val="clear" w:color="auto" w:fill="auto"/>
          </w:tcPr>
          <w:p w14:paraId="1683DCBD" w14:textId="20F29EB1" w:rsidR="00D85356" w:rsidRPr="003C0CD7" w:rsidRDefault="004F6EFD" w:rsidP="00DE4BC6">
            <w:pPr>
              <w:pStyle w:val="Text2"/>
              <w:spacing w:before="60" w:after="60"/>
              <w:ind w:left="0"/>
              <w:jc w:val="center"/>
              <w:rPr>
                <w:highlight w:val="yellow"/>
                <w:lang w:val="en-IE"/>
              </w:rPr>
            </w:pPr>
            <w:r w:rsidRPr="00B6363B">
              <w:rPr>
                <w:lang w:val="en-IE"/>
              </w:rPr>
              <w:t>N.A</w:t>
            </w:r>
          </w:p>
        </w:tc>
      </w:tr>
      <w:tr w:rsidR="00DE4BC6" w:rsidRPr="008704EA" w14:paraId="45721682" w14:textId="77777777" w:rsidTr="007C0CF8">
        <w:tc>
          <w:tcPr>
            <w:tcW w:w="5954" w:type="dxa"/>
            <w:shd w:val="clear" w:color="auto" w:fill="auto"/>
          </w:tcPr>
          <w:p w14:paraId="3B4F74B2" w14:textId="4F4AE3F7" w:rsidR="00DE4BC6" w:rsidRPr="003C0CD7" w:rsidRDefault="00597C74" w:rsidP="00DE4BC6">
            <w:pPr>
              <w:pStyle w:val="Text2"/>
              <w:spacing w:before="60" w:after="60"/>
              <w:ind w:left="0"/>
              <w:rPr>
                <w:lang w:val="en-IE"/>
              </w:rPr>
            </w:pPr>
            <w:r>
              <w:rPr>
                <w:b/>
                <w:lang w:val="en-IE"/>
              </w:rPr>
              <w:t xml:space="preserve">Strategic </w:t>
            </w:r>
            <w:r w:rsidR="00DE4BC6" w:rsidRPr="003C0CD7">
              <w:rPr>
                <w:b/>
                <w:lang w:val="en-IE"/>
              </w:rPr>
              <w:t xml:space="preserve">Communication and </w:t>
            </w:r>
            <w:r>
              <w:rPr>
                <w:b/>
                <w:lang w:val="en-IE"/>
              </w:rPr>
              <w:t>Public diplomacy</w:t>
            </w:r>
            <w:r w:rsidRPr="003C0CD7">
              <w:rPr>
                <w:b/>
                <w:lang w:val="en-IE"/>
              </w:rPr>
              <w:t xml:space="preserve"> </w:t>
            </w:r>
            <w:r w:rsidR="00DE4BC6" w:rsidRPr="003C0CD7">
              <w:rPr>
                <w:lang w:val="en-IE"/>
              </w:rPr>
              <w:t>– cf. section 6</w:t>
            </w:r>
          </w:p>
        </w:tc>
        <w:tc>
          <w:tcPr>
            <w:tcW w:w="2268" w:type="dxa"/>
            <w:shd w:val="clear" w:color="auto" w:fill="auto"/>
          </w:tcPr>
          <w:p w14:paraId="723CB48A" w14:textId="6B934187" w:rsidR="00DE4BC6" w:rsidRPr="003C0CD7" w:rsidRDefault="00DE4BC6" w:rsidP="00DE4BC6">
            <w:pPr>
              <w:pStyle w:val="Text2"/>
              <w:spacing w:before="60" w:after="60"/>
              <w:ind w:left="0"/>
              <w:jc w:val="center"/>
              <w:rPr>
                <w:lang w:val="en-IE"/>
              </w:rPr>
            </w:pPr>
            <w:r w:rsidRPr="00D85356">
              <w:rPr>
                <w:lang w:val="en-IE"/>
              </w:rPr>
              <w:t>N.A</w:t>
            </w:r>
          </w:p>
        </w:tc>
        <w:tc>
          <w:tcPr>
            <w:tcW w:w="2126" w:type="dxa"/>
          </w:tcPr>
          <w:p w14:paraId="1DE71735" w14:textId="0F49B44C" w:rsidR="00DE4BC6" w:rsidRPr="003C0CD7" w:rsidRDefault="00DE4BC6" w:rsidP="00DE4BC6">
            <w:pPr>
              <w:pStyle w:val="Text2"/>
              <w:spacing w:before="60" w:after="60"/>
              <w:ind w:left="0"/>
              <w:jc w:val="center"/>
              <w:rPr>
                <w:highlight w:val="yellow"/>
                <w:lang w:val="en-IE"/>
              </w:rPr>
            </w:pPr>
            <w:r w:rsidRPr="003C0CD7">
              <w:rPr>
                <w:lang w:val="en-IE"/>
              </w:rPr>
              <w:t>N.A.</w:t>
            </w:r>
          </w:p>
        </w:tc>
      </w:tr>
      <w:tr w:rsidR="004F6EFD" w:rsidRPr="008704EA" w14:paraId="6C2A138A" w14:textId="77777777" w:rsidTr="007C0CF8">
        <w:tc>
          <w:tcPr>
            <w:tcW w:w="5954" w:type="dxa"/>
            <w:shd w:val="clear" w:color="auto" w:fill="auto"/>
          </w:tcPr>
          <w:p w14:paraId="44D6534A" w14:textId="07186B80" w:rsidR="004F6EFD" w:rsidRPr="003C0CD7" w:rsidRDefault="004F6EFD" w:rsidP="004F6EFD">
            <w:pPr>
              <w:pStyle w:val="Text2"/>
              <w:spacing w:before="60" w:after="60"/>
              <w:ind w:left="0"/>
              <w:rPr>
                <w:lang w:val="en-IE"/>
              </w:rPr>
            </w:pPr>
            <w:r w:rsidRPr="003C0CD7">
              <w:rPr>
                <w:b/>
                <w:bCs/>
                <w:lang w:val="en-IE"/>
              </w:rPr>
              <w:t>Contingencies</w:t>
            </w:r>
          </w:p>
        </w:tc>
        <w:tc>
          <w:tcPr>
            <w:tcW w:w="2268" w:type="dxa"/>
            <w:shd w:val="clear" w:color="auto" w:fill="auto"/>
          </w:tcPr>
          <w:p w14:paraId="6D462475" w14:textId="4EE0CF23" w:rsidR="004F6EFD" w:rsidRPr="003C0CD7" w:rsidRDefault="004F6EFD" w:rsidP="004F6EFD">
            <w:pPr>
              <w:pStyle w:val="Text2"/>
              <w:spacing w:before="60" w:after="60"/>
              <w:ind w:left="0"/>
              <w:jc w:val="center"/>
              <w:rPr>
                <w:highlight w:val="yellow"/>
                <w:lang w:val="en-IE"/>
              </w:rPr>
            </w:pPr>
            <w:r w:rsidRPr="009009F2">
              <w:t>N.A</w:t>
            </w:r>
          </w:p>
        </w:tc>
        <w:tc>
          <w:tcPr>
            <w:tcW w:w="2126" w:type="dxa"/>
          </w:tcPr>
          <w:p w14:paraId="36F18FE5" w14:textId="2177500D" w:rsidR="004F6EFD" w:rsidRPr="003C0CD7" w:rsidRDefault="004F6EFD" w:rsidP="004F6EFD">
            <w:pPr>
              <w:pStyle w:val="Text2"/>
              <w:spacing w:before="60" w:after="60"/>
              <w:ind w:left="0"/>
              <w:jc w:val="center"/>
              <w:rPr>
                <w:highlight w:val="yellow"/>
                <w:lang w:val="en-IE"/>
              </w:rPr>
            </w:pPr>
            <w:r w:rsidRPr="009009F2">
              <w:t>N.A.</w:t>
            </w:r>
          </w:p>
        </w:tc>
      </w:tr>
      <w:tr w:rsidR="00D85356" w:rsidRPr="008704EA" w14:paraId="1C88209D" w14:textId="77777777" w:rsidTr="007C0CF8">
        <w:tc>
          <w:tcPr>
            <w:tcW w:w="5954" w:type="dxa"/>
            <w:shd w:val="clear" w:color="auto" w:fill="auto"/>
          </w:tcPr>
          <w:p w14:paraId="67F68BAA" w14:textId="77777777" w:rsidR="00D85356" w:rsidRPr="003C0CD7" w:rsidRDefault="00D85356" w:rsidP="00D85356">
            <w:pPr>
              <w:pStyle w:val="Text2"/>
              <w:spacing w:before="60" w:after="60"/>
              <w:ind w:left="0"/>
              <w:rPr>
                <w:lang w:val="en-IE"/>
              </w:rPr>
            </w:pPr>
            <w:r w:rsidRPr="003C0CD7">
              <w:rPr>
                <w:b/>
                <w:lang w:val="en-IE"/>
              </w:rPr>
              <w:t xml:space="preserve">Totals </w:t>
            </w:r>
          </w:p>
        </w:tc>
        <w:tc>
          <w:tcPr>
            <w:tcW w:w="2268" w:type="dxa"/>
            <w:shd w:val="clear" w:color="auto" w:fill="auto"/>
          </w:tcPr>
          <w:p w14:paraId="567DF487" w14:textId="36603282" w:rsidR="00D85356" w:rsidRPr="00D85356" w:rsidRDefault="00D85356" w:rsidP="00DE4BC6">
            <w:pPr>
              <w:pStyle w:val="Text2"/>
              <w:spacing w:before="60" w:after="60"/>
              <w:ind w:left="0"/>
              <w:jc w:val="center"/>
              <w:rPr>
                <w:b/>
                <w:bCs/>
                <w:lang w:val="en-IE"/>
              </w:rPr>
            </w:pPr>
            <w:r w:rsidRPr="00D85356">
              <w:rPr>
                <w:b/>
                <w:bCs/>
                <w:lang w:val="en-IE"/>
              </w:rPr>
              <w:t>1</w:t>
            </w:r>
            <w:r w:rsidR="00E25DDE">
              <w:rPr>
                <w:b/>
                <w:bCs/>
                <w:lang w:val="en-IE"/>
              </w:rPr>
              <w:t>2</w:t>
            </w:r>
            <w:r w:rsidRPr="00D85356">
              <w:rPr>
                <w:b/>
                <w:bCs/>
                <w:lang w:val="en-IE"/>
              </w:rPr>
              <w:t xml:space="preserve"> 000 000</w:t>
            </w:r>
          </w:p>
        </w:tc>
        <w:tc>
          <w:tcPr>
            <w:tcW w:w="2126" w:type="dxa"/>
            <w:shd w:val="clear" w:color="auto" w:fill="auto"/>
          </w:tcPr>
          <w:p w14:paraId="253C7CB0" w14:textId="19AF1C0B" w:rsidR="00D85356" w:rsidRPr="00D85356" w:rsidRDefault="00E25DDE" w:rsidP="00DE4BC6">
            <w:pPr>
              <w:pStyle w:val="Text2"/>
              <w:spacing w:before="60" w:after="60"/>
              <w:ind w:left="0"/>
              <w:jc w:val="center"/>
              <w:rPr>
                <w:b/>
                <w:bCs/>
                <w:lang w:val="en-IE"/>
              </w:rPr>
            </w:pPr>
            <w:r>
              <w:rPr>
                <w:b/>
                <w:bCs/>
                <w:lang w:val="en-IE"/>
              </w:rPr>
              <w:t>2 160</w:t>
            </w:r>
            <w:r w:rsidR="00D85356" w:rsidRPr="00D85356">
              <w:rPr>
                <w:b/>
                <w:bCs/>
                <w:lang w:val="en-IE"/>
              </w:rPr>
              <w:t xml:space="preserve"> 000</w:t>
            </w:r>
          </w:p>
        </w:tc>
      </w:tr>
    </w:tbl>
    <w:p w14:paraId="613820D0" w14:textId="77777777" w:rsidR="008E6AFF" w:rsidRPr="003C0CD7" w:rsidRDefault="008E6AFF" w:rsidP="003C0CD7">
      <w:pPr>
        <w:pStyle w:val="Heading1"/>
        <w:numPr>
          <w:ilvl w:val="1"/>
          <w:numId w:val="1"/>
        </w:numPr>
        <w:rPr>
          <w:lang w:val="en-IE"/>
        </w:rPr>
      </w:pPr>
      <w:bookmarkStart w:id="294" w:name="_Toc47101981"/>
      <w:bookmarkStart w:id="295" w:name="_Toc51270476"/>
      <w:bookmarkStart w:id="296" w:name="_Toc59031693"/>
      <w:bookmarkStart w:id="297" w:name="_Toc73090776"/>
      <w:r w:rsidRPr="003C0CD7">
        <w:rPr>
          <w:lang w:val="en-IE"/>
        </w:rPr>
        <w:t>Organisational Set-up and Responsibilities</w:t>
      </w:r>
      <w:bookmarkEnd w:id="294"/>
      <w:bookmarkEnd w:id="295"/>
      <w:bookmarkEnd w:id="296"/>
      <w:bookmarkEnd w:id="297"/>
    </w:p>
    <w:p w14:paraId="0583C9BD" w14:textId="50B09B0B" w:rsidR="00721B47" w:rsidRPr="00D85356" w:rsidRDefault="00D85356" w:rsidP="00B6363B">
      <w:pPr>
        <w:spacing w:before="120"/>
        <w:ind w:left="142"/>
        <w:jc w:val="both"/>
        <w:rPr>
          <w:b/>
          <w:lang w:val="en-IE"/>
        </w:rPr>
      </w:pPr>
      <w:r w:rsidRPr="00D85356">
        <w:rPr>
          <w:lang w:val="en-IE"/>
        </w:rPr>
        <w:t xml:space="preserve">The Delegation of the European Union (EUD) to North Macedonia is in charge </w:t>
      </w:r>
      <w:r w:rsidR="00721B47">
        <w:rPr>
          <w:lang w:val="en-IE"/>
        </w:rPr>
        <w:t>of</w:t>
      </w:r>
      <w:r w:rsidRPr="00D85356">
        <w:rPr>
          <w:lang w:val="en-IE"/>
        </w:rPr>
        <w:t xml:space="preserve"> </w:t>
      </w:r>
      <w:r w:rsidR="00721B47">
        <w:rPr>
          <w:lang w:val="en-IE"/>
        </w:rPr>
        <w:t>implementing</w:t>
      </w:r>
      <w:r w:rsidR="00721B47" w:rsidRPr="00D85356">
        <w:rPr>
          <w:lang w:val="en-IE"/>
        </w:rPr>
        <w:t xml:space="preserve"> the Action</w:t>
      </w:r>
      <w:r w:rsidR="00721B47">
        <w:rPr>
          <w:lang w:val="en-IE"/>
        </w:rPr>
        <w:t>. It will</w:t>
      </w:r>
      <w:r w:rsidR="00721B47" w:rsidRPr="00D85356">
        <w:rPr>
          <w:lang w:val="en-IE"/>
        </w:rPr>
        <w:t xml:space="preserve"> collaborate with the </w:t>
      </w:r>
      <w:r w:rsidR="00610A90">
        <w:rPr>
          <w:lang w:val="en-IE"/>
        </w:rPr>
        <w:t xml:space="preserve">Ministry of Health and the </w:t>
      </w:r>
      <w:r w:rsidR="004F5803">
        <w:rPr>
          <w:lang w:val="en-IE"/>
        </w:rPr>
        <w:t>NIPAC office within Secretariat for European Affairs (SEA)</w:t>
      </w:r>
      <w:r w:rsidR="00721B47" w:rsidRPr="00D85356">
        <w:rPr>
          <w:lang w:val="en-IE"/>
        </w:rPr>
        <w:t xml:space="preserve">, </w:t>
      </w:r>
      <w:r w:rsidR="00721B47">
        <w:rPr>
          <w:lang w:val="en-IE"/>
        </w:rPr>
        <w:t>and</w:t>
      </w:r>
      <w:r w:rsidR="00721B47" w:rsidRPr="00D85356">
        <w:rPr>
          <w:lang w:val="en-IE"/>
        </w:rPr>
        <w:t xml:space="preserve"> all stakeholders and implementing partners.</w:t>
      </w:r>
    </w:p>
    <w:p w14:paraId="627AC047" w14:textId="50DD38DE" w:rsidR="00D85356" w:rsidRPr="00D85356" w:rsidRDefault="00721B47" w:rsidP="00B6363B">
      <w:pPr>
        <w:spacing w:before="120"/>
        <w:ind w:left="142"/>
        <w:jc w:val="both"/>
        <w:rPr>
          <w:b/>
          <w:lang w:val="en-IE"/>
        </w:rPr>
      </w:pPr>
      <w:r w:rsidRPr="00D85356">
        <w:rPr>
          <w:lang w:val="en-IE"/>
        </w:rPr>
        <w:t>At policy level, the implementing partners will be accountable to the SWG Health</w:t>
      </w:r>
      <w:r>
        <w:rPr>
          <w:lang w:val="en-IE"/>
        </w:rPr>
        <w:t xml:space="preserve"> and</w:t>
      </w:r>
      <w:r w:rsidR="00D85356" w:rsidRPr="00D85356">
        <w:rPr>
          <w:lang w:val="en-IE"/>
        </w:rPr>
        <w:t xml:space="preserve"> the IPA Monitoring Committee.</w:t>
      </w:r>
    </w:p>
    <w:p w14:paraId="1A2F53AA" w14:textId="1A0A353D" w:rsidR="00D85356" w:rsidRPr="00D85356" w:rsidRDefault="00D85356" w:rsidP="00B6363B">
      <w:pPr>
        <w:spacing w:before="120"/>
        <w:ind w:left="142"/>
        <w:jc w:val="both"/>
        <w:rPr>
          <w:b/>
          <w:lang w:val="en-IE"/>
        </w:rPr>
      </w:pPr>
      <w:r w:rsidRPr="00D85356">
        <w:rPr>
          <w:lang w:val="en-IE"/>
        </w:rPr>
        <w:t>At contract level, the implementation arrangements will be discussed through the project Steering Committee having advisory functions and composed of EUD, the relevant national authorities and all relevant implementing partners.</w:t>
      </w:r>
    </w:p>
    <w:p w14:paraId="77081673" w14:textId="43887381" w:rsidR="00384709" w:rsidRDefault="00D85356" w:rsidP="00B6363B">
      <w:pPr>
        <w:spacing w:before="120"/>
        <w:ind w:left="142"/>
        <w:jc w:val="both"/>
        <w:rPr>
          <w:lang w:val="en-IE"/>
        </w:rPr>
      </w:pPr>
      <w:r w:rsidRPr="247BFA05">
        <w:rPr>
          <w:lang w:val="en-IE"/>
        </w:rPr>
        <w:t xml:space="preserve">As part of its prerogative of budget implementation and to safeguard the financial interests of the Union, the Commission may participate in </w:t>
      </w:r>
      <w:r w:rsidR="009F566D" w:rsidRPr="247BFA05">
        <w:rPr>
          <w:lang w:val="en-IE"/>
        </w:rPr>
        <w:t>any</w:t>
      </w:r>
      <w:r w:rsidRPr="247BFA05">
        <w:rPr>
          <w:lang w:val="en-IE"/>
        </w:rPr>
        <w:t xml:space="preserve"> governance structures set up for governing the </w:t>
      </w:r>
      <w:r w:rsidR="009F566D" w:rsidRPr="247BFA05">
        <w:rPr>
          <w:lang w:val="en-IE"/>
        </w:rPr>
        <w:t xml:space="preserve">sector reforms and for the implementation of the EU assistance. </w:t>
      </w:r>
    </w:p>
    <w:p w14:paraId="47682089" w14:textId="29FA270B" w:rsidR="247BFA05" w:rsidRDefault="247BFA05" w:rsidP="247BFA05">
      <w:pPr>
        <w:spacing w:before="120"/>
        <w:ind w:left="142"/>
        <w:rPr>
          <w:lang w:val="en-IE"/>
        </w:rPr>
      </w:pPr>
    </w:p>
    <w:p w14:paraId="64C40523" w14:textId="78C6F552" w:rsidR="004F6EFD" w:rsidRDefault="004F6EFD" w:rsidP="247BFA05">
      <w:pPr>
        <w:spacing w:before="120"/>
        <w:ind w:left="142"/>
        <w:rPr>
          <w:b/>
          <w:bCs/>
          <w:lang w:val="en-IE"/>
        </w:rPr>
      </w:pPr>
      <w:r w:rsidRPr="00B6363B">
        <w:rPr>
          <w:b/>
          <w:bCs/>
          <w:lang w:val="en-IE"/>
        </w:rPr>
        <w:t>4.7 Pre-conditions</w:t>
      </w:r>
    </w:p>
    <w:p w14:paraId="3FFFE6F4" w14:textId="07A2FB5C" w:rsidR="00371489" w:rsidRPr="00371489" w:rsidRDefault="00BF6CFA" w:rsidP="00BF6CFA">
      <w:pPr>
        <w:spacing w:before="120"/>
        <w:ind w:left="142"/>
        <w:jc w:val="both"/>
        <w:rPr>
          <w:lang w:val="en-IE"/>
        </w:rPr>
      </w:pPr>
      <w:r>
        <w:rPr>
          <w:rFonts w:cstheme="minorHAnsi"/>
          <w:sz w:val="22"/>
          <w:szCs w:val="22"/>
        </w:rPr>
        <w:t>Preconditions for the Actions (legal, strategic, operational) have all been in place</w:t>
      </w:r>
      <w:r>
        <w:rPr>
          <w:lang w:val="en-IE"/>
        </w:rPr>
        <w:t>.</w:t>
      </w:r>
    </w:p>
    <w:p w14:paraId="43117A76" w14:textId="77777777" w:rsidR="000827CD" w:rsidRPr="0006347F" w:rsidRDefault="001706D6" w:rsidP="007C0CF8">
      <w:pPr>
        <w:pStyle w:val="Heading1"/>
        <w:ind w:left="567"/>
      </w:pPr>
      <w:bookmarkStart w:id="298" w:name="_Toc73090777"/>
      <w:r w:rsidRPr="0006347F">
        <w:t>PERFORMANCE</w:t>
      </w:r>
      <w:bookmarkEnd w:id="206"/>
      <w:bookmarkEnd w:id="207"/>
      <w:bookmarkEnd w:id="208"/>
      <w:r w:rsidR="00D07ECD" w:rsidRPr="0006347F">
        <w:t xml:space="preserve"> MEASUREMENT</w:t>
      </w:r>
      <w:bookmarkEnd w:id="298"/>
      <w:r w:rsidR="00D23527" w:rsidRPr="0006347F">
        <w:t xml:space="preserve"> </w:t>
      </w:r>
      <w:bookmarkStart w:id="299" w:name="_Toc59023393"/>
      <w:bookmarkStart w:id="300" w:name="_Toc59029562"/>
      <w:bookmarkStart w:id="301" w:name="_Toc59030378"/>
      <w:bookmarkStart w:id="302" w:name="_Toc59031695"/>
      <w:bookmarkStart w:id="303" w:name="_Toc62247194"/>
      <w:bookmarkStart w:id="304" w:name="_Toc62247251"/>
      <w:bookmarkStart w:id="305" w:name="_Toc62459293"/>
      <w:bookmarkStart w:id="306" w:name="_Toc62476957"/>
      <w:bookmarkStart w:id="307" w:name="_Toc63235865"/>
      <w:bookmarkStart w:id="308" w:name="_Toc63248971"/>
      <w:bookmarkStart w:id="309" w:name="_Toc63263300"/>
      <w:bookmarkStart w:id="310" w:name="_Toc64043077"/>
      <w:bookmarkStart w:id="311" w:name="_Toc65663790"/>
      <w:bookmarkStart w:id="312" w:name="_Toc65665606"/>
      <w:bookmarkStart w:id="313" w:name="_Toc65665968"/>
      <w:bookmarkStart w:id="314" w:name="_Toc65666145"/>
      <w:bookmarkStart w:id="315" w:name="_Toc65671222"/>
      <w:bookmarkStart w:id="316" w:name="_Toc65671281"/>
      <w:bookmarkStart w:id="317" w:name="_Toc65671938"/>
      <w:bookmarkStart w:id="318" w:name="_Toc65674794"/>
      <w:bookmarkStart w:id="319" w:name="_Toc65676444"/>
      <w:bookmarkStart w:id="320" w:name="_Toc65688281"/>
      <w:bookmarkStart w:id="321" w:name="_Toc66465171"/>
      <w:bookmarkStart w:id="322" w:name="_Toc66465624"/>
      <w:bookmarkStart w:id="323" w:name="_Toc66465683"/>
      <w:bookmarkStart w:id="324" w:name="_Toc66696409"/>
      <w:bookmarkStart w:id="325" w:name="_Toc67665957"/>
      <w:bookmarkStart w:id="326" w:name="_Toc69384786"/>
      <w:bookmarkStart w:id="327" w:name="_Toc69384917"/>
      <w:bookmarkStart w:id="328" w:name="_Toc69385045"/>
      <w:bookmarkStart w:id="329" w:name="_Toc69385173"/>
      <w:bookmarkStart w:id="330" w:name="_Toc69460921"/>
      <w:bookmarkStart w:id="331" w:name="_Toc69461048"/>
      <w:bookmarkStart w:id="332" w:name="_Toc69469940"/>
      <w:bookmarkStart w:id="333" w:name="_Toc69485803"/>
      <w:bookmarkStart w:id="334" w:name="_Toc69487678"/>
      <w:bookmarkStart w:id="335" w:name="_Toc72142271"/>
      <w:bookmarkStart w:id="336" w:name="_Toc72142356"/>
      <w:bookmarkStart w:id="337" w:name="_Toc73090695"/>
      <w:bookmarkStart w:id="338" w:name="_Toc73090778"/>
      <w:bookmarkStart w:id="339" w:name="_Toc47101983"/>
      <w:bookmarkStart w:id="340" w:name="_Toc51270478"/>
      <w:bookmarkStart w:id="341" w:name="_Ref5835913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093D371" w14:textId="77777777" w:rsidR="00811AA9" w:rsidRPr="003C0CD7" w:rsidRDefault="00811AA9" w:rsidP="003C0CD7">
      <w:pPr>
        <w:pStyle w:val="Heading1"/>
        <w:numPr>
          <w:ilvl w:val="1"/>
          <w:numId w:val="1"/>
        </w:numPr>
        <w:rPr>
          <w:lang w:val="en-IE"/>
        </w:rPr>
      </w:pPr>
      <w:bookmarkStart w:id="342" w:name="_Toc73090779"/>
      <w:r w:rsidRPr="003C0CD7">
        <w:rPr>
          <w:lang w:val="en-IE"/>
        </w:rPr>
        <w:t>Monitoring</w:t>
      </w:r>
      <w:bookmarkEnd w:id="339"/>
      <w:bookmarkEnd w:id="340"/>
      <w:bookmarkEnd w:id="341"/>
      <w:r w:rsidRPr="003C0CD7">
        <w:rPr>
          <w:lang w:val="en-IE"/>
        </w:rPr>
        <w:t xml:space="preserve"> and Reporting</w:t>
      </w:r>
      <w:bookmarkEnd w:id="342"/>
    </w:p>
    <w:p w14:paraId="1A8905BB" w14:textId="5030EE5B" w:rsidR="00335DC3" w:rsidRPr="003C0CD7" w:rsidRDefault="003F0B77" w:rsidP="00B6363B">
      <w:pPr>
        <w:pStyle w:val="Text2"/>
        <w:spacing w:before="60" w:after="60"/>
        <w:ind w:left="142"/>
        <w:jc w:val="both"/>
        <w:rPr>
          <w:lang w:val="en-IE"/>
        </w:rPr>
      </w:pPr>
      <w:bookmarkStart w:id="343" w:name="_Toc391992328"/>
      <w:bookmarkStart w:id="344" w:name="_Toc391999078"/>
      <w:r w:rsidRPr="00C85643">
        <w:t xml:space="preserve">The day-to-day technical and financial monitoring of the implementation of this action will be a continuous process, and part of the implementing partner’s responsibilities. To this aim, the implementing partner shall </w:t>
      </w:r>
      <w:r w:rsidRPr="00C85643">
        <w:lastRenderedPageBreak/>
        <w:t xml:space="preserve">establish a permanent internal, technical and financial monitoring system for the action and elaborate regular progress reports (not less than annual) and final reports. </w:t>
      </w:r>
      <w:bookmarkEnd w:id="343"/>
      <w:bookmarkEnd w:id="344"/>
      <w:r w:rsidRPr="00C85643">
        <w:t xml:space="preserve">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possible at the time of reporting, contribution to the achievement of its Impacts, </w:t>
      </w:r>
      <w:r w:rsidRPr="00C85643">
        <w:t xml:space="preserve"> as measured by corresponding indicators, using as reference </w:t>
      </w:r>
      <w:r w:rsidRPr="00CF5450">
        <w:t xml:space="preserve">the logframe matrix </w:t>
      </w:r>
      <w:r w:rsidRPr="00CF5450" w:rsidDel="0008697A">
        <w:t>(</w:t>
      </w:r>
      <w:r w:rsidRPr="00CF5450">
        <w:t>for project modality</w:t>
      </w:r>
      <w:r w:rsidRPr="00CF5450" w:rsidDel="0008697A">
        <w:t>)</w:t>
      </w:r>
      <w:r w:rsidRPr="00CF5450" w:rsidDel="000C475F">
        <w:t xml:space="preserve"> </w:t>
      </w:r>
      <w:r w:rsidRPr="00CF5450">
        <w:t>and</w:t>
      </w:r>
      <w:r w:rsidR="00CF5450" w:rsidRPr="00CF5450">
        <w:t xml:space="preserve"> </w:t>
      </w:r>
      <w:r w:rsidRPr="00CF5450">
        <w:t>the partner’s strategy, policy or reform action plan</w:t>
      </w:r>
      <w:r w:rsidRPr="00CF5450" w:rsidDel="00E52AC2">
        <w:t xml:space="preserve"> </w:t>
      </w:r>
      <w:r w:rsidRPr="00CF5450">
        <w:t xml:space="preserve">list </w:t>
      </w:r>
      <w:r w:rsidRPr="00CF5450" w:rsidDel="0008697A">
        <w:t>(</w:t>
      </w:r>
      <w:r w:rsidRPr="00CF5450">
        <w:t>for budget support</w:t>
      </w:r>
      <w:r w:rsidRPr="00CF5450" w:rsidDel="0008697A">
        <w:t>)</w:t>
      </w:r>
      <w:r w:rsidRPr="00CF5450">
        <w:t>.</w:t>
      </w:r>
      <w:r w:rsidRPr="005D6559">
        <w:t xml:space="preserve"> </w:t>
      </w:r>
      <w:bookmarkStart w:id="345" w:name="_Toc391992329"/>
      <w:bookmarkStart w:id="346" w:name="_Toc391999079"/>
      <w:r w:rsidR="00335DC3" w:rsidRPr="003C0CD7">
        <w:rPr>
          <w:lang w:val="en-IE"/>
        </w:rPr>
        <w:t>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w:t>
      </w:r>
      <w:bookmarkEnd w:id="345"/>
      <w:bookmarkEnd w:id="346"/>
      <w:r w:rsidR="00335DC3" w:rsidRPr="003C0CD7">
        <w:rPr>
          <w:lang w:val="en-IE"/>
        </w:rPr>
        <w:t xml:space="preserve"> </w:t>
      </w:r>
    </w:p>
    <w:p w14:paraId="0ADE4D27" w14:textId="710AE42C" w:rsidR="003E42CF" w:rsidRDefault="000113D1" w:rsidP="00B6363B">
      <w:pPr>
        <w:spacing w:before="120"/>
        <w:ind w:left="142"/>
        <w:jc w:val="both"/>
      </w:pPr>
      <w:r>
        <w:t>Arrangements for monitoring and reporting, including r</w:t>
      </w:r>
      <w:r w:rsidR="00335DC3" w:rsidRPr="003C0CD7">
        <w:rPr>
          <w:lang w:val="en-IE"/>
        </w:rPr>
        <w:t>oles and responsibilities for data collection, analysis and monitoring:</w:t>
      </w:r>
      <w:r w:rsidR="003E42CF" w:rsidRPr="003E42CF">
        <w:t xml:space="preserve"> </w:t>
      </w:r>
      <w:r w:rsidR="003E42CF">
        <w:t xml:space="preserve">the implementation of the Action will be monitored at the sector level through the established 2020 Performance Assessment Framework (PAF), which includes outcome and impact indicators, targets and baseline data. PAF has been established as a web-based application (backed up by a government decision on responsibilities and deadlines), allowing regular electronic data input, processing, and analytics. The PAF data will be used in the Sector Working Group on Health, which is also the inclusive platform for all stakeholders to monitor the implementation of the sector priorities. </w:t>
      </w:r>
    </w:p>
    <w:p w14:paraId="28DB4C03" w14:textId="6646B1A0" w:rsidR="003E42CF" w:rsidRDefault="003E42CF" w:rsidP="00B6363B">
      <w:pPr>
        <w:spacing w:before="120"/>
        <w:ind w:left="142"/>
        <w:jc w:val="both"/>
      </w:pPr>
      <w:r>
        <w:t>At the output level, data about each project and contract implementation will be collected in OPSYS. They will be based on official reports, acceptance certificates or equivalent documents. The competent actors are expected to produce timely and meaningful data to monitor the results and impact of the Action.</w:t>
      </w:r>
    </w:p>
    <w:p w14:paraId="470BBD67" w14:textId="77777777" w:rsidR="00143C18" w:rsidRPr="003C0CD7" w:rsidRDefault="00FD7FCD" w:rsidP="003C0CD7">
      <w:pPr>
        <w:pStyle w:val="Heading1"/>
        <w:numPr>
          <w:ilvl w:val="1"/>
          <w:numId w:val="1"/>
        </w:numPr>
        <w:rPr>
          <w:lang w:val="en-IE"/>
        </w:rPr>
      </w:pPr>
      <w:bookmarkStart w:id="347" w:name="_Toc47101985"/>
      <w:bookmarkStart w:id="348" w:name="_Toc51270480"/>
      <w:bookmarkStart w:id="349" w:name="_Ref58841072"/>
      <w:bookmarkStart w:id="350" w:name="_Toc73090780"/>
      <w:r w:rsidRPr="003C0CD7">
        <w:rPr>
          <w:lang w:val="en-IE"/>
        </w:rPr>
        <w:t>Evaluation</w:t>
      </w:r>
      <w:bookmarkEnd w:id="347"/>
      <w:bookmarkEnd w:id="348"/>
      <w:bookmarkEnd w:id="349"/>
      <w:bookmarkEnd w:id="350"/>
    </w:p>
    <w:p w14:paraId="63210778" w14:textId="6648D02A" w:rsidR="00093D10" w:rsidRPr="00C85643" w:rsidRDefault="00D54B6E" w:rsidP="00B6363B">
      <w:pPr>
        <w:spacing w:before="120"/>
        <w:ind w:left="142"/>
        <w:jc w:val="both"/>
      </w:pPr>
      <w:r w:rsidRPr="00093D10">
        <w:t>Having regard to the importance</w:t>
      </w:r>
      <w:r w:rsidR="003E42CF" w:rsidRPr="00093D10">
        <w:t xml:space="preserve"> </w:t>
      </w:r>
      <w:r w:rsidRPr="00093D10">
        <w:t xml:space="preserve">of the </w:t>
      </w:r>
      <w:r w:rsidR="003E42CF" w:rsidRPr="00093D10">
        <w:t>A</w:t>
      </w:r>
      <w:r w:rsidRPr="00093D10">
        <w:t>ction, a</w:t>
      </w:r>
      <w:r w:rsidR="003E42CF" w:rsidRPr="00093D10">
        <w:t xml:space="preserve"> </w:t>
      </w:r>
      <w:r w:rsidRPr="00093D10">
        <w:t>final evaluation will</w:t>
      </w:r>
      <w:r w:rsidR="003E42CF" w:rsidRPr="00093D10">
        <w:t xml:space="preserve"> </w:t>
      </w:r>
      <w:r w:rsidRPr="00093D10">
        <w:t xml:space="preserve">be carried out for this </w:t>
      </w:r>
      <w:r w:rsidR="003E42CF" w:rsidRPr="00093D10">
        <w:t>A</w:t>
      </w:r>
      <w:r w:rsidRPr="00093D10">
        <w:t xml:space="preserve">ction or </w:t>
      </w:r>
      <w:r w:rsidRPr="00093D10">
        <w:rPr>
          <w:snapToGrid w:val="0"/>
        </w:rPr>
        <w:t>its components</w:t>
      </w:r>
      <w:r w:rsidRPr="00093D10">
        <w:t xml:space="preserve"> via independent consultants</w:t>
      </w:r>
      <w:r w:rsidR="003E42CF" w:rsidRPr="00093D10">
        <w:t>.</w:t>
      </w:r>
      <w:r w:rsidRPr="00093D10">
        <w:t xml:space="preserve"> It will be carried out for accountability and learning purposes at various levels (including for policy revision</w:t>
      </w:r>
      <w:r w:rsidR="00093D10">
        <w:t>).</w:t>
      </w:r>
    </w:p>
    <w:p w14:paraId="4528B394" w14:textId="5A498C51" w:rsidR="00D54B6E" w:rsidRPr="00093D10" w:rsidRDefault="00D54B6E" w:rsidP="00B6363B">
      <w:pPr>
        <w:spacing w:before="120" w:line="280" w:lineRule="atLeast"/>
        <w:ind w:left="142"/>
        <w:jc w:val="both"/>
        <w:rPr>
          <w:snapToGrid w:val="0"/>
        </w:rPr>
      </w:pPr>
      <w:r w:rsidRPr="00C85643">
        <w:t xml:space="preserve"> </w:t>
      </w:r>
      <w:r w:rsidRPr="00093D10">
        <w:t xml:space="preserve">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 </w:t>
      </w:r>
      <w:r w:rsidRPr="00093D10" w:rsidDel="00046EBD">
        <w:t xml:space="preserve"> </w:t>
      </w:r>
      <w:r w:rsidRPr="00093D10">
        <w:t xml:space="preserve">The Commission shall inform the implementing partner at least </w:t>
      </w:r>
      <w:r w:rsidR="00093D10" w:rsidRPr="00093D10">
        <w:t xml:space="preserve">2 </w:t>
      </w:r>
      <w:r w:rsidRPr="00093D10">
        <w:t xml:space="preserve">months in advance of the dates envisaged for the evaluation </w:t>
      </w:r>
      <w:r w:rsidRPr="00093D10">
        <w:rPr>
          <w:snapToGrid w:val="0"/>
        </w:rPr>
        <w:t xml:space="preserve">exercise and </w:t>
      </w:r>
      <w:r w:rsidRPr="00093D10">
        <w:t>missions. The implementing partner shall collaborate efficiently and effectively with the evaluation experts, and inter alia provide them with all necessary information and documentation, as well as access to the project premises and activities.</w:t>
      </w:r>
      <w:r w:rsidRPr="00093D10">
        <w:rPr>
          <w:snapToGrid w:val="0"/>
        </w:rPr>
        <w:t xml:space="preserve"> </w:t>
      </w:r>
    </w:p>
    <w:p w14:paraId="0E1A77F8" w14:textId="77777777" w:rsidR="00D54B6E" w:rsidRPr="00C85643" w:rsidRDefault="00D54B6E" w:rsidP="00B6363B">
      <w:pPr>
        <w:spacing w:before="120" w:line="280" w:lineRule="atLeast"/>
        <w:ind w:left="142"/>
        <w:jc w:val="both"/>
      </w:pPr>
      <w:r w:rsidRPr="00C85643">
        <w:t>The evaluation reports shall be shared with the partner country and other key stakeholders following the best practice of evaluation dissemination</w:t>
      </w:r>
      <w:r w:rsidRPr="00C85643">
        <w:rPr>
          <w:rStyle w:val="FootnoteReference"/>
        </w:rPr>
        <w:footnoteReference w:id="35"/>
      </w:r>
      <w:r w:rsidRPr="00C85643">
        <w:t xml:space="preserve">.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3BE06045" w14:textId="77777777" w:rsidR="00143C18" w:rsidRPr="003C0CD7" w:rsidRDefault="00BA0E8A" w:rsidP="003C0CD7">
      <w:pPr>
        <w:pStyle w:val="Heading1"/>
        <w:numPr>
          <w:ilvl w:val="1"/>
          <w:numId w:val="1"/>
        </w:numPr>
        <w:rPr>
          <w:lang w:val="en-IE"/>
        </w:rPr>
      </w:pPr>
      <w:bookmarkStart w:id="351" w:name="_Ref58841050"/>
      <w:bookmarkStart w:id="352" w:name="_Toc73090781"/>
      <w:r w:rsidRPr="003C0CD7">
        <w:rPr>
          <w:lang w:val="en-IE"/>
        </w:rPr>
        <w:t xml:space="preserve">Audit and </w:t>
      </w:r>
      <w:r w:rsidR="0079347D" w:rsidRPr="003C0CD7">
        <w:rPr>
          <w:lang w:val="en-IE"/>
        </w:rPr>
        <w:t>V</w:t>
      </w:r>
      <w:r w:rsidR="000F408A" w:rsidRPr="003C0CD7">
        <w:rPr>
          <w:lang w:val="en-IE"/>
        </w:rPr>
        <w:t>erifications</w:t>
      </w:r>
      <w:bookmarkEnd w:id="351"/>
      <w:bookmarkEnd w:id="352"/>
    </w:p>
    <w:p w14:paraId="29DA0225" w14:textId="77777777" w:rsidR="00E360A2" w:rsidRPr="006477D1" w:rsidRDefault="00E360A2" w:rsidP="00B6363B">
      <w:pPr>
        <w:ind w:left="142"/>
        <w:jc w:val="both"/>
        <w:rPr>
          <w:lang w:val="en-IE"/>
        </w:rPr>
      </w:pPr>
      <w:r w:rsidRPr="003C0CD7">
        <w:rPr>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lang w:val="en-IE"/>
        </w:rPr>
        <w:t>everal contracts or agreements.</w:t>
      </w:r>
    </w:p>
    <w:p w14:paraId="2B911F6F" w14:textId="77777777" w:rsidR="00143C18" w:rsidRDefault="00B85F70" w:rsidP="007C0CF8">
      <w:pPr>
        <w:pStyle w:val="Heading1"/>
        <w:ind w:left="567"/>
        <w:rPr>
          <w:lang w:val="en-IE"/>
        </w:rPr>
      </w:pPr>
      <w:bookmarkStart w:id="353" w:name="_Toc47101987"/>
      <w:bookmarkStart w:id="354" w:name="_Toc51270482"/>
      <w:bookmarkStart w:id="355" w:name="_Ref58359370"/>
      <w:bookmarkStart w:id="356" w:name="_Ref58841100"/>
      <w:bookmarkStart w:id="357" w:name="_Toc73090782"/>
      <w:r>
        <w:rPr>
          <w:lang w:val="en-IE"/>
        </w:rPr>
        <w:lastRenderedPageBreak/>
        <w:t xml:space="preserve">STRATEGIC </w:t>
      </w:r>
      <w:r w:rsidR="00BE77D6" w:rsidRPr="003C0CD7">
        <w:rPr>
          <w:lang w:val="en-IE"/>
        </w:rPr>
        <w:t xml:space="preserve">COMMUNICATION AND </w:t>
      </w:r>
      <w:bookmarkEnd w:id="353"/>
      <w:bookmarkEnd w:id="354"/>
      <w:bookmarkEnd w:id="355"/>
      <w:bookmarkEnd w:id="356"/>
      <w:bookmarkEnd w:id="357"/>
      <w:r>
        <w:rPr>
          <w:lang w:val="en-IE"/>
        </w:rPr>
        <w:t>PUBLIC DIPLOMACY</w:t>
      </w:r>
      <w:r w:rsidRPr="003C0CD7">
        <w:rPr>
          <w:lang w:val="en-IE"/>
        </w:rPr>
        <w:t xml:space="preserve"> </w:t>
      </w:r>
    </w:p>
    <w:p w14:paraId="31BB5515" w14:textId="374826F1" w:rsidR="00610A90" w:rsidRDefault="00610A90" w:rsidP="00B6363B">
      <w:pPr>
        <w:spacing w:before="120"/>
        <w:ind w:left="142"/>
        <w:jc w:val="both"/>
        <w:rPr>
          <w:color w:val="0D0D0D" w:themeColor="text1" w:themeTint="F2"/>
        </w:rPr>
      </w:pPr>
      <w:r w:rsidRPr="00076DCC">
        <w:t>A</w:t>
      </w:r>
      <w:r w:rsidRPr="00076DCC">
        <w:rPr>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Pr="00076DCC">
        <w:rPr>
          <w:color w:val="0D0D0D" w:themeColor="text1" w:themeTint="F2"/>
        </w:rPr>
        <w:t xml:space="preserve">To that end they must comply with the instructions given in the </w:t>
      </w:r>
      <w:r>
        <w:rPr>
          <w:color w:val="0D0D0D" w:themeColor="text1" w:themeTint="F2"/>
        </w:rPr>
        <w:t xml:space="preserve">2022 guidance document </w:t>
      </w:r>
      <w:hyperlink r:id="rId19" w:history="1">
        <w:r w:rsidRPr="00FC5D8D">
          <w:rPr>
            <w:rStyle w:val="Hyperlink"/>
            <w:i/>
          </w:rPr>
          <w:t>Communicating and raising EU visibility: Guidance for external actions</w:t>
        </w:r>
      </w:hyperlink>
      <w:r w:rsidRPr="008C7B9F">
        <w:rPr>
          <w:color w:val="0D0D0D" w:themeColor="text1" w:themeTint="F2"/>
        </w:rPr>
        <w:t xml:space="preserve"> </w:t>
      </w:r>
      <w:r w:rsidRPr="00076DCC">
        <w:rPr>
          <w:color w:val="0D0D0D" w:themeColor="text1" w:themeTint="F2"/>
        </w:rPr>
        <w:t xml:space="preserve">(or any successor document).  </w:t>
      </w:r>
    </w:p>
    <w:p w14:paraId="7ABBD18E" w14:textId="77777777" w:rsidR="00610A90" w:rsidRPr="00C85643" w:rsidRDefault="00610A90" w:rsidP="00B6363B">
      <w:pPr>
        <w:spacing w:before="120"/>
        <w:ind w:left="142"/>
        <w:jc w:val="both"/>
        <w:rPr>
          <w:color w:val="0D0D0D" w:themeColor="text1" w:themeTint="F2"/>
        </w:rPr>
      </w:pPr>
      <w:r w:rsidRPr="00076DCC">
        <w:rPr>
          <w:color w:val="0D0D0D" w:themeColor="text1" w:themeTint="F2"/>
        </w:rPr>
        <w:t>This obligation will apply equally, regardless of whether</w:t>
      </w:r>
      <w:r w:rsidRPr="00C85643">
        <w:rPr>
          <w:color w:val="0D0D0D" w:themeColor="text1" w:themeTint="F2"/>
        </w:rPr>
        <w:t xml:space="preserve"> the </w:t>
      </w:r>
      <w:r w:rsidRPr="00076DCC">
        <w:rPr>
          <w:color w:val="0D0D0D" w:themeColor="text1" w:themeTint="F2"/>
        </w:rPr>
        <w:t>actions concerned are</w:t>
      </w:r>
      <w:r w:rsidRPr="00C85643">
        <w:rPr>
          <w:color w:val="0D0D0D" w:themeColor="text1" w:themeTint="F2"/>
        </w:rPr>
        <w:t xml:space="preserve"> implemented by the </w:t>
      </w:r>
      <w:r w:rsidRPr="00076DCC">
        <w:rPr>
          <w:color w:val="0D0D0D" w:themeColor="text1" w:themeTint="F2"/>
        </w:rPr>
        <w:t>Commission,</w:t>
      </w:r>
      <w:r w:rsidRPr="00C85643">
        <w:rPr>
          <w:color w:val="0D0D0D" w:themeColor="text1" w:themeTint="F2"/>
        </w:rPr>
        <w:t xml:space="preserve"> the </w:t>
      </w:r>
      <w:r w:rsidRPr="00076DCC">
        <w:rPr>
          <w:color w:val="0D0D0D" w:themeColor="text1" w:themeTint="F2"/>
        </w:rPr>
        <w:t xml:space="preserve">partner country, service providers, </w:t>
      </w:r>
      <w:r w:rsidRPr="00C85643">
        <w:rPr>
          <w:color w:val="0D0D0D" w:themeColor="text1" w:themeTint="F2"/>
        </w:rPr>
        <w:t>grant beneficiaries</w:t>
      </w:r>
      <w:r w:rsidRPr="00076DCC">
        <w:rPr>
          <w:color w:val="0D0D0D" w:themeColor="text1" w:themeTint="F2"/>
        </w:rPr>
        <w:t xml:space="preserve"> or entrusted or delegated entities such as UN agencies, international financial institutions and agencies of EU Member States. In each case, a reference to the relevant </w:t>
      </w:r>
      <w:r w:rsidRPr="00C85643">
        <w:rPr>
          <w:color w:val="0D0D0D" w:themeColor="text1" w:themeTint="F2"/>
        </w:rPr>
        <w:t xml:space="preserve">contractual obligations </w:t>
      </w:r>
      <w:r w:rsidRPr="00076DCC">
        <w:rPr>
          <w:color w:val="0D0D0D" w:themeColor="text1" w:themeTint="F2"/>
        </w:rPr>
        <w:t>must</w:t>
      </w:r>
      <w:r w:rsidRPr="00C85643">
        <w:rPr>
          <w:color w:val="0D0D0D" w:themeColor="text1" w:themeTint="F2"/>
        </w:rPr>
        <w:t xml:space="preserve"> be included in </w:t>
      </w:r>
      <w:r w:rsidRPr="00076DCC">
        <w:rPr>
          <w:color w:val="0D0D0D" w:themeColor="text1" w:themeTint="F2"/>
        </w:rPr>
        <w:t xml:space="preserve">the respective </w:t>
      </w:r>
      <w:r w:rsidRPr="00C85643">
        <w:rPr>
          <w:color w:val="0D0D0D" w:themeColor="text1" w:themeTint="F2"/>
        </w:rPr>
        <w:t xml:space="preserve">financing </w:t>
      </w:r>
      <w:r w:rsidRPr="00076DCC">
        <w:rPr>
          <w:color w:val="0D0D0D" w:themeColor="text1" w:themeTint="F2"/>
        </w:rPr>
        <w:t>agreement,</w:t>
      </w:r>
      <w:r w:rsidRPr="00C85643">
        <w:rPr>
          <w:color w:val="0D0D0D" w:themeColor="text1" w:themeTint="F2"/>
        </w:rPr>
        <w:t xml:space="preserve"> procurement and grant contracts</w:t>
      </w:r>
      <w:r w:rsidRPr="00076DCC">
        <w:rPr>
          <w:color w:val="0D0D0D" w:themeColor="text1" w:themeTint="F2"/>
        </w:rPr>
        <w:t xml:space="preserve">, and </w:t>
      </w:r>
      <w:r>
        <w:rPr>
          <w:color w:val="0D0D0D" w:themeColor="text1" w:themeTint="F2"/>
        </w:rPr>
        <w:t>contribution</w:t>
      </w:r>
      <w:r w:rsidRPr="00076DCC">
        <w:rPr>
          <w:color w:val="0D0D0D" w:themeColor="text1" w:themeTint="F2"/>
        </w:rPr>
        <w:t xml:space="preserve"> agreements</w:t>
      </w:r>
      <w:r w:rsidRPr="00C85643">
        <w:rPr>
          <w:color w:val="0D0D0D" w:themeColor="text1" w:themeTint="F2"/>
        </w:rPr>
        <w:t>.</w:t>
      </w:r>
    </w:p>
    <w:p w14:paraId="6071410D" w14:textId="77777777" w:rsidR="0099058C" w:rsidRPr="003C0CD7" w:rsidRDefault="0099058C" w:rsidP="007C0CF8">
      <w:pPr>
        <w:pStyle w:val="Heading1"/>
        <w:ind w:left="567"/>
        <w:rPr>
          <w:sz w:val="32"/>
          <w:lang w:val="en-IE"/>
        </w:rPr>
      </w:pPr>
      <w:bookmarkStart w:id="358" w:name="_Toc72142276"/>
      <w:bookmarkStart w:id="359" w:name="_Toc72142361"/>
      <w:bookmarkStart w:id="360" w:name="_Toc73090700"/>
      <w:bookmarkStart w:id="361" w:name="_Toc73090783"/>
      <w:bookmarkStart w:id="362" w:name="_Toc72142277"/>
      <w:bookmarkStart w:id="363" w:name="_Toc72142362"/>
      <w:bookmarkStart w:id="364" w:name="_Toc73090701"/>
      <w:bookmarkStart w:id="365" w:name="_Toc73090784"/>
      <w:bookmarkStart w:id="366" w:name="_Toc72142278"/>
      <w:bookmarkStart w:id="367" w:name="_Toc72142363"/>
      <w:bookmarkStart w:id="368" w:name="_Toc73090702"/>
      <w:bookmarkStart w:id="369" w:name="_Toc73090785"/>
      <w:bookmarkStart w:id="370" w:name="_Toc72142279"/>
      <w:bookmarkStart w:id="371" w:name="_Toc72142364"/>
      <w:bookmarkStart w:id="372" w:name="_Toc73090703"/>
      <w:bookmarkStart w:id="373" w:name="_Toc73090786"/>
      <w:bookmarkStart w:id="374" w:name="_Toc72142280"/>
      <w:bookmarkStart w:id="375" w:name="_Toc72142365"/>
      <w:bookmarkStart w:id="376" w:name="_Toc73090704"/>
      <w:bookmarkStart w:id="377" w:name="_Toc73090787"/>
      <w:bookmarkStart w:id="378" w:name="_Toc72142281"/>
      <w:bookmarkStart w:id="379" w:name="_Toc72142366"/>
      <w:bookmarkStart w:id="380" w:name="_Toc73090705"/>
      <w:bookmarkStart w:id="381" w:name="_Toc73090788"/>
      <w:bookmarkStart w:id="382" w:name="_Toc72142285"/>
      <w:bookmarkStart w:id="383" w:name="_Toc72142370"/>
      <w:bookmarkStart w:id="384" w:name="_Toc73090709"/>
      <w:bookmarkStart w:id="385" w:name="_Toc73090792"/>
      <w:bookmarkStart w:id="386" w:name="_Toc72142286"/>
      <w:bookmarkStart w:id="387" w:name="_Toc72142371"/>
      <w:bookmarkStart w:id="388" w:name="_Toc73090710"/>
      <w:bookmarkStart w:id="389" w:name="_Toc73090793"/>
      <w:bookmarkStart w:id="390" w:name="_Toc72142287"/>
      <w:bookmarkStart w:id="391" w:name="_Toc72142372"/>
      <w:bookmarkStart w:id="392" w:name="_Toc73090711"/>
      <w:bookmarkStart w:id="393" w:name="_Toc73090794"/>
      <w:bookmarkStart w:id="394" w:name="_Toc72142291"/>
      <w:bookmarkStart w:id="395" w:name="_Toc72142376"/>
      <w:bookmarkStart w:id="396" w:name="_Toc73090715"/>
      <w:bookmarkStart w:id="397" w:name="_Toc73090798"/>
      <w:bookmarkStart w:id="398" w:name="_Toc72142292"/>
      <w:bookmarkStart w:id="399" w:name="_Toc72142377"/>
      <w:bookmarkStart w:id="400" w:name="_Toc73090716"/>
      <w:bookmarkStart w:id="401" w:name="_Toc73090799"/>
      <w:bookmarkStart w:id="402" w:name="_Toc72142293"/>
      <w:bookmarkStart w:id="403" w:name="_Toc72142378"/>
      <w:bookmarkStart w:id="404" w:name="_Toc73090717"/>
      <w:bookmarkStart w:id="405" w:name="_Toc73090800"/>
      <w:bookmarkStart w:id="406" w:name="_Toc72142297"/>
      <w:bookmarkStart w:id="407" w:name="_Toc72142382"/>
      <w:bookmarkStart w:id="408" w:name="_Toc73090721"/>
      <w:bookmarkStart w:id="409" w:name="_Toc73090804"/>
      <w:bookmarkStart w:id="410" w:name="_Toc72142298"/>
      <w:bookmarkStart w:id="411" w:name="_Toc72142383"/>
      <w:bookmarkStart w:id="412" w:name="_Toc73090722"/>
      <w:bookmarkStart w:id="413" w:name="_Toc73090805"/>
      <w:bookmarkStart w:id="414" w:name="_Toc72142299"/>
      <w:bookmarkStart w:id="415" w:name="_Toc72142384"/>
      <w:bookmarkStart w:id="416" w:name="_Toc73090723"/>
      <w:bookmarkStart w:id="417" w:name="_Toc73090806"/>
      <w:bookmarkStart w:id="418" w:name="_Toc57195485"/>
      <w:bookmarkStart w:id="419" w:name="_Toc57203809"/>
      <w:bookmarkStart w:id="420" w:name="_Toc57204007"/>
      <w:bookmarkStart w:id="421" w:name="_Toc57205822"/>
      <w:bookmarkStart w:id="422" w:name="_Toc7309080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3C0CD7">
        <w:rPr>
          <w:lang w:val="en-IE"/>
        </w:rPr>
        <w:t>SUSTAINABILITY</w:t>
      </w:r>
      <w:bookmarkEnd w:id="418"/>
      <w:bookmarkEnd w:id="419"/>
      <w:bookmarkEnd w:id="420"/>
      <w:bookmarkEnd w:id="421"/>
      <w:bookmarkEnd w:id="422"/>
    </w:p>
    <w:p w14:paraId="66C24B72" w14:textId="77777777" w:rsidR="00D027DE" w:rsidRDefault="00204CD2" w:rsidP="00B6363B">
      <w:pPr>
        <w:spacing w:before="120"/>
        <w:ind w:left="142"/>
        <w:jc w:val="both"/>
        <w:rPr>
          <w:lang w:val="en-IE"/>
        </w:rPr>
      </w:pPr>
      <w:r w:rsidRPr="00534902">
        <w:rPr>
          <w:lang w:val="en-IE"/>
        </w:rPr>
        <w:t>The sustainability potential of the Action is high at institutional, regula</w:t>
      </w:r>
      <w:r w:rsidR="00D027DE">
        <w:rPr>
          <w:lang w:val="en-IE"/>
        </w:rPr>
        <w:t xml:space="preserve">tory, </w:t>
      </w:r>
      <w:r w:rsidRPr="00534902">
        <w:rPr>
          <w:lang w:val="en-IE"/>
        </w:rPr>
        <w:t xml:space="preserve">financial </w:t>
      </w:r>
      <w:r w:rsidR="00D027DE">
        <w:rPr>
          <w:lang w:val="en-IE"/>
        </w:rPr>
        <w:t xml:space="preserve">and cultural </w:t>
      </w:r>
      <w:r w:rsidRPr="00534902">
        <w:rPr>
          <w:lang w:val="en-IE"/>
        </w:rPr>
        <w:t xml:space="preserve">levels. It is defined by the cross-pollination of capacity building, </w:t>
      </w:r>
      <w:r w:rsidR="00B14639">
        <w:rPr>
          <w:lang w:val="en-IE"/>
        </w:rPr>
        <w:t xml:space="preserve">upgrade of </w:t>
      </w:r>
      <w:r>
        <w:rPr>
          <w:lang w:val="en-IE"/>
        </w:rPr>
        <w:t>procedures</w:t>
      </w:r>
      <w:r w:rsidRPr="00534902">
        <w:rPr>
          <w:lang w:val="en-IE"/>
        </w:rPr>
        <w:t xml:space="preserve">, investments in </w:t>
      </w:r>
      <w:r>
        <w:rPr>
          <w:lang w:val="en-IE"/>
        </w:rPr>
        <w:t xml:space="preserve">technological </w:t>
      </w:r>
      <w:r w:rsidRPr="00534902">
        <w:rPr>
          <w:lang w:val="en-IE"/>
        </w:rPr>
        <w:t>infrastructure</w:t>
      </w:r>
      <w:r>
        <w:rPr>
          <w:lang w:val="en-IE"/>
        </w:rPr>
        <w:t>s and emergency vehicles</w:t>
      </w:r>
      <w:r w:rsidRPr="00534902">
        <w:rPr>
          <w:lang w:val="en-IE"/>
        </w:rPr>
        <w:t xml:space="preserve">, data management, and raising awareness measures. </w:t>
      </w:r>
    </w:p>
    <w:p w14:paraId="441E95CA" w14:textId="59E0DD45" w:rsidR="00D027DE" w:rsidRDefault="00204CD2" w:rsidP="00B6363B">
      <w:pPr>
        <w:spacing w:before="120"/>
        <w:ind w:left="142"/>
        <w:jc w:val="both"/>
        <w:rPr>
          <w:lang w:val="en-IE"/>
        </w:rPr>
      </w:pPr>
      <w:r w:rsidRPr="00534902">
        <w:rPr>
          <w:lang w:val="en-IE"/>
        </w:rPr>
        <w:t xml:space="preserve">The body of knowledge will be improved along with the regulative environment. </w:t>
      </w:r>
      <w:r>
        <w:rPr>
          <w:lang w:val="en-IE"/>
        </w:rPr>
        <w:t>The new regulations and practices are expected to</w:t>
      </w:r>
      <w:r w:rsidRPr="00534902">
        <w:rPr>
          <w:lang w:val="en-IE"/>
        </w:rPr>
        <w:t xml:space="preserve"> become an integral part of the everyday activities of </w:t>
      </w:r>
      <w:r w:rsidR="00B14639">
        <w:rPr>
          <w:lang w:val="en-IE"/>
        </w:rPr>
        <w:t>institutions, health care practitioners and health</w:t>
      </w:r>
      <w:r w:rsidRPr="00534902">
        <w:rPr>
          <w:lang w:val="en-IE"/>
        </w:rPr>
        <w:t xml:space="preserve"> </w:t>
      </w:r>
      <w:r w:rsidR="00B14639">
        <w:rPr>
          <w:lang w:val="en-IE"/>
        </w:rPr>
        <w:t xml:space="preserve">system managers, and this will support sustaining of the achieved </w:t>
      </w:r>
      <w:r w:rsidRPr="00534902">
        <w:rPr>
          <w:lang w:val="en-IE"/>
        </w:rPr>
        <w:t>results</w:t>
      </w:r>
      <w:r w:rsidR="00B14639">
        <w:rPr>
          <w:lang w:val="en-IE"/>
        </w:rPr>
        <w:t xml:space="preserve"> in medium-term perspective</w:t>
      </w:r>
      <w:r w:rsidRPr="00534902">
        <w:rPr>
          <w:lang w:val="en-IE"/>
        </w:rPr>
        <w:t>.</w:t>
      </w:r>
      <w:r w:rsidR="00D027DE">
        <w:rPr>
          <w:lang w:val="en-IE"/>
        </w:rPr>
        <w:t xml:space="preserve"> The Action is also expected to trigger </w:t>
      </w:r>
      <w:r w:rsidR="00D027DE" w:rsidRPr="008078A9">
        <w:rPr>
          <w:lang w:val="en-IE"/>
        </w:rPr>
        <w:t xml:space="preserve">changes in the behaviour of individuals </w:t>
      </w:r>
      <w:r w:rsidR="00D027DE">
        <w:rPr>
          <w:lang w:val="en-IE"/>
        </w:rPr>
        <w:t>and support healthier life style patterns among young people</w:t>
      </w:r>
      <w:r w:rsidR="00D027DE" w:rsidRPr="008078A9">
        <w:rPr>
          <w:lang w:val="en-IE"/>
        </w:rPr>
        <w:t>.</w:t>
      </w:r>
      <w:r w:rsidR="00D027DE">
        <w:rPr>
          <w:lang w:val="en-IE"/>
        </w:rPr>
        <w:t xml:space="preserve"> </w:t>
      </w:r>
    </w:p>
    <w:p w14:paraId="24AE413D" w14:textId="492F316F" w:rsidR="00D027DE" w:rsidRDefault="00204CD2" w:rsidP="00B6363B">
      <w:pPr>
        <w:spacing w:before="120"/>
        <w:ind w:left="142"/>
        <w:jc w:val="both"/>
        <w:rPr>
          <w:lang w:val="en-IE"/>
        </w:rPr>
      </w:pPr>
      <w:r w:rsidRPr="008078A9">
        <w:rPr>
          <w:lang w:val="en-IE"/>
        </w:rPr>
        <w:t xml:space="preserve">Radiology and early diagnosis of cancer </w:t>
      </w:r>
      <w:r w:rsidR="003910AA">
        <w:rPr>
          <w:lang w:val="en-IE"/>
        </w:rPr>
        <w:t xml:space="preserve">along with the modernised emergency services and the more efficient mobile health teams </w:t>
      </w:r>
      <w:r w:rsidRPr="008078A9">
        <w:rPr>
          <w:lang w:val="en-IE"/>
        </w:rPr>
        <w:t xml:space="preserve">will </w:t>
      </w:r>
      <w:r w:rsidR="00B14639">
        <w:rPr>
          <w:lang w:val="en-IE"/>
        </w:rPr>
        <w:t xml:space="preserve">have an </w:t>
      </w:r>
      <w:r w:rsidRPr="008078A9">
        <w:rPr>
          <w:lang w:val="en-IE"/>
        </w:rPr>
        <w:t xml:space="preserve">immediate impact </w:t>
      </w:r>
      <w:r w:rsidR="00B14639">
        <w:rPr>
          <w:lang w:val="en-IE"/>
        </w:rPr>
        <w:t>on the</w:t>
      </w:r>
      <w:r w:rsidR="00796433">
        <w:rPr>
          <w:lang w:val="en-IE"/>
        </w:rPr>
        <w:t xml:space="preserve"> patient's health, </w:t>
      </w:r>
      <w:r w:rsidR="00796433">
        <w:t>quality of life and longevity</w:t>
      </w:r>
      <w:r w:rsidR="00796433">
        <w:rPr>
          <w:lang w:val="en-IE"/>
        </w:rPr>
        <w:t xml:space="preserve">, </w:t>
      </w:r>
      <w:r w:rsidR="003910AA">
        <w:rPr>
          <w:lang w:val="en-IE"/>
        </w:rPr>
        <w:t xml:space="preserve">while also strengthening the link between patients and health system and creating a new dynamic in the health reforms. Thus, the action will continue to generate benefits also at policy level. </w:t>
      </w:r>
      <w:r w:rsidR="003910AA" w:rsidRPr="00A94A8F">
        <w:rPr>
          <w:lang w:val="en-IE"/>
        </w:rPr>
        <w:t xml:space="preserve">The </w:t>
      </w:r>
      <w:r w:rsidR="00D027DE">
        <w:rPr>
          <w:lang w:val="en-IE"/>
        </w:rPr>
        <w:t xml:space="preserve">intended upgrade of the </w:t>
      </w:r>
      <w:r w:rsidR="003910AA" w:rsidRPr="00A94A8F">
        <w:rPr>
          <w:lang w:val="en-IE"/>
        </w:rPr>
        <w:t xml:space="preserve">e-Health system </w:t>
      </w:r>
      <w:r w:rsidR="00D027DE">
        <w:rPr>
          <w:lang w:val="en-IE"/>
        </w:rPr>
        <w:t>is not only extending the services to the population, nut</w:t>
      </w:r>
      <w:r w:rsidR="003910AA" w:rsidRPr="00A94A8F">
        <w:rPr>
          <w:lang w:val="en-IE"/>
        </w:rPr>
        <w:t xml:space="preserve"> will substantially improve the efficiency and effectiveness of the health system </w:t>
      </w:r>
      <w:r w:rsidR="00D027DE">
        <w:rPr>
          <w:lang w:val="en-IE"/>
        </w:rPr>
        <w:t xml:space="preserve">management, providing richer disaggregated data for policy-making purposes. </w:t>
      </w:r>
    </w:p>
    <w:p w14:paraId="29CB394A" w14:textId="1AA69165" w:rsidR="00C30790" w:rsidRPr="00777A7C" w:rsidRDefault="00C30790" w:rsidP="00B6363B">
      <w:pPr>
        <w:spacing w:before="120"/>
        <w:ind w:left="142"/>
        <w:jc w:val="both"/>
      </w:pPr>
      <w:r w:rsidRPr="00777A7C">
        <w:rPr>
          <w:lang w:val="en-IE"/>
        </w:rPr>
        <w:t xml:space="preserve">In terms of equipment sustainability, </w:t>
      </w:r>
      <w:r w:rsidRPr="00777A7C">
        <w:t>the Ministry of Health has an annual budget for maintenance of software systems, which is intended to be utilised for maintenance of the purchased components ensuring sustainability. There are multiple examples of this already successfully implemented where an CAPEX budget is used for purchase upon which the maintenance and OPEX costs are later executed using the annual maintenance budget.</w:t>
      </w:r>
      <w:r w:rsidR="00777A7C" w:rsidRPr="00777A7C">
        <w:t xml:space="preserve"> </w:t>
      </w:r>
    </w:p>
    <w:p w14:paraId="455945C6" w14:textId="2EBA150F" w:rsidR="00204CD2" w:rsidRDefault="00777A7C" w:rsidP="00B6363B">
      <w:pPr>
        <w:spacing w:before="120"/>
        <w:ind w:left="142"/>
        <w:jc w:val="both"/>
        <w:rPr>
          <w:lang w:val="en-IE"/>
        </w:rPr>
      </w:pPr>
      <w:r w:rsidRPr="00B6363B">
        <w:t xml:space="preserve">Adopting </w:t>
      </w:r>
      <w:r w:rsidR="00371489">
        <w:t xml:space="preserve">the </w:t>
      </w:r>
      <w:r w:rsidRPr="00B6363B">
        <w:t>cloud-based infrastructure for storing and processing health care data will allow not only enhance</w:t>
      </w:r>
      <w:r w:rsidR="00371489">
        <w:t>ment</w:t>
      </w:r>
      <w:r w:rsidRPr="00B6363B">
        <w:t xml:space="preserve"> of data accessibility and security, but also will reduce the need for extensive physical data center and space. Implementing telemedicine system will optimize allocation of medical resources.</w:t>
      </w:r>
      <w:r w:rsidR="00B6363B">
        <w:t xml:space="preserve"> </w:t>
      </w:r>
      <w:r w:rsidR="00204CD2" w:rsidRPr="000D2653">
        <w:rPr>
          <w:lang w:val="en-IE"/>
        </w:rPr>
        <w:t>Another vector of sustainability is provided by the inclusive policy dialogue, which is expected (1) to support the implementation of the coherent sector policies underlying this Action by keeping a strong focus on the sector priorities, and (2) to translate the political commitment into sufficient funding and modern human resource management to ensure that the policy gains are sustained.</w:t>
      </w:r>
    </w:p>
    <w:p w14:paraId="2591F976" w14:textId="77777777" w:rsidR="00C10A17" w:rsidRPr="003C0CD7" w:rsidRDefault="00C10A17" w:rsidP="00B6363B">
      <w:pPr>
        <w:spacing w:before="120"/>
        <w:jc w:val="both"/>
        <w:rPr>
          <w:highlight w:val="yellow"/>
          <w:lang w:val="en-IE"/>
        </w:rPr>
      </w:pPr>
    </w:p>
    <w:p w14:paraId="68AC798A" w14:textId="38878E62" w:rsidR="006B5FFC" w:rsidRDefault="006B5FFC" w:rsidP="004D2C15">
      <w:pPr>
        <w:rPr>
          <w:lang w:val="en-IE"/>
        </w:rPr>
      </w:pPr>
      <w:bookmarkStart w:id="423" w:name="_Ref58428013"/>
    </w:p>
    <w:p w14:paraId="3BBF85BD" w14:textId="77777777" w:rsidR="005F6437" w:rsidRPr="00C85643" w:rsidRDefault="005F6437" w:rsidP="005F6437">
      <w:pPr>
        <w:rPr>
          <w:b/>
        </w:rPr>
      </w:pPr>
      <w:r w:rsidRPr="00C85643">
        <w:rPr>
          <w:b/>
        </w:rPr>
        <w:t xml:space="preserve">Appendix </w:t>
      </w:r>
      <w:r w:rsidRPr="00C85643">
        <w:rPr>
          <w:b/>
        </w:rPr>
        <w:fldChar w:fldCharType="begin"/>
      </w:r>
      <w:r w:rsidRPr="00C85643">
        <w:rPr>
          <w:b/>
        </w:rPr>
        <w:instrText xml:space="preserve"> SEQ Appendix \* ARABIC </w:instrText>
      </w:r>
      <w:r w:rsidRPr="00C85643">
        <w:rPr>
          <w:b/>
        </w:rPr>
        <w:fldChar w:fldCharType="separate"/>
      </w:r>
      <w:r w:rsidRPr="00C85643">
        <w:rPr>
          <w:b/>
        </w:rPr>
        <w:t>1</w:t>
      </w:r>
      <w:r w:rsidRPr="00C85643">
        <w:rPr>
          <w:b/>
        </w:rPr>
        <w:fldChar w:fldCharType="end"/>
      </w:r>
      <w:r w:rsidRPr="00C85643">
        <w:rPr>
          <w:b/>
        </w:rPr>
        <w:t xml:space="preserve">: </w:t>
      </w:r>
      <w:r>
        <w:rPr>
          <w:b/>
        </w:rPr>
        <w:t xml:space="preserve">IDENTIFICATION OF THE PRIMARY INTERVENTION LEVEL FOR </w:t>
      </w:r>
      <w:r w:rsidRPr="00C85643">
        <w:rPr>
          <w:b/>
        </w:rPr>
        <w:t>REPORTING IN OPSYS</w:t>
      </w:r>
    </w:p>
    <w:p w14:paraId="3D7A7F00" w14:textId="77777777" w:rsidR="005F6437" w:rsidRPr="00C85643" w:rsidRDefault="005F6437" w:rsidP="005F6437">
      <w:pPr>
        <w:rPr>
          <w:b/>
          <w:i/>
        </w:rPr>
      </w:pPr>
    </w:p>
    <w:p w14:paraId="1F66E696" w14:textId="77777777" w:rsidR="005F6437" w:rsidRPr="00C85643" w:rsidRDefault="005F6437" w:rsidP="00B6363B">
      <w:pPr>
        <w:jc w:val="both"/>
      </w:pPr>
      <w:r w:rsidRPr="005F1DC7">
        <w:lastRenderedPageBreak/>
        <w:t>A Primary intervention</w:t>
      </w:r>
      <w:r w:rsidRPr="000A76A6">
        <w:rPr>
          <w:rStyle w:val="FootnoteReference"/>
          <w:lang w:val="en-US"/>
        </w:rPr>
        <w:footnoteReference w:id="36"/>
      </w:r>
      <w:r w:rsidRPr="00AA3E2A">
        <w:t xml:space="preserve"> </w:t>
      </w:r>
      <w:r w:rsidRPr="005F1DC7">
        <w:t>(</w:t>
      </w:r>
      <w:r w:rsidRPr="00C85643">
        <w:t xml:space="preserve">project/programme) is a coherent set of results structured in a logical framework aiming at delivering development change or progress. </w:t>
      </w:r>
      <w:r w:rsidRPr="005F1DC7">
        <w:t xml:space="preserve">Identifying the level of </w:t>
      </w:r>
      <w:r w:rsidRPr="00C85643">
        <w:t xml:space="preserve">the primary intervention </w:t>
      </w:r>
      <w:r w:rsidRPr="005F1DC7">
        <w:t>will allow for:</w:t>
      </w:r>
      <w:r w:rsidRPr="005F1DC7" w:rsidDel="00B247CF">
        <w:t xml:space="preserve"> </w:t>
      </w:r>
    </w:p>
    <w:p w14:paraId="49A8DC30" w14:textId="77777777" w:rsidR="005F6437" w:rsidRPr="00541660" w:rsidRDefault="005F6437" w:rsidP="00B6363B">
      <w:pPr>
        <w:autoSpaceDE w:val="0"/>
        <w:autoSpaceDN w:val="0"/>
        <w:adjustRightInd w:val="0"/>
        <w:jc w:val="both"/>
        <w:rPr>
          <w:color w:val="000000"/>
          <w:szCs w:val="23"/>
          <w:lang w:val="en-US"/>
        </w:rPr>
      </w:pPr>
    </w:p>
    <w:p w14:paraId="6E13F327" w14:textId="77777777" w:rsidR="005F6437" w:rsidRPr="00541660" w:rsidRDefault="005F6437" w:rsidP="00B6363B">
      <w:pPr>
        <w:pStyle w:val="ListParagraph"/>
        <w:numPr>
          <w:ilvl w:val="0"/>
          <w:numId w:val="7"/>
        </w:numPr>
        <w:autoSpaceDE w:val="0"/>
        <w:autoSpaceDN w:val="0"/>
        <w:adjustRightInd w:val="0"/>
        <w:spacing w:after="169"/>
        <w:jc w:val="both"/>
        <w:rPr>
          <w:color w:val="000000"/>
          <w:szCs w:val="23"/>
          <w:lang w:val="en-US"/>
        </w:rPr>
      </w:pPr>
      <w:r w:rsidRPr="00541660">
        <w:rPr>
          <w:color w:val="000000"/>
          <w:szCs w:val="23"/>
          <w:lang w:val="en-US"/>
        </w:rPr>
        <w:t xml:space="preserve">Differentiating these Actions or Contracts from those that do not produce direct reportable development results, defined as support entities (i.e. audits, evaluations); </w:t>
      </w:r>
    </w:p>
    <w:p w14:paraId="0E641795" w14:textId="77777777" w:rsidR="005F6437" w:rsidRPr="00541660" w:rsidRDefault="005F6437" w:rsidP="00B6363B">
      <w:pPr>
        <w:pStyle w:val="ListParagraph"/>
        <w:numPr>
          <w:ilvl w:val="0"/>
          <w:numId w:val="7"/>
        </w:numPr>
        <w:autoSpaceDE w:val="0"/>
        <w:autoSpaceDN w:val="0"/>
        <w:adjustRightInd w:val="0"/>
        <w:spacing w:after="169"/>
        <w:jc w:val="both"/>
        <w:rPr>
          <w:color w:val="000000"/>
          <w:szCs w:val="23"/>
          <w:lang w:val="en-US"/>
        </w:rPr>
      </w:pPr>
      <w:r w:rsidRPr="00541660">
        <w:rPr>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30E95EB6" w14:textId="77777777" w:rsidR="005F6437" w:rsidRPr="00541660" w:rsidRDefault="005F6437" w:rsidP="00305F00">
      <w:pPr>
        <w:pStyle w:val="ListParagraph"/>
        <w:numPr>
          <w:ilvl w:val="0"/>
          <w:numId w:val="7"/>
        </w:numPr>
        <w:rPr>
          <w:color w:val="000000"/>
          <w:szCs w:val="23"/>
          <w:lang w:val="en-US"/>
        </w:rPr>
      </w:pPr>
      <w:r w:rsidRPr="00541660">
        <w:rPr>
          <w:color w:val="000000"/>
          <w:szCs w:val="23"/>
          <w:lang w:val="en-US"/>
        </w:rPr>
        <w:t>Having a complete and exhaustive mapping of all results-bearing Actions and Contracts.</w:t>
      </w:r>
    </w:p>
    <w:p w14:paraId="03E32CB6" w14:textId="77777777" w:rsidR="005F6437" w:rsidRPr="003C0CD7" w:rsidRDefault="005F6437" w:rsidP="004D2C15">
      <w:pPr>
        <w:rPr>
          <w:lang w:val="en-IE"/>
        </w:rPr>
      </w:pPr>
    </w:p>
    <w:p w14:paraId="06E32FC5" w14:textId="05015F16" w:rsidR="005F6437" w:rsidRPr="00A372C8" w:rsidRDefault="005F6437" w:rsidP="005F6437">
      <w:r>
        <w:rPr>
          <w:lang w:val="en-US"/>
        </w:rPr>
        <w:t>T</w:t>
      </w:r>
      <w:r w:rsidR="00A372C8">
        <w:rPr>
          <w:lang w:val="en-US"/>
        </w:rPr>
        <w:t>he present Action identifies as</w:t>
      </w:r>
    </w:p>
    <w:p w14:paraId="54AC40F4" w14:textId="77777777" w:rsidR="005F6437" w:rsidRPr="003C0CD7" w:rsidRDefault="005F6437" w:rsidP="005F6437">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5"/>
        <w:gridCol w:w="7579"/>
      </w:tblGrid>
      <w:tr w:rsidR="005F6437" w:rsidRPr="008704EA" w14:paraId="61E5F1E1" w14:textId="77777777" w:rsidTr="00FD71E4">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6F44A6CE" w14:textId="77777777" w:rsidR="005F6437" w:rsidRDefault="005F6437" w:rsidP="00FD71E4">
            <w:r w:rsidRPr="003C0CD7">
              <w:rPr>
                <w:b/>
                <w:bCs/>
                <w:lang w:val="en-IE"/>
              </w:rPr>
              <w:t>Action level</w:t>
            </w:r>
            <w:r>
              <w:rPr>
                <w:b/>
                <w:bCs/>
                <w:lang w:val="en-IE"/>
              </w:rPr>
              <w:t xml:space="preserve"> </w:t>
            </w:r>
            <w:r w:rsidRPr="003775F2">
              <w:rPr>
                <w:bCs/>
              </w:rPr>
              <w:t>(i.e. Budget support, Blending)</w:t>
            </w:r>
          </w:p>
          <w:p w14:paraId="37C028B1" w14:textId="77777777" w:rsidR="005F6437" w:rsidRPr="00C85643" w:rsidRDefault="005F6437" w:rsidP="00FD71E4">
            <w:pPr>
              <w:pStyle w:val="Text1"/>
              <w:spacing w:before="60" w:after="60" w:line="254" w:lineRule="auto"/>
              <w:ind w:left="0" w:right="-25"/>
              <w:rPr>
                <w:b/>
              </w:rPr>
            </w:pPr>
          </w:p>
        </w:tc>
      </w:tr>
      <w:tr w:rsidR="005F6437" w:rsidRPr="008704EA" w14:paraId="619AAE0E" w14:textId="77777777" w:rsidTr="00FD71E4">
        <w:trPr>
          <w:trHeight w:val="547"/>
        </w:trPr>
        <w:tc>
          <w:tcPr>
            <w:tcW w:w="456" w:type="dxa"/>
            <w:tcBorders>
              <w:top w:val="single" w:sz="4" w:space="0" w:color="auto"/>
              <w:left w:val="single" w:sz="4" w:space="0" w:color="auto"/>
              <w:bottom w:val="single" w:sz="4" w:space="0" w:color="auto"/>
              <w:right w:val="single" w:sz="4" w:space="0" w:color="auto"/>
            </w:tcBorders>
          </w:tcPr>
          <w:p w14:paraId="4D7D2DF0" w14:textId="780CDACB" w:rsidR="005F6437" w:rsidRPr="003C0CD7" w:rsidRDefault="00893C9A" w:rsidP="00FD71E4">
            <w:pPr>
              <w:pStyle w:val="Text1"/>
              <w:spacing w:before="60" w:after="60" w:line="254" w:lineRule="auto"/>
              <w:ind w:left="0" w:right="-25"/>
              <w:rPr>
                <w:lang w:val="en-IE"/>
              </w:rPr>
            </w:pPr>
            <w:sdt>
              <w:sdtPr>
                <w:rPr>
                  <w:rFonts w:ascii="Segoe UI Symbol" w:eastAsia="MS Gothic" w:hAnsi="Segoe UI Symbol" w:cs="Segoe UI Symbol"/>
                  <w:color w:val="0D0D0D" w:themeColor="text1" w:themeTint="F2"/>
                  <w:lang w:val="en-IE"/>
                </w:rPr>
                <w:id w:val="1499083052"/>
                <w14:checkbox>
                  <w14:checked w14:val="1"/>
                  <w14:checkedState w14:val="2612" w14:font="MS Gothic"/>
                  <w14:uncheckedState w14:val="2610" w14:font="MS Gothic"/>
                </w14:checkbox>
              </w:sdtPr>
              <w:sdtEndPr/>
              <w:sdtContent>
                <w:r w:rsidR="00A372C8">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6582AED" w14:textId="77777777" w:rsidR="005F6437" w:rsidRPr="003C0CD7" w:rsidRDefault="005F6437" w:rsidP="00FD71E4">
            <w:pPr>
              <w:pStyle w:val="Text1"/>
              <w:spacing w:before="60" w:after="60" w:line="254" w:lineRule="auto"/>
              <w:ind w:left="0" w:right="-25"/>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F739EAB" w14:textId="77777777" w:rsidR="005F6437" w:rsidRPr="003C0CD7" w:rsidRDefault="005F6437" w:rsidP="00FD71E4">
            <w:pPr>
              <w:pStyle w:val="Text1"/>
              <w:spacing w:before="60" w:after="60" w:line="254" w:lineRule="auto"/>
              <w:ind w:left="0" w:right="-25"/>
              <w:rPr>
                <w:lang w:val="en-IE"/>
              </w:rPr>
            </w:pPr>
            <w:r w:rsidRPr="003C0CD7">
              <w:rPr>
                <w:lang w:val="en-IE"/>
              </w:rPr>
              <w:t>Present action: all contracts in the present action</w:t>
            </w:r>
          </w:p>
        </w:tc>
      </w:tr>
      <w:tr w:rsidR="005F6437" w:rsidRPr="008704EA" w14:paraId="532187D7" w14:textId="77777777" w:rsidTr="00FD71E4">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0614482D" w14:textId="77777777" w:rsidR="005F6437" w:rsidRPr="00C85643" w:rsidRDefault="005F6437" w:rsidP="00FD71E4">
            <w:r w:rsidRPr="003C0CD7">
              <w:rPr>
                <w:b/>
                <w:bCs/>
                <w:lang w:val="en-IE"/>
              </w:rPr>
              <w:t>Group of actions level</w:t>
            </w:r>
            <w:r>
              <w:rPr>
                <w:b/>
                <w:bCs/>
                <w:lang w:val="en-IE"/>
              </w:rPr>
              <w:t xml:space="preserve"> </w:t>
            </w:r>
            <w:r>
              <w:rPr>
                <w:bCs/>
              </w:rPr>
              <w:t>(i.e:</w:t>
            </w:r>
            <w:r w:rsidRPr="003775F2">
              <w:rPr>
                <w:bCs/>
              </w:rPr>
              <w:t xml:space="preserve"> i) top-up cases, ii) second, third, etc. phases of a programme)</w:t>
            </w:r>
          </w:p>
        </w:tc>
      </w:tr>
      <w:tr w:rsidR="005F6437" w:rsidRPr="008704EA" w14:paraId="424158C8" w14:textId="77777777" w:rsidTr="00A372C8">
        <w:trPr>
          <w:trHeight w:val="444"/>
        </w:trPr>
        <w:tc>
          <w:tcPr>
            <w:tcW w:w="456" w:type="dxa"/>
            <w:tcBorders>
              <w:top w:val="single" w:sz="4" w:space="0" w:color="auto"/>
              <w:left w:val="single" w:sz="4" w:space="0" w:color="auto"/>
              <w:bottom w:val="single" w:sz="4" w:space="0" w:color="auto"/>
              <w:right w:val="single" w:sz="4" w:space="0" w:color="auto"/>
            </w:tcBorders>
          </w:tcPr>
          <w:p w14:paraId="4865245D" w14:textId="166E0848" w:rsidR="005F6437" w:rsidRPr="003C0CD7" w:rsidRDefault="00893C9A" w:rsidP="00FD71E4">
            <w:pPr>
              <w:pStyle w:val="Text1"/>
              <w:spacing w:before="60" w:after="60" w:line="254" w:lineRule="auto"/>
              <w:ind w:left="0" w:right="-25"/>
              <w:rPr>
                <w:lang w:val="en-IE"/>
              </w:rPr>
            </w:pPr>
            <w:sdt>
              <w:sdtPr>
                <w:rPr>
                  <w:rFonts w:ascii="Segoe UI Symbol" w:eastAsia="MS Gothic" w:hAnsi="Segoe UI Symbol" w:cs="Segoe UI Symbol"/>
                  <w:color w:val="0D0D0D" w:themeColor="text1" w:themeTint="F2"/>
                  <w:lang w:val="en-IE"/>
                </w:rPr>
                <w:id w:val="-1418776351"/>
                <w14:checkbox>
                  <w14:checked w14:val="0"/>
                  <w14:checkedState w14:val="2612" w14:font="MS Gothic"/>
                  <w14:uncheckedState w14:val="2610" w14:font="MS Gothic"/>
                </w14:checkbox>
              </w:sdtPr>
              <w:sdtEndPr/>
              <w:sdtContent>
                <w:r w:rsidR="00A372C8">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6B30D4C8" w14:textId="77777777" w:rsidR="005F6437" w:rsidRPr="003C0CD7" w:rsidRDefault="005F6437" w:rsidP="00FD71E4">
            <w:pPr>
              <w:pStyle w:val="Text1"/>
              <w:spacing w:before="60" w:after="60" w:line="254" w:lineRule="auto"/>
              <w:ind w:left="0" w:right="-25"/>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40F997CD" w14:textId="13BF78C1" w:rsidR="005F6437" w:rsidRPr="003C0CD7" w:rsidRDefault="005F6437" w:rsidP="00FD71E4">
            <w:pPr>
              <w:pStyle w:val="Text1"/>
              <w:spacing w:before="60" w:after="60" w:line="254" w:lineRule="auto"/>
              <w:ind w:left="0" w:right="-25"/>
              <w:rPr>
                <w:lang w:val="en-IE"/>
              </w:rPr>
            </w:pPr>
            <w:r w:rsidRPr="003C0CD7">
              <w:rPr>
                <w:lang w:val="en-IE"/>
              </w:rPr>
              <w:t>Ac</w:t>
            </w:r>
            <w:r w:rsidR="00A372C8">
              <w:rPr>
                <w:lang w:val="en-IE"/>
              </w:rPr>
              <w:t>tions reference (CRIS#/OPSYS#):</w:t>
            </w:r>
          </w:p>
        </w:tc>
      </w:tr>
      <w:tr w:rsidR="005F6437" w:rsidRPr="008704EA" w14:paraId="403A1AA5" w14:textId="77777777" w:rsidTr="00FD71E4">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5FF7CB2B" w14:textId="77777777" w:rsidR="005F6437" w:rsidRPr="00A372C8" w:rsidRDefault="005F6437" w:rsidP="00B6363B">
            <w:pPr>
              <w:jc w:val="both"/>
            </w:pPr>
            <w:r w:rsidRPr="00A372C8">
              <w:rPr>
                <w:b/>
                <w:bCs/>
                <w:color w:val="0D0D0D" w:themeColor="text1" w:themeTint="F2"/>
                <w:lang w:val="en-IE"/>
              </w:rPr>
              <w:t xml:space="preserve">Contract level </w:t>
            </w:r>
            <w:r w:rsidRPr="00A372C8">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5F6437" w:rsidRPr="008704EA" w14:paraId="1B620ABD"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101D069C" w14:textId="77777777" w:rsidR="005F6437" w:rsidRPr="003C0CD7" w:rsidRDefault="00893C9A" w:rsidP="00FD71E4">
            <w:pPr>
              <w:pStyle w:val="Text1"/>
              <w:spacing w:before="60" w:after="60" w:line="254" w:lineRule="auto"/>
              <w:ind w:left="0" w:right="-25"/>
              <w:rPr>
                <w:lang w:val="en-IE"/>
              </w:rPr>
            </w:pPr>
            <w:sdt>
              <w:sdtPr>
                <w:rPr>
                  <w:rFonts w:ascii="Segoe UI Symbol" w:eastAsia="MS Gothic" w:hAnsi="Segoe UI Symbol" w:cs="Segoe UI Symbol"/>
                  <w:color w:val="0D0D0D" w:themeColor="text1" w:themeTint="F2"/>
                  <w:lang w:val="en-IE"/>
                </w:rPr>
                <w:id w:val="1799881472"/>
                <w14:checkbox>
                  <w14:checked w14:val="0"/>
                  <w14:checkedState w14:val="2612" w14:font="MS Gothic"/>
                  <w14:uncheckedState w14:val="2610" w14:font="MS Gothic"/>
                </w14:checkbox>
              </w:sdtPr>
              <w:sdtEndPr/>
              <w:sdtContent>
                <w:r w:rsidR="005F6437"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49339E8" w14:textId="77777777" w:rsidR="005F6437" w:rsidRPr="003C0CD7" w:rsidRDefault="005F6437" w:rsidP="00FD71E4">
            <w:pPr>
              <w:pStyle w:val="Text1"/>
              <w:spacing w:before="60" w:after="60" w:line="254" w:lineRule="auto"/>
              <w:ind w:left="0" w:right="-25"/>
              <w:rPr>
                <w:lang w:val="en-IE"/>
              </w:rPr>
            </w:pPr>
            <w:r w:rsidRPr="003C0CD7">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5F214BB3" w14:textId="23CC2C31" w:rsidR="005F6437" w:rsidRPr="00A372C8" w:rsidRDefault="00A372C8" w:rsidP="00FD71E4">
            <w:pPr>
              <w:pStyle w:val="Text1"/>
              <w:spacing w:before="60" w:after="60" w:line="254" w:lineRule="auto"/>
              <w:ind w:left="0" w:right="-25"/>
              <w:rPr>
                <w:lang w:val="en-IE"/>
              </w:rPr>
            </w:pPr>
            <w:r w:rsidRPr="00A372C8">
              <w:rPr>
                <w:lang w:val="en-IE"/>
              </w:rPr>
              <w:t>N/A</w:t>
            </w:r>
          </w:p>
        </w:tc>
      </w:tr>
      <w:tr w:rsidR="005F6437" w:rsidRPr="008704EA" w14:paraId="529A7DB2" w14:textId="77777777" w:rsidTr="00FD71E4">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1705BFC4" w14:textId="77777777" w:rsidR="005F6437" w:rsidRPr="00A372C8" w:rsidRDefault="005F6437" w:rsidP="00B6363B">
            <w:pPr>
              <w:jc w:val="both"/>
            </w:pPr>
            <w:r w:rsidRPr="00A372C8">
              <w:rPr>
                <w:b/>
                <w:bCs/>
              </w:rPr>
              <w:t xml:space="preserve">Group of contracts level </w:t>
            </w:r>
            <w:r w:rsidRPr="00A372C8">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5F6437" w:rsidRPr="008704EA" w14:paraId="799836C3"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0BD4F80C" w14:textId="77777777" w:rsidR="005F6437" w:rsidRDefault="00893C9A" w:rsidP="00FD71E4">
            <w:pPr>
              <w:pStyle w:val="Text1"/>
              <w:spacing w:before="60" w:after="60" w:line="254" w:lineRule="auto"/>
              <w:ind w:left="0" w:right="-25"/>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357436702"/>
                <w14:checkbox>
                  <w14:checked w14:val="0"/>
                  <w14:checkedState w14:val="2612" w14:font="MS Gothic"/>
                  <w14:uncheckedState w14:val="2610" w14:font="MS Gothic"/>
                </w14:checkbox>
              </w:sdtPr>
              <w:sdtEndPr/>
              <w:sdtContent>
                <w:r w:rsidR="005F6437" w:rsidRPr="00AA3E2A">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tcPr>
          <w:p w14:paraId="043CAACC" w14:textId="77777777" w:rsidR="005F6437" w:rsidRPr="003C0CD7" w:rsidRDefault="005F6437" w:rsidP="00FD71E4">
            <w:pPr>
              <w:pStyle w:val="Text1"/>
              <w:spacing w:before="60" w:after="60" w:line="254" w:lineRule="auto"/>
              <w:ind w:left="0" w:right="-25"/>
              <w:rPr>
                <w:lang w:val="en-IE"/>
              </w:rPr>
            </w:pPr>
            <w:r w:rsidRPr="00E17AB0">
              <w:t>Group of contracts</w:t>
            </w:r>
          </w:p>
        </w:tc>
        <w:tc>
          <w:tcPr>
            <w:tcW w:w="7579" w:type="dxa"/>
            <w:tcBorders>
              <w:top w:val="single" w:sz="4" w:space="0" w:color="auto"/>
              <w:left w:val="single" w:sz="4" w:space="0" w:color="auto"/>
              <w:bottom w:val="single" w:sz="4" w:space="0" w:color="auto"/>
              <w:right w:val="single" w:sz="4" w:space="0" w:color="auto"/>
            </w:tcBorders>
          </w:tcPr>
          <w:p w14:paraId="31C8A615" w14:textId="0F9FF2A6" w:rsidR="005F6437" w:rsidRPr="00A372C8" w:rsidRDefault="00A372C8" w:rsidP="00FD71E4">
            <w:pPr>
              <w:pStyle w:val="Text1"/>
              <w:spacing w:before="60" w:after="60" w:line="254" w:lineRule="auto"/>
              <w:ind w:left="0" w:right="-25"/>
              <w:rPr>
                <w:lang w:val="en-IE"/>
              </w:rPr>
            </w:pPr>
            <w:r w:rsidRPr="00A372C8">
              <w:rPr>
                <w:lang w:val="en-IE"/>
              </w:rPr>
              <w:t>N/A</w:t>
            </w:r>
          </w:p>
        </w:tc>
      </w:tr>
      <w:bookmarkEnd w:id="423"/>
    </w:tbl>
    <w:p w14:paraId="33DB0448" w14:textId="77777777" w:rsidR="00C43D26" w:rsidRPr="00C85643" w:rsidRDefault="00C43D26" w:rsidP="00A372C8">
      <w:pPr>
        <w:rPr>
          <w:b/>
          <w:sz w:val="22"/>
          <w:lang w:val="en-IE"/>
        </w:rPr>
      </w:pPr>
    </w:p>
    <w:sectPr w:rsidR="00C43D26" w:rsidRPr="00C85643" w:rsidSect="00A372C8">
      <w:pgSz w:w="11906" w:h="16838"/>
      <w:pgMar w:top="1135" w:right="720" w:bottom="720" w:left="720"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07B5" w14:textId="77777777" w:rsidR="00893C9A" w:rsidRDefault="00893C9A" w:rsidP="0022259C">
      <w:r>
        <w:separator/>
      </w:r>
    </w:p>
    <w:p w14:paraId="1B1C898A" w14:textId="77777777" w:rsidR="00893C9A" w:rsidRDefault="00893C9A"/>
    <w:p w14:paraId="30D5445B" w14:textId="77777777" w:rsidR="00893C9A" w:rsidRDefault="00893C9A"/>
  </w:endnote>
  <w:endnote w:type="continuationSeparator" w:id="0">
    <w:p w14:paraId="68473FF3" w14:textId="77777777" w:rsidR="00893C9A" w:rsidRDefault="00893C9A" w:rsidP="0022259C">
      <w:r>
        <w:continuationSeparator/>
      </w:r>
    </w:p>
    <w:p w14:paraId="106D3D26" w14:textId="77777777" w:rsidR="00893C9A" w:rsidRDefault="00893C9A"/>
    <w:p w14:paraId="49CFA103" w14:textId="77777777" w:rsidR="00893C9A" w:rsidRDefault="00893C9A"/>
  </w:endnote>
  <w:endnote w:type="continuationNotice" w:id="1">
    <w:p w14:paraId="4651D412" w14:textId="77777777" w:rsidR="00893C9A" w:rsidRDefault="00893C9A"/>
    <w:p w14:paraId="4C4195B3" w14:textId="77777777" w:rsidR="00893C9A" w:rsidRDefault="00893C9A"/>
    <w:p w14:paraId="0B18C1BB" w14:textId="77777777" w:rsidR="00893C9A" w:rsidRDefault="00893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DB79A" w14:textId="77777777" w:rsidR="00EB6CFB" w:rsidRDefault="00EB6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73561D76" w:rsidR="00EB6CFB" w:rsidRPr="00A958DB" w:rsidRDefault="00EB6CFB">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E64A74">
          <w:rPr>
            <w:noProof/>
            <w:sz w:val="22"/>
          </w:rPr>
          <w:t>1</w:t>
        </w:r>
        <w:r w:rsidRPr="00A958DB">
          <w:rPr>
            <w:noProof/>
            <w:sz w:val="22"/>
          </w:rPr>
          <w:fldChar w:fldCharType="end"/>
        </w:r>
      </w:p>
    </w:sdtContent>
  </w:sdt>
  <w:p w14:paraId="337A5266" w14:textId="77777777" w:rsidR="00EB6CFB" w:rsidRDefault="00EB6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2959" w14:textId="77777777" w:rsidR="00EB6CFB" w:rsidRDefault="00EB6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F76E6" w14:textId="77777777" w:rsidR="00893C9A" w:rsidRDefault="00893C9A" w:rsidP="0022259C">
      <w:r>
        <w:separator/>
      </w:r>
    </w:p>
    <w:p w14:paraId="0AA11DDD" w14:textId="77777777" w:rsidR="00893C9A" w:rsidRDefault="00893C9A"/>
    <w:p w14:paraId="620365A0" w14:textId="77777777" w:rsidR="00893C9A" w:rsidRDefault="00893C9A"/>
  </w:footnote>
  <w:footnote w:type="continuationSeparator" w:id="0">
    <w:p w14:paraId="40D7C120" w14:textId="77777777" w:rsidR="00893C9A" w:rsidRDefault="00893C9A" w:rsidP="0022259C">
      <w:r>
        <w:continuationSeparator/>
      </w:r>
    </w:p>
    <w:p w14:paraId="3018C6D0" w14:textId="77777777" w:rsidR="00893C9A" w:rsidRDefault="00893C9A"/>
    <w:p w14:paraId="418FD967" w14:textId="77777777" w:rsidR="00893C9A" w:rsidRDefault="00893C9A"/>
  </w:footnote>
  <w:footnote w:type="continuationNotice" w:id="1">
    <w:p w14:paraId="39F52BAF" w14:textId="77777777" w:rsidR="00893C9A" w:rsidRDefault="00893C9A"/>
    <w:p w14:paraId="0D99BE41" w14:textId="77777777" w:rsidR="00893C9A" w:rsidRDefault="00893C9A"/>
    <w:p w14:paraId="5E2489BF" w14:textId="77777777" w:rsidR="00893C9A" w:rsidRDefault="00893C9A"/>
  </w:footnote>
  <w:footnote w:id="2">
    <w:p w14:paraId="0FF2B164" w14:textId="77777777" w:rsidR="00EB6CFB" w:rsidRPr="00AE4250" w:rsidRDefault="00EB6CFB" w:rsidP="007D0645">
      <w:pPr>
        <w:pStyle w:val="Style2"/>
        <w:shd w:val="clear" w:color="auto" w:fill="auto"/>
      </w:pPr>
      <w:r w:rsidRPr="00AE4250">
        <w:rPr>
          <w:rStyle w:val="FootnoteReference"/>
        </w:rPr>
        <w:footnoteRef/>
      </w:r>
      <w:r w:rsidRPr="00AE4250">
        <w:t xml:space="preserve"> Depending on the availability of OPSYS at the time of encoding, a provisional CRIS number may need to be provided.</w:t>
      </w:r>
    </w:p>
  </w:footnote>
  <w:footnote w:id="3">
    <w:p w14:paraId="52E10BD3" w14:textId="77777777" w:rsidR="00EB6CFB" w:rsidRPr="00A50028" w:rsidRDefault="00EB6CFB" w:rsidP="007D0645">
      <w:pPr>
        <w:pStyle w:val="Style2"/>
        <w:shd w:val="clear" w:color="auto" w:fill="auto"/>
      </w:pPr>
      <w:r>
        <w:rPr>
          <w:rStyle w:val="FootnoteReference"/>
        </w:rPr>
        <w:footnoteRef/>
      </w:r>
      <w:r>
        <w:t xml:space="preserve"> The share of the priority areas should be linked to the NEAR EIP sub-tags: Transport, Energy, Environment and climate resilience, Digital, Economic development (incl. private sector, trade, and macroeconomic support), Human Development (incl. human capital and youth), Health resilience, Migration and mobility, Agriculture, food security and rural development, Rule of law, governance and public administration reform, Other.</w:t>
      </w:r>
    </w:p>
  </w:footnote>
  <w:footnote w:id="4">
    <w:p w14:paraId="01AB65A8" w14:textId="77777777" w:rsidR="00EB6CFB" w:rsidRPr="00B85F70" w:rsidRDefault="00EB6CFB" w:rsidP="007D0645">
      <w:pPr>
        <w:pStyle w:val="Style2"/>
        <w:shd w:val="clear" w:color="auto" w:fill="auto"/>
      </w:pPr>
      <w:r w:rsidRPr="007D0645">
        <w:rPr>
          <w:rStyle w:val="FootnoteReference"/>
        </w:rPr>
        <w:footnoteRef/>
      </w:r>
      <w:r w:rsidRPr="007D0645">
        <w:t xml:space="preserve"> Indicate the lead window and thematic priority as identified in the relevant programming document. Please indicate for each thematic priority the approximate share (%) of the window budget it represents.</w:t>
      </w:r>
    </w:p>
  </w:footnote>
  <w:footnote w:id="5">
    <w:p w14:paraId="2767855F" w14:textId="77777777" w:rsidR="00EB6CFB" w:rsidRPr="00001C85" w:rsidRDefault="00EB6CFB" w:rsidP="007D0645">
      <w:pPr>
        <w:pStyle w:val="Style2"/>
        <w:shd w:val="clear" w:color="auto" w:fill="auto"/>
      </w:pPr>
      <w:r w:rsidRPr="00AE4250">
        <w:rPr>
          <w:rStyle w:val="FootnoteReference"/>
        </w:rPr>
        <w:footnoteRef/>
      </w:r>
      <w:r w:rsidRPr="00AE4250">
        <w:t xml:space="preserve"> </w:t>
      </w:r>
      <w:bookmarkStart w:id="11" w:name="_Hlk115183886"/>
      <w:r w:rsidRPr="0034769F">
        <w:t>Development Assistance Committee</w:t>
      </w:r>
      <w:r>
        <w:t xml:space="preserve"> (</w:t>
      </w:r>
      <w:r w:rsidRPr="00AE4250">
        <w:t>DAC</w:t>
      </w:r>
      <w:r>
        <w:t>)</w:t>
      </w:r>
      <w:r w:rsidRPr="00AE4250">
        <w:t xml:space="preserve"> sectors (codes and descriptions) are indicated in the first and fourth columns of the tab ‘purpose codes’ in the following document: </w:t>
      </w:r>
      <w:hyperlink r:id="rId1" w:history="1">
        <w:r>
          <w:rPr>
            <w:rStyle w:val="Hyperlink"/>
            <w:rFonts w:eastAsiaTheme="majorEastAsia"/>
          </w:rPr>
          <w:t>DAC and CRS code lists - OECD</w:t>
        </w:r>
      </w:hyperlink>
      <w:r>
        <w:t xml:space="preserve"> </w:t>
      </w:r>
    </w:p>
    <w:bookmarkEnd w:id="11"/>
  </w:footnote>
  <w:footnote w:id="6">
    <w:p w14:paraId="49744EDA" w14:textId="77777777" w:rsidR="00EB6CFB" w:rsidRPr="00E16935" w:rsidRDefault="00EB6CFB" w:rsidP="007D0645">
      <w:pPr>
        <w:pStyle w:val="Style2"/>
        <w:shd w:val="clear" w:color="auto" w:fill="auto"/>
        <w:ind w:left="142" w:hanging="142"/>
      </w:pPr>
      <w:r w:rsidRPr="00AE4250">
        <w:rPr>
          <w:vertAlign w:val="superscript"/>
        </w:rPr>
        <w:footnoteRef/>
      </w:r>
      <w:r w:rsidRPr="00AE4250">
        <w:t xml:space="preserve"> For guidance, see </w:t>
      </w:r>
      <w:hyperlink r:id="rId2" w:history="1">
        <w:r>
          <w:rPr>
            <w:rStyle w:val="Hyperlink"/>
          </w:rPr>
          <w:t>Development finance standards - OECD</w:t>
        </w:r>
      </w:hyperlink>
      <w:r w:rsidRPr="00AE4250">
        <w:rPr>
          <w:color w:val="1F497D"/>
        </w:rPr>
        <w:t xml:space="preserve"> </w:t>
      </w:r>
      <w:r>
        <w:rPr>
          <w:color w:val="1F497D"/>
        </w:rPr>
        <w:t>(</w:t>
      </w:r>
      <w:r w:rsidRPr="00B85F70">
        <w:t>G</w:t>
      </w:r>
      <w:r w:rsidRPr="00001C85">
        <w:t>o to “Data collection and resources for reporters”, select Addendum 2, annexes 18 (policy) and 19 (Rio) of the reporting directive.</w:t>
      </w:r>
      <w:r>
        <w:t xml:space="preserve"> </w:t>
      </w:r>
      <w:r w:rsidRPr="00001C85">
        <w:t>If an action is marked in the DAC form as contributing to one of the general policy objectives or to RIO principles as a principal objective or a significant objective, then this should be reflected in the logframe matrix (in the results chain and indicators).</w:t>
      </w:r>
    </w:p>
  </w:footnote>
  <w:footnote w:id="7">
    <w:p w14:paraId="0E01DAAA" w14:textId="77777777" w:rsidR="00EB6CFB" w:rsidRPr="00B85F70" w:rsidRDefault="00EB6CFB" w:rsidP="007D0645">
      <w:pPr>
        <w:pStyle w:val="FootnoteText"/>
      </w:pPr>
      <w:r w:rsidRPr="00AE4250">
        <w:rPr>
          <w:rStyle w:val="FootnoteReference"/>
        </w:rPr>
        <w:footnoteRef/>
      </w:r>
      <w:r w:rsidRPr="00AE4250">
        <w:t xml:space="preserve"> Please check the </w:t>
      </w:r>
      <w:hyperlink r:id="rId3" w:history="1">
        <w:r w:rsidRPr="00B85F70">
          <w:rPr>
            <w:rStyle w:val="Hyperlink"/>
          </w:rPr>
          <w:t>Handbook on the OECD-DAC Nutrition Policy Marker</w:t>
        </w:r>
      </w:hyperlink>
      <w:r w:rsidRPr="00AE4250">
        <w:rPr>
          <w:rStyle w:val="Hyperlink"/>
        </w:rPr>
        <w:t>.</w:t>
      </w:r>
    </w:p>
  </w:footnote>
  <w:footnote w:id="8">
    <w:p w14:paraId="782E5A96" w14:textId="77777777" w:rsidR="00EB6CFB" w:rsidRPr="007D0645" w:rsidRDefault="00EB6CFB" w:rsidP="007D0645">
      <w:pPr>
        <w:pStyle w:val="CommentText"/>
        <w:ind w:left="142" w:hanging="142"/>
      </w:pPr>
      <w:r w:rsidRPr="007D0645">
        <w:rPr>
          <w:rStyle w:val="FootnoteReference"/>
        </w:rPr>
        <w:footnoteRef/>
      </w:r>
      <w:r w:rsidRPr="007D0645">
        <w:t xml:space="preserve"> These markers </w:t>
      </w:r>
      <w:r w:rsidRPr="007D0645">
        <w:rPr>
          <w:rStyle w:val="Style1Char"/>
          <w:shd w:val="clear" w:color="auto" w:fill="auto"/>
        </w:rPr>
        <w:t>have a different scope/rationale than the DAC codes. They are drawn from the level of budget allocation and emphasise the action in terms of main objective(s) selected. The definition of objectives and outputs in the description of the action should be in line with this section.</w:t>
      </w:r>
    </w:p>
  </w:footnote>
  <w:footnote w:id="9">
    <w:p w14:paraId="25561A7D" w14:textId="77777777" w:rsidR="00EB6CFB" w:rsidRPr="007D0645" w:rsidRDefault="00EB6CFB" w:rsidP="007D0645">
      <w:pPr>
        <w:pStyle w:val="Style2"/>
        <w:shd w:val="clear" w:color="auto" w:fill="auto"/>
      </w:pPr>
      <w:r w:rsidRPr="007D0645">
        <w:rPr>
          <w:rStyle w:val="FootnoteReference"/>
        </w:rPr>
        <w:footnoteRef/>
      </w:r>
      <w:r w:rsidRPr="007D0645">
        <w:t xml:space="preserve"> When a marker is Significant or Principal Objective, please indicate the relevant tags by selecting “YES” or “NO”.</w:t>
      </w:r>
    </w:p>
  </w:footnote>
  <w:footnote w:id="10">
    <w:p w14:paraId="7342F9C2" w14:textId="77777777" w:rsidR="00EB6CFB" w:rsidRPr="0082062A" w:rsidRDefault="00EB6CFB" w:rsidP="007D0645">
      <w:pPr>
        <w:pStyle w:val="Style1"/>
        <w:shd w:val="clear" w:color="auto" w:fill="auto"/>
        <w:rPr>
          <w:lang w:val="en-IE"/>
        </w:rPr>
      </w:pPr>
      <w:r w:rsidRPr="007D0645">
        <w:rPr>
          <w:rStyle w:val="FootnoteReference"/>
        </w:rPr>
        <w:footnoteRef/>
      </w:r>
      <w:r w:rsidRPr="007D0645">
        <w:t xml:space="preserve"> Please address the digitalisation marker in line with the note ARES(2019)7611708, which provides internal guidelines on the criteria to be used to assess the degree of relevance of the marker for the action (not targeted, significant or main objective).</w:t>
      </w:r>
    </w:p>
  </w:footnote>
  <w:footnote w:id="11">
    <w:p w14:paraId="6B748B33" w14:textId="77777777" w:rsidR="00EB6CFB" w:rsidRPr="007D0645" w:rsidRDefault="00EB6CFB" w:rsidP="007D0645">
      <w:pPr>
        <w:pStyle w:val="Style1"/>
        <w:shd w:val="clear" w:color="auto" w:fill="auto"/>
      </w:pPr>
      <w:r w:rsidRPr="007D0645">
        <w:rPr>
          <w:vertAlign w:val="superscript"/>
          <w:lang w:val="en-IE"/>
        </w:rPr>
        <w:footnoteRef/>
      </w:r>
      <w:r w:rsidRPr="007D0645">
        <w:rPr>
          <w:lang w:val="en-IE"/>
        </w:rPr>
        <w:t xml:space="preserve"> </w:t>
      </w:r>
      <w:bookmarkStart w:id="12" w:name="_Hlk115174995"/>
      <w:r w:rsidRPr="007D0645">
        <w:rPr>
          <w:lang w:val="en-IE"/>
        </w:rPr>
        <w:t>When a marker is “Significant Objective“ or “Principal Objective”, please indicate the relevant tags by selecting “YES” or “NO</w:t>
      </w:r>
      <w:r w:rsidRPr="007D0645">
        <w:t>”</w:t>
      </w:r>
      <w:bookmarkEnd w:id="12"/>
      <w:r w:rsidRPr="007D0645">
        <w:t>.</w:t>
      </w:r>
    </w:p>
  </w:footnote>
  <w:footnote w:id="12">
    <w:p w14:paraId="710D09F4" w14:textId="77777777" w:rsidR="00EB6CFB" w:rsidRDefault="00EB6CFB" w:rsidP="007D0645">
      <w:pPr>
        <w:pStyle w:val="Style2"/>
        <w:shd w:val="clear" w:color="auto" w:fill="auto"/>
      </w:pPr>
      <w:r w:rsidRPr="007D0645">
        <w:rPr>
          <w:rStyle w:val="FootnoteReference"/>
        </w:rPr>
        <w:footnoteRef/>
      </w:r>
      <w:r w:rsidRPr="007D0645">
        <w:t xml:space="preserve"> Please address the migration marker in line with the note Ares(2021)6077013.</w:t>
      </w:r>
      <w:r>
        <w:t xml:space="preserve"> </w:t>
      </w:r>
    </w:p>
  </w:footnote>
  <w:footnote w:id="13">
    <w:p w14:paraId="6D703F41" w14:textId="77777777" w:rsidR="00EB6CFB" w:rsidRPr="00B85F70" w:rsidRDefault="00EB6CFB" w:rsidP="007D0645">
      <w:pPr>
        <w:pStyle w:val="FootnoteText"/>
      </w:pPr>
      <w:r w:rsidRPr="00AE4250">
        <w:rPr>
          <w:rStyle w:val="FootnoteReference"/>
        </w:rPr>
        <w:footnoteRef/>
      </w:r>
      <w:r w:rsidRPr="00AE4250">
        <w:t xml:space="preserve"> Number of months should not ex</w:t>
      </w:r>
      <w:r w:rsidRPr="00B85F70">
        <w:t xml:space="preserve">ceed 72 months. </w:t>
      </w:r>
    </w:p>
  </w:footnote>
  <w:footnote w:id="14">
    <w:p w14:paraId="0A4483F5" w14:textId="77777777" w:rsidR="00301EF6" w:rsidRPr="00816F40" w:rsidRDefault="00301EF6" w:rsidP="00301EF6">
      <w:pPr>
        <w:pStyle w:val="FootnoteText"/>
      </w:pPr>
      <w:r>
        <w:rPr>
          <w:rStyle w:val="FootnoteReference"/>
        </w:rPr>
        <w:footnoteRef/>
      </w:r>
      <w:r>
        <w:t xml:space="preserve"> </w:t>
      </w:r>
      <w:r w:rsidRPr="00D92978">
        <w:rPr>
          <w:sz w:val="18"/>
          <w:szCs w:val="18"/>
        </w:rPr>
        <w:t>COM (2020) 641 final of 6.10.2020</w:t>
      </w:r>
    </w:p>
  </w:footnote>
  <w:footnote w:id="15">
    <w:p w14:paraId="2484496A" w14:textId="33607D82" w:rsidR="00EB6CFB" w:rsidRPr="007321F4" w:rsidRDefault="00EB6CFB">
      <w:pPr>
        <w:pStyle w:val="FootnoteText"/>
        <w:rPr>
          <w:sz w:val="16"/>
          <w:szCs w:val="16"/>
        </w:rPr>
      </w:pPr>
      <w:r w:rsidRPr="007321F4">
        <w:rPr>
          <w:rStyle w:val="FootnoteReference"/>
          <w:sz w:val="16"/>
          <w:szCs w:val="16"/>
        </w:rPr>
        <w:footnoteRef/>
      </w:r>
      <w:r w:rsidRPr="007321F4">
        <w:rPr>
          <w:sz w:val="16"/>
          <w:szCs w:val="16"/>
        </w:rPr>
        <w:t xml:space="preserve"> Global Health Expenditure Database (WHO 2022a).</w:t>
      </w:r>
    </w:p>
  </w:footnote>
  <w:footnote w:id="16">
    <w:p w14:paraId="4773A28F" w14:textId="0040B8B0" w:rsidR="00EB6CFB" w:rsidRPr="007321F4" w:rsidRDefault="00EB6CFB">
      <w:pPr>
        <w:pStyle w:val="FootnoteText"/>
        <w:rPr>
          <w:sz w:val="16"/>
          <w:szCs w:val="16"/>
        </w:rPr>
      </w:pPr>
      <w:r w:rsidRPr="007321F4">
        <w:rPr>
          <w:rStyle w:val="FootnoteReference"/>
          <w:sz w:val="16"/>
          <w:szCs w:val="16"/>
        </w:rPr>
        <w:footnoteRef/>
      </w:r>
      <w:r w:rsidRPr="007321F4">
        <w:rPr>
          <w:sz w:val="16"/>
          <w:szCs w:val="16"/>
        </w:rPr>
        <w:t xml:space="preserve"> Global Health Expenditure Data Base (WHO 2022a).</w:t>
      </w:r>
    </w:p>
  </w:footnote>
  <w:footnote w:id="17">
    <w:p w14:paraId="47BAAE04" w14:textId="77777777" w:rsidR="00EB6CFB" w:rsidRPr="00E14C0A" w:rsidRDefault="00EB6CFB" w:rsidP="000B31A4">
      <w:pPr>
        <w:pStyle w:val="FootnoteText"/>
        <w:rPr>
          <w:sz w:val="16"/>
          <w:szCs w:val="16"/>
        </w:rPr>
      </w:pPr>
      <w:r w:rsidRPr="00E14C0A">
        <w:rPr>
          <w:rStyle w:val="FootnoteReference"/>
          <w:sz w:val="16"/>
          <w:szCs w:val="16"/>
        </w:rPr>
        <w:footnoteRef/>
      </w:r>
      <w:r w:rsidRPr="00E14C0A">
        <w:rPr>
          <w:sz w:val="16"/>
          <w:szCs w:val="16"/>
        </w:rPr>
        <w:t xml:space="preserve"> </w:t>
      </w:r>
      <w:r w:rsidRPr="00E14C0A">
        <w:rPr>
          <w:color w:val="0000FF"/>
          <w:sz w:val="16"/>
          <w:szCs w:val="16"/>
          <w:lang w:eastAsia="es-ES_tradnl"/>
        </w:rPr>
        <w:t>https://ec.europa.eu/eurostat/databrowser/view/tps00199/default/table?lang=en</w:t>
      </w:r>
    </w:p>
  </w:footnote>
  <w:footnote w:id="18">
    <w:p w14:paraId="68E11078" w14:textId="77777777" w:rsidR="00EB6CFB" w:rsidRPr="00E14C0A" w:rsidRDefault="00EB6CFB" w:rsidP="000B31A4">
      <w:pPr>
        <w:pStyle w:val="FootnoteText"/>
        <w:rPr>
          <w:sz w:val="16"/>
          <w:szCs w:val="16"/>
        </w:rPr>
      </w:pPr>
      <w:r w:rsidRPr="00E14C0A">
        <w:rPr>
          <w:rStyle w:val="FootnoteReference"/>
          <w:sz w:val="16"/>
          <w:szCs w:val="16"/>
        </w:rPr>
        <w:footnoteRef/>
      </w:r>
      <w:r w:rsidRPr="00E14C0A">
        <w:rPr>
          <w:sz w:val="16"/>
          <w:szCs w:val="16"/>
        </w:rPr>
        <w:t xml:space="preserve"> </w:t>
      </w:r>
      <w:r w:rsidRPr="00E14C0A">
        <w:rPr>
          <w:color w:val="0000FF"/>
          <w:sz w:val="16"/>
          <w:szCs w:val="16"/>
          <w:lang w:eastAsia="es-ES_tradnl"/>
        </w:rPr>
        <w:t>https://ec.europa.eu/eurostat/databrowser/view/sdg_03_10/default/table?lang=en</w:t>
      </w:r>
    </w:p>
  </w:footnote>
  <w:footnote w:id="19">
    <w:p w14:paraId="5DD9ED5F" w14:textId="69193B18" w:rsidR="00EB6CFB" w:rsidRPr="00E14C0A" w:rsidRDefault="00EB6CFB">
      <w:pPr>
        <w:pStyle w:val="FootnoteText"/>
        <w:rPr>
          <w:sz w:val="16"/>
          <w:szCs w:val="16"/>
        </w:rPr>
      </w:pPr>
      <w:r w:rsidRPr="00E14C0A">
        <w:rPr>
          <w:rStyle w:val="FootnoteReference"/>
          <w:sz w:val="16"/>
          <w:szCs w:val="16"/>
        </w:rPr>
        <w:footnoteRef/>
      </w:r>
      <w:r w:rsidRPr="00E14C0A">
        <w:rPr>
          <w:sz w:val="16"/>
          <w:szCs w:val="16"/>
        </w:rPr>
        <w:t xml:space="preserve"> Institute of Health Metrics and Evaluation, https://www.healthdata.org/macedonia.</w:t>
      </w:r>
    </w:p>
  </w:footnote>
  <w:footnote w:id="20">
    <w:p w14:paraId="1E6A3127" w14:textId="156866E4" w:rsidR="00EB6CFB" w:rsidRPr="007C46F2" w:rsidRDefault="00EB6CFB">
      <w:pPr>
        <w:pStyle w:val="FootnoteText"/>
      </w:pPr>
      <w:r>
        <w:rPr>
          <w:rStyle w:val="FootnoteReference"/>
        </w:rPr>
        <w:footnoteRef/>
      </w:r>
      <w:r>
        <w:t xml:space="preserve"> </w:t>
      </w:r>
      <w:r w:rsidRPr="00B6363B">
        <w:rPr>
          <w:sz w:val="18"/>
          <w:szCs w:val="18"/>
        </w:rPr>
        <w:t>C(2021) 8914 final of 10.12.2021 on the Instrument for Pre-Accession Assistance (IPA III) Programming Framework for the period 2021-2027.</w:t>
      </w:r>
    </w:p>
  </w:footnote>
  <w:footnote w:id="21">
    <w:p w14:paraId="15898112" w14:textId="38230D5C" w:rsidR="00EB6CFB" w:rsidRPr="00816F40" w:rsidRDefault="00EB6CFB">
      <w:pPr>
        <w:pStyle w:val="FootnoteText"/>
      </w:pPr>
      <w:r>
        <w:rPr>
          <w:rStyle w:val="FootnoteReference"/>
        </w:rPr>
        <w:footnoteRef/>
      </w:r>
      <w:r>
        <w:t xml:space="preserve"> </w:t>
      </w:r>
      <w:r w:rsidRPr="00B6363B">
        <w:rPr>
          <w:sz w:val="18"/>
          <w:szCs w:val="18"/>
        </w:rPr>
        <w:t>COM (2020) 641 final of 6.10.2020</w:t>
      </w:r>
    </w:p>
  </w:footnote>
  <w:footnote w:id="22">
    <w:p w14:paraId="558820BC" w14:textId="77777777" w:rsidR="00EB6CFB" w:rsidRPr="00B67C53" w:rsidRDefault="00EB6CFB" w:rsidP="00656EF9">
      <w:pPr>
        <w:pStyle w:val="FootnoteText"/>
        <w:rPr>
          <w:sz w:val="16"/>
          <w:szCs w:val="16"/>
        </w:rPr>
      </w:pPr>
      <w:r w:rsidRPr="00B67C53">
        <w:rPr>
          <w:rStyle w:val="FootnoteReference"/>
          <w:sz w:val="16"/>
          <w:szCs w:val="16"/>
        </w:rPr>
        <w:footnoteRef/>
      </w:r>
      <w:r w:rsidRPr="00B67C53">
        <w:rPr>
          <w:sz w:val="16"/>
          <w:szCs w:val="16"/>
        </w:rPr>
        <w:t xml:space="preserve"> </w:t>
      </w:r>
      <w:r w:rsidRPr="00B67C53">
        <w:rPr>
          <w:sz w:val="16"/>
          <w:szCs w:val="16"/>
          <w:lang w:val="en-US"/>
        </w:rPr>
        <w:t>Where General hospital and health centers are merged</w:t>
      </w:r>
    </w:p>
  </w:footnote>
  <w:footnote w:id="23">
    <w:p w14:paraId="59221642" w14:textId="235E9227" w:rsidR="00EB6CFB" w:rsidRPr="00CC6336" w:rsidRDefault="00EB6CFB" w:rsidP="0033092D">
      <w:pPr>
        <w:rPr>
          <w:lang w:val="en-IE"/>
        </w:rPr>
      </w:pPr>
      <w:r w:rsidRPr="0033092D">
        <w:rPr>
          <w:rStyle w:val="FootnoteReference"/>
          <w:sz w:val="22"/>
        </w:rPr>
        <w:footnoteRef/>
      </w:r>
      <w:r w:rsidRPr="0033092D">
        <w:rPr>
          <w:sz w:val="22"/>
        </w:rPr>
        <w:t xml:space="preserve"> </w:t>
      </w:r>
      <w:r w:rsidRPr="0033092D">
        <w:rPr>
          <w:color w:val="0D0D0D" w:themeColor="text1" w:themeTint="F2"/>
          <w:sz w:val="20"/>
          <w:szCs w:val="20"/>
          <w:lang w:val="en-IE"/>
        </w:rPr>
        <w:t xml:space="preserve">This activity will build upon the </w:t>
      </w:r>
      <w:r w:rsidRPr="0033092D">
        <w:rPr>
          <w:sz w:val="20"/>
          <w:szCs w:val="20"/>
        </w:rPr>
        <w:t xml:space="preserve">IPA 2022 Action “EU for Improved Health, Social Protection and Gender Equality”, which will provide funding for the </w:t>
      </w:r>
      <w:r w:rsidRPr="0033092D">
        <w:rPr>
          <w:color w:val="0D0D0D" w:themeColor="text1" w:themeTint="F2"/>
          <w:sz w:val="20"/>
          <w:szCs w:val="20"/>
          <w:lang w:val="en-IE"/>
        </w:rPr>
        <w:t>development of a national cancer control plan/Strategy and a plan for implementation and quality control for the national population-based screening programmes for breast, cervical and colorectal cancer.</w:t>
      </w:r>
    </w:p>
  </w:footnote>
  <w:footnote w:id="24">
    <w:p w14:paraId="1B93B5BA" w14:textId="0360606D" w:rsidR="00EB6CFB" w:rsidRPr="00FA7E56" w:rsidRDefault="00EB6CFB">
      <w:pPr>
        <w:pStyle w:val="FootnoteText"/>
        <w:rPr>
          <w:lang w:val="en-IE"/>
        </w:rPr>
      </w:pPr>
      <w:r>
        <w:rPr>
          <w:rStyle w:val="FootnoteReference"/>
        </w:rPr>
        <w:footnoteRef/>
      </w:r>
      <w:r w:rsidRPr="00FA7E56">
        <w:rPr>
          <w:lang w:val="en-IE"/>
        </w:rPr>
        <w:t xml:space="preserve"> </w:t>
      </w:r>
      <w:hyperlink r:id="rId4" w:history="1">
        <w:r w:rsidRPr="00A41D1A">
          <w:rPr>
            <w:rStyle w:val="Hyperlink"/>
            <w:lang w:val="en-IE"/>
          </w:rPr>
          <w:t>https://www.who.int/europe/news/item/04-11-2022-who-europe-accelerates-efforts-to-advance-health-equity-in-north-macedonia-with-data-and-research</w:t>
        </w:r>
      </w:hyperlink>
      <w:r>
        <w:rPr>
          <w:lang w:val="en-IE"/>
        </w:rPr>
        <w:t xml:space="preserve"> </w:t>
      </w:r>
    </w:p>
  </w:footnote>
  <w:footnote w:id="25">
    <w:p w14:paraId="0B7E46A8" w14:textId="77777777" w:rsidR="00EB6CFB" w:rsidRPr="00332D55" w:rsidRDefault="00EB6CFB" w:rsidP="00332D55">
      <w:pPr>
        <w:pStyle w:val="FootnoteText"/>
        <w:rPr>
          <w:lang w:val="en-IE"/>
        </w:rPr>
      </w:pPr>
      <w:r>
        <w:rPr>
          <w:rStyle w:val="FootnoteReference"/>
        </w:rPr>
        <w:footnoteRef/>
      </w:r>
      <w:r>
        <w:rPr>
          <w:rStyle w:val="FootnoteReference"/>
        </w:rPr>
        <w:footnoteRef/>
      </w:r>
      <w:r w:rsidRPr="00332D55">
        <w:rPr>
          <w:lang w:val="en-IE"/>
        </w:rPr>
        <w:t xml:space="preserve"> </w:t>
      </w:r>
      <w:hyperlink r:id="rId5" w:history="1">
        <w:r w:rsidRPr="00A41D1A">
          <w:rPr>
            <w:rStyle w:val="Hyperlink"/>
            <w:lang w:val="en-IE"/>
          </w:rPr>
          <w:t>https://www.who.int/europe/news/item/04-11-2022-who-europe-accelerates-efforts-to-advance-health-equity-in-north-macedonia-with-data-and-research</w:t>
        </w:r>
      </w:hyperlink>
      <w:r>
        <w:rPr>
          <w:lang w:val="en-IE"/>
        </w:rPr>
        <w:t xml:space="preserve"> </w:t>
      </w:r>
    </w:p>
  </w:footnote>
  <w:footnote w:id="26">
    <w:p w14:paraId="6E9AAA7F" w14:textId="1439F5E2" w:rsidR="00EB6CFB" w:rsidRPr="00CB7293" w:rsidRDefault="00EB6CFB" w:rsidP="00085101">
      <w:pPr>
        <w:shd w:val="clear" w:color="auto" w:fill="FFFFFF" w:themeFill="background1"/>
        <w:rPr>
          <w:sz w:val="16"/>
          <w:szCs w:val="16"/>
          <w:lang w:val="fr-FR"/>
        </w:rPr>
      </w:pPr>
      <w:r w:rsidRPr="00CB7293">
        <w:rPr>
          <w:rStyle w:val="FootnoteReference"/>
          <w:sz w:val="16"/>
          <w:szCs w:val="16"/>
          <w:lang w:val=""/>
        </w:rPr>
        <w:footnoteRef/>
      </w:r>
      <w:r w:rsidRPr="00CB7293">
        <w:rPr>
          <w:sz w:val="16"/>
          <w:szCs w:val="16"/>
          <w:lang w:val="fr-FR"/>
        </w:rPr>
        <w:t xml:space="preserve"> </w:t>
      </w:r>
      <w:hyperlink r:id="rId6" w:history="1">
        <w:r w:rsidRPr="00CB7293">
          <w:rPr>
            <w:rStyle w:val="Hyperlink"/>
            <w:sz w:val="16"/>
            <w:szCs w:val="16"/>
            <w:lang w:val=""/>
          </w:rPr>
          <w:t>http://www.stat.gov.mk/Publikacii/SG2019/03-Naselenie-Population.pdf</w:t>
        </w:r>
        <w:r w:rsidRPr="00CB7293">
          <w:rPr>
            <w:rStyle w:val="Hyperlink"/>
            <w:sz w:val="16"/>
            <w:szCs w:val="16"/>
            <w:lang w:val="fr-FR"/>
          </w:rPr>
          <w:t xml:space="preserve"> </w:t>
        </w:r>
      </w:hyperlink>
      <w:r w:rsidRPr="00CB7293">
        <w:rPr>
          <w:sz w:val="16"/>
          <w:szCs w:val="16"/>
          <w:lang w:val="fr-FR"/>
        </w:rPr>
        <w:t>(Population; T.03.02.1.; page 79.)</w:t>
      </w:r>
    </w:p>
  </w:footnote>
  <w:footnote w:id="27">
    <w:p w14:paraId="0A38F669" w14:textId="77777777" w:rsidR="00EB6CFB" w:rsidRPr="00CB7293" w:rsidRDefault="00EB6CFB" w:rsidP="00085101">
      <w:pPr>
        <w:pStyle w:val="FootnoteText1"/>
        <w:spacing w:line="240" w:lineRule="auto"/>
        <w:ind w:left="0" w:firstLine="0"/>
        <w:rPr>
          <w:rFonts w:ascii="Times New Roman" w:hAnsi="Times New Roman" w:cs="Times New Roman"/>
          <w:sz w:val="16"/>
          <w:szCs w:val="16"/>
          <w:lang w:val=""/>
        </w:rPr>
      </w:pPr>
      <w:r w:rsidRPr="00CB7293">
        <w:rPr>
          <w:rStyle w:val="FootnoteReference"/>
          <w:rFonts w:ascii="Times New Roman" w:eastAsiaTheme="majorEastAsia" w:hAnsi="Times New Roman" w:cs="Times New Roman"/>
          <w:sz w:val="16"/>
          <w:szCs w:val="16"/>
          <w:lang w:val=""/>
        </w:rPr>
        <w:footnoteRef/>
      </w:r>
      <w:r w:rsidRPr="00CB7293">
        <w:rPr>
          <w:rFonts w:ascii="Times New Roman" w:hAnsi="Times New Roman" w:cs="Times New Roman"/>
          <w:sz w:val="16"/>
          <w:szCs w:val="16"/>
          <w:lang w:val="fr-FR"/>
        </w:rPr>
        <w:t xml:space="preserve"> https://www.who.int/data/gho/data/themes/topics/indicator-groups/indicator-group-details/GHO/life-expectancy-and-healthy-life-expectancy</w:t>
      </w:r>
    </w:p>
  </w:footnote>
  <w:footnote w:id="28">
    <w:p w14:paraId="1A804A2D" w14:textId="1AD601DC" w:rsidR="00EB6CFB" w:rsidRPr="00CB7293" w:rsidRDefault="00EB6CFB" w:rsidP="00085101">
      <w:pPr>
        <w:pStyle w:val="FootnoteText"/>
        <w:rPr>
          <w:sz w:val="16"/>
          <w:szCs w:val="16"/>
          <w:lang w:val=""/>
        </w:rPr>
      </w:pPr>
      <w:r w:rsidRPr="00CB7293">
        <w:rPr>
          <w:rStyle w:val="FootnoteReference"/>
          <w:rFonts w:eastAsiaTheme="majorEastAsia"/>
          <w:sz w:val="16"/>
          <w:szCs w:val="16"/>
        </w:rPr>
        <w:footnoteRef/>
      </w:r>
      <w:r w:rsidRPr="00CB7293">
        <w:rPr>
          <w:sz w:val="16"/>
          <w:szCs w:val="16"/>
          <w:lang w:val=""/>
        </w:rPr>
        <w:t xml:space="preserve"> </w:t>
      </w:r>
      <w:hyperlink r:id="rId7" w:history="1">
        <w:r w:rsidRPr="00CB7293">
          <w:rPr>
            <w:rStyle w:val="Hyperlink"/>
            <w:sz w:val="16"/>
            <w:szCs w:val="16"/>
            <w:lang w:val=""/>
          </w:rPr>
          <w:t>https://gco.iarc.fr/today/data/factsheets/populations/807-north-macedonia-fact-sheets.pdf</w:t>
        </w:r>
      </w:hyperlink>
    </w:p>
  </w:footnote>
  <w:footnote w:id="29">
    <w:p w14:paraId="03CFFFA7" w14:textId="77777777" w:rsidR="00E124AA" w:rsidRPr="00E34A9C" w:rsidRDefault="00E124AA" w:rsidP="00E124AA">
      <w:pPr>
        <w:pStyle w:val="FootnoteText"/>
        <w:rPr>
          <w:lang w:val="en-US"/>
        </w:rPr>
      </w:pPr>
      <w:r>
        <w:rPr>
          <w:rStyle w:val="FootnoteReference"/>
        </w:rPr>
        <w:footnoteRef/>
      </w:r>
      <w:r>
        <w:t xml:space="preserve"> </w:t>
      </w:r>
      <w:r w:rsidRPr="001E15BE">
        <w:t>https://e-zdravstvo.mk/en/home#reports</w:t>
      </w:r>
    </w:p>
  </w:footnote>
  <w:footnote w:id="30">
    <w:p w14:paraId="55E72138" w14:textId="77777777" w:rsidR="00E124AA" w:rsidRPr="00E34A9C" w:rsidRDefault="00E124AA" w:rsidP="00E124AA">
      <w:pPr>
        <w:pStyle w:val="FootnoteText"/>
        <w:rPr>
          <w:lang w:val="en-US"/>
        </w:rPr>
      </w:pPr>
      <w:r>
        <w:rPr>
          <w:rStyle w:val="FootnoteReference"/>
        </w:rPr>
        <w:footnoteRef/>
      </w:r>
      <w:r>
        <w:t xml:space="preserve"> </w:t>
      </w:r>
      <w:r w:rsidRPr="001E15BE">
        <w:t>https://e-zdravstvo.mk/en/home#reports</w:t>
      </w:r>
    </w:p>
  </w:footnote>
  <w:footnote w:id="31">
    <w:p w14:paraId="1C18FB46" w14:textId="77777777" w:rsidR="00E124AA" w:rsidRPr="00E34A9C" w:rsidRDefault="00E124AA" w:rsidP="00E124AA">
      <w:pPr>
        <w:pStyle w:val="FootnoteText"/>
        <w:rPr>
          <w:lang w:val="en-US"/>
        </w:rPr>
      </w:pPr>
      <w:r>
        <w:rPr>
          <w:rStyle w:val="FootnoteReference"/>
        </w:rPr>
        <w:footnoteRef/>
      </w:r>
      <w:r>
        <w:t xml:space="preserve"> </w:t>
      </w:r>
      <w:r w:rsidRPr="001E15BE">
        <w:t>https://e-zdravstvo.mk/en/home#reports</w:t>
      </w:r>
    </w:p>
  </w:footnote>
  <w:footnote w:id="32">
    <w:p w14:paraId="24372EDB" w14:textId="77777777" w:rsidR="00EB6CFB" w:rsidRPr="00AE4250" w:rsidRDefault="00EB6CFB" w:rsidP="00635A0A">
      <w:pPr>
        <w:pStyle w:val="FootnoteText"/>
        <w:shd w:val="clear" w:color="auto" w:fill="B4C6E7" w:themeFill="accent5" w:themeFillTint="66"/>
      </w:pPr>
      <w:r w:rsidRPr="00001C85">
        <w:rPr>
          <w:rStyle w:val="FootnoteReference"/>
        </w:rPr>
        <w:footnoteRef/>
      </w:r>
      <w:r w:rsidRPr="00001C85">
        <w:t xml:space="preserve"> This section is to be completed by the EU Office/</w:t>
      </w:r>
      <w:r w:rsidRPr="00AE4250">
        <w:t>Delegation.</w:t>
      </w:r>
    </w:p>
  </w:footnote>
  <w:footnote w:id="33">
    <w:p w14:paraId="09890AAB" w14:textId="77777777" w:rsidR="00EB6CFB" w:rsidRPr="00001C85" w:rsidRDefault="00EB6CFB"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hyperlink r:id="rId8" w:anchor="/main" w:history="1">
        <w:r w:rsidRPr="001B258E">
          <w:rPr>
            <w:rStyle w:val="Hyperlink"/>
          </w:rPr>
          <w:t>EU Sanctions Map</w:t>
        </w:r>
      </w:hyperlink>
      <w:r>
        <w:t xml:space="preserve">. </w:t>
      </w:r>
      <w:r w:rsidRPr="00001C85">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34">
    <w:p w14:paraId="4DCAA3BA" w14:textId="77777777" w:rsidR="00EB6CFB" w:rsidRPr="00001C85" w:rsidRDefault="00EB6CFB" w:rsidP="003C0CD7">
      <w:pPr>
        <w:pStyle w:val="FootnoteText"/>
        <w:shd w:val="clear" w:color="auto" w:fill="B4C6E7" w:themeFill="accent5" w:themeFillTint="66"/>
      </w:pPr>
      <w:r w:rsidRPr="00001C85">
        <w:rPr>
          <w:rStyle w:val="FootnoteReference"/>
        </w:rPr>
        <w:footnoteRef/>
      </w:r>
      <w:r w:rsidRPr="00001C85">
        <w:t xml:space="preserve"> Where the action is not covered by a financing agreement (see section </w:t>
      </w:r>
      <w:r w:rsidRPr="00001C85">
        <w:fldChar w:fldCharType="begin"/>
      </w:r>
      <w:r w:rsidRPr="00001C85">
        <w:instrText xml:space="preserve"> REF _Ref65665776 \r \h  \* MERGEFORMAT </w:instrText>
      </w:r>
      <w:r w:rsidRPr="00001C85">
        <w:fldChar w:fldCharType="separate"/>
      </w:r>
      <w:r w:rsidRPr="00001C85">
        <w:t>4.1</w:t>
      </w:r>
      <w:r w:rsidRPr="00001C85">
        <w:fldChar w:fldCharType="end"/>
      </w:r>
      <w:r w:rsidRPr="00001C85">
        <w:t>), put ‘will be covered by another decision’ as it is unlikely that evaluation and audit contracts on this action would be concluded within N+1. These contracts have to be authorised by another Financing Decision.</w:t>
      </w:r>
    </w:p>
  </w:footnote>
  <w:footnote w:id="35">
    <w:p w14:paraId="47A8CC5A" w14:textId="77777777" w:rsidR="00EB6CFB" w:rsidRPr="0089490C" w:rsidRDefault="00EB6CFB" w:rsidP="008F4E2E">
      <w:pPr>
        <w:pStyle w:val="Style2"/>
      </w:pPr>
      <w:r w:rsidRPr="0089490C">
        <w:rPr>
          <w:rStyle w:val="FootnoteReference"/>
        </w:rPr>
        <w:footnoteRef/>
      </w:r>
      <w:r w:rsidRPr="0089490C">
        <w:t xml:space="preserve"> See </w:t>
      </w:r>
      <w:r w:rsidRPr="0089490C">
        <w:rPr>
          <w:rFonts w:cs="Calibri"/>
        </w:rPr>
        <w:t xml:space="preserve">best </w:t>
      </w:r>
      <w:hyperlink r:id="rId9" w:history="1">
        <w:r w:rsidRPr="0089490C">
          <w:rPr>
            <w:rStyle w:val="Hyperlink"/>
            <w:rFonts w:cs="Calibri"/>
          </w:rPr>
          <w:t>practice of evaluation dissemination</w:t>
        </w:r>
      </w:hyperlink>
      <w:r w:rsidRPr="0089490C">
        <w:rPr>
          <w:rFonts w:cs="Calibri"/>
        </w:rPr>
        <w:t xml:space="preserve"> </w:t>
      </w:r>
    </w:p>
  </w:footnote>
  <w:footnote w:id="36">
    <w:p w14:paraId="31B47CF4" w14:textId="77777777" w:rsidR="00EB6CFB" w:rsidRPr="0089490C" w:rsidRDefault="00EB6CFB" w:rsidP="005F6437">
      <w:pPr>
        <w:pStyle w:val="Style2"/>
      </w:pPr>
      <w:r w:rsidRPr="0089490C">
        <w:rPr>
          <w:rStyle w:val="FootnoteReference"/>
        </w:rPr>
        <w:footnoteRef/>
      </w:r>
      <w:r w:rsidRPr="0089490C">
        <w:t xml:space="preserve"> For the purpose of consistency between terms in OPSYS, DG INTPA, DG NEAR and FPI have harmonised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10" w:history="1">
        <w:r w:rsidRPr="0089490C">
          <w:rPr>
            <w:rStyle w:val="Hyperlink"/>
          </w:rPr>
          <w:t>concept of intervention</w:t>
        </w:r>
      </w:hyperlink>
      <w:r>
        <w:rPr>
          <w:rStyle w:val="Hyperlink"/>
        </w:rPr>
        <w:t xml:space="preserve"> </w:t>
      </w:r>
      <w:r w:rsidRPr="0073170D">
        <w:rPr>
          <w:rStyle w:val="Hyperlink"/>
          <w:i/>
          <w:lang w:val="en-IE"/>
        </w:rPr>
        <w:t>[</w:t>
      </w:r>
      <w:r>
        <w:rPr>
          <w:rStyle w:val="Hyperlink"/>
          <w:i/>
          <w:lang w:val="en-IE"/>
        </w:rPr>
        <w:t xml:space="preserve">to access the link an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9557" w14:textId="77777777" w:rsidR="00EB6CFB" w:rsidRDefault="00EB6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EB6CFB" w:rsidRPr="004257C0" w:rsidRDefault="00EB6CFB">
    <w:pPr>
      <w:pStyle w:val="Header"/>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EB6CFB" w:rsidRPr="004257C0" w:rsidRDefault="00EB6CFB">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0FA7" w14:textId="77777777" w:rsidR="00EB6CFB" w:rsidRDefault="00EB6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5ED"/>
    <w:multiLevelType w:val="hybridMultilevel"/>
    <w:tmpl w:val="EEDE74DC"/>
    <w:lvl w:ilvl="0" w:tplc="080C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nsid w:val="02D12F05"/>
    <w:multiLevelType w:val="hybridMultilevel"/>
    <w:tmpl w:val="2B605E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4C11065"/>
    <w:multiLevelType w:val="hybridMultilevel"/>
    <w:tmpl w:val="7810A0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5B40ACA"/>
    <w:multiLevelType w:val="hybridMultilevel"/>
    <w:tmpl w:val="BB2ABE4C"/>
    <w:lvl w:ilvl="0" w:tplc="CBE83262">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3C7609"/>
    <w:multiLevelType w:val="hybridMultilevel"/>
    <w:tmpl w:val="22C8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D2AA5"/>
    <w:multiLevelType w:val="hybridMultilevel"/>
    <w:tmpl w:val="E4D43806"/>
    <w:lvl w:ilvl="0" w:tplc="CBE832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166C6E68"/>
    <w:multiLevelType w:val="multilevel"/>
    <w:tmpl w:val="9FB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355DC"/>
    <w:multiLevelType w:val="hybridMultilevel"/>
    <w:tmpl w:val="A442EA3C"/>
    <w:lvl w:ilvl="0" w:tplc="241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1D6432D7"/>
    <w:multiLevelType w:val="multilevel"/>
    <w:tmpl w:val="283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63648F"/>
    <w:multiLevelType w:val="hybridMultilevel"/>
    <w:tmpl w:val="3DE4B980"/>
    <w:lvl w:ilvl="0" w:tplc="7A5A5A44">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47731C8"/>
    <w:multiLevelType w:val="hybridMultilevel"/>
    <w:tmpl w:val="ED4AEA12"/>
    <w:lvl w:ilvl="0" w:tplc="080C000D">
      <w:start w:val="1"/>
      <w:numFmt w:val="bullet"/>
      <w:lvlText w:val=""/>
      <w:lvlJc w:val="left"/>
      <w:pPr>
        <w:ind w:left="1800" w:hanging="360"/>
      </w:pPr>
      <w:rPr>
        <w:rFonts w:ascii="Wingdings" w:hAnsi="Wingdings"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3">
    <w:nsid w:val="249C3139"/>
    <w:multiLevelType w:val="hybridMultilevel"/>
    <w:tmpl w:val="529ECC82"/>
    <w:lvl w:ilvl="0" w:tplc="CBE832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AFF3AA3"/>
    <w:multiLevelType w:val="hybridMultilevel"/>
    <w:tmpl w:val="35F2E6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17">
    <w:nsid w:val="364B0830"/>
    <w:multiLevelType w:val="hybridMultilevel"/>
    <w:tmpl w:val="F358092C"/>
    <w:lvl w:ilvl="0" w:tplc="CBE83262">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nsid w:val="427F46AA"/>
    <w:multiLevelType w:val="hybridMultilevel"/>
    <w:tmpl w:val="4ED46BC8"/>
    <w:lvl w:ilvl="0" w:tplc="080C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nsid w:val="471835F5"/>
    <w:multiLevelType w:val="hybridMultilevel"/>
    <w:tmpl w:val="8CEE17B4"/>
    <w:lvl w:ilvl="0" w:tplc="7A5A5A44">
      <w:numFmt w:val="bullet"/>
      <w:lvlText w:val="-"/>
      <w:lvlJc w:val="left"/>
      <w:pPr>
        <w:ind w:left="1083" w:hanging="360"/>
      </w:pPr>
      <w:rPr>
        <w:rFonts w:ascii="Calibri" w:eastAsia="Calibri" w:hAnsi="Calibri" w:cs="Times New Roman"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0">
    <w:nsid w:val="47F011ED"/>
    <w:multiLevelType w:val="hybridMultilevel"/>
    <w:tmpl w:val="7CD45A2C"/>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BB70223"/>
    <w:multiLevelType w:val="hybridMultilevel"/>
    <w:tmpl w:val="3814E404"/>
    <w:lvl w:ilvl="0" w:tplc="241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2">
    <w:nsid w:val="5074411C"/>
    <w:multiLevelType w:val="hybridMultilevel"/>
    <w:tmpl w:val="15F0E620"/>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23">
    <w:nsid w:val="50BE4DD0"/>
    <w:multiLevelType w:val="hybridMultilevel"/>
    <w:tmpl w:val="D4C88EA6"/>
    <w:lvl w:ilvl="0" w:tplc="241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nsid w:val="51183A9C"/>
    <w:multiLevelType w:val="hybridMultilevel"/>
    <w:tmpl w:val="6C6E1120"/>
    <w:lvl w:ilvl="0" w:tplc="FFFFFFFF">
      <w:start w:val="1"/>
      <w:numFmt w:val="bullet"/>
      <w:lvlText w:val=""/>
      <w:lvlJc w:val="left"/>
      <w:pPr>
        <w:ind w:left="360" w:hanging="360"/>
      </w:pPr>
      <w:rPr>
        <w:rFonts w:ascii="Symbol" w:hAnsi="Symbol" w:hint="default"/>
      </w:rPr>
    </w:lvl>
    <w:lvl w:ilvl="1" w:tplc="04090003">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nsid w:val="54336793"/>
    <w:multiLevelType w:val="hybridMultilevel"/>
    <w:tmpl w:val="DD72228C"/>
    <w:lvl w:ilvl="0" w:tplc="CBE832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nsid w:val="5D9725E8"/>
    <w:multiLevelType w:val="multilevel"/>
    <w:tmpl w:val="1E065536"/>
    <w:lvl w:ilvl="0">
      <w:start w:val="1"/>
      <w:numFmt w:val="decimal"/>
      <w:pStyle w:val="Heading1"/>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6B0733"/>
    <w:multiLevelType w:val="hybridMultilevel"/>
    <w:tmpl w:val="CAA00028"/>
    <w:lvl w:ilvl="0" w:tplc="7A5A5A44">
      <w:numFmt w:val="bullet"/>
      <w:lvlText w:val="-"/>
      <w:lvlJc w:val="left"/>
      <w:pPr>
        <w:ind w:left="1440" w:hanging="360"/>
      </w:pPr>
      <w:rPr>
        <w:rFonts w:ascii="Calibri" w:eastAsia="Calibri" w:hAnsi="Calibri" w:cs="Times New Roman"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nsid w:val="614D1A57"/>
    <w:multiLevelType w:val="hybridMultilevel"/>
    <w:tmpl w:val="F79E26C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nsid w:val="634C1C6D"/>
    <w:multiLevelType w:val="hybridMultilevel"/>
    <w:tmpl w:val="58006114"/>
    <w:lvl w:ilvl="0" w:tplc="241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0">
    <w:nsid w:val="666B5D6D"/>
    <w:multiLevelType w:val="hybridMultilevel"/>
    <w:tmpl w:val="BB92459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0971253"/>
    <w:multiLevelType w:val="hybridMultilevel"/>
    <w:tmpl w:val="BCEA0976"/>
    <w:lvl w:ilvl="0" w:tplc="FFFFFFFF">
      <w:start w:val="1"/>
      <w:numFmt w:val="bullet"/>
      <w:lvlText w:val=""/>
      <w:lvlJc w:val="left"/>
      <w:pPr>
        <w:ind w:left="720" w:hanging="360"/>
      </w:pPr>
      <w:rPr>
        <w:rFonts w:ascii="Symbol" w:hAnsi="Symbol" w:hint="default"/>
      </w:rPr>
    </w:lvl>
    <w:lvl w:ilvl="1" w:tplc="241A0001">
      <w:start w:val="1"/>
      <w:numFmt w:val="bullet"/>
      <w:lvlText w:val=""/>
      <w:lvlJc w:val="left"/>
      <w:pPr>
        <w:ind w:left="86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4936D06"/>
    <w:multiLevelType w:val="hybridMultilevel"/>
    <w:tmpl w:val="0A9070C4"/>
    <w:lvl w:ilvl="0" w:tplc="B0E00C2A">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num w:numId="1">
    <w:abstractNumId w:val="26"/>
  </w:num>
  <w:num w:numId="2">
    <w:abstractNumId w:val="4"/>
  </w:num>
  <w:num w:numId="3">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6"/>
  </w:num>
  <w:num w:numId="6">
    <w:abstractNumId w:val="26"/>
  </w:num>
  <w:num w:numId="7">
    <w:abstractNumId w:val="14"/>
  </w:num>
  <w:num w:numId="8">
    <w:abstractNumId w:val="5"/>
  </w:num>
  <w:num w:numId="9">
    <w:abstractNumId w:val="2"/>
  </w:num>
  <w:num w:numId="10">
    <w:abstractNumId w:val="1"/>
  </w:num>
  <w:num w:numId="11">
    <w:abstractNumId w:val="27"/>
  </w:num>
  <w:num w:numId="12">
    <w:abstractNumId w:val="21"/>
  </w:num>
  <w:num w:numId="13">
    <w:abstractNumId w:val="29"/>
  </w:num>
  <w:num w:numId="14">
    <w:abstractNumId w:val="11"/>
  </w:num>
  <w:num w:numId="15">
    <w:abstractNumId w:val="6"/>
  </w:num>
  <w:num w:numId="16">
    <w:abstractNumId w:val="12"/>
  </w:num>
  <w:num w:numId="17">
    <w:abstractNumId w:val="0"/>
  </w:num>
  <w:num w:numId="18">
    <w:abstractNumId w:val="19"/>
  </w:num>
  <w:num w:numId="19">
    <w:abstractNumId w:val="18"/>
  </w:num>
  <w:num w:numId="20">
    <w:abstractNumId w:val="15"/>
  </w:num>
  <w:num w:numId="21">
    <w:abstractNumId w:val="32"/>
  </w:num>
  <w:num w:numId="22">
    <w:abstractNumId w:val="24"/>
  </w:num>
  <w:num w:numId="23">
    <w:abstractNumId w:val="22"/>
  </w:num>
  <w:num w:numId="24">
    <w:abstractNumId w:val="30"/>
  </w:num>
  <w:num w:numId="25">
    <w:abstractNumId w:val="31"/>
  </w:num>
  <w:num w:numId="26">
    <w:abstractNumId w:val="23"/>
  </w:num>
  <w:num w:numId="27">
    <w:abstractNumId w:val="3"/>
  </w:num>
  <w:num w:numId="28">
    <w:abstractNumId w:val="17"/>
  </w:num>
  <w:num w:numId="29">
    <w:abstractNumId w:val="13"/>
  </w:num>
  <w:num w:numId="30">
    <w:abstractNumId w:val="25"/>
  </w:num>
  <w:num w:numId="31">
    <w:abstractNumId w:val="20"/>
  </w:num>
  <w:num w:numId="32">
    <w:abstractNumId w:val="7"/>
  </w:num>
  <w:num w:numId="33">
    <w:abstractNumId w:val="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0"/>
  </w:num>
  <w:num w:numId="3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FR" w:vendorID="64" w:dllVersion="0" w:nlCheck="1" w:checkStyle="0"/>
  <w:activeWritingStyle w:appName="MSWord" w:lang="en-GB" w:vendorID="64" w:dllVersion="6" w:nlCheck="1" w:checkStyle="0"/>
  <w:activeWritingStyle w:appName="MSWord" w:lang="en-IE" w:vendorID="64" w:dllVersion="6" w:nlCheck="1" w:checkStyle="0"/>
  <w:activeWritingStyle w:appName="MSWord" w:lang="fr-BE"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02C1"/>
    <w:rsid w:val="00001C85"/>
    <w:rsid w:val="000021DC"/>
    <w:rsid w:val="0000303F"/>
    <w:rsid w:val="00004F47"/>
    <w:rsid w:val="000052CA"/>
    <w:rsid w:val="000057DC"/>
    <w:rsid w:val="00005D65"/>
    <w:rsid w:val="00006C1E"/>
    <w:rsid w:val="000113D1"/>
    <w:rsid w:val="00011B68"/>
    <w:rsid w:val="00012353"/>
    <w:rsid w:val="00012BFC"/>
    <w:rsid w:val="000132E5"/>
    <w:rsid w:val="00013440"/>
    <w:rsid w:val="0001347C"/>
    <w:rsid w:val="000141C3"/>
    <w:rsid w:val="00014B0D"/>
    <w:rsid w:val="000154BA"/>
    <w:rsid w:val="000158DC"/>
    <w:rsid w:val="00015AC9"/>
    <w:rsid w:val="00015CF3"/>
    <w:rsid w:val="00017F02"/>
    <w:rsid w:val="000204A8"/>
    <w:rsid w:val="000216AB"/>
    <w:rsid w:val="00021A09"/>
    <w:rsid w:val="00023303"/>
    <w:rsid w:val="0002366B"/>
    <w:rsid w:val="00023BD3"/>
    <w:rsid w:val="0002440E"/>
    <w:rsid w:val="00025242"/>
    <w:rsid w:val="0002592B"/>
    <w:rsid w:val="00030C23"/>
    <w:rsid w:val="00030FF8"/>
    <w:rsid w:val="0003129E"/>
    <w:rsid w:val="00031765"/>
    <w:rsid w:val="00032C27"/>
    <w:rsid w:val="00033C82"/>
    <w:rsid w:val="000342BE"/>
    <w:rsid w:val="000345C8"/>
    <w:rsid w:val="00036495"/>
    <w:rsid w:val="000368A6"/>
    <w:rsid w:val="00037227"/>
    <w:rsid w:val="00040E35"/>
    <w:rsid w:val="00041660"/>
    <w:rsid w:val="000416DC"/>
    <w:rsid w:val="000417DE"/>
    <w:rsid w:val="000418A1"/>
    <w:rsid w:val="000422FC"/>
    <w:rsid w:val="00042AA5"/>
    <w:rsid w:val="00042F66"/>
    <w:rsid w:val="000434F1"/>
    <w:rsid w:val="00043C0F"/>
    <w:rsid w:val="00044310"/>
    <w:rsid w:val="000451E7"/>
    <w:rsid w:val="0004548E"/>
    <w:rsid w:val="0004794C"/>
    <w:rsid w:val="0005032F"/>
    <w:rsid w:val="00050ADF"/>
    <w:rsid w:val="00051ACD"/>
    <w:rsid w:val="000531F1"/>
    <w:rsid w:val="00053C4A"/>
    <w:rsid w:val="000540F7"/>
    <w:rsid w:val="00054E58"/>
    <w:rsid w:val="00055152"/>
    <w:rsid w:val="00055A04"/>
    <w:rsid w:val="00055BB2"/>
    <w:rsid w:val="00055CC4"/>
    <w:rsid w:val="00055FE3"/>
    <w:rsid w:val="00056B72"/>
    <w:rsid w:val="000573BF"/>
    <w:rsid w:val="00057858"/>
    <w:rsid w:val="000578E7"/>
    <w:rsid w:val="00062893"/>
    <w:rsid w:val="00063372"/>
    <w:rsid w:val="0006347F"/>
    <w:rsid w:val="0006455D"/>
    <w:rsid w:val="000648C4"/>
    <w:rsid w:val="00064A87"/>
    <w:rsid w:val="00064B75"/>
    <w:rsid w:val="000662EC"/>
    <w:rsid w:val="0006685B"/>
    <w:rsid w:val="00066F68"/>
    <w:rsid w:val="000714D2"/>
    <w:rsid w:val="00071637"/>
    <w:rsid w:val="00071D1E"/>
    <w:rsid w:val="0007227F"/>
    <w:rsid w:val="00073FCE"/>
    <w:rsid w:val="00075A4D"/>
    <w:rsid w:val="00077A3A"/>
    <w:rsid w:val="00077FDB"/>
    <w:rsid w:val="000807D6"/>
    <w:rsid w:val="00080DFD"/>
    <w:rsid w:val="00080EAD"/>
    <w:rsid w:val="000810D6"/>
    <w:rsid w:val="00081731"/>
    <w:rsid w:val="000826E9"/>
    <w:rsid w:val="000827CD"/>
    <w:rsid w:val="00083B97"/>
    <w:rsid w:val="00083BC4"/>
    <w:rsid w:val="00083E7B"/>
    <w:rsid w:val="00084109"/>
    <w:rsid w:val="000848FD"/>
    <w:rsid w:val="00085101"/>
    <w:rsid w:val="00085A54"/>
    <w:rsid w:val="00085DBE"/>
    <w:rsid w:val="000870C0"/>
    <w:rsid w:val="0008748D"/>
    <w:rsid w:val="00090E1F"/>
    <w:rsid w:val="00091845"/>
    <w:rsid w:val="00091F48"/>
    <w:rsid w:val="00093D10"/>
    <w:rsid w:val="00095EDA"/>
    <w:rsid w:val="00097767"/>
    <w:rsid w:val="00097773"/>
    <w:rsid w:val="0009789C"/>
    <w:rsid w:val="000A22C9"/>
    <w:rsid w:val="000A2712"/>
    <w:rsid w:val="000A4275"/>
    <w:rsid w:val="000A480B"/>
    <w:rsid w:val="000A4DBF"/>
    <w:rsid w:val="000A61EE"/>
    <w:rsid w:val="000A6487"/>
    <w:rsid w:val="000A7A06"/>
    <w:rsid w:val="000B11ED"/>
    <w:rsid w:val="000B2EE3"/>
    <w:rsid w:val="000B31A4"/>
    <w:rsid w:val="000B3212"/>
    <w:rsid w:val="000B3252"/>
    <w:rsid w:val="000B384F"/>
    <w:rsid w:val="000B45DC"/>
    <w:rsid w:val="000B4FF6"/>
    <w:rsid w:val="000B53E8"/>
    <w:rsid w:val="000B7060"/>
    <w:rsid w:val="000C16B2"/>
    <w:rsid w:val="000C2A0F"/>
    <w:rsid w:val="000C381D"/>
    <w:rsid w:val="000C3F44"/>
    <w:rsid w:val="000C41E2"/>
    <w:rsid w:val="000C45F3"/>
    <w:rsid w:val="000C4B0E"/>
    <w:rsid w:val="000C570F"/>
    <w:rsid w:val="000C5767"/>
    <w:rsid w:val="000C743D"/>
    <w:rsid w:val="000C763F"/>
    <w:rsid w:val="000D0F7F"/>
    <w:rsid w:val="000D1439"/>
    <w:rsid w:val="000D2E50"/>
    <w:rsid w:val="000D30EC"/>
    <w:rsid w:val="000D38C0"/>
    <w:rsid w:val="000D3D83"/>
    <w:rsid w:val="000D5FD0"/>
    <w:rsid w:val="000D69D1"/>
    <w:rsid w:val="000D6E69"/>
    <w:rsid w:val="000E093C"/>
    <w:rsid w:val="000E0DE0"/>
    <w:rsid w:val="000E1D5D"/>
    <w:rsid w:val="000E239E"/>
    <w:rsid w:val="000E3120"/>
    <w:rsid w:val="000E36F8"/>
    <w:rsid w:val="000E3B69"/>
    <w:rsid w:val="000E3FC9"/>
    <w:rsid w:val="000E5C39"/>
    <w:rsid w:val="000E675E"/>
    <w:rsid w:val="000E6992"/>
    <w:rsid w:val="000E748E"/>
    <w:rsid w:val="000E79AD"/>
    <w:rsid w:val="000E7AB5"/>
    <w:rsid w:val="000F01BF"/>
    <w:rsid w:val="000F2E7A"/>
    <w:rsid w:val="000F329E"/>
    <w:rsid w:val="000F3DA3"/>
    <w:rsid w:val="000F408A"/>
    <w:rsid w:val="000F63B5"/>
    <w:rsid w:val="000F68AF"/>
    <w:rsid w:val="001002B2"/>
    <w:rsid w:val="0010038C"/>
    <w:rsid w:val="001003E6"/>
    <w:rsid w:val="00100BAF"/>
    <w:rsid w:val="0010107D"/>
    <w:rsid w:val="001033DE"/>
    <w:rsid w:val="00104963"/>
    <w:rsid w:val="001052F7"/>
    <w:rsid w:val="00105AB4"/>
    <w:rsid w:val="00105D53"/>
    <w:rsid w:val="00105FD8"/>
    <w:rsid w:val="0010620D"/>
    <w:rsid w:val="00106254"/>
    <w:rsid w:val="0010779E"/>
    <w:rsid w:val="00110345"/>
    <w:rsid w:val="00110973"/>
    <w:rsid w:val="00111498"/>
    <w:rsid w:val="00114E6A"/>
    <w:rsid w:val="00115432"/>
    <w:rsid w:val="00115A9D"/>
    <w:rsid w:val="0011656B"/>
    <w:rsid w:val="00116939"/>
    <w:rsid w:val="001174D7"/>
    <w:rsid w:val="00121842"/>
    <w:rsid w:val="001218D0"/>
    <w:rsid w:val="001218E0"/>
    <w:rsid w:val="00121B65"/>
    <w:rsid w:val="00122150"/>
    <w:rsid w:val="00122503"/>
    <w:rsid w:val="00122B47"/>
    <w:rsid w:val="001244DF"/>
    <w:rsid w:val="0012558E"/>
    <w:rsid w:val="001260D7"/>
    <w:rsid w:val="00126B51"/>
    <w:rsid w:val="00131036"/>
    <w:rsid w:val="00132912"/>
    <w:rsid w:val="00133B61"/>
    <w:rsid w:val="001349A1"/>
    <w:rsid w:val="00134AF5"/>
    <w:rsid w:val="0013501D"/>
    <w:rsid w:val="001356DF"/>
    <w:rsid w:val="0013744C"/>
    <w:rsid w:val="00140835"/>
    <w:rsid w:val="00141967"/>
    <w:rsid w:val="00142136"/>
    <w:rsid w:val="00142EC1"/>
    <w:rsid w:val="00143C18"/>
    <w:rsid w:val="00143D0C"/>
    <w:rsid w:val="00143E77"/>
    <w:rsid w:val="001441BB"/>
    <w:rsid w:val="001455C9"/>
    <w:rsid w:val="001456D1"/>
    <w:rsid w:val="00145F6F"/>
    <w:rsid w:val="001477BA"/>
    <w:rsid w:val="00147CFF"/>
    <w:rsid w:val="00150127"/>
    <w:rsid w:val="0015034D"/>
    <w:rsid w:val="00151047"/>
    <w:rsid w:val="00151C9F"/>
    <w:rsid w:val="001521BE"/>
    <w:rsid w:val="00152B1D"/>
    <w:rsid w:val="00152CAE"/>
    <w:rsid w:val="0015467E"/>
    <w:rsid w:val="0015575C"/>
    <w:rsid w:val="00155AA9"/>
    <w:rsid w:val="00156199"/>
    <w:rsid w:val="001562D8"/>
    <w:rsid w:val="00156748"/>
    <w:rsid w:val="00156E41"/>
    <w:rsid w:val="001620A4"/>
    <w:rsid w:val="00162278"/>
    <w:rsid w:val="00162F5A"/>
    <w:rsid w:val="001649E8"/>
    <w:rsid w:val="00165BF5"/>
    <w:rsid w:val="00165C5C"/>
    <w:rsid w:val="0016660A"/>
    <w:rsid w:val="001669B6"/>
    <w:rsid w:val="001669DF"/>
    <w:rsid w:val="00166C20"/>
    <w:rsid w:val="00166F2A"/>
    <w:rsid w:val="00167092"/>
    <w:rsid w:val="00167422"/>
    <w:rsid w:val="001706D6"/>
    <w:rsid w:val="00170DDA"/>
    <w:rsid w:val="00170FB2"/>
    <w:rsid w:val="00171393"/>
    <w:rsid w:val="001720E0"/>
    <w:rsid w:val="001722F0"/>
    <w:rsid w:val="00172B02"/>
    <w:rsid w:val="00172C88"/>
    <w:rsid w:val="00173BB8"/>
    <w:rsid w:val="00174E00"/>
    <w:rsid w:val="00175983"/>
    <w:rsid w:val="00175AB6"/>
    <w:rsid w:val="0017625D"/>
    <w:rsid w:val="00177439"/>
    <w:rsid w:val="00177C44"/>
    <w:rsid w:val="00182C3B"/>
    <w:rsid w:val="0018318B"/>
    <w:rsid w:val="0018436A"/>
    <w:rsid w:val="001845C5"/>
    <w:rsid w:val="00184874"/>
    <w:rsid w:val="0018579B"/>
    <w:rsid w:val="0018608C"/>
    <w:rsid w:val="00186278"/>
    <w:rsid w:val="0018689C"/>
    <w:rsid w:val="00190D5A"/>
    <w:rsid w:val="00191072"/>
    <w:rsid w:val="00191A55"/>
    <w:rsid w:val="001930C7"/>
    <w:rsid w:val="001931BC"/>
    <w:rsid w:val="0019325D"/>
    <w:rsid w:val="0019347F"/>
    <w:rsid w:val="001935E9"/>
    <w:rsid w:val="00193E63"/>
    <w:rsid w:val="00195D17"/>
    <w:rsid w:val="00196D6B"/>
    <w:rsid w:val="001A182B"/>
    <w:rsid w:val="001A2578"/>
    <w:rsid w:val="001A2E25"/>
    <w:rsid w:val="001A3E76"/>
    <w:rsid w:val="001A459D"/>
    <w:rsid w:val="001A5A4E"/>
    <w:rsid w:val="001A5F20"/>
    <w:rsid w:val="001A6449"/>
    <w:rsid w:val="001A78EF"/>
    <w:rsid w:val="001B258E"/>
    <w:rsid w:val="001B2E35"/>
    <w:rsid w:val="001B2E73"/>
    <w:rsid w:val="001B5A4C"/>
    <w:rsid w:val="001C05CA"/>
    <w:rsid w:val="001C1796"/>
    <w:rsid w:val="001C2269"/>
    <w:rsid w:val="001C241D"/>
    <w:rsid w:val="001C3485"/>
    <w:rsid w:val="001C3CCE"/>
    <w:rsid w:val="001C43B9"/>
    <w:rsid w:val="001C5528"/>
    <w:rsid w:val="001C5AC4"/>
    <w:rsid w:val="001C66F5"/>
    <w:rsid w:val="001C717D"/>
    <w:rsid w:val="001C7EB4"/>
    <w:rsid w:val="001D0FFE"/>
    <w:rsid w:val="001D20D6"/>
    <w:rsid w:val="001D3BD6"/>
    <w:rsid w:val="001D3FC9"/>
    <w:rsid w:val="001D4187"/>
    <w:rsid w:val="001D442B"/>
    <w:rsid w:val="001D44BE"/>
    <w:rsid w:val="001D527B"/>
    <w:rsid w:val="001D52A1"/>
    <w:rsid w:val="001D6165"/>
    <w:rsid w:val="001D61AF"/>
    <w:rsid w:val="001D6990"/>
    <w:rsid w:val="001D7106"/>
    <w:rsid w:val="001E0154"/>
    <w:rsid w:val="001E1F3F"/>
    <w:rsid w:val="001E3362"/>
    <w:rsid w:val="001E3DCB"/>
    <w:rsid w:val="001E3F35"/>
    <w:rsid w:val="001E3FBF"/>
    <w:rsid w:val="001E4707"/>
    <w:rsid w:val="001E5709"/>
    <w:rsid w:val="001E683C"/>
    <w:rsid w:val="001E697E"/>
    <w:rsid w:val="001E6ADE"/>
    <w:rsid w:val="001E704E"/>
    <w:rsid w:val="001F110E"/>
    <w:rsid w:val="001F23E5"/>
    <w:rsid w:val="001F256F"/>
    <w:rsid w:val="001F2792"/>
    <w:rsid w:val="001F3A7D"/>
    <w:rsid w:val="001F3BC4"/>
    <w:rsid w:val="001F40FF"/>
    <w:rsid w:val="001F58ED"/>
    <w:rsid w:val="001F7538"/>
    <w:rsid w:val="0020000F"/>
    <w:rsid w:val="0020052C"/>
    <w:rsid w:val="002037E1"/>
    <w:rsid w:val="00204357"/>
    <w:rsid w:val="002046A8"/>
    <w:rsid w:val="00204CD2"/>
    <w:rsid w:val="00206EE4"/>
    <w:rsid w:val="00207114"/>
    <w:rsid w:val="00207D7E"/>
    <w:rsid w:val="00211EE8"/>
    <w:rsid w:val="0021200B"/>
    <w:rsid w:val="00212B20"/>
    <w:rsid w:val="002134C7"/>
    <w:rsid w:val="00214EB1"/>
    <w:rsid w:val="00215D7D"/>
    <w:rsid w:val="00216924"/>
    <w:rsid w:val="00217532"/>
    <w:rsid w:val="00217BC6"/>
    <w:rsid w:val="00217C64"/>
    <w:rsid w:val="0022163F"/>
    <w:rsid w:val="002216C9"/>
    <w:rsid w:val="00221903"/>
    <w:rsid w:val="0022259C"/>
    <w:rsid w:val="00222D5C"/>
    <w:rsid w:val="00222F0F"/>
    <w:rsid w:val="002245DE"/>
    <w:rsid w:val="0022521F"/>
    <w:rsid w:val="00225914"/>
    <w:rsid w:val="00226692"/>
    <w:rsid w:val="002271E1"/>
    <w:rsid w:val="0022770E"/>
    <w:rsid w:val="00227737"/>
    <w:rsid w:val="00227B49"/>
    <w:rsid w:val="00227BCD"/>
    <w:rsid w:val="00230BC4"/>
    <w:rsid w:val="002331D5"/>
    <w:rsid w:val="0023328F"/>
    <w:rsid w:val="00233D5D"/>
    <w:rsid w:val="002346A2"/>
    <w:rsid w:val="002357B0"/>
    <w:rsid w:val="00235867"/>
    <w:rsid w:val="00235BE4"/>
    <w:rsid w:val="00236889"/>
    <w:rsid w:val="00236B9F"/>
    <w:rsid w:val="00237FB8"/>
    <w:rsid w:val="002408E3"/>
    <w:rsid w:val="00240ECF"/>
    <w:rsid w:val="00243206"/>
    <w:rsid w:val="00244D99"/>
    <w:rsid w:val="00245697"/>
    <w:rsid w:val="00246473"/>
    <w:rsid w:val="00246FD9"/>
    <w:rsid w:val="00247759"/>
    <w:rsid w:val="00247809"/>
    <w:rsid w:val="002505C5"/>
    <w:rsid w:val="00251636"/>
    <w:rsid w:val="0025299A"/>
    <w:rsid w:val="002531D5"/>
    <w:rsid w:val="00253E32"/>
    <w:rsid w:val="002548F3"/>
    <w:rsid w:val="002555C3"/>
    <w:rsid w:val="002559ED"/>
    <w:rsid w:val="00256293"/>
    <w:rsid w:val="00256F53"/>
    <w:rsid w:val="00257261"/>
    <w:rsid w:val="0025735B"/>
    <w:rsid w:val="00260EB6"/>
    <w:rsid w:val="00261420"/>
    <w:rsid w:val="002629C0"/>
    <w:rsid w:val="00263832"/>
    <w:rsid w:val="00263E9C"/>
    <w:rsid w:val="00264450"/>
    <w:rsid w:val="0026682D"/>
    <w:rsid w:val="00267088"/>
    <w:rsid w:val="0027028A"/>
    <w:rsid w:val="0027110D"/>
    <w:rsid w:val="00271FE8"/>
    <w:rsid w:val="002722C5"/>
    <w:rsid w:val="00272418"/>
    <w:rsid w:val="002727D9"/>
    <w:rsid w:val="00272C00"/>
    <w:rsid w:val="00274A75"/>
    <w:rsid w:val="00275713"/>
    <w:rsid w:val="00275ECB"/>
    <w:rsid w:val="00276DC9"/>
    <w:rsid w:val="0027704C"/>
    <w:rsid w:val="002770C3"/>
    <w:rsid w:val="00277B23"/>
    <w:rsid w:val="00280976"/>
    <w:rsid w:val="002809C9"/>
    <w:rsid w:val="00280AD8"/>
    <w:rsid w:val="00281092"/>
    <w:rsid w:val="00282B67"/>
    <w:rsid w:val="0028457E"/>
    <w:rsid w:val="002853BE"/>
    <w:rsid w:val="00285B6F"/>
    <w:rsid w:val="0028675E"/>
    <w:rsid w:val="002874F0"/>
    <w:rsid w:val="00287C7C"/>
    <w:rsid w:val="00291413"/>
    <w:rsid w:val="002933A2"/>
    <w:rsid w:val="002940DF"/>
    <w:rsid w:val="00294694"/>
    <w:rsid w:val="00294728"/>
    <w:rsid w:val="002951A6"/>
    <w:rsid w:val="002955A0"/>
    <w:rsid w:val="002957F5"/>
    <w:rsid w:val="00295D68"/>
    <w:rsid w:val="0029605E"/>
    <w:rsid w:val="00296064"/>
    <w:rsid w:val="00296A63"/>
    <w:rsid w:val="0029784F"/>
    <w:rsid w:val="002A11F2"/>
    <w:rsid w:val="002A15C3"/>
    <w:rsid w:val="002A17B6"/>
    <w:rsid w:val="002A1B45"/>
    <w:rsid w:val="002A2B60"/>
    <w:rsid w:val="002A2C32"/>
    <w:rsid w:val="002A3DBD"/>
    <w:rsid w:val="002A4D87"/>
    <w:rsid w:val="002A550B"/>
    <w:rsid w:val="002A555E"/>
    <w:rsid w:val="002A687A"/>
    <w:rsid w:val="002B378B"/>
    <w:rsid w:val="002B3971"/>
    <w:rsid w:val="002B48F0"/>
    <w:rsid w:val="002B4B2A"/>
    <w:rsid w:val="002B5389"/>
    <w:rsid w:val="002B6204"/>
    <w:rsid w:val="002B6469"/>
    <w:rsid w:val="002B7E93"/>
    <w:rsid w:val="002B7FCA"/>
    <w:rsid w:val="002C17B4"/>
    <w:rsid w:val="002C1847"/>
    <w:rsid w:val="002C191F"/>
    <w:rsid w:val="002C1947"/>
    <w:rsid w:val="002C1DAC"/>
    <w:rsid w:val="002C1F04"/>
    <w:rsid w:val="002C1F1B"/>
    <w:rsid w:val="002C2B3A"/>
    <w:rsid w:val="002C36FA"/>
    <w:rsid w:val="002C48D5"/>
    <w:rsid w:val="002C4FF5"/>
    <w:rsid w:val="002C60EB"/>
    <w:rsid w:val="002C672A"/>
    <w:rsid w:val="002C7371"/>
    <w:rsid w:val="002D0776"/>
    <w:rsid w:val="002D12EB"/>
    <w:rsid w:val="002D14D4"/>
    <w:rsid w:val="002D1647"/>
    <w:rsid w:val="002D1A57"/>
    <w:rsid w:val="002D2908"/>
    <w:rsid w:val="002D2B77"/>
    <w:rsid w:val="002D3760"/>
    <w:rsid w:val="002D3AA3"/>
    <w:rsid w:val="002D5B4D"/>
    <w:rsid w:val="002D7485"/>
    <w:rsid w:val="002D782C"/>
    <w:rsid w:val="002E076F"/>
    <w:rsid w:val="002E14D3"/>
    <w:rsid w:val="002E1C3C"/>
    <w:rsid w:val="002E2E9E"/>
    <w:rsid w:val="002E4011"/>
    <w:rsid w:val="002E40C7"/>
    <w:rsid w:val="002E5AE9"/>
    <w:rsid w:val="002E65AB"/>
    <w:rsid w:val="002E6C67"/>
    <w:rsid w:val="002E6CF7"/>
    <w:rsid w:val="002E7160"/>
    <w:rsid w:val="002E7261"/>
    <w:rsid w:val="002F0E4A"/>
    <w:rsid w:val="002F0E62"/>
    <w:rsid w:val="002F1D1B"/>
    <w:rsid w:val="002F2C3D"/>
    <w:rsid w:val="002F445B"/>
    <w:rsid w:val="002F5D6D"/>
    <w:rsid w:val="002F6ADE"/>
    <w:rsid w:val="002F71AC"/>
    <w:rsid w:val="002F73C5"/>
    <w:rsid w:val="002F745A"/>
    <w:rsid w:val="00301975"/>
    <w:rsid w:val="00301EF6"/>
    <w:rsid w:val="00302075"/>
    <w:rsid w:val="0030343A"/>
    <w:rsid w:val="003048AE"/>
    <w:rsid w:val="00304FCE"/>
    <w:rsid w:val="0030521A"/>
    <w:rsid w:val="00305B86"/>
    <w:rsid w:val="00305F00"/>
    <w:rsid w:val="00307011"/>
    <w:rsid w:val="00311C99"/>
    <w:rsid w:val="00311F4D"/>
    <w:rsid w:val="00313272"/>
    <w:rsid w:val="0031415F"/>
    <w:rsid w:val="00314C78"/>
    <w:rsid w:val="00314DA5"/>
    <w:rsid w:val="00316940"/>
    <w:rsid w:val="00320033"/>
    <w:rsid w:val="00321A53"/>
    <w:rsid w:val="00321ECD"/>
    <w:rsid w:val="00321F5A"/>
    <w:rsid w:val="003221ED"/>
    <w:rsid w:val="0032253E"/>
    <w:rsid w:val="00322575"/>
    <w:rsid w:val="0032271C"/>
    <w:rsid w:val="00323A14"/>
    <w:rsid w:val="003243AF"/>
    <w:rsid w:val="0032510A"/>
    <w:rsid w:val="00326E7A"/>
    <w:rsid w:val="0033092D"/>
    <w:rsid w:val="003319BA"/>
    <w:rsid w:val="00331C5A"/>
    <w:rsid w:val="00331D0F"/>
    <w:rsid w:val="00332AFA"/>
    <w:rsid w:val="00332C76"/>
    <w:rsid w:val="00332D55"/>
    <w:rsid w:val="00333E6E"/>
    <w:rsid w:val="003351CA"/>
    <w:rsid w:val="00335B4D"/>
    <w:rsid w:val="00335DC3"/>
    <w:rsid w:val="00337C7E"/>
    <w:rsid w:val="0033C93B"/>
    <w:rsid w:val="00341EF7"/>
    <w:rsid w:val="00341FDC"/>
    <w:rsid w:val="00344490"/>
    <w:rsid w:val="00344EF1"/>
    <w:rsid w:val="0034769F"/>
    <w:rsid w:val="00350326"/>
    <w:rsid w:val="003514A8"/>
    <w:rsid w:val="00351F6B"/>
    <w:rsid w:val="0035261A"/>
    <w:rsid w:val="003529B8"/>
    <w:rsid w:val="00353320"/>
    <w:rsid w:val="003536F2"/>
    <w:rsid w:val="003536F8"/>
    <w:rsid w:val="00354F89"/>
    <w:rsid w:val="00354F90"/>
    <w:rsid w:val="00356580"/>
    <w:rsid w:val="003616A2"/>
    <w:rsid w:val="00361F52"/>
    <w:rsid w:val="0036280B"/>
    <w:rsid w:val="003637A7"/>
    <w:rsid w:val="00364BAB"/>
    <w:rsid w:val="00364D0D"/>
    <w:rsid w:val="0036593B"/>
    <w:rsid w:val="00366618"/>
    <w:rsid w:val="00366E5F"/>
    <w:rsid w:val="00367403"/>
    <w:rsid w:val="00367B20"/>
    <w:rsid w:val="00371489"/>
    <w:rsid w:val="00372B55"/>
    <w:rsid w:val="0037365F"/>
    <w:rsid w:val="0037387A"/>
    <w:rsid w:val="00373914"/>
    <w:rsid w:val="00374295"/>
    <w:rsid w:val="00374530"/>
    <w:rsid w:val="00374746"/>
    <w:rsid w:val="003752B4"/>
    <w:rsid w:val="0037642C"/>
    <w:rsid w:val="003775F2"/>
    <w:rsid w:val="003778EE"/>
    <w:rsid w:val="0037790F"/>
    <w:rsid w:val="0038181F"/>
    <w:rsid w:val="00382CE8"/>
    <w:rsid w:val="00383818"/>
    <w:rsid w:val="00384709"/>
    <w:rsid w:val="00384CB0"/>
    <w:rsid w:val="00386218"/>
    <w:rsid w:val="00386870"/>
    <w:rsid w:val="003909BD"/>
    <w:rsid w:val="003910AA"/>
    <w:rsid w:val="003911FE"/>
    <w:rsid w:val="00391790"/>
    <w:rsid w:val="00391C28"/>
    <w:rsid w:val="00392543"/>
    <w:rsid w:val="00394867"/>
    <w:rsid w:val="003949C1"/>
    <w:rsid w:val="00395878"/>
    <w:rsid w:val="003966AA"/>
    <w:rsid w:val="003971AC"/>
    <w:rsid w:val="003A0048"/>
    <w:rsid w:val="003A1E5E"/>
    <w:rsid w:val="003A30BE"/>
    <w:rsid w:val="003A31F8"/>
    <w:rsid w:val="003A426F"/>
    <w:rsid w:val="003A44D3"/>
    <w:rsid w:val="003A5803"/>
    <w:rsid w:val="003B1A43"/>
    <w:rsid w:val="003B21AE"/>
    <w:rsid w:val="003B2C4A"/>
    <w:rsid w:val="003B3762"/>
    <w:rsid w:val="003B3950"/>
    <w:rsid w:val="003B4547"/>
    <w:rsid w:val="003B4F21"/>
    <w:rsid w:val="003B50D3"/>
    <w:rsid w:val="003B564E"/>
    <w:rsid w:val="003B6047"/>
    <w:rsid w:val="003B6089"/>
    <w:rsid w:val="003B6560"/>
    <w:rsid w:val="003B7431"/>
    <w:rsid w:val="003B7C3D"/>
    <w:rsid w:val="003B7FBF"/>
    <w:rsid w:val="003C0CD7"/>
    <w:rsid w:val="003C32D9"/>
    <w:rsid w:val="003C3445"/>
    <w:rsid w:val="003C4495"/>
    <w:rsid w:val="003C488B"/>
    <w:rsid w:val="003C547B"/>
    <w:rsid w:val="003C5C45"/>
    <w:rsid w:val="003C7748"/>
    <w:rsid w:val="003C78F4"/>
    <w:rsid w:val="003D0612"/>
    <w:rsid w:val="003D17FC"/>
    <w:rsid w:val="003D3C91"/>
    <w:rsid w:val="003D42EA"/>
    <w:rsid w:val="003D7A92"/>
    <w:rsid w:val="003E12B9"/>
    <w:rsid w:val="003E2F35"/>
    <w:rsid w:val="003E347F"/>
    <w:rsid w:val="003E36CC"/>
    <w:rsid w:val="003E3B6F"/>
    <w:rsid w:val="003E3C67"/>
    <w:rsid w:val="003E42CF"/>
    <w:rsid w:val="003E48EB"/>
    <w:rsid w:val="003E5176"/>
    <w:rsid w:val="003E5202"/>
    <w:rsid w:val="003E5A9C"/>
    <w:rsid w:val="003E6052"/>
    <w:rsid w:val="003E6331"/>
    <w:rsid w:val="003E6366"/>
    <w:rsid w:val="003E6D62"/>
    <w:rsid w:val="003E79E3"/>
    <w:rsid w:val="003F05B8"/>
    <w:rsid w:val="003F0738"/>
    <w:rsid w:val="003F0A0E"/>
    <w:rsid w:val="003F0B77"/>
    <w:rsid w:val="003F2666"/>
    <w:rsid w:val="003F31D4"/>
    <w:rsid w:val="003F3700"/>
    <w:rsid w:val="003F47E0"/>
    <w:rsid w:val="003F49A2"/>
    <w:rsid w:val="003F4B2B"/>
    <w:rsid w:val="003F521D"/>
    <w:rsid w:val="003F6474"/>
    <w:rsid w:val="003F6730"/>
    <w:rsid w:val="003F67AF"/>
    <w:rsid w:val="003F6D49"/>
    <w:rsid w:val="003F710F"/>
    <w:rsid w:val="003F73A5"/>
    <w:rsid w:val="003F7DAA"/>
    <w:rsid w:val="00400797"/>
    <w:rsid w:val="00400849"/>
    <w:rsid w:val="00401382"/>
    <w:rsid w:val="00402042"/>
    <w:rsid w:val="00402313"/>
    <w:rsid w:val="0040265B"/>
    <w:rsid w:val="00402A30"/>
    <w:rsid w:val="00402A74"/>
    <w:rsid w:val="0040358D"/>
    <w:rsid w:val="00404253"/>
    <w:rsid w:val="00404592"/>
    <w:rsid w:val="00404DF1"/>
    <w:rsid w:val="00405BCF"/>
    <w:rsid w:val="00405D2C"/>
    <w:rsid w:val="00407048"/>
    <w:rsid w:val="0040769A"/>
    <w:rsid w:val="004079BF"/>
    <w:rsid w:val="00407B27"/>
    <w:rsid w:val="00407EC3"/>
    <w:rsid w:val="0041044D"/>
    <w:rsid w:val="00411121"/>
    <w:rsid w:val="0041133E"/>
    <w:rsid w:val="00411D72"/>
    <w:rsid w:val="00414674"/>
    <w:rsid w:val="00414678"/>
    <w:rsid w:val="004158C9"/>
    <w:rsid w:val="00415F6D"/>
    <w:rsid w:val="004173AB"/>
    <w:rsid w:val="00417A74"/>
    <w:rsid w:val="00417A80"/>
    <w:rsid w:val="00417B4C"/>
    <w:rsid w:val="00417D9E"/>
    <w:rsid w:val="0042010C"/>
    <w:rsid w:val="004214FA"/>
    <w:rsid w:val="00422EAB"/>
    <w:rsid w:val="00422EF1"/>
    <w:rsid w:val="0042321C"/>
    <w:rsid w:val="0042330A"/>
    <w:rsid w:val="0042385A"/>
    <w:rsid w:val="00424CA5"/>
    <w:rsid w:val="004257C0"/>
    <w:rsid w:val="00426F77"/>
    <w:rsid w:val="00427AB1"/>
    <w:rsid w:val="004301BA"/>
    <w:rsid w:val="00430638"/>
    <w:rsid w:val="004306B5"/>
    <w:rsid w:val="004318E7"/>
    <w:rsid w:val="00431B97"/>
    <w:rsid w:val="00431F38"/>
    <w:rsid w:val="00432515"/>
    <w:rsid w:val="00433309"/>
    <w:rsid w:val="00433FAE"/>
    <w:rsid w:val="00435155"/>
    <w:rsid w:val="004351C9"/>
    <w:rsid w:val="004354EF"/>
    <w:rsid w:val="00437445"/>
    <w:rsid w:val="00437D77"/>
    <w:rsid w:val="00440727"/>
    <w:rsid w:val="00440B81"/>
    <w:rsid w:val="0044183E"/>
    <w:rsid w:val="004432C1"/>
    <w:rsid w:val="004459C2"/>
    <w:rsid w:val="0044713F"/>
    <w:rsid w:val="00451421"/>
    <w:rsid w:val="004518B4"/>
    <w:rsid w:val="00451B3B"/>
    <w:rsid w:val="004522C9"/>
    <w:rsid w:val="00453C7D"/>
    <w:rsid w:val="0045456B"/>
    <w:rsid w:val="00454ABC"/>
    <w:rsid w:val="00457490"/>
    <w:rsid w:val="004602CD"/>
    <w:rsid w:val="00461309"/>
    <w:rsid w:val="0046153E"/>
    <w:rsid w:val="00461A35"/>
    <w:rsid w:val="00461C15"/>
    <w:rsid w:val="004620C8"/>
    <w:rsid w:val="00462710"/>
    <w:rsid w:val="00463737"/>
    <w:rsid w:val="00464544"/>
    <w:rsid w:val="00465E7C"/>
    <w:rsid w:val="00466A7A"/>
    <w:rsid w:val="00467E51"/>
    <w:rsid w:val="004703F9"/>
    <w:rsid w:val="00471F0F"/>
    <w:rsid w:val="004734DF"/>
    <w:rsid w:val="00473A79"/>
    <w:rsid w:val="0047526B"/>
    <w:rsid w:val="004757E8"/>
    <w:rsid w:val="00476024"/>
    <w:rsid w:val="00477A71"/>
    <w:rsid w:val="00477AA9"/>
    <w:rsid w:val="0048058A"/>
    <w:rsid w:val="00481C3F"/>
    <w:rsid w:val="0048209D"/>
    <w:rsid w:val="004821F0"/>
    <w:rsid w:val="0048246B"/>
    <w:rsid w:val="00483A9D"/>
    <w:rsid w:val="00483C78"/>
    <w:rsid w:val="004844E0"/>
    <w:rsid w:val="004846ED"/>
    <w:rsid w:val="0048565F"/>
    <w:rsid w:val="004857DB"/>
    <w:rsid w:val="00487333"/>
    <w:rsid w:val="004875D9"/>
    <w:rsid w:val="00487C82"/>
    <w:rsid w:val="00490124"/>
    <w:rsid w:val="00491D22"/>
    <w:rsid w:val="00492129"/>
    <w:rsid w:val="004922C8"/>
    <w:rsid w:val="00492B32"/>
    <w:rsid w:val="00493FBB"/>
    <w:rsid w:val="00494135"/>
    <w:rsid w:val="004943B3"/>
    <w:rsid w:val="00494B1E"/>
    <w:rsid w:val="004954AF"/>
    <w:rsid w:val="00495863"/>
    <w:rsid w:val="00496DCC"/>
    <w:rsid w:val="004A08D0"/>
    <w:rsid w:val="004A1A1F"/>
    <w:rsid w:val="004A258D"/>
    <w:rsid w:val="004A389D"/>
    <w:rsid w:val="004A390B"/>
    <w:rsid w:val="004A3D71"/>
    <w:rsid w:val="004A3EFD"/>
    <w:rsid w:val="004A5150"/>
    <w:rsid w:val="004A64EB"/>
    <w:rsid w:val="004A6505"/>
    <w:rsid w:val="004A6D42"/>
    <w:rsid w:val="004A7CB2"/>
    <w:rsid w:val="004A7D0E"/>
    <w:rsid w:val="004B00C9"/>
    <w:rsid w:val="004B14A4"/>
    <w:rsid w:val="004B1FF4"/>
    <w:rsid w:val="004B2B1F"/>
    <w:rsid w:val="004B4CF5"/>
    <w:rsid w:val="004B4F80"/>
    <w:rsid w:val="004B6766"/>
    <w:rsid w:val="004BD306"/>
    <w:rsid w:val="004C0132"/>
    <w:rsid w:val="004C0EF3"/>
    <w:rsid w:val="004C1112"/>
    <w:rsid w:val="004C1498"/>
    <w:rsid w:val="004C2950"/>
    <w:rsid w:val="004C347A"/>
    <w:rsid w:val="004C39E1"/>
    <w:rsid w:val="004C51DD"/>
    <w:rsid w:val="004C57F3"/>
    <w:rsid w:val="004C6762"/>
    <w:rsid w:val="004C7433"/>
    <w:rsid w:val="004D2C15"/>
    <w:rsid w:val="004D48FC"/>
    <w:rsid w:val="004D4EF5"/>
    <w:rsid w:val="004D664C"/>
    <w:rsid w:val="004D6B3A"/>
    <w:rsid w:val="004D6ECC"/>
    <w:rsid w:val="004D70D3"/>
    <w:rsid w:val="004D7A89"/>
    <w:rsid w:val="004E1337"/>
    <w:rsid w:val="004E2458"/>
    <w:rsid w:val="004E2D18"/>
    <w:rsid w:val="004E30F4"/>
    <w:rsid w:val="004E53CC"/>
    <w:rsid w:val="004E5953"/>
    <w:rsid w:val="004E5BC0"/>
    <w:rsid w:val="004E73F6"/>
    <w:rsid w:val="004F1591"/>
    <w:rsid w:val="004F1638"/>
    <w:rsid w:val="004F2509"/>
    <w:rsid w:val="004F39F2"/>
    <w:rsid w:val="004F3F2D"/>
    <w:rsid w:val="004F4AF0"/>
    <w:rsid w:val="004F5063"/>
    <w:rsid w:val="004F568C"/>
    <w:rsid w:val="004F5803"/>
    <w:rsid w:val="004F5D0E"/>
    <w:rsid w:val="004F6C71"/>
    <w:rsid w:val="004F6EFD"/>
    <w:rsid w:val="004F71E6"/>
    <w:rsid w:val="0050120E"/>
    <w:rsid w:val="005013D0"/>
    <w:rsid w:val="00503E30"/>
    <w:rsid w:val="00504B65"/>
    <w:rsid w:val="00505E8F"/>
    <w:rsid w:val="00506B8C"/>
    <w:rsid w:val="005115BE"/>
    <w:rsid w:val="00511928"/>
    <w:rsid w:val="00512959"/>
    <w:rsid w:val="00512EBC"/>
    <w:rsid w:val="00513A36"/>
    <w:rsid w:val="00513D76"/>
    <w:rsid w:val="00514639"/>
    <w:rsid w:val="0051477C"/>
    <w:rsid w:val="00514976"/>
    <w:rsid w:val="00520439"/>
    <w:rsid w:val="00520531"/>
    <w:rsid w:val="00520DE7"/>
    <w:rsid w:val="005212A8"/>
    <w:rsid w:val="00522223"/>
    <w:rsid w:val="00523560"/>
    <w:rsid w:val="00523EDE"/>
    <w:rsid w:val="005258A7"/>
    <w:rsid w:val="00526133"/>
    <w:rsid w:val="005262CF"/>
    <w:rsid w:val="005263F4"/>
    <w:rsid w:val="005264FD"/>
    <w:rsid w:val="00526B75"/>
    <w:rsid w:val="00530245"/>
    <w:rsid w:val="0053095E"/>
    <w:rsid w:val="00530A75"/>
    <w:rsid w:val="00531110"/>
    <w:rsid w:val="00532695"/>
    <w:rsid w:val="00532F00"/>
    <w:rsid w:val="0053300B"/>
    <w:rsid w:val="005334A5"/>
    <w:rsid w:val="005336DA"/>
    <w:rsid w:val="005347B5"/>
    <w:rsid w:val="00534EF1"/>
    <w:rsid w:val="0053554A"/>
    <w:rsid w:val="005359A3"/>
    <w:rsid w:val="00535A57"/>
    <w:rsid w:val="005364BC"/>
    <w:rsid w:val="00536F1E"/>
    <w:rsid w:val="00537261"/>
    <w:rsid w:val="00537308"/>
    <w:rsid w:val="00537556"/>
    <w:rsid w:val="0053763E"/>
    <w:rsid w:val="00540A68"/>
    <w:rsid w:val="0054144E"/>
    <w:rsid w:val="00541660"/>
    <w:rsid w:val="0054191B"/>
    <w:rsid w:val="00541D64"/>
    <w:rsid w:val="00541DAD"/>
    <w:rsid w:val="00542F3B"/>
    <w:rsid w:val="005431BF"/>
    <w:rsid w:val="005439A6"/>
    <w:rsid w:val="005447F9"/>
    <w:rsid w:val="00544A72"/>
    <w:rsid w:val="00544BA2"/>
    <w:rsid w:val="00544C3A"/>
    <w:rsid w:val="00545017"/>
    <w:rsid w:val="00545C89"/>
    <w:rsid w:val="00546831"/>
    <w:rsid w:val="005472AC"/>
    <w:rsid w:val="005502FA"/>
    <w:rsid w:val="00554193"/>
    <w:rsid w:val="00554F79"/>
    <w:rsid w:val="005553DF"/>
    <w:rsid w:val="00556220"/>
    <w:rsid w:val="00557210"/>
    <w:rsid w:val="00557663"/>
    <w:rsid w:val="0055790A"/>
    <w:rsid w:val="00557A1C"/>
    <w:rsid w:val="00557EB8"/>
    <w:rsid w:val="0056017F"/>
    <w:rsid w:val="00561272"/>
    <w:rsid w:val="00561BFF"/>
    <w:rsid w:val="00563304"/>
    <w:rsid w:val="00563354"/>
    <w:rsid w:val="0056397C"/>
    <w:rsid w:val="00563E4B"/>
    <w:rsid w:val="00564199"/>
    <w:rsid w:val="00564C6F"/>
    <w:rsid w:val="00565F6C"/>
    <w:rsid w:val="00566D84"/>
    <w:rsid w:val="005670A7"/>
    <w:rsid w:val="00570047"/>
    <w:rsid w:val="00570448"/>
    <w:rsid w:val="00571763"/>
    <w:rsid w:val="00571B07"/>
    <w:rsid w:val="00571D82"/>
    <w:rsid w:val="00571E65"/>
    <w:rsid w:val="00571F46"/>
    <w:rsid w:val="00572274"/>
    <w:rsid w:val="00572837"/>
    <w:rsid w:val="00573630"/>
    <w:rsid w:val="005750BA"/>
    <w:rsid w:val="005756EA"/>
    <w:rsid w:val="00575F71"/>
    <w:rsid w:val="00576E23"/>
    <w:rsid w:val="00577F85"/>
    <w:rsid w:val="00580DFD"/>
    <w:rsid w:val="00581A14"/>
    <w:rsid w:val="00581EF3"/>
    <w:rsid w:val="005836D3"/>
    <w:rsid w:val="0058392F"/>
    <w:rsid w:val="005842FC"/>
    <w:rsid w:val="00585E9F"/>
    <w:rsid w:val="005867E9"/>
    <w:rsid w:val="00586C2A"/>
    <w:rsid w:val="00587B7D"/>
    <w:rsid w:val="0059149A"/>
    <w:rsid w:val="005914A5"/>
    <w:rsid w:val="005914F3"/>
    <w:rsid w:val="00593799"/>
    <w:rsid w:val="00594B0F"/>
    <w:rsid w:val="00595998"/>
    <w:rsid w:val="005961B0"/>
    <w:rsid w:val="00596BE3"/>
    <w:rsid w:val="00597C74"/>
    <w:rsid w:val="005A04F4"/>
    <w:rsid w:val="005A062F"/>
    <w:rsid w:val="005A0C92"/>
    <w:rsid w:val="005A0D43"/>
    <w:rsid w:val="005A1961"/>
    <w:rsid w:val="005A20A5"/>
    <w:rsid w:val="005A2502"/>
    <w:rsid w:val="005A3A67"/>
    <w:rsid w:val="005A3AD3"/>
    <w:rsid w:val="005A5409"/>
    <w:rsid w:val="005A7732"/>
    <w:rsid w:val="005A7973"/>
    <w:rsid w:val="005B0454"/>
    <w:rsid w:val="005B0E27"/>
    <w:rsid w:val="005B0E90"/>
    <w:rsid w:val="005B0F6B"/>
    <w:rsid w:val="005B1A56"/>
    <w:rsid w:val="005B1C2D"/>
    <w:rsid w:val="005B2F62"/>
    <w:rsid w:val="005B3776"/>
    <w:rsid w:val="005B3A3D"/>
    <w:rsid w:val="005B5CB0"/>
    <w:rsid w:val="005C0410"/>
    <w:rsid w:val="005C0776"/>
    <w:rsid w:val="005C0F38"/>
    <w:rsid w:val="005C2008"/>
    <w:rsid w:val="005C2C9B"/>
    <w:rsid w:val="005C39E4"/>
    <w:rsid w:val="005C4260"/>
    <w:rsid w:val="005C5C73"/>
    <w:rsid w:val="005C5E09"/>
    <w:rsid w:val="005C7E5D"/>
    <w:rsid w:val="005D02B5"/>
    <w:rsid w:val="005D1643"/>
    <w:rsid w:val="005D1B5D"/>
    <w:rsid w:val="005D2009"/>
    <w:rsid w:val="005D21BA"/>
    <w:rsid w:val="005D2687"/>
    <w:rsid w:val="005D2997"/>
    <w:rsid w:val="005D2A67"/>
    <w:rsid w:val="005D41BD"/>
    <w:rsid w:val="005D4ED1"/>
    <w:rsid w:val="005D7854"/>
    <w:rsid w:val="005E040F"/>
    <w:rsid w:val="005E0917"/>
    <w:rsid w:val="005E106D"/>
    <w:rsid w:val="005E1A57"/>
    <w:rsid w:val="005E393F"/>
    <w:rsid w:val="005E3D1F"/>
    <w:rsid w:val="005E439E"/>
    <w:rsid w:val="005E48DD"/>
    <w:rsid w:val="005E7274"/>
    <w:rsid w:val="005E7797"/>
    <w:rsid w:val="005F0702"/>
    <w:rsid w:val="005F0B63"/>
    <w:rsid w:val="005F0B6D"/>
    <w:rsid w:val="005F0C97"/>
    <w:rsid w:val="005F1567"/>
    <w:rsid w:val="005F39C0"/>
    <w:rsid w:val="005F407C"/>
    <w:rsid w:val="005F5371"/>
    <w:rsid w:val="005F6391"/>
    <w:rsid w:val="005F6437"/>
    <w:rsid w:val="005F6F24"/>
    <w:rsid w:val="006002C1"/>
    <w:rsid w:val="00600A5C"/>
    <w:rsid w:val="00601601"/>
    <w:rsid w:val="00601A47"/>
    <w:rsid w:val="006030C3"/>
    <w:rsid w:val="006031C9"/>
    <w:rsid w:val="006038F4"/>
    <w:rsid w:val="00603C62"/>
    <w:rsid w:val="00606A04"/>
    <w:rsid w:val="006107DF"/>
    <w:rsid w:val="00610A90"/>
    <w:rsid w:val="00612CA3"/>
    <w:rsid w:val="00613836"/>
    <w:rsid w:val="00613AD4"/>
    <w:rsid w:val="0061401E"/>
    <w:rsid w:val="00614BF2"/>
    <w:rsid w:val="006151DC"/>
    <w:rsid w:val="00616524"/>
    <w:rsid w:val="006168C5"/>
    <w:rsid w:val="00616904"/>
    <w:rsid w:val="00617172"/>
    <w:rsid w:val="00617EE9"/>
    <w:rsid w:val="00620453"/>
    <w:rsid w:val="0062270F"/>
    <w:rsid w:val="00622FAE"/>
    <w:rsid w:val="00622FED"/>
    <w:rsid w:val="00623275"/>
    <w:rsid w:val="00623688"/>
    <w:rsid w:val="00623B54"/>
    <w:rsid w:val="00623D0C"/>
    <w:rsid w:val="00623EA0"/>
    <w:rsid w:val="00624CD6"/>
    <w:rsid w:val="006256EF"/>
    <w:rsid w:val="006266C0"/>
    <w:rsid w:val="006309DD"/>
    <w:rsid w:val="0063269D"/>
    <w:rsid w:val="006327AA"/>
    <w:rsid w:val="00632FBE"/>
    <w:rsid w:val="00633CA0"/>
    <w:rsid w:val="006352F5"/>
    <w:rsid w:val="0063552B"/>
    <w:rsid w:val="00635A0A"/>
    <w:rsid w:val="006364AF"/>
    <w:rsid w:val="00637533"/>
    <w:rsid w:val="00637D55"/>
    <w:rsid w:val="006403E1"/>
    <w:rsid w:val="00640D51"/>
    <w:rsid w:val="00640DAF"/>
    <w:rsid w:val="0064222F"/>
    <w:rsid w:val="0064251A"/>
    <w:rsid w:val="006425A4"/>
    <w:rsid w:val="00643937"/>
    <w:rsid w:val="006465A6"/>
    <w:rsid w:val="00646C98"/>
    <w:rsid w:val="006477D1"/>
    <w:rsid w:val="00647CE1"/>
    <w:rsid w:val="0065000D"/>
    <w:rsid w:val="00651251"/>
    <w:rsid w:val="00651E99"/>
    <w:rsid w:val="006539BA"/>
    <w:rsid w:val="00653DDC"/>
    <w:rsid w:val="00654B07"/>
    <w:rsid w:val="00655ED3"/>
    <w:rsid w:val="00656EF9"/>
    <w:rsid w:val="00656F6C"/>
    <w:rsid w:val="00657EF8"/>
    <w:rsid w:val="00661AB2"/>
    <w:rsid w:val="00663683"/>
    <w:rsid w:val="00663DFF"/>
    <w:rsid w:val="00663E79"/>
    <w:rsid w:val="006651B3"/>
    <w:rsid w:val="00665DE6"/>
    <w:rsid w:val="00666B2C"/>
    <w:rsid w:val="00670026"/>
    <w:rsid w:val="00670CD8"/>
    <w:rsid w:val="00671DA8"/>
    <w:rsid w:val="006745A4"/>
    <w:rsid w:val="00674C32"/>
    <w:rsid w:val="00674FF5"/>
    <w:rsid w:val="0067513A"/>
    <w:rsid w:val="0067733C"/>
    <w:rsid w:val="00681F4E"/>
    <w:rsid w:val="00683BE1"/>
    <w:rsid w:val="0068475A"/>
    <w:rsid w:val="00684A41"/>
    <w:rsid w:val="00685109"/>
    <w:rsid w:val="00685FDE"/>
    <w:rsid w:val="006867CF"/>
    <w:rsid w:val="00690010"/>
    <w:rsid w:val="00690AC3"/>
    <w:rsid w:val="00691656"/>
    <w:rsid w:val="00691A92"/>
    <w:rsid w:val="00692037"/>
    <w:rsid w:val="00693790"/>
    <w:rsid w:val="006944BD"/>
    <w:rsid w:val="00695346"/>
    <w:rsid w:val="00696520"/>
    <w:rsid w:val="0069699A"/>
    <w:rsid w:val="006976B5"/>
    <w:rsid w:val="006A0076"/>
    <w:rsid w:val="006A0BDA"/>
    <w:rsid w:val="006A2771"/>
    <w:rsid w:val="006A3749"/>
    <w:rsid w:val="006A3781"/>
    <w:rsid w:val="006A4FDD"/>
    <w:rsid w:val="006A502F"/>
    <w:rsid w:val="006A625D"/>
    <w:rsid w:val="006A6535"/>
    <w:rsid w:val="006A6F9B"/>
    <w:rsid w:val="006B351C"/>
    <w:rsid w:val="006B35BC"/>
    <w:rsid w:val="006B4016"/>
    <w:rsid w:val="006B46A1"/>
    <w:rsid w:val="006B47A1"/>
    <w:rsid w:val="006B5FFC"/>
    <w:rsid w:val="006B6017"/>
    <w:rsid w:val="006B6B80"/>
    <w:rsid w:val="006C1A80"/>
    <w:rsid w:val="006C31F7"/>
    <w:rsid w:val="006C4F01"/>
    <w:rsid w:val="006C5AF2"/>
    <w:rsid w:val="006C7D22"/>
    <w:rsid w:val="006D134D"/>
    <w:rsid w:val="006D1582"/>
    <w:rsid w:val="006D1D6A"/>
    <w:rsid w:val="006D22DD"/>
    <w:rsid w:val="006D22EE"/>
    <w:rsid w:val="006D23FC"/>
    <w:rsid w:val="006D24F1"/>
    <w:rsid w:val="006D282E"/>
    <w:rsid w:val="006D294E"/>
    <w:rsid w:val="006D431E"/>
    <w:rsid w:val="006D51C5"/>
    <w:rsid w:val="006D7281"/>
    <w:rsid w:val="006E1E7C"/>
    <w:rsid w:val="006E22E2"/>
    <w:rsid w:val="006E4950"/>
    <w:rsid w:val="006E4F2E"/>
    <w:rsid w:val="006E5252"/>
    <w:rsid w:val="006E658E"/>
    <w:rsid w:val="006E682C"/>
    <w:rsid w:val="006E71EC"/>
    <w:rsid w:val="006E7B23"/>
    <w:rsid w:val="006E7B3A"/>
    <w:rsid w:val="006F0700"/>
    <w:rsid w:val="006F14D3"/>
    <w:rsid w:val="006F2130"/>
    <w:rsid w:val="006F2143"/>
    <w:rsid w:val="006F28CF"/>
    <w:rsid w:val="006F2998"/>
    <w:rsid w:val="006F29CC"/>
    <w:rsid w:val="006F3575"/>
    <w:rsid w:val="006F4A3A"/>
    <w:rsid w:val="006F5AC7"/>
    <w:rsid w:val="006F7C9D"/>
    <w:rsid w:val="006F7D59"/>
    <w:rsid w:val="00701620"/>
    <w:rsid w:val="007023BE"/>
    <w:rsid w:val="0070265C"/>
    <w:rsid w:val="00702AF3"/>
    <w:rsid w:val="00702EB6"/>
    <w:rsid w:val="00703F89"/>
    <w:rsid w:val="00704B2E"/>
    <w:rsid w:val="00705EDF"/>
    <w:rsid w:val="00707383"/>
    <w:rsid w:val="007103E9"/>
    <w:rsid w:val="0071078C"/>
    <w:rsid w:val="00711279"/>
    <w:rsid w:val="00711B83"/>
    <w:rsid w:val="00711CD0"/>
    <w:rsid w:val="007123E3"/>
    <w:rsid w:val="00712F7B"/>
    <w:rsid w:val="007135ED"/>
    <w:rsid w:val="0071370F"/>
    <w:rsid w:val="0071498B"/>
    <w:rsid w:val="00714E27"/>
    <w:rsid w:val="007151E8"/>
    <w:rsid w:val="007152DC"/>
    <w:rsid w:val="00716EE8"/>
    <w:rsid w:val="00717FD8"/>
    <w:rsid w:val="00720086"/>
    <w:rsid w:val="00720337"/>
    <w:rsid w:val="007204BE"/>
    <w:rsid w:val="00720FAE"/>
    <w:rsid w:val="00721B47"/>
    <w:rsid w:val="00722828"/>
    <w:rsid w:val="007230DA"/>
    <w:rsid w:val="00723CDC"/>
    <w:rsid w:val="007269DE"/>
    <w:rsid w:val="00727233"/>
    <w:rsid w:val="0073170D"/>
    <w:rsid w:val="00731A10"/>
    <w:rsid w:val="007321F4"/>
    <w:rsid w:val="00732B57"/>
    <w:rsid w:val="00733DBB"/>
    <w:rsid w:val="00733DEE"/>
    <w:rsid w:val="00734FE4"/>
    <w:rsid w:val="0073605A"/>
    <w:rsid w:val="00737409"/>
    <w:rsid w:val="0073798F"/>
    <w:rsid w:val="00737FD5"/>
    <w:rsid w:val="00740085"/>
    <w:rsid w:val="00740BAB"/>
    <w:rsid w:val="00740C08"/>
    <w:rsid w:val="00741D16"/>
    <w:rsid w:val="007428C5"/>
    <w:rsid w:val="007429DC"/>
    <w:rsid w:val="00742FE0"/>
    <w:rsid w:val="0074357F"/>
    <w:rsid w:val="00743AE1"/>
    <w:rsid w:val="00745E59"/>
    <w:rsid w:val="0074692C"/>
    <w:rsid w:val="007469C3"/>
    <w:rsid w:val="00746EBB"/>
    <w:rsid w:val="00747321"/>
    <w:rsid w:val="00750281"/>
    <w:rsid w:val="00751388"/>
    <w:rsid w:val="00751469"/>
    <w:rsid w:val="00752440"/>
    <w:rsid w:val="0075256D"/>
    <w:rsid w:val="007525A0"/>
    <w:rsid w:val="00752CCB"/>
    <w:rsid w:val="00753176"/>
    <w:rsid w:val="00753501"/>
    <w:rsid w:val="00753CAB"/>
    <w:rsid w:val="007540C6"/>
    <w:rsid w:val="0075492A"/>
    <w:rsid w:val="00754C59"/>
    <w:rsid w:val="00756329"/>
    <w:rsid w:val="00756C7E"/>
    <w:rsid w:val="00757077"/>
    <w:rsid w:val="00760B48"/>
    <w:rsid w:val="00760CC2"/>
    <w:rsid w:val="007612F8"/>
    <w:rsid w:val="007627BB"/>
    <w:rsid w:val="00762BAC"/>
    <w:rsid w:val="0076499A"/>
    <w:rsid w:val="00765B6C"/>
    <w:rsid w:val="00765FA4"/>
    <w:rsid w:val="007669DF"/>
    <w:rsid w:val="00767AE4"/>
    <w:rsid w:val="00770774"/>
    <w:rsid w:val="0077134E"/>
    <w:rsid w:val="00773097"/>
    <w:rsid w:val="00773C54"/>
    <w:rsid w:val="00773E98"/>
    <w:rsid w:val="0077538E"/>
    <w:rsid w:val="00775D24"/>
    <w:rsid w:val="00777221"/>
    <w:rsid w:val="00777A7C"/>
    <w:rsid w:val="00777E08"/>
    <w:rsid w:val="0078147D"/>
    <w:rsid w:val="00781BA0"/>
    <w:rsid w:val="00782A5E"/>
    <w:rsid w:val="00785247"/>
    <w:rsid w:val="00785D96"/>
    <w:rsid w:val="007867DC"/>
    <w:rsid w:val="00786AE6"/>
    <w:rsid w:val="00787E27"/>
    <w:rsid w:val="0078A9FA"/>
    <w:rsid w:val="007902EF"/>
    <w:rsid w:val="00791A4A"/>
    <w:rsid w:val="0079347D"/>
    <w:rsid w:val="00793CC9"/>
    <w:rsid w:val="007941D6"/>
    <w:rsid w:val="0079450A"/>
    <w:rsid w:val="0079461E"/>
    <w:rsid w:val="00795C40"/>
    <w:rsid w:val="00796284"/>
    <w:rsid w:val="00796433"/>
    <w:rsid w:val="00796971"/>
    <w:rsid w:val="00796C27"/>
    <w:rsid w:val="007A043C"/>
    <w:rsid w:val="007A10ED"/>
    <w:rsid w:val="007A16C9"/>
    <w:rsid w:val="007A2559"/>
    <w:rsid w:val="007A5B16"/>
    <w:rsid w:val="007A6311"/>
    <w:rsid w:val="007A6B41"/>
    <w:rsid w:val="007B133B"/>
    <w:rsid w:val="007B151D"/>
    <w:rsid w:val="007B18A8"/>
    <w:rsid w:val="007B29E7"/>
    <w:rsid w:val="007B3F25"/>
    <w:rsid w:val="007B3F9C"/>
    <w:rsid w:val="007B3FB7"/>
    <w:rsid w:val="007B4D32"/>
    <w:rsid w:val="007B5AD9"/>
    <w:rsid w:val="007B5EF8"/>
    <w:rsid w:val="007B7549"/>
    <w:rsid w:val="007B757D"/>
    <w:rsid w:val="007B7A18"/>
    <w:rsid w:val="007C0A40"/>
    <w:rsid w:val="007C0CF8"/>
    <w:rsid w:val="007C22A0"/>
    <w:rsid w:val="007C3D11"/>
    <w:rsid w:val="007C3E5D"/>
    <w:rsid w:val="007C46F2"/>
    <w:rsid w:val="007C4B46"/>
    <w:rsid w:val="007C4C89"/>
    <w:rsid w:val="007C5095"/>
    <w:rsid w:val="007C5C4B"/>
    <w:rsid w:val="007C6125"/>
    <w:rsid w:val="007C6E5B"/>
    <w:rsid w:val="007D0645"/>
    <w:rsid w:val="007D0FC6"/>
    <w:rsid w:val="007D1BA8"/>
    <w:rsid w:val="007D2B46"/>
    <w:rsid w:val="007D2E89"/>
    <w:rsid w:val="007D2FA4"/>
    <w:rsid w:val="007D4225"/>
    <w:rsid w:val="007D4F56"/>
    <w:rsid w:val="007D5203"/>
    <w:rsid w:val="007D55A9"/>
    <w:rsid w:val="007D6EC5"/>
    <w:rsid w:val="007E0810"/>
    <w:rsid w:val="007E0A88"/>
    <w:rsid w:val="007E1126"/>
    <w:rsid w:val="007E120E"/>
    <w:rsid w:val="007E14BB"/>
    <w:rsid w:val="007E2036"/>
    <w:rsid w:val="007E3B3B"/>
    <w:rsid w:val="007E3F2D"/>
    <w:rsid w:val="007E6E72"/>
    <w:rsid w:val="007E7E39"/>
    <w:rsid w:val="007E7F43"/>
    <w:rsid w:val="007F3829"/>
    <w:rsid w:val="007F4064"/>
    <w:rsid w:val="007F45FF"/>
    <w:rsid w:val="007F4DD9"/>
    <w:rsid w:val="007F4E85"/>
    <w:rsid w:val="007F5998"/>
    <w:rsid w:val="007F5D34"/>
    <w:rsid w:val="007F6CCC"/>
    <w:rsid w:val="007F6DD8"/>
    <w:rsid w:val="007F7D8A"/>
    <w:rsid w:val="00800635"/>
    <w:rsid w:val="00800BD7"/>
    <w:rsid w:val="008028F0"/>
    <w:rsid w:val="00804421"/>
    <w:rsid w:val="00804E85"/>
    <w:rsid w:val="008053CB"/>
    <w:rsid w:val="00806ACF"/>
    <w:rsid w:val="00806D69"/>
    <w:rsid w:val="008076CA"/>
    <w:rsid w:val="008077F2"/>
    <w:rsid w:val="0080791D"/>
    <w:rsid w:val="008101FC"/>
    <w:rsid w:val="00810F25"/>
    <w:rsid w:val="00811027"/>
    <w:rsid w:val="00811470"/>
    <w:rsid w:val="00811AA9"/>
    <w:rsid w:val="00812A64"/>
    <w:rsid w:val="008160B1"/>
    <w:rsid w:val="0081619C"/>
    <w:rsid w:val="00816D3F"/>
    <w:rsid w:val="00816F40"/>
    <w:rsid w:val="008175C4"/>
    <w:rsid w:val="0082062A"/>
    <w:rsid w:val="00820F94"/>
    <w:rsid w:val="00821653"/>
    <w:rsid w:val="008220EA"/>
    <w:rsid w:val="00822162"/>
    <w:rsid w:val="00822B2D"/>
    <w:rsid w:val="00823AB8"/>
    <w:rsid w:val="0082469B"/>
    <w:rsid w:val="008246CB"/>
    <w:rsid w:val="00827313"/>
    <w:rsid w:val="00827999"/>
    <w:rsid w:val="00827C91"/>
    <w:rsid w:val="00827EA3"/>
    <w:rsid w:val="00830304"/>
    <w:rsid w:val="00831B8B"/>
    <w:rsid w:val="00831FC2"/>
    <w:rsid w:val="00832712"/>
    <w:rsid w:val="00833133"/>
    <w:rsid w:val="00835F85"/>
    <w:rsid w:val="008369E8"/>
    <w:rsid w:val="00836F3B"/>
    <w:rsid w:val="00837430"/>
    <w:rsid w:val="00841758"/>
    <w:rsid w:val="00841C12"/>
    <w:rsid w:val="008421E8"/>
    <w:rsid w:val="0084220F"/>
    <w:rsid w:val="00843653"/>
    <w:rsid w:val="00844AB1"/>
    <w:rsid w:val="00845D0A"/>
    <w:rsid w:val="00846AF4"/>
    <w:rsid w:val="00847C15"/>
    <w:rsid w:val="0085207A"/>
    <w:rsid w:val="008526B7"/>
    <w:rsid w:val="00854661"/>
    <w:rsid w:val="00854FF3"/>
    <w:rsid w:val="00855B88"/>
    <w:rsid w:val="008561AE"/>
    <w:rsid w:val="00856F2A"/>
    <w:rsid w:val="0086058A"/>
    <w:rsid w:val="00860C9E"/>
    <w:rsid w:val="00861CAF"/>
    <w:rsid w:val="008637E9"/>
    <w:rsid w:val="00863CE9"/>
    <w:rsid w:val="00863FC0"/>
    <w:rsid w:val="008640DB"/>
    <w:rsid w:val="00866698"/>
    <w:rsid w:val="008704EA"/>
    <w:rsid w:val="00870BE2"/>
    <w:rsid w:val="00870DDA"/>
    <w:rsid w:val="00872111"/>
    <w:rsid w:val="0087343D"/>
    <w:rsid w:val="00874639"/>
    <w:rsid w:val="008760A2"/>
    <w:rsid w:val="0087708E"/>
    <w:rsid w:val="008770AF"/>
    <w:rsid w:val="00880BFE"/>
    <w:rsid w:val="00880E0C"/>
    <w:rsid w:val="00882341"/>
    <w:rsid w:val="00882845"/>
    <w:rsid w:val="0088544A"/>
    <w:rsid w:val="00885C16"/>
    <w:rsid w:val="00885CA8"/>
    <w:rsid w:val="00886210"/>
    <w:rsid w:val="008865FE"/>
    <w:rsid w:val="008902A8"/>
    <w:rsid w:val="008906E0"/>
    <w:rsid w:val="00891C36"/>
    <w:rsid w:val="00891D0A"/>
    <w:rsid w:val="00893578"/>
    <w:rsid w:val="00893C9A"/>
    <w:rsid w:val="00893F4F"/>
    <w:rsid w:val="008942A4"/>
    <w:rsid w:val="008945B7"/>
    <w:rsid w:val="00894C0D"/>
    <w:rsid w:val="0089545F"/>
    <w:rsid w:val="008955BA"/>
    <w:rsid w:val="008961F5"/>
    <w:rsid w:val="00897596"/>
    <w:rsid w:val="008978FB"/>
    <w:rsid w:val="00897992"/>
    <w:rsid w:val="0089D356"/>
    <w:rsid w:val="008A02DB"/>
    <w:rsid w:val="008A060C"/>
    <w:rsid w:val="008A1E1D"/>
    <w:rsid w:val="008A2AE5"/>
    <w:rsid w:val="008A2D9F"/>
    <w:rsid w:val="008A32D9"/>
    <w:rsid w:val="008A3E35"/>
    <w:rsid w:val="008A566D"/>
    <w:rsid w:val="008A5740"/>
    <w:rsid w:val="008A7382"/>
    <w:rsid w:val="008A7F83"/>
    <w:rsid w:val="008B0C3D"/>
    <w:rsid w:val="008B0EC7"/>
    <w:rsid w:val="008B15AE"/>
    <w:rsid w:val="008B3237"/>
    <w:rsid w:val="008B3A16"/>
    <w:rsid w:val="008B430D"/>
    <w:rsid w:val="008B4877"/>
    <w:rsid w:val="008B5EC6"/>
    <w:rsid w:val="008B5FCE"/>
    <w:rsid w:val="008B60ED"/>
    <w:rsid w:val="008B654E"/>
    <w:rsid w:val="008B6A5B"/>
    <w:rsid w:val="008C00B8"/>
    <w:rsid w:val="008C0401"/>
    <w:rsid w:val="008C0ADF"/>
    <w:rsid w:val="008C3750"/>
    <w:rsid w:val="008C382F"/>
    <w:rsid w:val="008C3D72"/>
    <w:rsid w:val="008C3E20"/>
    <w:rsid w:val="008C4FA4"/>
    <w:rsid w:val="008C5435"/>
    <w:rsid w:val="008C7601"/>
    <w:rsid w:val="008D03F9"/>
    <w:rsid w:val="008D195E"/>
    <w:rsid w:val="008D31BE"/>
    <w:rsid w:val="008D4A5B"/>
    <w:rsid w:val="008D72BB"/>
    <w:rsid w:val="008D766E"/>
    <w:rsid w:val="008E03C2"/>
    <w:rsid w:val="008E1D0E"/>
    <w:rsid w:val="008E2B16"/>
    <w:rsid w:val="008E3833"/>
    <w:rsid w:val="008E3E04"/>
    <w:rsid w:val="008E5BE4"/>
    <w:rsid w:val="008E5E13"/>
    <w:rsid w:val="008E69E3"/>
    <w:rsid w:val="008E6AFF"/>
    <w:rsid w:val="008E6B5C"/>
    <w:rsid w:val="008F45FE"/>
    <w:rsid w:val="008F4E2E"/>
    <w:rsid w:val="008F50B6"/>
    <w:rsid w:val="008F51B6"/>
    <w:rsid w:val="008F589E"/>
    <w:rsid w:val="008F5A7C"/>
    <w:rsid w:val="008F5FA6"/>
    <w:rsid w:val="008F64B9"/>
    <w:rsid w:val="008F7EB6"/>
    <w:rsid w:val="00901442"/>
    <w:rsid w:val="009019DA"/>
    <w:rsid w:val="00902EAF"/>
    <w:rsid w:val="00902FA2"/>
    <w:rsid w:val="0090576A"/>
    <w:rsid w:val="00906159"/>
    <w:rsid w:val="0090619B"/>
    <w:rsid w:val="00906766"/>
    <w:rsid w:val="0090729C"/>
    <w:rsid w:val="00907956"/>
    <w:rsid w:val="00910303"/>
    <w:rsid w:val="009105D0"/>
    <w:rsid w:val="00910860"/>
    <w:rsid w:val="00911473"/>
    <w:rsid w:val="0091328A"/>
    <w:rsid w:val="009139BA"/>
    <w:rsid w:val="00914316"/>
    <w:rsid w:val="009148EF"/>
    <w:rsid w:val="00914D15"/>
    <w:rsid w:val="0091585F"/>
    <w:rsid w:val="0091798F"/>
    <w:rsid w:val="009210BB"/>
    <w:rsid w:val="009217FD"/>
    <w:rsid w:val="0092182A"/>
    <w:rsid w:val="009229BA"/>
    <w:rsid w:val="009229C7"/>
    <w:rsid w:val="00923AD6"/>
    <w:rsid w:val="00923D24"/>
    <w:rsid w:val="00924BA6"/>
    <w:rsid w:val="00924EA1"/>
    <w:rsid w:val="00925691"/>
    <w:rsid w:val="00925871"/>
    <w:rsid w:val="00927C0E"/>
    <w:rsid w:val="00927C93"/>
    <w:rsid w:val="009316DA"/>
    <w:rsid w:val="009317E1"/>
    <w:rsid w:val="00934D0E"/>
    <w:rsid w:val="00935C62"/>
    <w:rsid w:val="0093639E"/>
    <w:rsid w:val="0093662A"/>
    <w:rsid w:val="009411EA"/>
    <w:rsid w:val="009428F7"/>
    <w:rsid w:val="00943198"/>
    <w:rsid w:val="00943FCD"/>
    <w:rsid w:val="0094420C"/>
    <w:rsid w:val="00945B8B"/>
    <w:rsid w:val="009465AC"/>
    <w:rsid w:val="009468DC"/>
    <w:rsid w:val="00950857"/>
    <w:rsid w:val="009509E0"/>
    <w:rsid w:val="00951379"/>
    <w:rsid w:val="009525F0"/>
    <w:rsid w:val="00953631"/>
    <w:rsid w:val="00954058"/>
    <w:rsid w:val="00955173"/>
    <w:rsid w:val="00955545"/>
    <w:rsid w:val="0095657C"/>
    <w:rsid w:val="009566EB"/>
    <w:rsid w:val="009572AC"/>
    <w:rsid w:val="00957762"/>
    <w:rsid w:val="00960438"/>
    <w:rsid w:val="009615A7"/>
    <w:rsid w:val="009622DD"/>
    <w:rsid w:val="009624C3"/>
    <w:rsid w:val="00965136"/>
    <w:rsid w:val="00965D68"/>
    <w:rsid w:val="009662B6"/>
    <w:rsid w:val="00966983"/>
    <w:rsid w:val="00966AF4"/>
    <w:rsid w:val="00967247"/>
    <w:rsid w:val="00970826"/>
    <w:rsid w:val="00970FCC"/>
    <w:rsid w:val="00972294"/>
    <w:rsid w:val="009722CC"/>
    <w:rsid w:val="00973120"/>
    <w:rsid w:val="00973494"/>
    <w:rsid w:val="00974541"/>
    <w:rsid w:val="009747E0"/>
    <w:rsid w:val="00974A5F"/>
    <w:rsid w:val="00974FBE"/>
    <w:rsid w:val="00975BA2"/>
    <w:rsid w:val="00975BE7"/>
    <w:rsid w:val="00976E72"/>
    <w:rsid w:val="0097769B"/>
    <w:rsid w:val="009779DF"/>
    <w:rsid w:val="00977D5D"/>
    <w:rsid w:val="00980AC6"/>
    <w:rsid w:val="009810BF"/>
    <w:rsid w:val="009846DD"/>
    <w:rsid w:val="00984D73"/>
    <w:rsid w:val="00985614"/>
    <w:rsid w:val="009861B7"/>
    <w:rsid w:val="0098679F"/>
    <w:rsid w:val="00986938"/>
    <w:rsid w:val="009870DB"/>
    <w:rsid w:val="009876C2"/>
    <w:rsid w:val="009879C2"/>
    <w:rsid w:val="0099003A"/>
    <w:rsid w:val="0099052A"/>
    <w:rsid w:val="0099058C"/>
    <w:rsid w:val="00990C6B"/>
    <w:rsid w:val="00990EC8"/>
    <w:rsid w:val="00991F26"/>
    <w:rsid w:val="009937DF"/>
    <w:rsid w:val="009945B7"/>
    <w:rsid w:val="00994EF3"/>
    <w:rsid w:val="00994F13"/>
    <w:rsid w:val="009A07A4"/>
    <w:rsid w:val="009A0A72"/>
    <w:rsid w:val="009A1D32"/>
    <w:rsid w:val="009A1F0C"/>
    <w:rsid w:val="009A23A6"/>
    <w:rsid w:val="009A2E98"/>
    <w:rsid w:val="009A4C52"/>
    <w:rsid w:val="009A51FB"/>
    <w:rsid w:val="009A5F7F"/>
    <w:rsid w:val="009A6FBA"/>
    <w:rsid w:val="009A7C74"/>
    <w:rsid w:val="009B0B40"/>
    <w:rsid w:val="009B1F38"/>
    <w:rsid w:val="009B333B"/>
    <w:rsid w:val="009B63BD"/>
    <w:rsid w:val="009B6A00"/>
    <w:rsid w:val="009B6C2A"/>
    <w:rsid w:val="009B7308"/>
    <w:rsid w:val="009B7498"/>
    <w:rsid w:val="009C0822"/>
    <w:rsid w:val="009C0C7F"/>
    <w:rsid w:val="009C25EF"/>
    <w:rsid w:val="009C2639"/>
    <w:rsid w:val="009C2C07"/>
    <w:rsid w:val="009C2D8B"/>
    <w:rsid w:val="009C3639"/>
    <w:rsid w:val="009C4437"/>
    <w:rsid w:val="009C6C26"/>
    <w:rsid w:val="009C71A0"/>
    <w:rsid w:val="009C7299"/>
    <w:rsid w:val="009C7C24"/>
    <w:rsid w:val="009D1F51"/>
    <w:rsid w:val="009D21BD"/>
    <w:rsid w:val="009D243C"/>
    <w:rsid w:val="009D2E6C"/>
    <w:rsid w:val="009D3C44"/>
    <w:rsid w:val="009D4D5E"/>
    <w:rsid w:val="009D4EF1"/>
    <w:rsid w:val="009D53DA"/>
    <w:rsid w:val="009D5677"/>
    <w:rsid w:val="009E0D91"/>
    <w:rsid w:val="009E0EFF"/>
    <w:rsid w:val="009E2099"/>
    <w:rsid w:val="009E4CA5"/>
    <w:rsid w:val="009E539E"/>
    <w:rsid w:val="009E6424"/>
    <w:rsid w:val="009E65B6"/>
    <w:rsid w:val="009E6A27"/>
    <w:rsid w:val="009E7743"/>
    <w:rsid w:val="009F1578"/>
    <w:rsid w:val="009F1C3C"/>
    <w:rsid w:val="009F2103"/>
    <w:rsid w:val="009F222C"/>
    <w:rsid w:val="009F256A"/>
    <w:rsid w:val="009F278F"/>
    <w:rsid w:val="009F3F58"/>
    <w:rsid w:val="009F4924"/>
    <w:rsid w:val="009F4B35"/>
    <w:rsid w:val="009F566D"/>
    <w:rsid w:val="009F6355"/>
    <w:rsid w:val="009F63FB"/>
    <w:rsid w:val="009F6456"/>
    <w:rsid w:val="009F6B33"/>
    <w:rsid w:val="009F6BC6"/>
    <w:rsid w:val="009F7484"/>
    <w:rsid w:val="009F78BC"/>
    <w:rsid w:val="00A009C0"/>
    <w:rsid w:val="00A010C6"/>
    <w:rsid w:val="00A01853"/>
    <w:rsid w:val="00A021D3"/>
    <w:rsid w:val="00A021D7"/>
    <w:rsid w:val="00A0251C"/>
    <w:rsid w:val="00A033C4"/>
    <w:rsid w:val="00A03C73"/>
    <w:rsid w:val="00A03FD7"/>
    <w:rsid w:val="00A04245"/>
    <w:rsid w:val="00A04D27"/>
    <w:rsid w:val="00A0598A"/>
    <w:rsid w:val="00A05D91"/>
    <w:rsid w:val="00A064E4"/>
    <w:rsid w:val="00A066B4"/>
    <w:rsid w:val="00A06964"/>
    <w:rsid w:val="00A074EA"/>
    <w:rsid w:val="00A0771E"/>
    <w:rsid w:val="00A07AF2"/>
    <w:rsid w:val="00A106EB"/>
    <w:rsid w:val="00A107A4"/>
    <w:rsid w:val="00A112B0"/>
    <w:rsid w:val="00A13451"/>
    <w:rsid w:val="00A139A5"/>
    <w:rsid w:val="00A1475A"/>
    <w:rsid w:val="00A15807"/>
    <w:rsid w:val="00A15C15"/>
    <w:rsid w:val="00A20F18"/>
    <w:rsid w:val="00A215FA"/>
    <w:rsid w:val="00A21830"/>
    <w:rsid w:val="00A2189E"/>
    <w:rsid w:val="00A2207A"/>
    <w:rsid w:val="00A221BB"/>
    <w:rsid w:val="00A22604"/>
    <w:rsid w:val="00A22BBD"/>
    <w:rsid w:val="00A26C3E"/>
    <w:rsid w:val="00A273D6"/>
    <w:rsid w:val="00A276F0"/>
    <w:rsid w:val="00A278A3"/>
    <w:rsid w:val="00A27E49"/>
    <w:rsid w:val="00A32BB1"/>
    <w:rsid w:val="00A330AB"/>
    <w:rsid w:val="00A338BF"/>
    <w:rsid w:val="00A33B8F"/>
    <w:rsid w:val="00A34E0C"/>
    <w:rsid w:val="00A37196"/>
    <w:rsid w:val="00A372C8"/>
    <w:rsid w:val="00A374C5"/>
    <w:rsid w:val="00A41190"/>
    <w:rsid w:val="00A4147B"/>
    <w:rsid w:val="00A41AED"/>
    <w:rsid w:val="00A41C7C"/>
    <w:rsid w:val="00A4290D"/>
    <w:rsid w:val="00A429B4"/>
    <w:rsid w:val="00A44224"/>
    <w:rsid w:val="00A45437"/>
    <w:rsid w:val="00A46DCC"/>
    <w:rsid w:val="00A46F5B"/>
    <w:rsid w:val="00A50028"/>
    <w:rsid w:val="00A51D95"/>
    <w:rsid w:val="00A52587"/>
    <w:rsid w:val="00A53728"/>
    <w:rsid w:val="00A53A1B"/>
    <w:rsid w:val="00A53C6E"/>
    <w:rsid w:val="00A607CB"/>
    <w:rsid w:val="00A61A96"/>
    <w:rsid w:val="00A62595"/>
    <w:rsid w:val="00A637CA"/>
    <w:rsid w:val="00A63DD8"/>
    <w:rsid w:val="00A65498"/>
    <w:rsid w:val="00A669C0"/>
    <w:rsid w:val="00A67685"/>
    <w:rsid w:val="00A67F53"/>
    <w:rsid w:val="00A70C36"/>
    <w:rsid w:val="00A726DD"/>
    <w:rsid w:val="00A72B38"/>
    <w:rsid w:val="00A7344E"/>
    <w:rsid w:val="00A73AD0"/>
    <w:rsid w:val="00A73CFF"/>
    <w:rsid w:val="00A748A0"/>
    <w:rsid w:val="00A755C1"/>
    <w:rsid w:val="00A75AD4"/>
    <w:rsid w:val="00A762DB"/>
    <w:rsid w:val="00A76E37"/>
    <w:rsid w:val="00A77CEC"/>
    <w:rsid w:val="00A8062B"/>
    <w:rsid w:val="00A81641"/>
    <w:rsid w:val="00A81B57"/>
    <w:rsid w:val="00A82C60"/>
    <w:rsid w:val="00A84852"/>
    <w:rsid w:val="00A8547B"/>
    <w:rsid w:val="00A8571E"/>
    <w:rsid w:val="00A86256"/>
    <w:rsid w:val="00A87D4E"/>
    <w:rsid w:val="00A9008E"/>
    <w:rsid w:val="00A903A5"/>
    <w:rsid w:val="00A91CC1"/>
    <w:rsid w:val="00A91FF1"/>
    <w:rsid w:val="00A925A3"/>
    <w:rsid w:val="00A92FAE"/>
    <w:rsid w:val="00A954A5"/>
    <w:rsid w:val="00A958DB"/>
    <w:rsid w:val="00A95E8F"/>
    <w:rsid w:val="00A972E8"/>
    <w:rsid w:val="00A97985"/>
    <w:rsid w:val="00AA0075"/>
    <w:rsid w:val="00AA078D"/>
    <w:rsid w:val="00AA1275"/>
    <w:rsid w:val="00AA3005"/>
    <w:rsid w:val="00AA503D"/>
    <w:rsid w:val="00AA5A48"/>
    <w:rsid w:val="00AB0CBB"/>
    <w:rsid w:val="00AB109A"/>
    <w:rsid w:val="00AB1A09"/>
    <w:rsid w:val="00AB3860"/>
    <w:rsid w:val="00AB57C7"/>
    <w:rsid w:val="00AB5B92"/>
    <w:rsid w:val="00AB5C86"/>
    <w:rsid w:val="00AB5CE8"/>
    <w:rsid w:val="00AB6C9D"/>
    <w:rsid w:val="00AB6F8E"/>
    <w:rsid w:val="00AB7382"/>
    <w:rsid w:val="00AB750E"/>
    <w:rsid w:val="00AB7EEC"/>
    <w:rsid w:val="00AC1C88"/>
    <w:rsid w:val="00AC26AD"/>
    <w:rsid w:val="00AC2E01"/>
    <w:rsid w:val="00AC313C"/>
    <w:rsid w:val="00AC42C9"/>
    <w:rsid w:val="00AC44F4"/>
    <w:rsid w:val="00AC5B2D"/>
    <w:rsid w:val="00AC5EEA"/>
    <w:rsid w:val="00AC6677"/>
    <w:rsid w:val="00AC6FCD"/>
    <w:rsid w:val="00AC7230"/>
    <w:rsid w:val="00AC77C5"/>
    <w:rsid w:val="00AC77F4"/>
    <w:rsid w:val="00AD1246"/>
    <w:rsid w:val="00AD1366"/>
    <w:rsid w:val="00AD19DA"/>
    <w:rsid w:val="00AD1C68"/>
    <w:rsid w:val="00AD316E"/>
    <w:rsid w:val="00AD3819"/>
    <w:rsid w:val="00AD4B5E"/>
    <w:rsid w:val="00AD4C56"/>
    <w:rsid w:val="00AD570C"/>
    <w:rsid w:val="00AD66FE"/>
    <w:rsid w:val="00AD72B7"/>
    <w:rsid w:val="00AD793C"/>
    <w:rsid w:val="00AD7B8B"/>
    <w:rsid w:val="00AD7F9C"/>
    <w:rsid w:val="00AE15F7"/>
    <w:rsid w:val="00AE1C07"/>
    <w:rsid w:val="00AE1CCF"/>
    <w:rsid w:val="00AE3526"/>
    <w:rsid w:val="00AE4250"/>
    <w:rsid w:val="00AE4312"/>
    <w:rsid w:val="00AE4D9E"/>
    <w:rsid w:val="00AE4F56"/>
    <w:rsid w:val="00AE696A"/>
    <w:rsid w:val="00AE6F24"/>
    <w:rsid w:val="00AF052D"/>
    <w:rsid w:val="00AF1524"/>
    <w:rsid w:val="00AF27AF"/>
    <w:rsid w:val="00AF441D"/>
    <w:rsid w:val="00AF4C20"/>
    <w:rsid w:val="00AF50AD"/>
    <w:rsid w:val="00AF5313"/>
    <w:rsid w:val="00AF578E"/>
    <w:rsid w:val="00AF5D78"/>
    <w:rsid w:val="00AF6513"/>
    <w:rsid w:val="00AF78C2"/>
    <w:rsid w:val="00B00D1C"/>
    <w:rsid w:val="00B026F8"/>
    <w:rsid w:val="00B02BAE"/>
    <w:rsid w:val="00B06AF2"/>
    <w:rsid w:val="00B107D8"/>
    <w:rsid w:val="00B12C8C"/>
    <w:rsid w:val="00B13103"/>
    <w:rsid w:val="00B13DB4"/>
    <w:rsid w:val="00B14414"/>
    <w:rsid w:val="00B14639"/>
    <w:rsid w:val="00B14BE2"/>
    <w:rsid w:val="00B15624"/>
    <w:rsid w:val="00B1637B"/>
    <w:rsid w:val="00B165E5"/>
    <w:rsid w:val="00B16F32"/>
    <w:rsid w:val="00B2067A"/>
    <w:rsid w:val="00B22B86"/>
    <w:rsid w:val="00B24946"/>
    <w:rsid w:val="00B2508D"/>
    <w:rsid w:val="00B2552D"/>
    <w:rsid w:val="00B25C5C"/>
    <w:rsid w:val="00B25D40"/>
    <w:rsid w:val="00B26447"/>
    <w:rsid w:val="00B26534"/>
    <w:rsid w:val="00B26539"/>
    <w:rsid w:val="00B2680B"/>
    <w:rsid w:val="00B27F72"/>
    <w:rsid w:val="00B30758"/>
    <w:rsid w:val="00B31571"/>
    <w:rsid w:val="00B32287"/>
    <w:rsid w:val="00B340CF"/>
    <w:rsid w:val="00B3422F"/>
    <w:rsid w:val="00B366DD"/>
    <w:rsid w:val="00B36E46"/>
    <w:rsid w:val="00B36FA3"/>
    <w:rsid w:val="00B4033E"/>
    <w:rsid w:val="00B40531"/>
    <w:rsid w:val="00B414CF"/>
    <w:rsid w:val="00B417CF"/>
    <w:rsid w:val="00B42A3F"/>
    <w:rsid w:val="00B43341"/>
    <w:rsid w:val="00B46C36"/>
    <w:rsid w:val="00B46D50"/>
    <w:rsid w:val="00B474D8"/>
    <w:rsid w:val="00B4790B"/>
    <w:rsid w:val="00B500F2"/>
    <w:rsid w:val="00B52589"/>
    <w:rsid w:val="00B56654"/>
    <w:rsid w:val="00B56951"/>
    <w:rsid w:val="00B603A2"/>
    <w:rsid w:val="00B611F2"/>
    <w:rsid w:val="00B62325"/>
    <w:rsid w:val="00B6363B"/>
    <w:rsid w:val="00B66551"/>
    <w:rsid w:val="00B666E5"/>
    <w:rsid w:val="00B67449"/>
    <w:rsid w:val="00B67C53"/>
    <w:rsid w:val="00B708F4"/>
    <w:rsid w:val="00B71990"/>
    <w:rsid w:val="00B71EB9"/>
    <w:rsid w:val="00B723A4"/>
    <w:rsid w:val="00B72B03"/>
    <w:rsid w:val="00B73E1E"/>
    <w:rsid w:val="00B74AF2"/>
    <w:rsid w:val="00B7539B"/>
    <w:rsid w:val="00B7649E"/>
    <w:rsid w:val="00B76992"/>
    <w:rsid w:val="00B76AC3"/>
    <w:rsid w:val="00B76ED4"/>
    <w:rsid w:val="00B76EF8"/>
    <w:rsid w:val="00B77FB1"/>
    <w:rsid w:val="00B806E2"/>
    <w:rsid w:val="00B80AB6"/>
    <w:rsid w:val="00B8197E"/>
    <w:rsid w:val="00B81D62"/>
    <w:rsid w:val="00B81E8D"/>
    <w:rsid w:val="00B82937"/>
    <w:rsid w:val="00B84694"/>
    <w:rsid w:val="00B84701"/>
    <w:rsid w:val="00B8489C"/>
    <w:rsid w:val="00B848A5"/>
    <w:rsid w:val="00B85F70"/>
    <w:rsid w:val="00B86EA1"/>
    <w:rsid w:val="00B90113"/>
    <w:rsid w:val="00B90303"/>
    <w:rsid w:val="00B90BAA"/>
    <w:rsid w:val="00B90EB0"/>
    <w:rsid w:val="00B9456E"/>
    <w:rsid w:val="00B95E1C"/>
    <w:rsid w:val="00B96944"/>
    <w:rsid w:val="00B97851"/>
    <w:rsid w:val="00B97C91"/>
    <w:rsid w:val="00BA000B"/>
    <w:rsid w:val="00BA0E8A"/>
    <w:rsid w:val="00BA155D"/>
    <w:rsid w:val="00BA24DC"/>
    <w:rsid w:val="00BA4171"/>
    <w:rsid w:val="00BA4BE0"/>
    <w:rsid w:val="00BA5223"/>
    <w:rsid w:val="00BA54C8"/>
    <w:rsid w:val="00BA5990"/>
    <w:rsid w:val="00BA59CC"/>
    <w:rsid w:val="00BA5D7B"/>
    <w:rsid w:val="00BA7934"/>
    <w:rsid w:val="00BA7FAF"/>
    <w:rsid w:val="00BB02CE"/>
    <w:rsid w:val="00BB1273"/>
    <w:rsid w:val="00BB27C3"/>
    <w:rsid w:val="00BB3C28"/>
    <w:rsid w:val="00BB4274"/>
    <w:rsid w:val="00BB438F"/>
    <w:rsid w:val="00BB46D4"/>
    <w:rsid w:val="00BB4ECD"/>
    <w:rsid w:val="00BB54A0"/>
    <w:rsid w:val="00BB628F"/>
    <w:rsid w:val="00BB69B6"/>
    <w:rsid w:val="00BB6AFD"/>
    <w:rsid w:val="00BB6DEB"/>
    <w:rsid w:val="00BB7A5F"/>
    <w:rsid w:val="00BC17D5"/>
    <w:rsid w:val="00BC1A94"/>
    <w:rsid w:val="00BC3010"/>
    <w:rsid w:val="00BC4DB5"/>
    <w:rsid w:val="00BC4FE4"/>
    <w:rsid w:val="00BC51E5"/>
    <w:rsid w:val="00BC5904"/>
    <w:rsid w:val="00BC624C"/>
    <w:rsid w:val="00BC62B0"/>
    <w:rsid w:val="00BC731E"/>
    <w:rsid w:val="00BD23B6"/>
    <w:rsid w:val="00BD3147"/>
    <w:rsid w:val="00BD73D5"/>
    <w:rsid w:val="00BD7595"/>
    <w:rsid w:val="00BD7B3A"/>
    <w:rsid w:val="00BD7FDE"/>
    <w:rsid w:val="00BE0DF9"/>
    <w:rsid w:val="00BE2BAD"/>
    <w:rsid w:val="00BE47C8"/>
    <w:rsid w:val="00BE48FB"/>
    <w:rsid w:val="00BE6DC9"/>
    <w:rsid w:val="00BE77D6"/>
    <w:rsid w:val="00BE7BFD"/>
    <w:rsid w:val="00BE7D49"/>
    <w:rsid w:val="00BE7D73"/>
    <w:rsid w:val="00BF0259"/>
    <w:rsid w:val="00BF051C"/>
    <w:rsid w:val="00BF0E27"/>
    <w:rsid w:val="00BF2642"/>
    <w:rsid w:val="00BF2DBB"/>
    <w:rsid w:val="00BF41C2"/>
    <w:rsid w:val="00BF5625"/>
    <w:rsid w:val="00BF6C08"/>
    <w:rsid w:val="00BF6CFA"/>
    <w:rsid w:val="00BF6D58"/>
    <w:rsid w:val="00C000C0"/>
    <w:rsid w:val="00C038A4"/>
    <w:rsid w:val="00C03E39"/>
    <w:rsid w:val="00C04581"/>
    <w:rsid w:val="00C0470E"/>
    <w:rsid w:val="00C04790"/>
    <w:rsid w:val="00C04E65"/>
    <w:rsid w:val="00C053E0"/>
    <w:rsid w:val="00C05537"/>
    <w:rsid w:val="00C05587"/>
    <w:rsid w:val="00C06DB3"/>
    <w:rsid w:val="00C10A17"/>
    <w:rsid w:val="00C10DD8"/>
    <w:rsid w:val="00C11AE1"/>
    <w:rsid w:val="00C13375"/>
    <w:rsid w:val="00C136F6"/>
    <w:rsid w:val="00C144A6"/>
    <w:rsid w:val="00C146A2"/>
    <w:rsid w:val="00C14B95"/>
    <w:rsid w:val="00C15555"/>
    <w:rsid w:val="00C17414"/>
    <w:rsid w:val="00C1775D"/>
    <w:rsid w:val="00C20A9E"/>
    <w:rsid w:val="00C23A7C"/>
    <w:rsid w:val="00C23BE6"/>
    <w:rsid w:val="00C23C84"/>
    <w:rsid w:val="00C242E3"/>
    <w:rsid w:val="00C24661"/>
    <w:rsid w:val="00C25EBB"/>
    <w:rsid w:val="00C2684F"/>
    <w:rsid w:val="00C278E1"/>
    <w:rsid w:val="00C301B9"/>
    <w:rsid w:val="00C30790"/>
    <w:rsid w:val="00C3165E"/>
    <w:rsid w:val="00C32C5C"/>
    <w:rsid w:val="00C33493"/>
    <w:rsid w:val="00C34333"/>
    <w:rsid w:val="00C34F56"/>
    <w:rsid w:val="00C37418"/>
    <w:rsid w:val="00C407F3"/>
    <w:rsid w:val="00C40C5C"/>
    <w:rsid w:val="00C40CF8"/>
    <w:rsid w:val="00C41264"/>
    <w:rsid w:val="00C41336"/>
    <w:rsid w:val="00C4149B"/>
    <w:rsid w:val="00C41E15"/>
    <w:rsid w:val="00C43165"/>
    <w:rsid w:val="00C43D26"/>
    <w:rsid w:val="00C44A50"/>
    <w:rsid w:val="00C44E23"/>
    <w:rsid w:val="00C45C91"/>
    <w:rsid w:val="00C45D47"/>
    <w:rsid w:val="00C47515"/>
    <w:rsid w:val="00C50D1C"/>
    <w:rsid w:val="00C52FF4"/>
    <w:rsid w:val="00C53411"/>
    <w:rsid w:val="00C53949"/>
    <w:rsid w:val="00C549DE"/>
    <w:rsid w:val="00C54B79"/>
    <w:rsid w:val="00C555D6"/>
    <w:rsid w:val="00C55987"/>
    <w:rsid w:val="00C55EA6"/>
    <w:rsid w:val="00C561A0"/>
    <w:rsid w:val="00C56CE4"/>
    <w:rsid w:val="00C579ED"/>
    <w:rsid w:val="00C60341"/>
    <w:rsid w:val="00C604E1"/>
    <w:rsid w:val="00C60BF9"/>
    <w:rsid w:val="00C619F9"/>
    <w:rsid w:val="00C63C38"/>
    <w:rsid w:val="00C65502"/>
    <w:rsid w:val="00C664B7"/>
    <w:rsid w:val="00C66865"/>
    <w:rsid w:val="00C66B3B"/>
    <w:rsid w:val="00C67090"/>
    <w:rsid w:val="00C7185B"/>
    <w:rsid w:val="00C71AA0"/>
    <w:rsid w:val="00C71B27"/>
    <w:rsid w:val="00C72421"/>
    <w:rsid w:val="00C7359C"/>
    <w:rsid w:val="00C73C34"/>
    <w:rsid w:val="00C73E2C"/>
    <w:rsid w:val="00C747B1"/>
    <w:rsid w:val="00C74DE4"/>
    <w:rsid w:val="00C751DC"/>
    <w:rsid w:val="00C75D67"/>
    <w:rsid w:val="00C75F0C"/>
    <w:rsid w:val="00C76A70"/>
    <w:rsid w:val="00C76CD2"/>
    <w:rsid w:val="00C77702"/>
    <w:rsid w:val="00C80BB9"/>
    <w:rsid w:val="00C81739"/>
    <w:rsid w:val="00C81F5F"/>
    <w:rsid w:val="00C833CF"/>
    <w:rsid w:val="00C83AF8"/>
    <w:rsid w:val="00C855A9"/>
    <w:rsid w:val="00C85643"/>
    <w:rsid w:val="00C864C7"/>
    <w:rsid w:val="00C87704"/>
    <w:rsid w:val="00C877A7"/>
    <w:rsid w:val="00C905A7"/>
    <w:rsid w:val="00C91E48"/>
    <w:rsid w:val="00C92C10"/>
    <w:rsid w:val="00C95833"/>
    <w:rsid w:val="00C976CB"/>
    <w:rsid w:val="00C97D79"/>
    <w:rsid w:val="00C97EBC"/>
    <w:rsid w:val="00CA2647"/>
    <w:rsid w:val="00CA2AC1"/>
    <w:rsid w:val="00CA3C7F"/>
    <w:rsid w:val="00CA4024"/>
    <w:rsid w:val="00CA40E4"/>
    <w:rsid w:val="00CA50D4"/>
    <w:rsid w:val="00CA578B"/>
    <w:rsid w:val="00CA6227"/>
    <w:rsid w:val="00CA630A"/>
    <w:rsid w:val="00CA64FC"/>
    <w:rsid w:val="00CA6910"/>
    <w:rsid w:val="00CA6AB1"/>
    <w:rsid w:val="00CA7909"/>
    <w:rsid w:val="00CB0E8D"/>
    <w:rsid w:val="00CB2FF4"/>
    <w:rsid w:val="00CB4996"/>
    <w:rsid w:val="00CB6EDB"/>
    <w:rsid w:val="00CB7293"/>
    <w:rsid w:val="00CB73E2"/>
    <w:rsid w:val="00CB7CA2"/>
    <w:rsid w:val="00CC0798"/>
    <w:rsid w:val="00CC1289"/>
    <w:rsid w:val="00CC4CA6"/>
    <w:rsid w:val="00CC53B7"/>
    <w:rsid w:val="00CC6336"/>
    <w:rsid w:val="00CC6D10"/>
    <w:rsid w:val="00CC72BD"/>
    <w:rsid w:val="00CC75FC"/>
    <w:rsid w:val="00CD0934"/>
    <w:rsid w:val="00CD2A21"/>
    <w:rsid w:val="00CD3C4A"/>
    <w:rsid w:val="00CD3F4A"/>
    <w:rsid w:val="00CD7A5C"/>
    <w:rsid w:val="00CE0767"/>
    <w:rsid w:val="00CE0CCC"/>
    <w:rsid w:val="00CE0CEE"/>
    <w:rsid w:val="00CE27DD"/>
    <w:rsid w:val="00CE29AB"/>
    <w:rsid w:val="00CE2F01"/>
    <w:rsid w:val="00CE305F"/>
    <w:rsid w:val="00CE3245"/>
    <w:rsid w:val="00CE5191"/>
    <w:rsid w:val="00CE54DE"/>
    <w:rsid w:val="00CE6D1E"/>
    <w:rsid w:val="00CE6E3F"/>
    <w:rsid w:val="00CF0C0F"/>
    <w:rsid w:val="00CF19E5"/>
    <w:rsid w:val="00CF2639"/>
    <w:rsid w:val="00CF3008"/>
    <w:rsid w:val="00CF3157"/>
    <w:rsid w:val="00CF3B7D"/>
    <w:rsid w:val="00CF4FF8"/>
    <w:rsid w:val="00CF5450"/>
    <w:rsid w:val="00CF5818"/>
    <w:rsid w:val="00CF5B26"/>
    <w:rsid w:val="00CF69B6"/>
    <w:rsid w:val="00CF6AD2"/>
    <w:rsid w:val="00CF6FCA"/>
    <w:rsid w:val="00CF7516"/>
    <w:rsid w:val="00D006CD"/>
    <w:rsid w:val="00D00F98"/>
    <w:rsid w:val="00D01458"/>
    <w:rsid w:val="00D01B52"/>
    <w:rsid w:val="00D027DE"/>
    <w:rsid w:val="00D029F3"/>
    <w:rsid w:val="00D046FE"/>
    <w:rsid w:val="00D04841"/>
    <w:rsid w:val="00D04CC6"/>
    <w:rsid w:val="00D0569A"/>
    <w:rsid w:val="00D06CA2"/>
    <w:rsid w:val="00D077AB"/>
    <w:rsid w:val="00D07ECD"/>
    <w:rsid w:val="00D10305"/>
    <w:rsid w:val="00D113BF"/>
    <w:rsid w:val="00D11438"/>
    <w:rsid w:val="00D124D1"/>
    <w:rsid w:val="00D12BC2"/>
    <w:rsid w:val="00D12CB1"/>
    <w:rsid w:val="00D13B2D"/>
    <w:rsid w:val="00D153F5"/>
    <w:rsid w:val="00D15796"/>
    <w:rsid w:val="00D15C7F"/>
    <w:rsid w:val="00D15CE0"/>
    <w:rsid w:val="00D16519"/>
    <w:rsid w:val="00D167EA"/>
    <w:rsid w:val="00D16994"/>
    <w:rsid w:val="00D17111"/>
    <w:rsid w:val="00D22DCA"/>
    <w:rsid w:val="00D23527"/>
    <w:rsid w:val="00D25B95"/>
    <w:rsid w:val="00D26D4F"/>
    <w:rsid w:val="00D27977"/>
    <w:rsid w:val="00D27A4D"/>
    <w:rsid w:val="00D310C3"/>
    <w:rsid w:val="00D317A9"/>
    <w:rsid w:val="00D3189B"/>
    <w:rsid w:val="00D31D4B"/>
    <w:rsid w:val="00D321DC"/>
    <w:rsid w:val="00D34696"/>
    <w:rsid w:val="00D36154"/>
    <w:rsid w:val="00D3651E"/>
    <w:rsid w:val="00D370B8"/>
    <w:rsid w:val="00D417FE"/>
    <w:rsid w:val="00D42EB5"/>
    <w:rsid w:val="00D43B21"/>
    <w:rsid w:val="00D44DD7"/>
    <w:rsid w:val="00D456D7"/>
    <w:rsid w:val="00D4631F"/>
    <w:rsid w:val="00D467DF"/>
    <w:rsid w:val="00D46D3C"/>
    <w:rsid w:val="00D46E4D"/>
    <w:rsid w:val="00D47078"/>
    <w:rsid w:val="00D478CE"/>
    <w:rsid w:val="00D47A6E"/>
    <w:rsid w:val="00D5045F"/>
    <w:rsid w:val="00D5059F"/>
    <w:rsid w:val="00D5085D"/>
    <w:rsid w:val="00D51EB6"/>
    <w:rsid w:val="00D5380A"/>
    <w:rsid w:val="00D54B6E"/>
    <w:rsid w:val="00D54C6F"/>
    <w:rsid w:val="00D5601E"/>
    <w:rsid w:val="00D57331"/>
    <w:rsid w:val="00D60499"/>
    <w:rsid w:val="00D6425B"/>
    <w:rsid w:val="00D66381"/>
    <w:rsid w:val="00D673E0"/>
    <w:rsid w:val="00D679BB"/>
    <w:rsid w:val="00D702F3"/>
    <w:rsid w:val="00D70382"/>
    <w:rsid w:val="00D70F89"/>
    <w:rsid w:val="00D71E4F"/>
    <w:rsid w:val="00D72D33"/>
    <w:rsid w:val="00D73599"/>
    <w:rsid w:val="00D76775"/>
    <w:rsid w:val="00D771B5"/>
    <w:rsid w:val="00D77668"/>
    <w:rsid w:val="00D77720"/>
    <w:rsid w:val="00D80003"/>
    <w:rsid w:val="00D831B3"/>
    <w:rsid w:val="00D85356"/>
    <w:rsid w:val="00D85F27"/>
    <w:rsid w:val="00D866E0"/>
    <w:rsid w:val="00D8708A"/>
    <w:rsid w:val="00D91D96"/>
    <w:rsid w:val="00D92000"/>
    <w:rsid w:val="00D933B3"/>
    <w:rsid w:val="00D946EA"/>
    <w:rsid w:val="00D94B85"/>
    <w:rsid w:val="00D95A37"/>
    <w:rsid w:val="00D95E0F"/>
    <w:rsid w:val="00D976E5"/>
    <w:rsid w:val="00D97E07"/>
    <w:rsid w:val="00DA0860"/>
    <w:rsid w:val="00DA08B4"/>
    <w:rsid w:val="00DA1960"/>
    <w:rsid w:val="00DA198E"/>
    <w:rsid w:val="00DA4192"/>
    <w:rsid w:val="00DA4673"/>
    <w:rsid w:val="00DA4A97"/>
    <w:rsid w:val="00DA4CFD"/>
    <w:rsid w:val="00DA5B3A"/>
    <w:rsid w:val="00DA7949"/>
    <w:rsid w:val="00DA79F4"/>
    <w:rsid w:val="00DB0150"/>
    <w:rsid w:val="00DB0F79"/>
    <w:rsid w:val="00DB13E9"/>
    <w:rsid w:val="00DB171C"/>
    <w:rsid w:val="00DB2148"/>
    <w:rsid w:val="00DB31AE"/>
    <w:rsid w:val="00DB349D"/>
    <w:rsid w:val="00DB4BBF"/>
    <w:rsid w:val="00DB5693"/>
    <w:rsid w:val="00DB5705"/>
    <w:rsid w:val="00DB57AB"/>
    <w:rsid w:val="00DB5858"/>
    <w:rsid w:val="00DB62A1"/>
    <w:rsid w:val="00DB65BC"/>
    <w:rsid w:val="00DB737B"/>
    <w:rsid w:val="00DB77F7"/>
    <w:rsid w:val="00DB7901"/>
    <w:rsid w:val="00DB7FAB"/>
    <w:rsid w:val="00DB9F5A"/>
    <w:rsid w:val="00DC0AC4"/>
    <w:rsid w:val="00DC2372"/>
    <w:rsid w:val="00DC3212"/>
    <w:rsid w:val="00DC3C8C"/>
    <w:rsid w:val="00DC3DEB"/>
    <w:rsid w:val="00DC477B"/>
    <w:rsid w:val="00DC480D"/>
    <w:rsid w:val="00DC5761"/>
    <w:rsid w:val="00DC5765"/>
    <w:rsid w:val="00DC6541"/>
    <w:rsid w:val="00DC75A9"/>
    <w:rsid w:val="00DC79B3"/>
    <w:rsid w:val="00DC7ECF"/>
    <w:rsid w:val="00DD036A"/>
    <w:rsid w:val="00DD1350"/>
    <w:rsid w:val="00DD38D4"/>
    <w:rsid w:val="00DD5685"/>
    <w:rsid w:val="00DD611A"/>
    <w:rsid w:val="00DE0C51"/>
    <w:rsid w:val="00DE1A36"/>
    <w:rsid w:val="00DE22F8"/>
    <w:rsid w:val="00DE4BC6"/>
    <w:rsid w:val="00DE777A"/>
    <w:rsid w:val="00DE77E1"/>
    <w:rsid w:val="00DF10B6"/>
    <w:rsid w:val="00DF3146"/>
    <w:rsid w:val="00DF681C"/>
    <w:rsid w:val="00E01934"/>
    <w:rsid w:val="00E02620"/>
    <w:rsid w:val="00E02D6B"/>
    <w:rsid w:val="00E05158"/>
    <w:rsid w:val="00E06B0E"/>
    <w:rsid w:val="00E0741A"/>
    <w:rsid w:val="00E124AA"/>
    <w:rsid w:val="00E125FC"/>
    <w:rsid w:val="00E126AE"/>
    <w:rsid w:val="00E12818"/>
    <w:rsid w:val="00E12919"/>
    <w:rsid w:val="00E14C0A"/>
    <w:rsid w:val="00E15322"/>
    <w:rsid w:val="00E15C22"/>
    <w:rsid w:val="00E16378"/>
    <w:rsid w:val="00E16740"/>
    <w:rsid w:val="00E16935"/>
    <w:rsid w:val="00E16BF4"/>
    <w:rsid w:val="00E1723D"/>
    <w:rsid w:val="00E20375"/>
    <w:rsid w:val="00E204C7"/>
    <w:rsid w:val="00E214AA"/>
    <w:rsid w:val="00E21885"/>
    <w:rsid w:val="00E226ED"/>
    <w:rsid w:val="00E23BBE"/>
    <w:rsid w:val="00E24747"/>
    <w:rsid w:val="00E24A0A"/>
    <w:rsid w:val="00E25C4C"/>
    <w:rsid w:val="00E25CAA"/>
    <w:rsid w:val="00E25DDE"/>
    <w:rsid w:val="00E27097"/>
    <w:rsid w:val="00E2713B"/>
    <w:rsid w:val="00E30E52"/>
    <w:rsid w:val="00E31C75"/>
    <w:rsid w:val="00E33537"/>
    <w:rsid w:val="00E33772"/>
    <w:rsid w:val="00E33C46"/>
    <w:rsid w:val="00E33E04"/>
    <w:rsid w:val="00E346E3"/>
    <w:rsid w:val="00E351BE"/>
    <w:rsid w:val="00E353F8"/>
    <w:rsid w:val="00E35A6B"/>
    <w:rsid w:val="00E35A8B"/>
    <w:rsid w:val="00E360A2"/>
    <w:rsid w:val="00E37539"/>
    <w:rsid w:val="00E37E44"/>
    <w:rsid w:val="00E37EA5"/>
    <w:rsid w:val="00E40536"/>
    <w:rsid w:val="00E40E5E"/>
    <w:rsid w:val="00E41B48"/>
    <w:rsid w:val="00E41C39"/>
    <w:rsid w:val="00E42C5F"/>
    <w:rsid w:val="00E4436B"/>
    <w:rsid w:val="00E44F28"/>
    <w:rsid w:val="00E45502"/>
    <w:rsid w:val="00E468C4"/>
    <w:rsid w:val="00E477CB"/>
    <w:rsid w:val="00E51131"/>
    <w:rsid w:val="00E5171F"/>
    <w:rsid w:val="00E54AFC"/>
    <w:rsid w:val="00E5539D"/>
    <w:rsid w:val="00E55E60"/>
    <w:rsid w:val="00E56180"/>
    <w:rsid w:val="00E561C6"/>
    <w:rsid w:val="00E5779C"/>
    <w:rsid w:val="00E606E5"/>
    <w:rsid w:val="00E60CCF"/>
    <w:rsid w:val="00E647FF"/>
    <w:rsid w:val="00E64A74"/>
    <w:rsid w:val="00E655AA"/>
    <w:rsid w:val="00E6579D"/>
    <w:rsid w:val="00E660ED"/>
    <w:rsid w:val="00E66410"/>
    <w:rsid w:val="00E66524"/>
    <w:rsid w:val="00E66845"/>
    <w:rsid w:val="00E6EC7D"/>
    <w:rsid w:val="00E7140D"/>
    <w:rsid w:val="00E72B34"/>
    <w:rsid w:val="00E74329"/>
    <w:rsid w:val="00E747A9"/>
    <w:rsid w:val="00E74917"/>
    <w:rsid w:val="00E74A40"/>
    <w:rsid w:val="00E75346"/>
    <w:rsid w:val="00E76169"/>
    <w:rsid w:val="00E77256"/>
    <w:rsid w:val="00E8036E"/>
    <w:rsid w:val="00E80FAD"/>
    <w:rsid w:val="00E826E5"/>
    <w:rsid w:val="00E82822"/>
    <w:rsid w:val="00E8371E"/>
    <w:rsid w:val="00E838A3"/>
    <w:rsid w:val="00E84A58"/>
    <w:rsid w:val="00E85126"/>
    <w:rsid w:val="00E85A3E"/>
    <w:rsid w:val="00E876F1"/>
    <w:rsid w:val="00E910AF"/>
    <w:rsid w:val="00E91398"/>
    <w:rsid w:val="00E91926"/>
    <w:rsid w:val="00E91BD4"/>
    <w:rsid w:val="00E91F22"/>
    <w:rsid w:val="00E9580A"/>
    <w:rsid w:val="00E965B5"/>
    <w:rsid w:val="00E97EC5"/>
    <w:rsid w:val="00EA066B"/>
    <w:rsid w:val="00EA0DC2"/>
    <w:rsid w:val="00EA28A2"/>
    <w:rsid w:val="00EA2B45"/>
    <w:rsid w:val="00EA3FDC"/>
    <w:rsid w:val="00EA43C1"/>
    <w:rsid w:val="00EA4CB7"/>
    <w:rsid w:val="00EA525A"/>
    <w:rsid w:val="00EA5674"/>
    <w:rsid w:val="00EA59C2"/>
    <w:rsid w:val="00EA5BBD"/>
    <w:rsid w:val="00EA5FD9"/>
    <w:rsid w:val="00EA609A"/>
    <w:rsid w:val="00EA62D3"/>
    <w:rsid w:val="00EA6332"/>
    <w:rsid w:val="00EA68FA"/>
    <w:rsid w:val="00EA69F6"/>
    <w:rsid w:val="00EA763F"/>
    <w:rsid w:val="00EB11A5"/>
    <w:rsid w:val="00EB2322"/>
    <w:rsid w:val="00EB2355"/>
    <w:rsid w:val="00EB2D00"/>
    <w:rsid w:val="00EB33F4"/>
    <w:rsid w:val="00EB3FC7"/>
    <w:rsid w:val="00EB4D21"/>
    <w:rsid w:val="00EB652F"/>
    <w:rsid w:val="00EB6CFB"/>
    <w:rsid w:val="00EB701D"/>
    <w:rsid w:val="00EC035F"/>
    <w:rsid w:val="00EC0745"/>
    <w:rsid w:val="00EC4DCB"/>
    <w:rsid w:val="00EC5305"/>
    <w:rsid w:val="00EC5CB4"/>
    <w:rsid w:val="00EC70CD"/>
    <w:rsid w:val="00EC7815"/>
    <w:rsid w:val="00ED0D3A"/>
    <w:rsid w:val="00ED0E99"/>
    <w:rsid w:val="00ED1242"/>
    <w:rsid w:val="00ED1628"/>
    <w:rsid w:val="00ED1A34"/>
    <w:rsid w:val="00ED1DFE"/>
    <w:rsid w:val="00ED2A58"/>
    <w:rsid w:val="00ED3151"/>
    <w:rsid w:val="00ED4FA4"/>
    <w:rsid w:val="00ED6BC0"/>
    <w:rsid w:val="00ED73EA"/>
    <w:rsid w:val="00ED77AA"/>
    <w:rsid w:val="00ED79D2"/>
    <w:rsid w:val="00EE0684"/>
    <w:rsid w:val="00EE10A4"/>
    <w:rsid w:val="00EE1249"/>
    <w:rsid w:val="00EE1342"/>
    <w:rsid w:val="00EE20C1"/>
    <w:rsid w:val="00EE2F85"/>
    <w:rsid w:val="00EE3ECD"/>
    <w:rsid w:val="00EE6110"/>
    <w:rsid w:val="00EE620C"/>
    <w:rsid w:val="00EE6DAC"/>
    <w:rsid w:val="00EE787D"/>
    <w:rsid w:val="00EE7957"/>
    <w:rsid w:val="00EF0980"/>
    <w:rsid w:val="00EF0BDD"/>
    <w:rsid w:val="00EF1484"/>
    <w:rsid w:val="00EF1E46"/>
    <w:rsid w:val="00EF2674"/>
    <w:rsid w:val="00EF2718"/>
    <w:rsid w:val="00EF3C18"/>
    <w:rsid w:val="00EF3C33"/>
    <w:rsid w:val="00EF3F0A"/>
    <w:rsid w:val="00EF5198"/>
    <w:rsid w:val="00EF51AA"/>
    <w:rsid w:val="00EF51FE"/>
    <w:rsid w:val="00EF6BFC"/>
    <w:rsid w:val="00EF77C9"/>
    <w:rsid w:val="00EF7DC7"/>
    <w:rsid w:val="00F035C7"/>
    <w:rsid w:val="00F04A6D"/>
    <w:rsid w:val="00F05740"/>
    <w:rsid w:val="00F0584D"/>
    <w:rsid w:val="00F05B79"/>
    <w:rsid w:val="00F07A98"/>
    <w:rsid w:val="00F0C33C"/>
    <w:rsid w:val="00F11D1F"/>
    <w:rsid w:val="00F129EC"/>
    <w:rsid w:val="00F12FA2"/>
    <w:rsid w:val="00F13034"/>
    <w:rsid w:val="00F13B3C"/>
    <w:rsid w:val="00F13CB9"/>
    <w:rsid w:val="00F160B2"/>
    <w:rsid w:val="00F160C3"/>
    <w:rsid w:val="00F16D17"/>
    <w:rsid w:val="00F204EF"/>
    <w:rsid w:val="00F20892"/>
    <w:rsid w:val="00F22D30"/>
    <w:rsid w:val="00F23AC7"/>
    <w:rsid w:val="00F240B9"/>
    <w:rsid w:val="00F2696D"/>
    <w:rsid w:val="00F26E76"/>
    <w:rsid w:val="00F30091"/>
    <w:rsid w:val="00F30C4B"/>
    <w:rsid w:val="00F31E9E"/>
    <w:rsid w:val="00F322A5"/>
    <w:rsid w:val="00F32C7C"/>
    <w:rsid w:val="00F34C2F"/>
    <w:rsid w:val="00F35A8D"/>
    <w:rsid w:val="00F409CB"/>
    <w:rsid w:val="00F409FE"/>
    <w:rsid w:val="00F43037"/>
    <w:rsid w:val="00F43BA8"/>
    <w:rsid w:val="00F43D46"/>
    <w:rsid w:val="00F43DCE"/>
    <w:rsid w:val="00F4420B"/>
    <w:rsid w:val="00F44D86"/>
    <w:rsid w:val="00F4510A"/>
    <w:rsid w:val="00F4594D"/>
    <w:rsid w:val="00F46A89"/>
    <w:rsid w:val="00F47276"/>
    <w:rsid w:val="00F50118"/>
    <w:rsid w:val="00F5014A"/>
    <w:rsid w:val="00F50F75"/>
    <w:rsid w:val="00F511EA"/>
    <w:rsid w:val="00F518E8"/>
    <w:rsid w:val="00F5196D"/>
    <w:rsid w:val="00F51A36"/>
    <w:rsid w:val="00F51B6E"/>
    <w:rsid w:val="00F5207E"/>
    <w:rsid w:val="00F52367"/>
    <w:rsid w:val="00F526A1"/>
    <w:rsid w:val="00F54A1B"/>
    <w:rsid w:val="00F54DD9"/>
    <w:rsid w:val="00F54FD9"/>
    <w:rsid w:val="00F5659C"/>
    <w:rsid w:val="00F56635"/>
    <w:rsid w:val="00F56725"/>
    <w:rsid w:val="00F56C76"/>
    <w:rsid w:val="00F5760C"/>
    <w:rsid w:val="00F57BC9"/>
    <w:rsid w:val="00F60784"/>
    <w:rsid w:val="00F60D5B"/>
    <w:rsid w:val="00F615F8"/>
    <w:rsid w:val="00F62569"/>
    <w:rsid w:val="00F627A4"/>
    <w:rsid w:val="00F6393D"/>
    <w:rsid w:val="00F65C33"/>
    <w:rsid w:val="00F66BF9"/>
    <w:rsid w:val="00F66F8D"/>
    <w:rsid w:val="00F70E5D"/>
    <w:rsid w:val="00F715AE"/>
    <w:rsid w:val="00F71E89"/>
    <w:rsid w:val="00F720A7"/>
    <w:rsid w:val="00F721F3"/>
    <w:rsid w:val="00F725B9"/>
    <w:rsid w:val="00F729FA"/>
    <w:rsid w:val="00F72CC6"/>
    <w:rsid w:val="00F73080"/>
    <w:rsid w:val="00F7348C"/>
    <w:rsid w:val="00F73AB2"/>
    <w:rsid w:val="00F74D11"/>
    <w:rsid w:val="00F74FA8"/>
    <w:rsid w:val="00F75875"/>
    <w:rsid w:val="00F77C02"/>
    <w:rsid w:val="00F80F1A"/>
    <w:rsid w:val="00F812F5"/>
    <w:rsid w:val="00F81760"/>
    <w:rsid w:val="00F854B7"/>
    <w:rsid w:val="00F857AD"/>
    <w:rsid w:val="00F85D9A"/>
    <w:rsid w:val="00F87F77"/>
    <w:rsid w:val="00F90666"/>
    <w:rsid w:val="00F915B9"/>
    <w:rsid w:val="00F92345"/>
    <w:rsid w:val="00F926D7"/>
    <w:rsid w:val="00F93A71"/>
    <w:rsid w:val="00F9440A"/>
    <w:rsid w:val="00F94F82"/>
    <w:rsid w:val="00F958B3"/>
    <w:rsid w:val="00F96680"/>
    <w:rsid w:val="00FA0674"/>
    <w:rsid w:val="00FA16E7"/>
    <w:rsid w:val="00FA2AC7"/>
    <w:rsid w:val="00FA6229"/>
    <w:rsid w:val="00FA6A3C"/>
    <w:rsid w:val="00FA72C9"/>
    <w:rsid w:val="00FA7E56"/>
    <w:rsid w:val="00FB016B"/>
    <w:rsid w:val="00FB0AC8"/>
    <w:rsid w:val="00FB0D86"/>
    <w:rsid w:val="00FB201C"/>
    <w:rsid w:val="00FB2586"/>
    <w:rsid w:val="00FB39EF"/>
    <w:rsid w:val="00FB41D8"/>
    <w:rsid w:val="00FB438B"/>
    <w:rsid w:val="00FB44DA"/>
    <w:rsid w:val="00FB4700"/>
    <w:rsid w:val="00FB4A8B"/>
    <w:rsid w:val="00FB5323"/>
    <w:rsid w:val="00FC1D51"/>
    <w:rsid w:val="00FC29B1"/>
    <w:rsid w:val="00FC2C76"/>
    <w:rsid w:val="00FC2FB9"/>
    <w:rsid w:val="00FC45C2"/>
    <w:rsid w:val="00FC49DA"/>
    <w:rsid w:val="00FC4B0B"/>
    <w:rsid w:val="00FC552F"/>
    <w:rsid w:val="00FC70A8"/>
    <w:rsid w:val="00FC7C91"/>
    <w:rsid w:val="00FD00B6"/>
    <w:rsid w:val="00FD070B"/>
    <w:rsid w:val="00FD0D7B"/>
    <w:rsid w:val="00FD22B8"/>
    <w:rsid w:val="00FD2754"/>
    <w:rsid w:val="00FD2BFB"/>
    <w:rsid w:val="00FD345B"/>
    <w:rsid w:val="00FD4CDD"/>
    <w:rsid w:val="00FD668C"/>
    <w:rsid w:val="00FD7038"/>
    <w:rsid w:val="00FD71E4"/>
    <w:rsid w:val="00FD7FCD"/>
    <w:rsid w:val="00FE0B3A"/>
    <w:rsid w:val="00FE13C9"/>
    <w:rsid w:val="00FE1C19"/>
    <w:rsid w:val="00FE2D67"/>
    <w:rsid w:val="00FE2E16"/>
    <w:rsid w:val="00FE3395"/>
    <w:rsid w:val="00FE356A"/>
    <w:rsid w:val="00FE3E71"/>
    <w:rsid w:val="00FE5722"/>
    <w:rsid w:val="00FE61CB"/>
    <w:rsid w:val="00FE691B"/>
    <w:rsid w:val="00FE7C1D"/>
    <w:rsid w:val="00FF3A12"/>
    <w:rsid w:val="00FF3BB4"/>
    <w:rsid w:val="00FF3D12"/>
    <w:rsid w:val="00FF6C4F"/>
    <w:rsid w:val="00FF71A0"/>
    <w:rsid w:val="00FF7D4E"/>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58F0FB"/>
    <w:rsid w:val="02662F50"/>
    <w:rsid w:val="026C6EB9"/>
    <w:rsid w:val="029DDEC6"/>
    <w:rsid w:val="02AFA98F"/>
    <w:rsid w:val="034B9FDD"/>
    <w:rsid w:val="0362B582"/>
    <w:rsid w:val="0372506A"/>
    <w:rsid w:val="03BA2D25"/>
    <w:rsid w:val="03BCA626"/>
    <w:rsid w:val="03CF4EE3"/>
    <w:rsid w:val="03E90767"/>
    <w:rsid w:val="03FFF4C3"/>
    <w:rsid w:val="0410FED1"/>
    <w:rsid w:val="04133BA4"/>
    <w:rsid w:val="0432C0D6"/>
    <w:rsid w:val="044B5443"/>
    <w:rsid w:val="044E1F1D"/>
    <w:rsid w:val="0453CD58"/>
    <w:rsid w:val="04565B5A"/>
    <w:rsid w:val="04B2168F"/>
    <w:rsid w:val="04BAE7A4"/>
    <w:rsid w:val="04F377AB"/>
    <w:rsid w:val="051F4429"/>
    <w:rsid w:val="0523A58F"/>
    <w:rsid w:val="055AAC02"/>
    <w:rsid w:val="057C90D5"/>
    <w:rsid w:val="057F5EDA"/>
    <w:rsid w:val="05840492"/>
    <w:rsid w:val="05AA92D6"/>
    <w:rsid w:val="05BCC894"/>
    <w:rsid w:val="05E9EF7E"/>
    <w:rsid w:val="06113CC6"/>
    <w:rsid w:val="06A39327"/>
    <w:rsid w:val="06C0CD6B"/>
    <w:rsid w:val="06DB8624"/>
    <w:rsid w:val="06DF957F"/>
    <w:rsid w:val="06F6513F"/>
    <w:rsid w:val="0702A868"/>
    <w:rsid w:val="0716D0DD"/>
    <w:rsid w:val="0731E756"/>
    <w:rsid w:val="074873DF"/>
    <w:rsid w:val="07560E7F"/>
    <w:rsid w:val="079DEDB0"/>
    <w:rsid w:val="07A37FC7"/>
    <w:rsid w:val="07F3A2F2"/>
    <w:rsid w:val="08552187"/>
    <w:rsid w:val="086BFF12"/>
    <w:rsid w:val="089221A0"/>
    <w:rsid w:val="08CCCBF3"/>
    <w:rsid w:val="08D15159"/>
    <w:rsid w:val="08E71EB9"/>
    <w:rsid w:val="090867E3"/>
    <w:rsid w:val="09142ABB"/>
    <w:rsid w:val="095DE82C"/>
    <w:rsid w:val="098800BE"/>
    <w:rsid w:val="09B39F9D"/>
    <w:rsid w:val="09E9E665"/>
    <w:rsid w:val="09F0D524"/>
    <w:rsid w:val="09F60510"/>
    <w:rsid w:val="0A179D7C"/>
    <w:rsid w:val="0A1DA396"/>
    <w:rsid w:val="0A40F470"/>
    <w:rsid w:val="0A5EE1AD"/>
    <w:rsid w:val="0A72AF61"/>
    <w:rsid w:val="0A7C4AFF"/>
    <w:rsid w:val="0AD34AED"/>
    <w:rsid w:val="0AE7430B"/>
    <w:rsid w:val="0AEC734A"/>
    <w:rsid w:val="0B23FD5C"/>
    <w:rsid w:val="0B4A9A5B"/>
    <w:rsid w:val="0B748242"/>
    <w:rsid w:val="0B7DE5E5"/>
    <w:rsid w:val="0BA3DF49"/>
    <w:rsid w:val="0BBFAAE2"/>
    <w:rsid w:val="0BCE491B"/>
    <w:rsid w:val="0BDE0925"/>
    <w:rsid w:val="0BF3AF94"/>
    <w:rsid w:val="0C778320"/>
    <w:rsid w:val="0CFEBA34"/>
    <w:rsid w:val="0D040045"/>
    <w:rsid w:val="0D151636"/>
    <w:rsid w:val="0D2F390B"/>
    <w:rsid w:val="0D6FCBC0"/>
    <w:rsid w:val="0D901C29"/>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1FB19F"/>
    <w:rsid w:val="0F94CB19"/>
    <w:rsid w:val="0FD34008"/>
    <w:rsid w:val="0FDA3217"/>
    <w:rsid w:val="103158FB"/>
    <w:rsid w:val="10598C73"/>
    <w:rsid w:val="10B3A760"/>
    <w:rsid w:val="10CE8D6B"/>
    <w:rsid w:val="10D8F3A9"/>
    <w:rsid w:val="10E12891"/>
    <w:rsid w:val="11726CFA"/>
    <w:rsid w:val="11938E69"/>
    <w:rsid w:val="11ACCAE9"/>
    <w:rsid w:val="11B8DAD5"/>
    <w:rsid w:val="11D6DAA2"/>
    <w:rsid w:val="11F71322"/>
    <w:rsid w:val="11F73D55"/>
    <w:rsid w:val="1205A7FE"/>
    <w:rsid w:val="1216299B"/>
    <w:rsid w:val="123E8FB1"/>
    <w:rsid w:val="1249115A"/>
    <w:rsid w:val="1279A30C"/>
    <w:rsid w:val="1285D448"/>
    <w:rsid w:val="12B79C41"/>
    <w:rsid w:val="13B3430C"/>
    <w:rsid w:val="13B7BDE0"/>
    <w:rsid w:val="13D8449A"/>
    <w:rsid w:val="13E46772"/>
    <w:rsid w:val="141768E1"/>
    <w:rsid w:val="1425C121"/>
    <w:rsid w:val="14687E05"/>
    <w:rsid w:val="1490769D"/>
    <w:rsid w:val="14A1091C"/>
    <w:rsid w:val="14C56E61"/>
    <w:rsid w:val="150F7E14"/>
    <w:rsid w:val="154D9418"/>
    <w:rsid w:val="1577BBB5"/>
    <w:rsid w:val="15ADA00F"/>
    <w:rsid w:val="15BEFDA4"/>
    <w:rsid w:val="15C7A329"/>
    <w:rsid w:val="15D3A6FF"/>
    <w:rsid w:val="160097C2"/>
    <w:rsid w:val="165D82A9"/>
    <w:rsid w:val="16AB5239"/>
    <w:rsid w:val="170D79EB"/>
    <w:rsid w:val="171FE236"/>
    <w:rsid w:val="1781D920"/>
    <w:rsid w:val="179DDD8F"/>
    <w:rsid w:val="18028064"/>
    <w:rsid w:val="1806D705"/>
    <w:rsid w:val="181573DE"/>
    <w:rsid w:val="18C0F5DE"/>
    <w:rsid w:val="18C4E56A"/>
    <w:rsid w:val="194B7347"/>
    <w:rsid w:val="195FC702"/>
    <w:rsid w:val="196DFEDD"/>
    <w:rsid w:val="1985D3B8"/>
    <w:rsid w:val="19B65A63"/>
    <w:rsid w:val="19BC8EBA"/>
    <w:rsid w:val="1A289455"/>
    <w:rsid w:val="1A317864"/>
    <w:rsid w:val="1A7F92E4"/>
    <w:rsid w:val="1AB5FC3C"/>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4CF303"/>
    <w:rsid w:val="1D559205"/>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E4551E"/>
    <w:rsid w:val="20147B76"/>
    <w:rsid w:val="201E8063"/>
    <w:rsid w:val="20233F9F"/>
    <w:rsid w:val="208B51E8"/>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3BB2A3"/>
    <w:rsid w:val="224C732E"/>
    <w:rsid w:val="228D5E5E"/>
    <w:rsid w:val="228E9F5D"/>
    <w:rsid w:val="22BD8C00"/>
    <w:rsid w:val="22DA785A"/>
    <w:rsid w:val="22F8C0B8"/>
    <w:rsid w:val="22FC45B3"/>
    <w:rsid w:val="230B8F61"/>
    <w:rsid w:val="230E244C"/>
    <w:rsid w:val="231BBCA2"/>
    <w:rsid w:val="23202B80"/>
    <w:rsid w:val="2367D139"/>
    <w:rsid w:val="2374B76A"/>
    <w:rsid w:val="239C4771"/>
    <w:rsid w:val="23A20C3A"/>
    <w:rsid w:val="23E46B30"/>
    <w:rsid w:val="23E92FB2"/>
    <w:rsid w:val="23F93F3E"/>
    <w:rsid w:val="241B363E"/>
    <w:rsid w:val="243E313E"/>
    <w:rsid w:val="24485C81"/>
    <w:rsid w:val="244AEAAA"/>
    <w:rsid w:val="245733F3"/>
    <w:rsid w:val="247BFA05"/>
    <w:rsid w:val="24B23DF0"/>
    <w:rsid w:val="24DF0DBA"/>
    <w:rsid w:val="24E77135"/>
    <w:rsid w:val="2526A241"/>
    <w:rsid w:val="252F47FA"/>
    <w:rsid w:val="253B4DED"/>
    <w:rsid w:val="25415946"/>
    <w:rsid w:val="255121EB"/>
    <w:rsid w:val="259D8650"/>
    <w:rsid w:val="25C49E96"/>
    <w:rsid w:val="25E975BB"/>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7E959B5"/>
    <w:rsid w:val="28513C2F"/>
    <w:rsid w:val="285F1CD2"/>
    <w:rsid w:val="287F9EFD"/>
    <w:rsid w:val="28CA3371"/>
    <w:rsid w:val="28E2F0B8"/>
    <w:rsid w:val="2908BF3D"/>
    <w:rsid w:val="2972FF77"/>
    <w:rsid w:val="29B915D5"/>
    <w:rsid w:val="29BD3510"/>
    <w:rsid w:val="29C7AA78"/>
    <w:rsid w:val="29F7F911"/>
    <w:rsid w:val="2A2AC4FA"/>
    <w:rsid w:val="2A380AC1"/>
    <w:rsid w:val="2A5C56DC"/>
    <w:rsid w:val="2A7A883C"/>
    <w:rsid w:val="2A9926BF"/>
    <w:rsid w:val="2A9EAB6B"/>
    <w:rsid w:val="2ABEAE5E"/>
    <w:rsid w:val="2AE33F41"/>
    <w:rsid w:val="2AE550D7"/>
    <w:rsid w:val="2AFE0F07"/>
    <w:rsid w:val="2B27277C"/>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38A50D"/>
    <w:rsid w:val="2D7A7077"/>
    <w:rsid w:val="2D7D43EE"/>
    <w:rsid w:val="2DA048C4"/>
    <w:rsid w:val="2DC8ACC5"/>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64EE16"/>
    <w:rsid w:val="2F7C6F13"/>
    <w:rsid w:val="2F86C6F6"/>
    <w:rsid w:val="2FA0EBA7"/>
    <w:rsid w:val="2FABFA6F"/>
    <w:rsid w:val="2FEDB5A8"/>
    <w:rsid w:val="2FF43FCF"/>
    <w:rsid w:val="300590CC"/>
    <w:rsid w:val="3019A657"/>
    <w:rsid w:val="302AA94C"/>
    <w:rsid w:val="3056F1D1"/>
    <w:rsid w:val="305BAD42"/>
    <w:rsid w:val="3086F05B"/>
    <w:rsid w:val="30C4B1BE"/>
    <w:rsid w:val="30EF9ED2"/>
    <w:rsid w:val="3100BE77"/>
    <w:rsid w:val="313FEE0C"/>
    <w:rsid w:val="315ED248"/>
    <w:rsid w:val="31D40FB7"/>
    <w:rsid w:val="31E40AA4"/>
    <w:rsid w:val="31FD0F56"/>
    <w:rsid w:val="32115751"/>
    <w:rsid w:val="32874C21"/>
    <w:rsid w:val="3290E40A"/>
    <w:rsid w:val="32D36DBA"/>
    <w:rsid w:val="330FF190"/>
    <w:rsid w:val="3319BCC9"/>
    <w:rsid w:val="3328E06F"/>
    <w:rsid w:val="332D087B"/>
    <w:rsid w:val="333F55A3"/>
    <w:rsid w:val="335519EB"/>
    <w:rsid w:val="3399797C"/>
    <w:rsid w:val="33DB45D6"/>
    <w:rsid w:val="33E97827"/>
    <w:rsid w:val="3401C640"/>
    <w:rsid w:val="34288A6A"/>
    <w:rsid w:val="34385F39"/>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4ABBA"/>
    <w:rsid w:val="39E7D095"/>
    <w:rsid w:val="3A04509C"/>
    <w:rsid w:val="3A2D5B5D"/>
    <w:rsid w:val="3A311DC4"/>
    <w:rsid w:val="3A975FE6"/>
    <w:rsid w:val="3A97D5D3"/>
    <w:rsid w:val="3AA0F0AF"/>
    <w:rsid w:val="3AE4155F"/>
    <w:rsid w:val="3AF259A9"/>
    <w:rsid w:val="3AF5BD5B"/>
    <w:rsid w:val="3B24A72C"/>
    <w:rsid w:val="3B6019B0"/>
    <w:rsid w:val="3B97B190"/>
    <w:rsid w:val="3BD63836"/>
    <w:rsid w:val="3BE43A5F"/>
    <w:rsid w:val="3C2AD924"/>
    <w:rsid w:val="3C3F7A20"/>
    <w:rsid w:val="3C3FBFCA"/>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72FD0"/>
    <w:rsid w:val="3EEE4817"/>
    <w:rsid w:val="3F55B551"/>
    <w:rsid w:val="3F6815E3"/>
    <w:rsid w:val="3F8F7BE8"/>
    <w:rsid w:val="3F93BC09"/>
    <w:rsid w:val="3F9D3DD6"/>
    <w:rsid w:val="3FB8C396"/>
    <w:rsid w:val="3FC1C3B5"/>
    <w:rsid w:val="3FC3B84B"/>
    <w:rsid w:val="3FE2AF8C"/>
    <w:rsid w:val="40608C3E"/>
    <w:rsid w:val="40838236"/>
    <w:rsid w:val="40A14CD7"/>
    <w:rsid w:val="40A7FC0B"/>
    <w:rsid w:val="40E29806"/>
    <w:rsid w:val="40ED6BEB"/>
    <w:rsid w:val="40F33E19"/>
    <w:rsid w:val="411C492E"/>
    <w:rsid w:val="419BDEC8"/>
    <w:rsid w:val="41A943CF"/>
    <w:rsid w:val="41BF727D"/>
    <w:rsid w:val="41FB8B3F"/>
    <w:rsid w:val="422EC692"/>
    <w:rsid w:val="424D673C"/>
    <w:rsid w:val="428E0159"/>
    <w:rsid w:val="42C9D94B"/>
    <w:rsid w:val="4338B110"/>
    <w:rsid w:val="4351186A"/>
    <w:rsid w:val="43741812"/>
    <w:rsid w:val="43A8807D"/>
    <w:rsid w:val="43B5600D"/>
    <w:rsid w:val="43DBFA24"/>
    <w:rsid w:val="43EA070F"/>
    <w:rsid w:val="43F28FC1"/>
    <w:rsid w:val="440EB756"/>
    <w:rsid w:val="441EA938"/>
    <w:rsid w:val="4421C241"/>
    <w:rsid w:val="4431D2DC"/>
    <w:rsid w:val="445AC473"/>
    <w:rsid w:val="4484431C"/>
    <w:rsid w:val="44C86C68"/>
    <w:rsid w:val="44E2EF14"/>
    <w:rsid w:val="44E6F19A"/>
    <w:rsid w:val="456132B3"/>
    <w:rsid w:val="45639F5D"/>
    <w:rsid w:val="45817221"/>
    <w:rsid w:val="459D8708"/>
    <w:rsid w:val="45C7F35C"/>
    <w:rsid w:val="45D69740"/>
    <w:rsid w:val="45E0B980"/>
    <w:rsid w:val="4624D9F8"/>
    <w:rsid w:val="464A8321"/>
    <w:rsid w:val="46B23220"/>
    <w:rsid w:val="46D83131"/>
    <w:rsid w:val="46D8C0B6"/>
    <w:rsid w:val="46E58C8A"/>
    <w:rsid w:val="46E6C6DA"/>
    <w:rsid w:val="46F58F6A"/>
    <w:rsid w:val="46F78DC2"/>
    <w:rsid w:val="4728B4AD"/>
    <w:rsid w:val="472EB321"/>
    <w:rsid w:val="473E93D2"/>
    <w:rsid w:val="47418D45"/>
    <w:rsid w:val="47452FC4"/>
    <w:rsid w:val="4747AECC"/>
    <w:rsid w:val="475EE1B2"/>
    <w:rsid w:val="47B616E2"/>
    <w:rsid w:val="47C48CFB"/>
    <w:rsid w:val="47E4B021"/>
    <w:rsid w:val="48257642"/>
    <w:rsid w:val="482DF43E"/>
    <w:rsid w:val="48388D91"/>
    <w:rsid w:val="4898F279"/>
    <w:rsid w:val="48C85657"/>
    <w:rsid w:val="48C9DB64"/>
    <w:rsid w:val="48F137FE"/>
    <w:rsid w:val="48F77507"/>
    <w:rsid w:val="4977C0D8"/>
    <w:rsid w:val="49953E24"/>
    <w:rsid w:val="49B1F1C8"/>
    <w:rsid w:val="49C7AD8F"/>
    <w:rsid w:val="49EFD955"/>
    <w:rsid w:val="49F4AFAD"/>
    <w:rsid w:val="4A04EF5B"/>
    <w:rsid w:val="4A23D3A2"/>
    <w:rsid w:val="4A532D06"/>
    <w:rsid w:val="4A5FD31C"/>
    <w:rsid w:val="4A98B7E1"/>
    <w:rsid w:val="4AB73E03"/>
    <w:rsid w:val="4AB7C050"/>
    <w:rsid w:val="4ABF6087"/>
    <w:rsid w:val="4ADB4DDD"/>
    <w:rsid w:val="4B202192"/>
    <w:rsid w:val="4B34D9E8"/>
    <w:rsid w:val="4B3695D5"/>
    <w:rsid w:val="4B3EA3A0"/>
    <w:rsid w:val="4B5A9C98"/>
    <w:rsid w:val="4B7983FE"/>
    <w:rsid w:val="4B7FDAF0"/>
    <w:rsid w:val="4B848A3B"/>
    <w:rsid w:val="4BBB4548"/>
    <w:rsid w:val="4BBEEAEE"/>
    <w:rsid w:val="4BC45FC2"/>
    <w:rsid w:val="4BCF581A"/>
    <w:rsid w:val="4BD0933B"/>
    <w:rsid w:val="4BD45E58"/>
    <w:rsid w:val="4BFA2DE5"/>
    <w:rsid w:val="4C054DCA"/>
    <w:rsid w:val="4C09D372"/>
    <w:rsid w:val="4C3532AB"/>
    <w:rsid w:val="4C618847"/>
    <w:rsid w:val="4C63F384"/>
    <w:rsid w:val="4C9CC5F2"/>
    <w:rsid w:val="4CCC32A6"/>
    <w:rsid w:val="4D2A1DBC"/>
    <w:rsid w:val="4D34F728"/>
    <w:rsid w:val="4D63EA0A"/>
    <w:rsid w:val="4D71F207"/>
    <w:rsid w:val="4D79886A"/>
    <w:rsid w:val="4D850601"/>
    <w:rsid w:val="4D96F11C"/>
    <w:rsid w:val="4DBF5B40"/>
    <w:rsid w:val="4DFD58A8"/>
    <w:rsid w:val="4E06F28F"/>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976061"/>
    <w:rsid w:val="4FC13CF5"/>
    <w:rsid w:val="4FCE619A"/>
    <w:rsid w:val="4FE1C99B"/>
    <w:rsid w:val="4FFA1B26"/>
    <w:rsid w:val="5011230C"/>
    <w:rsid w:val="504E26A4"/>
    <w:rsid w:val="5071A528"/>
    <w:rsid w:val="5076EEA8"/>
    <w:rsid w:val="507A508C"/>
    <w:rsid w:val="507B5EB9"/>
    <w:rsid w:val="50822062"/>
    <w:rsid w:val="50C15EA0"/>
    <w:rsid w:val="50D46993"/>
    <w:rsid w:val="5118FA17"/>
    <w:rsid w:val="51488390"/>
    <w:rsid w:val="514A3634"/>
    <w:rsid w:val="51B71925"/>
    <w:rsid w:val="51C46971"/>
    <w:rsid w:val="51C4E4D1"/>
    <w:rsid w:val="51D1EDA2"/>
    <w:rsid w:val="51F3CBBF"/>
    <w:rsid w:val="524645B5"/>
    <w:rsid w:val="52567778"/>
    <w:rsid w:val="525F6C35"/>
    <w:rsid w:val="5260BA73"/>
    <w:rsid w:val="527C54A4"/>
    <w:rsid w:val="5376D895"/>
    <w:rsid w:val="53800AC5"/>
    <w:rsid w:val="53984291"/>
    <w:rsid w:val="53A58C83"/>
    <w:rsid w:val="53E31956"/>
    <w:rsid w:val="53E3C770"/>
    <w:rsid w:val="53E628C0"/>
    <w:rsid w:val="53F5B94D"/>
    <w:rsid w:val="5414AB94"/>
    <w:rsid w:val="5423EC79"/>
    <w:rsid w:val="54A17D9D"/>
    <w:rsid w:val="54C22A80"/>
    <w:rsid w:val="54EB8F65"/>
    <w:rsid w:val="54F2EBFD"/>
    <w:rsid w:val="556B635E"/>
    <w:rsid w:val="55B28937"/>
    <w:rsid w:val="55C9EC2A"/>
    <w:rsid w:val="55FDF6C5"/>
    <w:rsid w:val="560C669C"/>
    <w:rsid w:val="5626D842"/>
    <w:rsid w:val="5637C948"/>
    <w:rsid w:val="5640D794"/>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8D8785E"/>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BB2DBA"/>
    <w:rsid w:val="5BDF1EE8"/>
    <w:rsid w:val="5C374D8C"/>
    <w:rsid w:val="5C86AFAF"/>
    <w:rsid w:val="5CBE68AB"/>
    <w:rsid w:val="5CE25BB9"/>
    <w:rsid w:val="5D0FBFDC"/>
    <w:rsid w:val="5D200726"/>
    <w:rsid w:val="5D4CC59A"/>
    <w:rsid w:val="5D6B6F04"/>
    <w:rsid w:val="5D7A1394"/>
    <w:rsid w:val="5D7A4665"/>
    <w:rsid w:val="5DAB7E78"/>
    <w:rsid w:val="5DDEFC0E"/>
    <w:rsid w:val="5E04E0F8"/>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8AD2"/>
    <w:rsid w:val="5F7E9240"/>
    <w:rsid w:val="5F987CD2"/>
    <w:rsid w:val="5FC1B8CB"/>
    <w:rsid w:val="602F7F92"/>
    <w:rsid w:val="603CA67D"/>
    <w:rsid w:val="604B8BE9"/>
    <w:rsid w:val="6082BA36"/>
    <w:rsid w:val="60DE4964"/>
    <w:rsid w:val="60E4C7CA"/>
    <w:rsid w:val="60EF826F"/>
    <w:rsid w:val="60FD0ACA"/>
    <w:rsid w:val="6109C550"/>
    <w:rsid w:val="610D2995"/>
    <w:rsid w:val="616FA0B4"/>
    <w:rsid w:val="6223CB29"/>
    <w:rsid w:val="622FDFE0"/>
    <w:rsid w:val="62418218"/>
    <w:rsid w:val="62F90331"/>
    <w:rsid w:val="630228F3"/>
    <w:rsid w:val="63362F35"/>
    <w:rsid w:val="634F9A56"/>
    <w:rsid w:val="6354F3F4"/>
    <w:rsid w:val="635D6A9C"/>
    <w:rsid w:val="6383DC85"/>
    <w:rsid w:val="63959E1B"/>
    <w:rsid w:val="64040645"/>
    <w:rsid w:val="640B042B"/>
    <w:rsid w:val="641C688C"/>
    <w:rsid w:val="6422FBE8"/>
    <w:rsid w:val="64B1B97A"/>
    <w:rsid w:val="64B2F727"/>
    <w:rsid w:val="655E32E8"/>
    <w:rsid w:val="65C8E61A"/>
    <w:rsid w:val="65D3FDEB"/>
    <w:rsid w:val="666C77F1"/>
    <w:rsid w:val="666D945C"/>
    <w:rsid w:val="66834243"/>
    <w:rsid w:val="668E52A1"/>
    <w:rsid w:val="66C19F36"/>
    <w:rsid w:val="66D4EB83"/>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BE4A0F"/>
    <w:rsid w:val="6FF1C898"/>
    <w:rsid w:val="701F1C59"/>
    <w:rsid w:val="70564B02"/>
    <w:rsid w:val="705AF8C6"/>
    <w:rsid w:val="7065BF12"/>
    <w:rsid w:val="7078D87B"/>
    <w:rsid w:val="709C5406"/>
    <w:rsid w:val="70A61365"/>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B89899"/>
    <w:rsid w:val="73E450EF"/>
    <w:rsid w:val="73F6B1DD"/>
    <w:rsid w:val="74235A4E"/>
    <w:rsid w:val="74A57A01"/>
    <w:rsid w:val="75C19A30"/>
    <w:rsid w:val="75EFD89F"/>
    <w:rsid w:val="7605DDC6"/>
    <w:rsid w:val="76277688"/>
    <w:rsid w:val="763E3A83"/>
    <w:rsid w:val="7656C8F9"/>
    <w:rsid w:val="769CB8DA"/>
    <w:rsid w:val="76C1E918"/>
    <w:rsid w:val="76C1F436"/>
    <w:rsid w:val="76C27A82"/>
    <w:rsid w:val="771C15A8"/>
    <w:rsid w:val="775BE799"/>
    <w:rsid w:val="77721A9E"/>
    <w:rsid w:val="77727576"/>
    <w:rsid w:val="77746798"/>
    <w:rsid w:val="77CF54BA"/>
    <w:rsid w:val="78428838"/>
    <w:rsid w:val="784AD138"/>
    <w:rsid w:val="785E4AE3"/>
    <w:rsid w:val="788B0A41"/>
    <w:rsid w:val="7891D60F"/>
    <w:rsid w:val="78A61079"/>
    <w:rsid w:val="78C6A92B"/>
    <w:rsid w:val="795CBA19"/>
    <w:rsid w:val="79666FDB"/>
    <w:rsid w:val="79685ECB"/>
    <w:rsid w:val="7985B1D5"/>
    <w:rsid w:val="79A664FA"/>
    <w:rsid w:val="79AFC84C"/>
    <w:rsid w:val="79CB4F63"/>
    <w:rsid w:val="7A1A5E20"/>
    <w:rsid w:val="7A3D51D9"/>
    <w:rsid w:val="7A59D17B"/>
    <w:rsid w:val="7AA7A8A8"/>
    <w:rsid w:val="7AB79616"/>
    <w:rsid w:val="7ADD7CC3"/>
    <w:rsid w:val="7B0106D5"/>
    <w:rsid w:val="7B0DAD54"/>
    <w:rsid w:val="7B255595"/>
    <w:rsid w:val="7B36F93F"/>
    <w:rsid w:val="7B3F86FF"/>
    <w:rsid w:val="7B710272"/>
    <w:rsid w:val="7B79AF12"/>
    <w:rsid w:val="7B86B3A4"/>
    <w:rsid w:val="7BBF3F1A"/>
    <w:rsid w:val="7BF2552F"/>
    <w:rsid w:val="7BF47C98"/>
    <w:rsid w:val="7BF490D4"/>
    <w:rsid w:val="7C2867DD"/>
    <w:rsid w:val="7C3E07FE"/>
    <w:rsid w:val="7C648B9B"/>
    <w:rsid w:val="7CA0663E"/>
    <w:rsid w:val="7CCC336D"/>
    <w:rsid w:val="7CD0CED2"/>
    <w:rsid w:val="7CDF0FED"/>
    <w:rsid w:val="7CE12844"/>
    <w:rsid w:val="7D0FC411"/>
    <w:rsid w:val="7D3AE4BE"/>
    <w:rsid w:val="7D52C386"/>
    <w:rsid w:val="7D720AD8"/>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B5A35"/>
    <w:rsid w:val="7F31D354"/>
    <w:rsid w:val="7F5B2A0C"/>
    <w:rsid w:val="7FDC5B5F"/>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9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720A7"/>
    <w:pPr>
      <w:keepNext/>
      <w:keepLines/>
      <w:numPr>
        <w:numId w:val="6"/>
      </w:numPr>
      <w:spacing w:before="240" w:after="240"/>
      <w:outlineLvl w:val="0"/>
    </w:pPr>
    <w:rPr>
      <w:rFonts w:eastAsiaTheme="majorEastAsia"/>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2"/>
      </w:numPr>
      <w:spacing w:before="160" w:after="120"/>
      <w:outlineLvl w:val="1"/>
    </w:pPr>
    <w:rPr>
      <w:rFonts w:eastAsiaTheme="majorEastAsia"/>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2"/>
      </w:numPr>
      <w:spacing w:before="80" w:after="80"/>
      <w:ind w:left="1224"/>
      <w:outlineLvl w:val="2"/>
    </w:pPr>
    <w:rPr>
      <w:rFonts w:eastAsiaTheme="majorEastAsia"/>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20A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
    <w:basedOn w:val="Normal"/>
    <w:link w:val="ListParagraphChar"/>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style>
  <w:style w:type="paragraph" w:customStyle="1" w:styleId="Text2">
    <w:name w:val="Text 2"/>
    <w:basedOn w:val="Normal"/>
    <w:rsid w:val="001E0154"/>
    <w:pPr>
      <w:spacing w:before="120" w:after="120"/>
      <w:ind w:left="850"/>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 Char"/>
    <w:basedOn w:val="Normal"/>
    <w:link w:val="FootnoteTextChar"/>
    <w:uiPriority w:val="99"/>
    <w:qFormat/>
    <w:rsid w:val="001E0154"/>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Ref"/>
    <w:link w:val="BVIfnrChar1"/>
    <w:uiPriority w:val="99"/>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rsid w:val="00D66381"/>
    <w:rPr>
      <w:sz w:val="20"/>
      <w:szCs w:val="20"/>
    </w:rPr>
  </w:style>
  <w:style w:type="character" w:customStyle="1" w:styleId="CommentTextChar">
    <w:name w:val="Comment Text Char"/>
    <w:aliases w:val="Char Char Char"/>
    <w:basedOn w:val="DefaultParagraphFont"/>
    <w:link w:val="CommentText"/>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3"/>
      </w:numPr>
      <w:spacing w:before="120" w:after="120"/>
    </w:pPr>
    <w:rPr>
      <w:lang w:eastAsia="de-DE"/>
    </w:rPr>
  </w:style>
  <w:style w:type="paragraph" w:customStyle="1" w:styleId="ListNumber2Level2">
    <w:name w:val="List Number 2 (Level 2)"/>
    <w:basedOn w:val="Normal"/>
    <w:rsid w:val="00A074EA"/>
    <w:pPr>
      <w:numPr>
        <w:ilvl w:val="1"/>
        <w:numId w:val="3"/>
      </w:numPr>
      <w:spacing w:before="120" w:after="120"/>
    </w:pPr>
    <w:rPr>
      <w:lang w:eastAsia="de-DE"/>
    </w:rPr>
  </w:style>
  <w:style w:type="paragraph" w:customStyle="1" w:styleId="ListNumber2Level3">
    <w:name w:val="List Number 2 (Level 3)"/>
    <w:basedOn w:val="Normal"/>
    <w:rsid w:val="00A074EA"/>
    <w:pPr>
      <w:numPr>
        <w:ilvl w:val="2"/>
        <w:numId w:val="3"/>
      </w:numPr>
      <w:spacing w:before="120" w:after="120"/>
    </w:pPr>
    <w:rPr>
      <w:lang w:eastAsia="de-DE"/>
    </w:rPr>
  </w:style>
  <w:style w:type="paragraph" w:customStyle="1" w:styleId="ListNumber2Level4">
    <w:name w:val="List Number 2 (Level 4)"/>
    <w:basedOn w:val="Normal"/>
    <w:rsid w:val="00A074EA"/>
    <w:pPr>
      <w:numPr>
        <w:ilvl w:val="3"/>
        <w:numId w:val="3"/>
      </w:numPr>
      <w:spacing w:before="120" w:after="120"/>
    </w:pPr>
    <w:rPr>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4"/>
      </w:numPr>
    </w:pPr>
    <w:rPr>
      <w:szCs w:val="20"/>
      <w:lang w:eastAsia="zh-CN"/>
    </w:rPr>
  </w:style>
  <w:style w:type="paragraph" w:customStyle="1" w:styleId="ListNumber1Level2">
    <w:name w:val="List Number 1 (Level 2)"/>
    <w:basedOn w:val="Text1"/>
    <w:rsid w:val="00897992"/>
    <w:pPr>
      <w:numPr>
        <w:ilvl w:val="1"/>
        <w:numId w:val="4"/>
      </w:numPr>
    </w:pPr>
    <w:rPr>
      <w:lang w:eastAsia="de-DE"/>
    </w:rPr>
  </w:style>
  <w:style w:type="paragraph" w:customStyle="1" w:styleId="ListNumber1Level3">
    <w:name w:val="List Number 1 (Level 3)"/>
    <w:basedOn w:val="Text1"/>
    <w:rsid w:val="00897992"/>
    <w:pPr>
      <w:numPr>
        <w:ilvl w:val="2"/>
        <w:numId w:val="4"/>
      </w:numPr>
    </w:pPr>
    <w:rPr>
      <w:szCs w:val="20"/>
      <w:lang w:eastAsia="zh-CN"/>
    </w:rPr>
  </w:style>
  <w:style w:type="paragraph" w:customStyle="1" w:styleId="ListNumber1Level4">
    <w:name w:val="List Number 1 (Level 4)"/>
    <w:basedOn w:val="Text1"/>
    <w:rsid w:val="00897992"/>
    <w:pPr>
      <w:numPr>
        <w:ilvl w:val="3"/>
        <w:numId w:val="4"/>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b/>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link w:val="ListParagraph"/>
    <w:uiPriority w:val="34"/>
    <w:qFormat/>
    <w:locked/>
    <w:rsid w:val="00600A5C"/>
    <w:rPr>
      <w:rFonts w:ascii="Times New Roman" w:hAnsi="Times New Roman"/>
      <w:sz w:val="24"/>
    </w:rPr>
  </w:style>
  <w:style w:type="paragraph" w:customStyle="1" w:styleId="FootnoteText1">
    <w:name w:val="Footnote Text1"/>
    <w:basedOn w:val="Normal"/>
    <w:rsid w:val="00E01934"/>
    <w:pPr>
      <w:spacing w:line="276" w:lineRule="auto"/>
      <w:ind w:left="720" w:hanging="720"/>
    </w:pPr>
    <w:rPr>
      <w:rFonts w:ascii="Calibri" w:hAnsi="Calibri" w:cs="Calibri"/>
      <w:sz w:val="20"/>
      <w:szCs w:val="20"/>
      <w:lang w:val="en-US"/>
    </w:rPr>
  </w:style>
  <w:style w:type="paragraph" w:customStyle="1" w:styleId="section-header">
    <w:name w:val="section-header"/>
    <w:basedOn w:val="Normal"/>
    <w:rsid w:val="00332D55"/>
    <w:pPr>
      <w:spacing w:before="100" w:beforeAutospacing="1" w:after="100" w:afterAutospacing="1"/>
    </w:pPr>
  </w:style>
  <w:style w:type="character" w:customStyle="1" w:styleId="UnresolvedMention6">
    <w:name w:val="Unresolved Mention6"/>
    <w:basedOn w:val="DefaultParagraphFont"/>
    <w:uiPriority w:val="99"/>
    <w:unhideWhenUsed/>
    <w:rsid w:val="0010107D"/>
    <w:rPr>
      <w:color w:val="605E5C"/>
      <w:shd w:val="clear" w:color="auto" w:fill="E1DFDD"/>
    </w:rPr>
  </w:style>
  <w:style w:type="character" w:customStyle="1" w:styleId="Mention1">
    <w:name w:val="Mention1"/>
    <w:basedOn w:val="DefaultParagraphFont"/>
    <w:uiPriority w:val="99"/>
    <w:unhideWhenUsed/>
    <w:rsid w:val="0010107D"/>
    <w:rPr>
      <w:color w:val="2B579A"/>
      <w:shd w:val="clear" w:color="auto" w:fill="E1DFDD"/>
    </w:rPr>
  </w:style>
  <w:style w:type="character" w:customStyle="1" w:styleId="UnresolvedMention7">
    <w:name w:val="Unresolved Mention7"/>
    <w:basedOn w:val="DefaultParagraphFont"/>
    <w:uiPriority w:val="99"/>
    <w:semiHidden/>
    <w:unhideWhenUsed/>
    <w:rsid w:val="00AE4F56"/>
    <w:rPr>
      <w:color w:val="605E5C"/>
      <w:shd w:val="clear" w:color="auto" w:fill="E1DFDD"/>
    </w:rPr>
  </w:style>
  <w:style w:type="character" w:customStyle="1" w:styleId="UnresolvedMention">
    <w:name w:val="Unresolved Mention"/>
    <w:basedOn w:val="DefaultParagraphFont"/>
    <w:uiPriority w:val="99"/>
    <w:semiHidden/>
    <w:unhideWhenUsed/>
    <w:rsid w:val="00FD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1710018">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1179">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1068048">
      <w:bodyDiv w:val="1"/>
      <w:marLeft w:val="0"/>
      <w:marRight w:val="0"/>
      <w:marTop w:val="0"/>
      <w:marBottom w:val="0"/>
      <w:divBdr>
        <w:top w:val="none" w:sz="0" w:space="0" w:color="auto"/>
        <w:left w:val="none" w:sz="0" w:space="0" w:color="auto"/>
        <w:bottom w:val="none" w:sz="0" w:space="0" w:color="auto"/>
        <w:right w:val="none" w:sz="0" w:space="0" w:color="auto"/>
      </w:divBdr>
      <w:divsChild>
        <w:div w:id="376899261">
          <w:marLeft w:val="0"/>
          <w:marRight w:val="0"/>
          <w:marTop w:val="0"/>
          <w:marBottom w:val="0"/>
          <w:divBdr>
            <w:top w:val="none" w:sz="0" w:space="0" w:color="auto"/>
            <w:left w:val="none" w:sz="0" w:space="0" w:color="auto"/>
            <w:bottom w:val="none" w:sz="0" w:space="0" w:color="auto"/>
            <w:right w:val="none" w:sz="0" w:space="0" w:color="auto"/>
          </w:divBdr>
          <w:divsChild>
            <w:div w:id="259728620">
              <w:marLeft w:val="0"/>
              <w:marRight w:val="0"/>
              <w:marTop w:val="0"/>
              <w:marBottom w:val="0"/>
              <w:divBdr>
                <w:top w:val="none" w:sz="0" w:space="0" w:color="auto"/>
                <w:left w:val="none" w:sz="0" w:space="0" w:color="auto"/>
                <w:bottom w:val="none" w:sz="0" w:space="0" w:color="auto"/>
                <w:right w:val="none" w:sz="0" w:space="0" w:color="auto"/>
              </w:divBdr>
              <w:divsChild>
                <w:div w:id="1256357187">
                  <w:marLeft w:val="0"/>
                  <w:marRight w:val="0"/>
                  <w:marTop w:val="0"/>
                  <w:marBottom w:val="0"/>
                  <w:divBdr>
                    <w:top w:val="none" w:sz="0" w:space="0" w:color="auto"/>
                    <w:left w:val="none" w:sz="0" w:space="0" w:color="auto"/>
                    <w:bottom w:val="none" w:sz="0" w:space="0" w:color="auto"/>
                    <w:right w:val="none" w:sz="0" w:space="0" w:color="auto"/>
                  </w:divBdr>
                  <w:divsChild>
                    <w:div w:id="1482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321586126">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411003090">
      <w:bodyDiv w:val="1"/>
      <w:marLeft w:val="0"/>
      <w:marRight w:val="0"/>
      <w:marTop w:val="0"/>
      <w:marBottom w:val="0"/>
      <w:divBdr>
        <w:top w:val="none" w:sz="0" w:space="0" w:color="auto"/>
        <w:left w:val="none" w:sz="0" w:space="0" w:color="auto"/>
        <w:bottom w:val="none" w:sz="0" w:space="0" w:color="auto"/>
        <w:right w:val="none" w:sz="0" w:space="0" w:color="auto"/>
      </w:divBdr>
      <w:divsChild>
        <w:div w:id="209849279">
          <w:marLeft w:val="0"/>
          <w:marRight w:val="0"/>
          <w:marTop w:val="0"/>
          <w:marBottom w:val="0"/>
          <w:divBdr>
            <w:top w:val="none" w:sz="0" w:space="0" w:color="auto"/>
            <w:left w:val="none" w:sz="0" w:space="0" w:color="auto"/>
            <w:bottom w:val="none" w:sz="0" w:space="0" w:color="auto"/>
            <w:right w:val="none" w:sz="0" w:space="0" w:color="auto"/>
          </w:divBdr>
          <w:divsChild>
            <w:div w:id="1450054461">
              <w:marLeft w:val="0"/>
              <w:marRight w:val="0"/>
              <w:marTop w:val="0"/>
              <w:marBottom w:val="0"/>
              <w:divBdr>
                <w:top w:val="none" w:sz="0" w:space="0" w:color="auto"/>
                <w:left w:val="none" w:sz="0" w:space="0" w:color="auto"/>
                <w:bottom w:val="none" w:sz="0" w:space="0" w:color="auto"/>
                <w:right w:val="none" w:sz="0" w:space="0" w:color="auto"/>
              </w:divBdr>
              <w:divsChild>
                <w:div w:id="936984119">
                  <w:marLeft w:val="0"/>
                  <w:marRight w:val="0"/>
                  <w:marTop w:val="0"/>
                  <w:marBottom w:val="0"/>
                  <w:divBdr>
                    <w:top w:val="none" w:sz="0" w:space="0" w:color="auto"/>
                    <w:left w:val="none" w:sz="0" w:space="0" w:color="auto"/>
                    <w:bottom w:val="none" w:sz="0" w:space="0" w:color="auto"/>
                    <w:right w:val="none" w:sz="0" w:space="0" w:color="auto"/>
                  </w:divBdr>
                  <w:divsChild>
                    <w:div w:id="1908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3011">
      <w:bodyDiv w:val="1"/>
      <w:marLeft w:val="0"/>
      <w:marRight w:val="0"/>
      <w:marTop w:val="0"/>
      <w:marBottom w:val="0"/>
      <w:divBdr>
        <w:top w:val="none" w:sz="0" w:space="0" w:color="auto"/>
        <w:left w:val="none" w:sz="0" w:space="0" w:color="auto"/>
        <w:bottom w:val="none" w:sz="0" w:space="0" w:color="auto"/>
        <w:right w:val="none" w:sz="0" w:space="0" w:color="auto"/>
      </w:divBdr>
      <w:divsChild>
        <w:div w:id="1486046917">
          <w:marLeft w:val="0"/>
          <w:marRight w:val="0"/>
          <w:marTop w:val="0"/>
          <w:marBottom w:val="0"/>
          <w:divBdr>
            <w:top w:val="none" w:sz="0" w:space="0" w:color="auto"/>
            <w:left w:val="none" w:sz="0" w:space="0" w:color="auto"/>
            <w:bottom w:val="none" w:sz="0" w:space="0" w:color="auto"/>
            <w:right w:val="none" w:sz="0" w:space="0" w:color="auto"/>
          </w:divBdr>
          <w:divsChild>
            <w:div w:id="308440958">
              <w:marLeft w:val="0"/>
              <w:marRight w:val="0"/>
              <w:marTop w:val="0"/>
              <w:marBottom w:val="0"/>
              <w:divBdr>
                <w:top w:val="none" w:sz="0" w:space="0" w:color="auto"/>
                <w:left w:val="none" w:sz="0" w:space="0" w:color="auto"/>
                <w:bottom w:val="none" w:sz="0" w:space="0" w:color="auto"/>
                <w:right w:val="none" w:sz="0" w:space="0" w:color="auto"/>
              </w:divBdr>
              <w:divsChild>
                <w:div w:id="2911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536435952">
      <w:bodyDiv w:val="1"/>
      <w:marLeft w:val="0"/>
      <w:marRight w:val="0"/>
      <w:marTop w:val="0"/>
      <w:marBottom w:val="0"/>
      <w:divBdr>
        <w:top w:val="none" w:sz="0" w:space="0" w:color="auto"/>
        <w:left w:val="none" w:sz="0" w:space="0" w:color="auto"/>
        <w:bottom w:val="none" w:sz="0" w:space="0" w:color="auto"/>
        <w:right w:val="none" w:sz="0" w:space="0" w:color="auto"/>
      </w:divBdr>
    </w:div>
    <w:div w:id="558367497">
      <w:bodyDiv w:val="1"/>
      <w:marLeft w:val="0"/>
      <w:marRight w:val="0"/>
      <w:marTop w:val="0"/>
      <w:marBottom w:val="0"/>
      <w:divBdr>
        <w:top w:val="none" w:sz="0" w:space="0" w:color="auto"/>
        <w:left w:val="none" w:sz="0" w:space="0" w:color="auto"/>
        <w:bottom w:val="none" w:sz="0" w:space="0" w:color="auto"/>
        <w:right w:val="none" w:sz="0" w:space="0" w:color="auto"/>
      </w:divBdr>
      <w:divsChild>
        <w:div w:id="781189277">
          <w:marLeft w:val="0"/>
          <w:marRight w:val="0"/>
          <w:marTop w:val="0"/>
          <w:marBottom w:val="0"/>
          <w:divBdr>
            <w:top w:val="none" w:sz="0" w:space="0" w:color="auto"/>
            <w:left w:val="none" w:sz="0" w:space="0" w:color="auto"/>
            <w:bottom w:val="none" w:sz="0" w:space="0" w:color="auto"/>
            <w:right w:val="none" w:sz="0" w:space="0" w:color="auto"/>
          </w:divBdr>
        </w:div>
        <w:div w:id="1395205070">
          <w:marLeft w:val="0"/>
          <w:marRight w:val="0"/>
          <w:marTop w:val="0"/>
          <w:marBottom w:val="0"/>
          <w:divBdr>
            <w:top w:val="none" w:sz="0" w:space="0" w:color="auto"/>
            <w:left w:val="none" w:sz="0" w:space="0" w:color="auto"/>
            <w:bottom w:val="none" w:sz="0" w:space="0" w:color="auto"/>
            <w:right w:val="none" w:sz="0" w:space="0" w:color="auto"/>
          </w:divBdr>
        </w:div>
      </w:divsChild>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14082828">
      <w:bodyDiv w:val="1"/>
      <w:marLeft w:val="0"/>
      <w:marRight w:val="0"/>
      <w:marTop w:val="0"/>
      <w:marBottom w:val="0"/>
      <w:divBdr>
        <w:top w:val="none" w:sz="0" w:space="0" w:color="auto"/>
        <w:left w:val="none" w:sz="0" w:space="0" w:color="auto"/>
        <w:bottom w:val="none" w:sz="0" w:space="0" w:color="auto"/>
        <w:right w:val="none" w:sz="0" w:space="0" w:color="auto"/>
      </w:divBdr>
      <w:divsChild>
        <w:div w:id="681277416">
          <w:marLeft w:val="0"/>
          <w:marRight w:val="0"/>
          <w:marTop w:val="0"/>
          <w:marBottom w:val="0"/>
          <w:divBdr>
            <w:top w:val="none" w:sz="0" w:space="0" w:color="auto"/>
            <w:left w:val="none" w:sz="0" w:space="0" w:color="auto"/>
            <w:bottom w:val="none" w:sz="0" w:space="0" w:color="auto"/>
            <w:right w:val="none" w:sz="0" w:space="0" w:color="auto"/>
          </w:divBdr>
          <w:divsChild>
            <w:div w:id="1500272584">
              <w:marLeft w:val="0"/>
              <w:marRight w:val="0"/>
              <w:marTop w:val="0"/>
              <w:marBottom w:val="0"/>
              <w:divBdr>
                <w:top w:val="none" w:sz="0" w:space="0" w:color="auto"/>
                <w:left w:val="none" w:sz="0" w:space="0" w:color="auto"/>
                <w:bottom w:val="none" w:sz="0" w:space="0" w:color="auto"/>
                <w:right w:val="none" w:sz="0" w:space="0" w:color="auto"/>
              </w:divBdr>
              <w:divsChild>
                <w:div w:id="2755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71822482">
      <w:bodyDiv w:val="1"/>
      <w:marLeft w:val="0"/>
      <w:marRight w:val="0"/>
      <w:marTop w:val="0"/>
      <w:marBottom w:val="0"/>
      <w:divBdr>
        <w:top w:val="none" w:sz="0" w:space="0" w:color="auto"/>
        <w:left w:val="none" w:sz="0" w:space="0" w:color="auto"/>
        <w:bottom w:val="none" w:sz="0" w:space="0" w:color="auto"/>
        <w:right w:val="none" w:sz="0" w:space="0" w:color="auto"/>
      </w:divBdr>
      <w:divsChild>
        <w:div w:id="1559440451">
          <w:marLeft w:val="0"/>
          <w:marRight w:val="0"/>
          <w:marTop w:val="0"/>
          <w:marBottom w:val="0"/>
          <w:divBdr>
            <w:top w:val="none" w:sz="0" w:space="0" w:color="auto"/>
            <w:left w:val="none" w:sz="0" w:space="0" w:color="auto"/>
            <w:bottom w:val="none" w:sz="0" w:space="0" w:color="auto"/>
            <w:right w:val="none" w:sz="0" w:space="0" w:color="auto"/>
          </w:divBdr>
          <w:divsChild>
            <w:div w:id="439030070">
              <w:marLeft w:val="0"/>
              <w:marRight w:val="0"/>
              <w:marTop w:val="0"/>
              <w:marBottom w:val="0"/>
              <w:divBdr>
                <w:top w:val="none" w:sz="0" w:space="0" w:color="auto"/>
                <w:left w:val="none" w:sz="0" w:space="0" w:color="auto"/>
                <w:bottom w:val="none" w:sz="0" w:space="0" w:color="auto"/>
                <w:right w:val="none" w:sz="0" w:space="0" w:color="auto"/>
              </w:divBdr>
              <w:divsChild>
                <w:div w:id="55327920">
                  <w:marLeft w:val="0"/>
                  <w:marRight w:val="0"/>
                  <w:marTop w:val="0"/>
                  <w:marBottom w:val="0"/>
                  <w:divBdr>
                    <w:top w:val="none" w:sz="0" w:space="0" w:color="auto"/>
                    <w:left w:val="none" w:sz="0" w:space="0" w:color="auto"/>
                    <w:bottom w:val="none" w:sz="0" w:space="0" w:color="auto"/>
                    <w:right w:val="none" w:sz="0" w:space="0" w:color="auto"/>
                  </w:divBdr>
                </w:div>
                <w:div w:id="702635922">
                  <w:marLeft w:val="0"/>
                  <w:marRight w:val="0"/>
                  <w:marTop w:val="0"/>
                  <w:marBottom w:val="0"/>
                  <w:divBdr>
                    <w:top w:val="none" w:sz="0" w:space="0" w:color="auto"/>
                    <w:left w:val="none" w:sz="0" w:space="0" w:color="auto"/>
                    <w:bottom w:val="none" w:sz="0" w:space="0" w:color="auto"/>
                    <w:right w:val="none" w:sz="0" w:space="0" w:color="auto"/>
                  </w:divBdr>
                </w:div>
                <w:div w:id="939022311">
                  <w:marLeft w:val="0"/>
                  <w:marRight w:val="0"/>
                  <w:marTop w:val="0"/>
                  <w:marBottom w:val="0"/>
                  <w:divBdr>
                    <w:top w:val="none" w:sz="0" w:space="0" w:color="auto"/>
                    <w:left w:val="none" w:sz="0" w:space="0" w:color="auto"/>
                    <w:bottom w:val="none" w:sz="0" w:space="0" w:color="auto"/>
                    <w:right w:val="none" w:sz="0" w:space="0" w:color="auto"/>
                  </w:divBdr>
                </w:div>
                <w:div w:id="17052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4894">
          <w:marLeft w:val="0"/>
          <w:marRight w:val="0"/>
          <w:marTop w:val="0"/>
          <w:marBottom w:val="0"/>
          <w:divBdr>
            <w:top w:val="none" w:sz="0" w:space="0" w:color="auto"/>
            <w:left w:val="none" w:sz="0" w:space="0" w:color="auto"/>
            <w:bottom w:val="none" w:sz="0" w:space="0" w:color="auto"/>
            <w:right w:val="none" w:sz="0" w:space="0" w:color="auto"/>
          </w:divBdr>
          <w:divsChild>
            <w:div w:id="4019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3225935">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76643133">
      <w:bodyDiv w:val="1"/>
      <w:marLeft w:val="0"/>
      <w:marRight w:val="0"/>
      <w:marTop w:val="0"/>
      <w:marBottom w:val="0"/>
      <w:divBdr>
        <w:top w:val="none" w:sz="0" w:space="0" w:color="auto"/>
        <w:left w:val="none" w:sz="0" w:space="0" w:color="auto"/>
        <w:bottom w:val="none" w:sz="0" w:space="0" w:color="auto"/>
        <w:right w:val="none" w:sz="0" w:space="0" w:color="auto"/>
      </w:divBdr>
      <w:divsChild>
        <w:div w:id="1703361885">
          <w:marLeft w:val="0"/>
          <w:marRight w:val="0"/>
          <w:marTop w:val="0"/>
          <w:marBottom w:val="0"/>
          <w:divBdr>
            <w:top w:val="none" w:sz="0" w:space="0" w:color="auto"/>
            <w:left w:val="none" w:sz="0" w:space="0" w:color="auto"/>
            <w:bottom w:val="none" w:sz="0" w:space="0" w:color="auto"/>
            <w:right w:val="none" w:sz="0" w:space="0" w:color="auto"/>
          </w:divBdr>
          <w:divsChild>
            <w:div w:id="696083549">
              <w:marLeft w:val="0"/>
              <w:marRight w:val="0"/>
              <w:marTop w:val="0"/>
              <w:marBottom w:val="0"/>
              <w:divBdr>
                <w:top w:val="none" w:sz="0" w:space="0" w:color="auto"/>
                <w:left w:val="none" w:sz="0" w:space="0" w:color="auto"/>
                <w:bottom w:val="none" w:sz="0" w:space="0" w:color="auto"/>
                <w:right w:val="none" w:sz="0" w:space="0" w:color="auto"/>
              </w:divBdr>
              <w:divsChild>
                <w:div w:id="17992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42171269">
      <w:bodyDiv w:val="1"/>
      <w:marLeft w:val="0"/>
      <w:marRight w:val="0"/>
      <w:marTop w:val="0"/>
      <w:marBottom w:val="0"/>
      <w:divBdr>
        <w:top w:val="none" w:sz="0" w:space="0" w:color="auto"/>
        <w:left w:val="none" w:sz="0" w:space="0" w:color="auto"/>
        <w:bottom w:val="none" w:sz="0" w:space="0" w:color="auto"/>
        <w:right w:val="none" w:sz="0" w:space="0" w:color="auto"/>
      </w:divBdr>
      <w:divsChild>
        <w:div w:id="439835246">
          <w:marLeft w:val="0"/>
          <w:marRight w:val="0"/>
          <w:marTop w:val="0"/>
          <w:marBottom w:val="0"/>
          <w:divBdr>
            <w:top w:val="none" w:sz="0" w:space="0" w:color="auto"/>
            <w:left w:val="none" w:sz="0" w:space="0" w:color="auto"/>
            <w:bottom w:val="none" w:sz="0" w:space="0" w:color="auto"/>
            <w:right w:val="none" w:sz="0" w:space="0" w:color="auto"/>
          </w:divBdr>
          <w:divsChild>
            <w:div w:id="1529292623">
              <w:marLeft w:val="0"/>
              <w:marRight w:val="0"/>
              <w:marTop w:val="0"/>
              <w:marBottom w:val="0"/>
              <w:divBdr>
                <w:top w:val="none" w:sz="0" w:space="0" w:color="auto"/>
                <w:left w:val="none" w:sz="0" w:space="0" w:color="auto"/>
                <w:bottom w:val="none" w:sz="0" w:space="0" w:color="auto"/>
                <w:right w:val="none" w:sz="0" w:space="0" w:color="auto"/>
              </w:divBdr>
              <w:divsChild>
                <w:div w:id="1065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4206855">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44494690">
      <w:bodyDiv w:val="1"/>
      <w:marLeft w:val="0"/>
      <w:marRight w:val="0"/>
      <w:marTop w:val="0"/>
      <w:marBottom w:val="0"/>
      <w:divBdr>
        <w:top w:val="none" w:sz="0" w:space="0" w:color="auto"/>
        <w:left w:val="none" w:sz="0" w:space="0" w:color="auto"/>
        <w:bottom w:val="none" w:sz="0" w:space="0" w:color="auto"/>
        <w:right w:val="none" w:sz="0" w:space="0" w:color="auto"/>
      </w:divBdr>
      <w:divsChild>
        <w:div w:id="425541592">
          <w:marLeft w:val="0"/>
          <w:marRight w:val="0"/>
          <w:marTop w:val="0"/>
          <w:marBottom w:val="0"/>
          <w:divBdr>
            <w:top w:val="none" w:sz="0" w:space="0" w:color="auto"/>
            <w:left w:val="none" w:sz="0" w:space="0" w:color="auto"/>
            <w:bottom w:val="none" w:sz="0" w:space="0" w:color="auto"/>
            <w:right w:val="none" w:sz="0" w:space="0" w:color="auto"/>
          </w:divBdr>
          <w:divsChild>
            <w:div w:id="1976063536">
              <w:marLeft w:val="0"/>
              <w:marRight w:val="0"/>
              <w:marTop w:val="0"/>
              <w:marBottom w:val="0"/>
              <w:divBdr>
                <w:top w:val="none" w:sz="0" w:space="0" w:color="auto"/>
                <w:left w:val="none" w:sz="0" w:space="0" w:color="auto"/>
                <w:bottom w:val="none" w:sz="0" w:space="0" w:color="auto"/>
                <w:right w:val="none" w:sz="0" w:space="0" w:color="auto"/>
              </w:divBdr>
              <w:divsChild>
                <w:div w:id="19945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27874626">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zdravstvo.mk/en/moe-zdravj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ternational-partnerships.ec.europa.eu/knowledge-hub/communicating-and-raising-eu-visibility-guidance-external-actions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anctionsmap.eu/" TargetMode="External"/><Relationship Id="rId3" Type="http://schemas.openxmlformats.org/officeDocument/2006/relationships/hyperlink" Target="https://scalingupnutrition.org/wp-content/uploads/2020/12/OECD_PolicyMarkerNutrition.pdf" TargetMode="External"/><Relationship Id="rId7" Type="http://schemas.openxmlformats.org/officeDocument/2006/relationships/hyperlink" Target="https://gco.iarc.fr/today/data/factsheets/populations/807-north-macedonia-fact-sheets.pdf" TargetMode="External"/><Relationship Id="rId2" Type="http://schemas.openxmlformats.org/officeDocument/2006/relationships/hyperlink" Target="https://www.oecd.org/development/financing-sustainable-development/development-finance-standards/" TargetMode="External"/><Relationship Id="rId1" Type="http://schemas.openxmlformats.org/officeDocument/2006/relationships/hyperlink" Target="https://www.oecd.org/development/financing-sustainable-development/development-finance-standards/dacandcrscodelists.htm" TargetMode="External"/><Relationship Id="rId6" Type="http://schemas.openxmlformats.org/officeDocument/2006/relationships/hyperlink" Target="http://www.stat.gov.mk/Publikacii/SG2019/03-Naselenie-Population.pdf%20" TargetMode="External"/><Relationship Id="rId5" Type="http://schemas.openxmlformats.org/officeDocument/2006/relationships/hyperlink" Target="https://www.who.int/europe/news/item/04-11-2022-who-europe-accelerates-efforts-to-advance-health-equity-in-north-macedonia-with-data-and-research" TargetMode="External"/><Relationship Id="rId10" Type="http://schemas.openxmlformats.org/officeDocument/2006/relationships/hyperlink" Target="https://webgate.ec.europa.eu/fpfis/wikis/display/PCM/Concept+of+intervention" TargetMode="External"/><Relationship Id="rId4" Type="http://schemas.openxmlformats.org/officeDocument/2006/relationships/hyperlink" Target="https://www.who.int/europe/news/item/04-11-2022-who-europe-accelerates-efforts-to-advance-health-equity-in-north-macedonia-with-data-and-research" TargetMode="External"/><Relationship Id="rId9" Type="http://schemas.openxmlformats.org/officeDocument/2006/relationships/hyperlink" Target="https://europa.eu/capacity4dev/evaluation_guidelines/wiki/disseminating-evalu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DBB6960-4F8A-469A-BD20-876421834F0D}"/>
      </w:docPartPr>
      <w:docPartBody>
        <w:p w:rsidR="009154A5" w:rsidRDefault="009154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9154A5"/>
    <w:rsid w:val="00014F2E"/>
    <w:rsid w:val="00096376"/>
    <w:rsid w:val="0012437E"/>
    <w:rsid w:val="00164645"/>
    <w:rsid w:val="001F6B78"/>
    <w:rsid w:val="002670B3"/>
    <w:rsid w:val="002B7948"/>
    <w:rsid w:val="004A308B"/>
    <w:rsid w:val="005023A2"/>
    <w:rsid w:val="00592F04"/>
    <w:rsid w:val="005E6E2D"/>
    <w:rsid w:val="006E2DFC"/>
    <w:rsid w:val="006F1F75"/>
    <w:rsid w:val="0077017D"/>
    <w:rsid w:val="007C2D6A"/>
    <w:rsid w:val="007C7344"/>
    <w:rsid w:val="008241F3"/>
    <w:rsid w:val="00825974"/>
    <w:rsid w:val="008A0720"/>
    <w:rsid w:val="009154A5"/>
    <w:rsid w:val="00B54E49"/>
    <w:rsid w:val="00B75BA3"/>
    <w:rsid w:val="00C9519D"/>
    <w:rsid w:val="00E21C15"/>
    <w:rsid w:val="00F46EA3"/>
    <w:rsid w:val="00F57B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70585FF3D2B48A5042EB41E63D13E" ma:contentTypeVersion="2" ma:contentTypeDescription="Create a new document." ma:contentTypeScope="" ma:versionID="7b2361dfedf4ec318dd8f8551200a7b7">
  <xsd:schema xmlns:xsd="http://www.w3.org/2001/XMLSchema" xmlns:xs="http://www.w3.org/2001/XMLSchema" xmlns:p="http://schemas.microsoft.com/office/2006/metadata/properties" xmlns:ns2="e5f1058d-612f-4002-be6e-26152fb8764f" targetNamespace="http://schemas.microsoft.com/office/2006/metadata/properties" ma:root="true" ma:fieldsID="4c98c43eb53976d9d219f5a225a85e43" ns2:_="">
    <xsd:import namespace="e5f1058d-612f-4002-be6e-26152fb876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1058d-612f-4002-be6e-26152fb87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BEB9-3C37-4250-9B08-5679136CC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1058d-612f-4002-be6e-26152fb8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F5EE7-CA6B-4CB6-A0E8-3117E94F53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776B7-FF33-4AEE-9BCD-195166DA2D5E}">
  <ds:schemaRefs>
    <ds:schemaRef ds:uri="http://schemas.microsoft.com/sharepoint/v3/contenttype/forms"/>
  </ds:schemaRefs>
</ds:datastoreItem>
</file>

<file path=customXml/itemProps4.xml><?xml version="1.0" encoding="utf-8"?>
<ds:datastoreItem xmlns:ds="http://schemas.openxmlformats.org/officeDocument/2006/customXml" ds:itemID="{8B5DAA1B-7A46-44F8-9329-EA2A0FBE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9749</Words>
  <Characters>55575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2023-11-10T11:39:00Z</dcterms:created>
  <dcterms:modified xsi:type="dcterms:W3CDTF">2023-11-10T11:39:00Z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0x01010084C70585FF3D2B48A5042EB41E63D13E</vt:lpwstr>
  </property>
  <property fmtid="{D5CDD505-2E9C-101B-9397-08002B2CF9AE}" pid="3" name="MSIP_Label_6bd9ddd1-4d20-43f6-abfa-fc3c07406f94_Enabled">
    <vt:lpwstr>true</vt:lpwstr>
  </property>
  <property fmtid="{D5CDD505-2E9C-101B-9397-08002B2CF9AE}" pid="4" name="MSIP_Label_6bd9ddd1-4d20-43f6-abfa-fc3c07406f94_SetDate">
    <vt:lpwstr>2023-06-14T06:33:28Z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83c64df2-2ac1-446a-8644-d731b6e9a288</vt:lpwstr>
  </property>
  <property fmtid="{D5CDD505-2E9C-101B-9397-08002B2CF9AE}" pid="9" name="MSIP_Label_6bd9ddd1-4d20-43f6-abfa-fc3c07406f94_ContentBits">
    <vt:lpwstr>0</vt:lpwstr>
  </property>
</Properties>
</file>