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4B2" w:rsidRDefault="00111CB1" w:rsidP="00111CB1">
      <w:pPr>
        <w:spacing w:after="100"/>
        <w:jc w:val="right"/>
        <w:rPr>
          <w:rFonts w:ascii="Calibri" w:hAnsi="Calibri" w:cs="Calibri"/>
          <w:b/>
          <w:sz w:val="40"/>
          <w:szCs w:val="40"/>
          <w:lang w:val="en-GB"/>
        </w:rPr>
      </w:pPr>
      <w:r>
        <w:rPr>
          <w:rFonts w:ascii="Calibri" w:hAnsi="Calibri" w:cs="Calibri"/>
          <w:b/>
          <w:noProof/>
          <w:sz w:val="40"/>
          <w:szCs w:val="40"/>
          <w:lang w:val="en-US"/>
        </w:rPr>
        <w:drawing>
          <wp:inline distT="0" distB="0" distL="0" distR="0">
            <wp:extent cx="1417320" cy="124927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55427" cy="1282861"/>
                    </a:xfrm>
                    <a:prstGeom prst="rect">
                      <a:avLst/>
                    </a:prstGeom>
                    <a:noFill/>
                  </pic:spPr>
                </pic:pic>
              </a:graphicData>
            </a:graphic>
          </wp:inline>
        </w:drawing>
      </w:r>
    </w:p>
    <w:p w:rsidR="00C514B2" w:rsidRDefault="00C514B2" w:rsidP="00B45FEB">
      <w:pPr>
        <w:spacing w:after="100"/>
        <w:jc w:val="center"/>
        <w:rPr>
          <w:rFonts w:ascii="Calibri" w:hAnsi="Calibri" w:cs="Calibri"/>
          <w:b/>
          <w:sz w:val="40"/>
          <w:szCs w:val="40"/>
          <w:lang w:val="en-GB"/>
        </w:rPr>
      </w:pPr>
    </w:p>
    <w:p w:rsidR="00C514B2" w:rsidRDefault="00C514B2" w:rsidP="00B45FEB">
      <w:pPr>
        <w:spacing w:after="100"/>
        <w:jc w:val="center"/>
        <w:rPr>
          <w:rFonts w:ascii="Calibri" w:hAnsi="Calibri" w:cs="Calibri"/>
          <w:b/>
          <w:sz w:val="40"/>
          <w:szCs w:val="40"/>
          <w:lang w:val="en-GB"/>
        </w:rPr>
      </w:pPr>
    </w:p>
    <w:p w:rsidR="00C514B2" w:rsidRDefault="00C514B2" w:rsidP="00B45FEB">
      <w:pPr>
        <w:spacing w:after="100"/>
        <w:jc w:val="center"/>
        <w:rPr>
          <w:rFonts w:ascii="Calibri" w:hAnsi="Calibri" w:cs="Calibri"/>
          <w:b/>
          <w:sz w:val="40"/>
          <w:szCs w:val="40"/>
          <w:lang w:val="en-GB"/>
        </w:rPr>
      </w:pPr>
    </w:p>
    <w:p w:rsidR="00B45FEB" w:rsidRPr="00662F7C" w:rsidRDefault="00B45FEB" w:rsidP="00B45FEB">
      <w:pPr>
        <w:spacing w:after="100"/>
        <w:jc w:val="center"/>
        <w:rPr>
          <w:rFonts w:ascii="Calibri" w:hAnsi="Calibri" w:cs="Calibri"/>
          <w:b/>
          <w:sz w:val="4"/>
          <w:szCs w:val="4"/>
          <w:lang w:val="en-GB"/>
        </w:rPr>
      </w:pPr>
      <w:r w:rsidRPr="00662F7C">
        <w:rPr>
          <w:rFonts w:ascii="Calibri" w:hAnsi="Calibri" w:cs="Calibri"/>
          <w:b/>
          <w:sz w:val="40"/>
          <w:szCs w:val="40"/>
          <w:lang w:val="en-GB"/>
        </w:rPr>
        <w:t xml:space="preserve">Cultural Policy Review of the </w:t>
      </w:r>
      <w:r>
        <w:rPr>
          <w:rFonts w:ascii="Calibri" w:hAnsi="Calibri" w:cs="Calibri"/>
          <w:b/>
          <w:sz w:val="40"/>
          <w:szCs w:val="40"/>
          <w:lang w:val="en-GB"/>
        </w:rPr>
        <w:t xml:space="preserve">North </w:t>
      </w:r>
      <w:r w:rsidRPr="00662F7C">
        <w:rPr>
          <w:rFonts w:ascii="Calibri" w:hAnsi="Calibri" w:cs="Calibri"/>
          <w:b/>
          <w:sz w:val="40"/>
          <w:szCs w:val="40"/>
          <w:lang w:val="en-GB"/>
        </w:rPr>
        <w:t>Republic of M</w:t>
      </w:r>
      <w:r>
        <w:rPr>
          <w:rFonts w:ascii="Calibri" w:hAnsi="Calibri" w:cs="Calibri"/>
          <w:b/>
          <w:sz w:val="40"/>
          <w:szCs w:val="40"/>
          <w:lang w:val="en-GB"/>
        </w:rPr>
        <w:t xml:space="preserve">acedonia </w:t>
      </w:r>
      <w:r w:rsidRPr="00662F7C">
        <w:rPr>
          <w:rFonts w:ascii="Calibri" w:hAnsi="Calibri" w:cs="Calibri"/>
          <w:b/>
          <w:sz w:val="40"/>
          <w:szCs w:val="40"/>
          <w:lang w:val="en-GB"/>
        </w:rPr>
        <w:br/>
        <w:t>……………………………………………………………………</w:t>
      </w:r>
      <w:r w:rsidRPr="000C2D58">
        <w:rPr>
          <w:rFonts w:ascii="Calibri" w:hAnsi="Calibri" w:cs="Calibri"/>
          <w:b/>
          <w:sz w:val="40"/>
          <w:szCs w:val="40"/>
          <w:lang w:val="en-GB"/>
        </w:rPr>
        <w:t>….</w:t>
      </w:r>
    </w:p>
    <w:p w:rsidR="00B45FEB" w:rsidRPr="00662F7C" w:rsidRDefault="00B45FEB" w:rsidP="00B45FEB">
      <w:pPr>
        <w:jc w:val="center"/>
        <w:rPr>
          <w:rFonts w:ascii="Calibri" w:hAnsi="Calibri" w:cs="Calibri"/>
          <w:sz w:val="28"/>
          <w:szCs w:val="28"/>
          <w:lang w:val="en-GB"/>
        </w:rPr>
      </w:pPr>
      <w:r w:rsidRPr="00662F7C">
        <w:rPr>
          <w:rFonts w:ascii="Calibri" w:hAnsi="Calibri" w:cs="Calibri"/>
          <w:b/>
          <w:sz w:val="32"/>
          <w:szCs w:val="32"/>
          <w:lang w:val="en-US"/>
        </w:rPr>
        <w:t xml:space="preserve">Towards a Strategy for </w:t>
      </w:r>
      <w:r>
        <w:rPr>
          <w:rFonts w:ascii="Calibri" w:hAnsi="Calibri" w:cs="Calibri"/>
          <w:b/>
          <w:sz w:val="32"/>
          <w:szCs w:val="32"/>
          <w:lang w:val="en-US"/>
        </w:rPr>
        <w:t xml:space="preserve">Heritage and </w:t>
      </w:r>
      <w:r w:rsidRPr="00662F7C">
        <w:rPr>
          <w:rFonts w:ascii="Calibri" w:hAnsi="Calibri" w:cs="Calibri"/>
          <w:b/>
          <w:sz w:val="32"/>
          <w:szCs w:val="32"/>
          <w:lang w:val="en-US"/>
        </w:rPr>
        <w:t xml:space="preserve">the Development of Culture </w:t>
      </w:r>
      <w:r w:rsidRPr="00662F7C">
        <w:rPr>
          <w:rFonts w:ascii="Calibri" w:hAnsi="Calibri" w:cs="Calibri"/>
          <w:b/>
          <w:sz w:val="32"/>
          <w:szCs w:val="32"/>
          <w:lang w:val="en-US"/>
        </w:rPr>
        <w:br/>
        <w:t>and Creative Industries</w:t>
      </w:r>
      <w:r w:rsidRPr="00662F7C">
        <w:rPr>
          <w:rFonts w:ascii="Calibri" w:hAnsi="Calibri" w:cs="Calibri"/>
          <w:b/>
          <w:sz w:val="40"/>
          <w:szCs w:val="40"/>
          <w:lang w:val="en-GB"/>
        </w:rPr>
        <w:br/>
      </w:r>
      <w:r w:rsidRPr="000C2D58">
        <w:rPr>
          <w:rFonts w:ascii="Calibri" w:hAnsi="Calibri" w:cs="Calibri"/>
          <w:sz w:val="24"/>
          <w:szCs w:val="24"/>
          <w:lang w:val="en-GB"/>
        </w:rPr>
        <w:t>(</w:t>
      </w:r>
      <w:r>
        <w:rPr>
          <w:rFonts w:ascii="Calibri" w:hAnsi="Calibri" w:cs="Calibri"/>
          <w:sz w:val="24"/>
          <w:szCs w:val="24"/>
          <w:lang w:val="en-GB"/>
        </w:rPr>
        <w:t>Online Peer Review</w:t>
      </w:r>
      <w:r w:rsidRPr="000C2D58">
        <w:rPr>
          <w:rFonts w:ascii="Calibri" w:hAnsi="Calibri" w:cs="Calibri"/>
          <w:sz w:val="24"/>
          <w:szCs w:val="24"/>
          <w:lang w:val="en-GB"/>
        </w:rPr>
        <w:t xml:space="preserve">, </w:t>
      </w:r>
      <w:r>
        <w:rPr>
          <w:rFonts w:ascii="Calibri" w:hAnsi="Calibri" w:cs="Calibri"/>
          <w:sz w:val="24"/>
          <w:szCs w:val="24"/>
          <w:lang w:val="en-GB"/>
        </w:rPr>
        <w:t>December 2020</w:t>
      </w:r>
      <w:r w:rsidRPr="000C2D58">
        <w:rPr>
          <w:rFonts w:ascii="Calibri" w:hAnsi="Calibri" w:cs="Calibri"/>
          <w:sz w:val="24"/>
          <w:szCs w:val="24"/>
          <w:lang w:val="en-GB"/>
        </w:rPr>
        <w:t>)</w:t>
      </w:r>
    </w:p>
    <w:p w:rsidR="00B45FEB" w:rsidRPr="00662F7C" w:rsidRDefault="00B45FEB" w:rsidP="00B45FEB">
      <w:pPr>
        <w:spacing w:after="0" w:line="240" w:lineRule="auto"/>
        <w:rPr>
          <w:rFonts w:ascii="Calibri" w:hAnsi="Calibri" w:cs="Calibri"/>
          <w:sz w:val="24"/>
          <w:szCs w:val="24"/>
          <w:lang w:val="en-GB"/>
        </w:rPr>
      </w:pPr>
    </w:p>
    <w:p w:rsidR="00B45FEB" w:rsidRPr="00662F7C" w:rsidRDefault="00B45FEB" w:rsidP="00B45FEB">
      <w:pPr>
        <w:spacing w:after="0" w:line="240" w:lineRule="auto"/>
        <w:rPr>
          <w:rFonts w:ascii="Calibri" w:hAnsi="Calibri" w:cs="Calibri"/>
          <w:sz w:val="24"/>
          <w:szCs w:val="24"/>
          <w:lang w:val="en-GB"/>
        </w:rPr>
      </w:pPr>
    </w:p>
    <w:p w:rsidR="00B45FEB" w:rsidRPr="00662F7C" w:rsidRDefault="00B45FEB" w:rsidP="00B45FEB">
      <w:pPr>
        <w:spacing w:after="0" w:line="240" w:lineRule="auto"/>
        <w:rPr>
          <w:rFonts w:ascii="Calibri" w:hAnsi="Calibri" w:cs="Calibri"/>
          <w:sz w:val="24"/>
          <w:szCs w:val="24"/>
          <w:lang w:val="en-GB"/>
        </w:rPr>
      </w:pPr>
    </w:p>
    <w:p w:rsidR="00B45FEB" w:rsidRPr="00662F7C" w:rsidRDefault="00B45FEB" w:rsidP="00B45FEB">
      <w:pPr>
        <w:spacing w:after="0" w:line="240" w:lineRule="auto"/>
        <w:rPr>
          <w:rFonts w:ascii="Calibri" w:hAnsi="Calibri" w:cs="Calibri"/>
          <w:sz w:val="24"/>
          <w:szCs w:val="24"/>
          <w:lang w:val="en-GB"/>
        </w:rPr>
      </w:pPr>
    </w:p>
    <w:p w:rsidR="00B45FEB" w:rsidRPr="00662F7C" w:rsidRDefault="00B45FEB" w:rsidP="00B45FEB">
      <w:pPr>
        <w:spacing w:after="0" w:line="240" w:lineRule="auto"/>
        <w:rPr>
          <w:rFonts w:ascii="Calibri" w:hAnsi="Calibri" w:cs="Calibri"/>
          <w:sz w:val="24"/>
          <w:szCs w:val="24"/>
          <w:lang w:val="en-GB"/>
        </w:rPr>
      </w:pPr>
    </w:p>
    <w:p w:rsidR="00B45FEB" w:rsidRPr="00662F7C" w:rsidRDefault="00B45FEB" w:rsidP="00B45FEB">
      <w:pPr>
        <w:spacing w:after="0" w:line="240" w:lineRule="auto"/>
        <w:rPr>
          <w:rFonts w:ascii="Calibri" w:hAnsi="Calibri" w:cs="Calibri"/>
          <w:sz w:val="24"/>
          <w:szCs w:val="24"/>
          <w:lang w:val="en-GB"/>
        </w:rPr>
      </w:pPr>
    </w:p>
    <w:p w:rsidR="00B45FEB" w:rsidRPr="00662F7C" w:rsidRDefault="00B45FEB" w:rsidP="00B45FEB">
      <w:pPr>
        <w:spacing w:after="0" w:line="240" w:lineRule="auto"/>
        <w:rPr>
          <w:rFonts w:ascii="Calibri" w:hAnsi="Calibri" w:cs="Calibri"/>
          <w:sz w:val="24"/>
          <w:szCs w:val="24"/>
          <w:lang w:val="en-GB"/>
        </w:rPr>
      </w:pPr>
    </w:p>
    <w:p w:rsidR="00B45FEB" w:rsidRPr="000C2D58" w:rsidRDefault="00B45FEB" w:rsidP="00B45FEB">
      <w:pPr>
        <w:spacing w:after="0" w:line="240" w:lineRule="auto"/>
        <w:rPr>
          <w:rFonts w:ascii="Calibri" w:hAnsi="Calibri" w:cs="Calibri"/>
          <w:sz w:val="24"/>
          <w:szCs w:val="24"/>
          <w:lang w:val="en-GB"/>
        </w:rPr>
      </w:pPr>
    </w:p>
    <w:p w:rsidR="00B45FEB" w:rsidRPr="000C2D58" w:rsidRDefault="00B45FEB" w:rsidP="00B45FEB">
      <w:pPr>
        <w:spacing w:after="0" w:line="240" w:lineRule="auto"/>
        <w:rPr>
          <w:rFonts w:ascii="Calibri" w:hAnsi="Calibri" w:cs="Calibri"/>
          <w:sz w:val="24"/>
          <w:szCs w:val="24"/>
          <w:lang w:val="en-GB"/>
        </w:rPr>
      </w:pPr>
    </w:p>
    <w:p w:rsidR="00B45FEB" w:rsidRPr="000C2D58" w:rsidRDefault="00B45FEB" w:rsidP="00B45FEB">
      <w:pPr>
        <w:spacing w:after="0" w:line="240" w:lineRule="auto"/>
        <w:rPr>
          <w:rFonts w:ascii="Calibri" w:hAnsi="Calibri" w:cs="Calibri"/>
          <w:sz w:val="24"/>
          <w:szCs w:val="24"/>
          <w:lang w:val="en-GB"/>
        </w:rPr>
      </w:pPr>
    </w:p>
    <w:p w:rsidR="00B45FEB" w:rsidRPr="000C2D58" w:rsidRDefault="00B45FEB" w:rsidP="00B45FEB">
      <w:pPr>
        <w:spacing w:after="0" w:line="240" w:lineRule="auto"/>
        <w:rPr>
          <w:rFonts w:ascii="Calibri" w:hAnsi="Calibri" w:cs="Calibri"/>
          <w:sz w:val="24"/>
          <w:szCs w:val="24"/>
          <w:lang w:val="en-GB"/>
        </w:rPr>
      </w:pPr>
    </w:p>
    <w:p w:rsidR="00B45FEB" w:rsidRPr="008703C3" w:rsidRDefault="00B45FEB" w:rsidP="00B45FEB">
      <w:pPr>
        <w:spacing w:after="0" w:line="240" w:lineRule="auto"/>
        <w:rPr>
          <w:rFonts w:ascii="Calibri" w:hAnsi="Calibri" w:cs="Calibri"/>
          <w:b/>
          <w:u w:val="single"/>
          <w:lang w:val="en-GB"/>
        </w:rPr>
      </w:pPr>
      <w:r w:rsidRPr="008703C3">
        <w:rPr>
          <w:rFonts w:ascii="Calibri" w:hAnsi="Calibri" w:cs="Calibri"/>
          <w:b/>
          <w:u w:val="single"/>
          <w:lang w:val="en-GB"/>
        </w:rPr>
        <w:t>Author:</w:t>
      </w:r>
    </w:p>
    <w:p w:rsidR="00B45FEB" w:rsidRPr="008703C3" w:rsidRDefault="00B45FEB" w:rsidP="00B45FEB">
      <w:pPr>
        <w:shd w:val="clear" w:color="auto" w:fill="FFFFFF"/>
        <w:spacing w:after="0" w:line="240" w:lineRule="auto"/>
        <w:jc w:val="both"/>
        <w:rPr>
          <w:rFonts w:ascii="Calibri" w:hAnsi="Calibri" w:cs="Calibri"/>
          <w:lang w:val="en-GB"/>
        </w:rPr>
      </w:pPr>
      <w:r w:rsidRPr="008703C3">
        <w:rPr>
          <w:rFonts w:ascii="Calibri" w:eastAsia="Times New Roman" w:hAnsi="Calibri" w:cs="Calibri"/>
          <w:lang w:val="en-GB"/>
        </w:rPr>
        <w:t xml:space="preserve">Philippe Kern, Founder and Managing Director, KEA European Affairs (Lead Expert) </w:t>
      </w:r>
    </w:p>
    <w:p w:rsidR="00B45FEB" w:rsidRPr="008703C3" w:rsidRDefault="00B45FEB" w:rsidP="00B45FEB">
      <w:pPr>
        <w:spacing w:after="0" w:line="240" w:lineRule="auto"/>
        <w:rPr>
          <w:rFonts w:ascii="Calibri" w:hAnsi="Calibri" w:cs="Calibri"/>
          <w:lang w:val="en-GB"/>
        </w:rPr>
      </w:pPr>
    </w:p>
    <w:p w:rsidR="00B45FEB" w:rsidRPr="008703C3" w:rsidRDefault="00B45FEB" w:rsidP="00B45FEB">
      <w:pPr>
        <w:spacing w:after="0" w:line="240" w:lineRule="auto"/>
        <w:rPr>
          <w:rFonts w:ascii="Calibri" w:hAnsi="Calibri" w:cs="Calibri"/>
          <w:b/>
          <w:u w:val="single"/>
          <w:lang w:val="en-GB"/>
        </w:rPr>
      </w:pPr>
      <w:r w:rsidRPr="008703C3">
        <w:rPr>
          <w:rFonts w:ascii="Calibri" w:hAnsi="Calibri" w:cs="Calibri"/>
          <w:b/>
          <w:u w:val="single"/>
          <w:lang w:val="en-GB"/>
        </w:rPr>
        <w:t>Contributors/</w:t>
      </w:r>
      <w:r w:rsidR="00F97CFB">
        <w:rPr>
          <w:rFonts w:ascii="Calibri" w:hAnsi="Calibri" w:cs="Calibri"/>
          <w:b/>
          <w:u w:val="single"/>
          <w:lang w:val="en-GB"/>
        </w:rPr>
        <w:t>E</w:t>
      </w:r>
      <w:r w:rsidRPr="008703C3">
        <w:rPr>
          <w:rFonts w:ascii="Calibri" w:hAnsi="Calibri" w:cs="Calibri"/>
          <w:b/>
          <w:u w:val="single"/>
          <w:lang w:val="en-GB"/>
        </w:rPr>
        <w:t>xperts:</w:t>
      </w:r>
    </w:p>
    <w:p w:rsidR="00B45FEB" w:rsidRPr="008703C3" w:rsidRDefault="00C514B2" w:rsidP="00F97CFB">
      <w:pPr>
        <w:spacing w:after="0" w:line="240" w:lineRule="auto"/>
        <w:rPr>
          <w:rFonts w:ascii="Calibri" w:hAnsi="Calibri" w:cs="Calibri"/>
          <w:lang w:val="en-GB"/>
        </w:rPr>
      </w:pPr>
      <w:r w:rsidRPr="008703C3">
        <w:rPr>
          <w:rFonts w:ascii="Calibri" w:hAnsi="Calibri" w:cs="Calibri"/>
          <w:lang w:val="en-GB"/>
        </w:rPr>
        <w:t>Laura Makela</w:t>
      </w:r>
      <w:r w:rsidR="00B45FEB" w:rsidRPr="008703C3">
        <w:rPr>
          <w:rFonts w:ascii="Calibri" w:hAnsi="Calibri" w:cs="Calibri"/>
          <w:lang w:val="en-GB"/>
        </w:rPr>
        <w:t xml:space="preserve">, Ministry of </w:t>
      </w:r>
      <w:r w:rsidRPr="008703C3">
        <w:rPr>
          <w:rFonts w:ascii="Calibri" w:hAnsi="Calibri" w:cs="Calibri"/>
          <w:lang w:val="en-GB"/>
        </w:rPr>
        <w:t xml:space="preserve">Education and </w:t>
      </w:r>
      <w:r w:rsidR="00B45FEB" w:rsidRPr="008703C3">
        <w:rPr>
          <w:rFonts w:ascii="Calibri" w:hAnsi="Calibri" w:cs="Calibri"/>
          <w:lang w:val="en-GB"/>
        </w:rPr>
        <w:t xml:space="preserve">Culture, </w:t>
      </w:r>
      <w:r w:rsidRPr="008703C3">
        <w:rPr>
          <w:rFonts w:ascii="Calibri" w:hAnsi="Calibri" w:cs="Calibri"/>
          <w:lang w:val="en-GB"/>
        </w:rPr>
        <w:t xml:space="preserve">Finland </w:t>
      </w:r>
    </w:p>
    <w:p w:rsidR="00B45FEB" w:rsidRPr="008703C3" w:rsidRDefault="00B45FEB" w:rsidP="00F97CFB">
      <w:pPr>
        <w:spacing w:after="0" w:line="240" w:lineRule="auto"/>
        <w:rPr>
          <w:rFonts w:ascii="Calibri" w:hAnsi="Calibri" w:cs="Calibri"/>
          <w:lang w:val="en-GB"/>
        </w:rPr>
      </w:pPr>
      <w:r w:rsidRPr="008703C3">
        <w:rPr>
          <w:rFonts w:ascii="Calibri" w:hAnsi="Calibri" w:cs="Calibri"/>
          <w:lang w:val="en-GB"/>
        </w:rPr>
        <w:t xml:space="preserve">Carmen Croitorou, </w:t>
      </w:r>
      <w:r w:rsidR="00C514B2" w:rsidRPr="008703C3">
        <w:rPr>
          <w:rFonts w:ascii="Calibri" w:hAnsi="Calibri" w:cs="Calibri"/>
          <w:lang w:val="en-GB"/>
        </w:rPr>
        <w:t xml:space="preserve">Adviser Ministry of Culture, Romania </w:t>
      </w:r>
      <w:r w:rsidRPr="008703C3">
        <w:rPr>
          <w:rFonts w:ascii="Calibri" w:hAnsi="Calibri" w:cs="Calibri"/>
          <w:lang w:val="en-GB"/>
        </w:rPr>
        <w:br/>
        <w:t>Levan Kharatishvili, Vice Minister, Georgian Ministry of Education, Culture, Sport and Research</w:t>
      </w:r>
      <w:r w:rsidR="00F97CFB">
        <w:rPr>
          <w:rFonts w:ascii="Calibri" w:hAnsi="Calibri" w:cs="Calibri"/>
          <w:lang w:val="en-GB"/>
        </w:rPr>
        <w:t>)</w:t>
      </w:r>
    </w:p>
    <w:p w:rsidR="00F97CFB" w:rsidRDefault="00F97CFB" w:rsidP="00F97CFB">
      <w:pPr>
        <w:spacing w:after="0" w:line="240" w:lineRule="auto"/>
        <w:rPr>
          <w:rFonts w:ascii="Calibri" w:hAnsi="Calibri" w:cs="Calibri"/>
          <w:lang w:val="en-GB"/>
        </w:rPr>
      </w:pPr>
    </w:p>
    <w:p w:rsidR="00B45FEB" w:rsidRDefault="00B45FEB" w:rsidP="00F97CFB">
      <w:pPr>
        <w:spacing w:after="0" w:line="240" w:lineRule="auto"/>
        <w:rPr>
          <w:rFonts w:ascii="Calibri" w:hAnsi="Calibri" w:cs="Calibri"/>
          <w:lang w:val="en-GB"/>
        </w:rPr>
      </w:pPr>
      <w:r w:rsidRPr="008703C3">
        <w:rPr>
          <w:rFonts w:ascii="Calibri" w:hAnsi="Calibri" w:cs="Calibri"/>
          <w:lang w:val="en-GB"/>
        </w:rPr>
        <w:t>Kathrin Merkle, Head of the Culture and Cultural Heritage Division, Council of Europe (Delegation Lead)</w:t>
      </w:r>
    </w:p>
    <w:p w:rsidR="00B426B1" w:rsidRDefault="00B426B1" w:rsidP="00F97CFB">
      <w:pPr>
        <w:spacing w:after="0" w:line="240" w:lineRule="auto"/>
        <w:rPr>
          <w:rFonts w:ascii="Calibri" w:hAnsi="Calibri" w:cs="Calibri"/>
          <w:lang w:val="en-GB"/>
        </w:rPr>
      </w:pPr>
    </w:p>
    <w:p w:rsidR="00B426B1" w:rsidRPr="008703C3" w:rsidRDefault="00B426B1" w:rsidP="00F97CFB">
      <w:pPr>
        <w:spacing w:after="0" w:line="240" w:lineRule="auto"/>
        <w:rPr>
          <w:rFonts w:ascii="Calibri" w:hAnsi="Calibri" w:cs="Calibri"/>
          <w:lang w:val="en-GB"/>
        </w:rPr>
      </w:pPr>
    </w:p>
    <w:p w:rsidR="00DF4F22" w:rsidRPr="00DF4F22" w:rsidRDefault="00DF4F22" w:rsidP="00DF4F22">
      <w:pPr>
        <w:rPr>
          <w:b/>
          <w:sz w:val="28"/>
          <w:szCs w:val="28"/>
          <w:lang w:val="en-US"/>
        </w:rPr>
      </w:pPr>
      <w:r w:rsidRPr="00DF4F22">
        <w:rPr>
          <w:b/>
          <w:sz w:val="28"/>
          <w:szCs w:val="28"/>
          <w:lang w:val="en-US"/>
        </w:rPr>
        <w:lastRenderedPageBreak/>
        <w:t>1</w:t>
      </w:r>
      <w:r w:rsidR="00B426B1">
        <w:rPr>
          <w:b/>
          <w:sz w:val="28"/>
          <w:szCs w:val="28"/>
          <w:lang w:val="en-US"/>
        </w:rPr>
        <w:t>.</w:t>
      </w:r>
      <w:r w:rsidRPr="00DF4F22">
        <w:rPr>
          <w:b/>
          <w:sz w:val="28"/>
          <w:szCs w:val="28"/>
          <w:lang w:val="en-US"/>
        </w:rPr>
        <w:t xml:space="preserve"> Introduction </w:t>
      </w:r>
    </w:p>
    <w:p w:rsidR="00456643" w:rsidRDefault="00456643">
      <w:pPr>
        <w:rPr>
          <w:lang w:val="en-US"/>
        </w:rPr>
      </w:pPr>
    </w:p>
    <w:p w:rsidR="002F4C21" w:rsidRPr="005A7456" w:rsidRDefault="002F4C21" w:rsidP="005A7456">
      <w:pPr>
        <w:pStyle w:val="ListParagraph"/>
        <w:numPr>
          <w:ilvl w:val="1"/>
          <w:numId w:val="10"/>
        </w:numPr>
        <w:rPr>
          <w:bCs/>
          <w:u w:val="single"/>
          <w:lang w:val="en-US"/>
        </w:rPr>
      </w:pPr>
      <w:r w:rsidRPr="005A7456">
        <w:rPr>
          <w:bCs/>
          <w:u w:val="single"/>
          <w:lang w:val="en-US"/>
        </w:rPr>
        <w:t xml:space="preserve">General information related to the </w:t>
      </w:r>
      <w:r w:rsidR="00C377D3" w:rsidRPr="005A7456">
        <w:rPr>
          <w:bCs/>
          <w:u w:val="single"/>
          <w:lang w:val="en-US"/>
        </w:rPr>
        <w:t>country‘s</w:t>
      </w:r>
      <w:r w:rsidRPr="005A7456">
        <w:rPr>
          <w:bCs/>
          <w:u w:val="single"/>
          <w:lang w:val="en-US"/>
        </w:rPr>
        <w:t xml:space="preserve"> cultural policy</w:t>
      </w:r>
    </w:p>
    <w:p w:rsidR="0047130C" w:rsidRPr="00F9741C" w:rsidRDefault="0013487B" w:rsidP="00F9741C">
      <w:pPr>
        <w:jc w:val="both"/>
        <w:rPr>
          <w:sz w:val="24"/>
          <w:szCs w:val="24"/>
          <w:lang w:val="en-US"/>
        </w:rPr>
      </w:pPr>
      <w:r w:rsidRPr="00F9741C">
        <w:rPr>
          <w:rFonts w:cstheme="minorHAnsi"/>
          <w:sz w:val="24"/>
          <w:szCs w:val="24"/>
          <w:lang w:val="en-US"/>
        </w:rPr>
        <w:t xml:space="preserve">The </w:t>
      </w:r>
      <w:r w:rsidRPr="00F9741C">
        <w:rPr>
          <w:rFonts w:cstheme="minorHAnsi"/>
          <w:bCs/>
          <w:sz w:val="24"/>
          <w:szCs w:val="24"/>
          <w:lang w:val="en-US"/>
        </w:rPr>
        <w:t>Republic of North Macedonia</w:t>
      </w:r>
      <w:r w:rsidR="00D01B03" w:rsidRPr="00F9741C">
        <w:rPr>
          <w:rFonts w:cstheme="minorHAnsi"/>
          <w:bCs/>
          <w:sz w:val="24"/>
          <w:szCs w:val="24"/>
          <w:lang w:val="en-US"/>
        </w:rPr>
        <w:t xml:space="preserve"> (MK)</w:t>
      </w:r>
      <w:r w:rsidRPr="00F9741C">
        <w:rPr>
          <w:rFonts w:cstheme="minorHAnsi"/>
          <w:sz w:val="24"/>
          <w:szCs w:val="24"/>
          <w:lang w:val="en-US"/>
        </w:rPr>
        <w:t xml:space="preserve"> became independent on </w:t>
      </w:r>
      <w:r w:rsidRPr="00F9741C">
        <w:rPr>
          <w:rFonts w:cstheme="minorHAnsi"/>
          <w:bCs/>
          <w:sz w:val="24"/>
          <w:szCs w:val="24"/>
          <w:lang w:val="en-US"/>
        </w:rPr>
        <w:t>8 September 1991</w:t>
      </w:r>
      <w:r w:rsidRPr="00F9741C">
        <w:rPr>
          <w:rFonts w:cstheme="minorHAnsi"/>
          <w:sz w:val="24"/>
          <w:szCs w:val="24"/>
          <w:lang w:val="en-US"/>
        </w:rPr>
        <w:t>.</w:t>
      </w:r>
      <w:r w:rsidR="00DF4F22" w:rsidRPr="00F9741C">
        <w:rPr>
          <w:sz w:val="24"/>
          <w:szCs w:val="24"/>
          <w:lang w:val="en-US"/>
        </w:rPr>
        <w:t>T</w:t>
      </w:r>
      <w:r w:rsidR="00390A62" w:rsidRPr="00F9741C">
        <w:rPr>
          <w:sz w:val="24"/>
          <w:szCs w:val="24"/>
          <w:lang w:val="en-US"/>
        </w:rPr>
        <w:t>he country</w:t>
      </w:r>
      <w:r w:rsidR="00DF4F22" w:rsidRPr="00F9741C">
        <w:rPr>
          <w:sz w:val="24"/>
          <w:szCs w:val="24"/>
          <w:lang w:val="en-US"/>
        </w:rPr>
        <w:t xml:space="preserve"> beca</w:t>
      </w:r>
      <w:r w:rsidR="0047130C" w:rsidRPr="00F9741C">
        <w:rPr>
          <w:sz w:val="24"/>
          <w:szCs w:val="24"/>
          <w:lang w:val="en-US"/>
        </w:rPr>
        <w:t>me a member of the Council of Europe</w:t>
      </w:r>
      <w:r w:rsidR="002F4C21">
        <w:rPr>
          <w:sz w:val="24"/>
          <w:szCs w:val="24"/>
          <w:lang w:val="en-US"/>
        </w:rPr>
        <w:t xml:space="preserve"> (CoE)</w:t>
      </w:r>
      <w:r w:rsidR="0047130C" w:rsidRPr="00F9741C">
        <w:rPr>
          <w:sz w:val="24"/>
          <w:szCs w:val="24"/>
          <w:lang w:val="en-US"/>
        </w:rPr>
        <w:t xml:space="preserve"> in 1995 (In Annex 1 all </w:t>
      </w:r>
      <w:r w:rsidR="00F12798" w:rsidRPr="00F9741C">
        <w:rPr>
          <w:sz w:val="24"/>
          <w:szCs w:val="24"/>
          <w:lang w:val="en-US"/>
        </w:rPr>
        <w:t xml:space="preserve">MK </w:t>
      </w:r>
      <w:r w:rsidR="007C0E3C">
        <w:rPr>
          <w:sz w:val="24"/>
          <w:szCs w:val="24"/>
          <w:lang w:val="en-US"/>
        </w:rPr>
        <w:t xml:space="preserve">undertakings </w:t>
      </w:r>
      <w:r w:rsidR="0047130C" w:rsidRPr="00F9741C">
        <w:rPr>
          <w:sz w:val="24"/>
          <w:szCs w:val="24"/>
          <w:lang w:val="en-US"/>
        </w:rPr>
        <w:t>related to the Council of Europe</w:t>
      </w:r>
      <w:r w:rsidR="007C0E3C" w:rsidRPr="00F9741C">
        <w:rPr>
          <w:sz w:val="24"/>
          <w:szCs w:val="24"/>
          <w:lang w:val="en-US"/>
        </w:rPr>
        <w:t>are listed</w:t>
      </w:r>
      <w:r w:rsidR="00F12798" w:rsidRPr="00F9741C">
        <w:rPr>
          <w:sz w:val="24"/>
          <w:szCs w:val="24"/>
          <w:lang w:val="en-US"/>
        </w:rPr>
        <w:t xml:space="preserve">). </w:t>
      </w:r>
    </w:p>
    <w:p w:rsidR="003623BB" w:rsidRPr="00F9741C" w:rsidRDefault="00DF4F22" w:rsidP="00F9741C">
      <w:pPr>
        <w:jc w:val="both"/>
        <w:rPr>
          <w:sz w:val="24"/>
          <w:szCs w:val="24"/>
          <w:lang w:val="en-US"/>
        </w:rPr>
      </w:pPr>
      <w:r w:rsidRPr="00F9741C">
        <w:rPr>
          <w:sz w:val="24"/>
          <w:szCs w:val="24"/>
          <w:lang w:val="en-US"/>
        </w:rPr>
        <w:t>It</w:t>
      </w:r>
      <w:r w:rsidR="00390A62" w:rsidRPr="00F9741C">
        <w:rPr>
          <w:sz w:val="24"/>
          <w:szCs w:val="24"/>
          <w:lang w:val="en-US"/>
        </w:rPr>
        <w:t xml:space="preserve"> iscandidat</w:t>
      </w:r>
      <w:r w:rsidRPr="00F9741C">
        <w:rPr>
          <w:sz w:val="24"/>
          <w:szCs w:val="24"/>
          <w:lang w:val="en-US"/>
        </w:rPr>
        <w:t>e</w:t>
      </w:r>
      <w:r w:rsidR="00390A62" w:rsidRPr="00F9741C">
        <w:rPr>
          <w:sz w:val="24"/>
          <w:szCs w:val="24"/>
          <w:lang w:val="en-US"/>
        </w:rPr>
        <w:t xml:space="preserve"> to accession to the E</w:t>
      </w:r>
      <w:r w:rsidRPr="00F9741C">
        <w:rPr>
          <w:sz w:val="24"/>
          <w:szCs w:val="24"/>
          <w:lang w:val="en-US"/>
        </w:rPr>
        <w:t xml:space="preserve">uropean Union </w:t>
      </w:r>
      <w:r w:rsidR="00390A62" w:rsidRPr="00F9741C">
        <w:rPr>
          <w:sz w:val="24"/>
          <w:szCs w:val="24"/>
          <w:lang w:val="en-US"/>
        </w:rPr>
        <w:t>since 2005. On 26 March 2020, the European Council endorsed the decision to open accession ne</w:t>
      </w:r>
      <w:r w:rsidR="00AA7C8D" w:rsidRPr="00F9741C">
        <w:rPr>
          <w:sz w:val="24"/>
          <w:szCs w:val="24"/>
          <w:lang w:val="en-US"/>
        </w:rPr>
        <w:t>gotiations with North Macedonia</w:t>
      </w:r>
      <w:r w:rsidR="00390A62" w:rsidRPr="00F9741C">
        <w:rPr>
          <w:sz w:val="24"/>
          <w:szCs w:val="24"/>
          <w:lang w:val="en-US"/>
        </w:rPr>
        <w:t>.</w:t>
      </w:r>
      <w:r w:rsidR="00AA7C8D" w:rsidRPr="00F9741C">
        <w:rPr>
          <w:sz w:val="24"/>
          <w:szCs w:val="24"/>
          <w:lang w:val="en-US"/>
        </w:rPr>
        <w:t xml:space="preserve">  The country joined NATO in March 2020. </w:t>
      </w:r>
      <w:r w:rsidR="00AA7C8D" w:rsidRPr="00F9741C">
        <w:rPr>
          <w:rFonts w:cstheme="minorHAnsi"/>
          <w:sz w:val="24"/>
          <w:szCs w:val="24"/>
          <w:lang w:val="en-US"/>
        </w:rPr>
        <w:t xml:space="preserve">It has a population of 2.076.255 (2019). According to the latest </w:t>
      </w:r>
      <w:r w:rsidR="007C0E3C">
        <w:rPr>
          <w:rFonts w:cstheme="minorHAnsi"/>
          <w:sz w:val="24"/>
          <w:szCs w:val="24"/>
          <w:lang w:val="en-US"/>
        </w:rPr>
        <w:t>c</w:t>
      </w:r>
      <w:r w:rsidR="00AA7C8D" w:rsidRPr="00F9741C">
        <w:rPr>
          <w:rFonts w:cstheme="minorHAnsi"/>
          <w:sz w:val="24"/>
          <w:szCs w:val="24"/>
          <w:lang w:val="en-US"/>
        </w:rPr>
        <w:t xml:space="preserve">ensus of </w:t>
      </w:r>
      <w:r w:rsidR="007C0E3C">
        <w:rPr>
          <w:rFonts w:cstheme="minorHAnsi"/>
          <w:sz w:val="24"/>
          <w:szCs w:val="24"/>
          <w:lang w:val="en-US"/>
        </w:rPr>
        <w:t>p</w:t>
      </w:r>
      <w:r w:rsidR="00AA7C8D" w:rsidRPr="00F9741C">
        <w:rPr>
          <w:rFonts w:cstheme="minorHAnsi"/>
          <w:sz w:val="24"/>
          <w:szCs w:val="24"/>
          <w:lang w:val="en-US"/>
        </w:rPr>
        <w:t>opulation (2002), 64.17% of the population is Macedonian; 25.17% Albanian; 3.5% Turk; 2.66% Roma; 0.48% Vlach; 1.78% Serb; 0.84% Bosnian; 1.04% other.</w:t>
      </w:r>
    </w:p>
    <w:p w:rsidR="003623BB" w:rsidRPr="00F9741C" w:rsidRDefault="003623BB" w:rsidP="00F9741C">
      <w:pPr>
        <w:jc w:val="both"/>
        <w:rPr>
          <w:sz w:val="24"/>
          <w:szCs w:val="24"/>
          <w:lang w:val="en-US"/>
        </w:rPr>
      </w:pPr>
      <w:r w:rsidRPr="00F9741C">
        <w:rPr>
          <w:sz w:val="24"/>
          <w:szCs w:val="24"/>
          <w:lang w:val="en-US"/>
        </w:rPr>
        <w:t>The percentage of households with internet access at home has increased by 11</w:t>
      </w:r>
      <w:r w:rsidR="002F4C21">
        <w:rPr>
          <w:sz w:val="24"/>
          <w:szCs w:val="24"/>
          <w:lang w:val="en-US"/>
        </w:rPr>
        <w:t xml:space="preserve"> %</w:t>
      </w:r>
      <w:r w:rsidRPr="00F9741C">
        <w:rPr>
          <w:sz w:val="24"/>
          <w:szCs w:val="24"/>
          <w:lang w:val="en-US"/>
        </w:rPr>
        <w:t xml:space="preserve"> between 2014 and 2018 (79.3%) and mobile broadband penetration </w:t>
      </w:r>
      <w:r w:rsidR="002F4C21">
        <w:rPr>
          <w:sz w:val="24"/>
          <w:szCs w:val="24"/>
          <w:lang w:val="en-US"/>
        </w:rPr>
        <w:t xml:space="preserve">covers </w:t>
      </w:r>
      <w:r w:rsidRPr="00F9741C">
        <w:rPr>
          <w:sz w:val="24"/>
          <w:szCs w:val="24"/>
          <w:lang w:val="en-US"/>
        </w:rPr>
        <w:t>61% of population.  Companies still face restrictions regarding fixed broadband access (19.4% in 2018 compared to 17.2% in 2014)</w:t>
      </w:r>
      <w:r w:rsidR="008C3A7C">
        <w:rPr>
          <w:rStyle w:val="FootnoteReference"/>
          <w:sz w:val="24"/>
          <w:szCs w:val="24"/>
          <w:lang w:val="en-US"/>
        </w:rPr>
        <w:footnoteReference w:id="2"/>
      </w:r>
      <w:r w:rsidRPr="00F9741C">
        <w:rPr>
          <w:sz w:val="24"/>
          <w:szCs w:val="24"/>
          <w:lang w:val="en-US"/>
        </w:rPr>
        <w:t xml:space="preserve">. </w:t>
      </w:r>
    </w:p>
    <w:p w:rsidR="008C3A7C" w:rsidRPr="008C3A7C" w:rsidRDefault="00AA7C8D" w:rsidP="008C3A7C">
      <w:pPr>
        <w:jc w:val="both"/>
        <w:rPr>
          <w:rFonts w:cstheme="minorHAnsi"/>
          <w:sz w:val="24"/>
          <w:szCs w:val="24"/>
          <w:lang w:val="en-US"/>
        </w:rPr>
      </w:pPr>
      <w:r w:rsidRPr="00F9741C">
        <w:rPr>
          <w:rFonts w:cstheme="minorHAnsi"/>
          <w:sz w:val="24"/>
          <w:szCs w:val="24"/>
          <w:lang w:val="en-US"/>
        </w:rPr>
        <w:t xml:space="preserve">The Ministry of Culture (MoC) distributes public funds for culture </w:t>
      </w:r>
      <w:r w:rsidR="007C0E3C">
        <w:rPr>
          <w:rFonts w:cstheme="minorHAnsi"/>
          <w:sz w:val="24"/>
          <w:szCs w:val="24"/>
          <w:lang w:val="en-US"/>
        </w:rPr>
        <w:t xml:space="preserve">on the basis of </w:t>
      </w:r>
      <w:r w:rsidRPr="00F9741C">
        <w:rPr>
          <w:rFonts w:cstheme="minorHAnsi"/>
          <w:sz w:val="24"/>
          <w:szCs w:val="24"/>
          <w:lang w:val="en-US"/>
        </w:rPr>
        <w:t xml:space="preserve">an annual plan. The allocation of the overall state budget to different sectors is prescribed by law (annual Law on the National Budget). </w:t>
      </w:r>
      <w:r w:rsidR="008C3A7C" w:rsidRPr="008C3A7C">
        <w:rPr>
          <w:rFonts w:cstheme="minorHAnsi"/>
          <w:sz w:val="24"/>
          <w:szCs w:val="24"/>
          <w:lang w:val="en-US"/>
        </w:rPr>
        <w:t xml:space="preserve">The Budget of the Ministry of Culture of Republic of North Macedonia in year 2021 totals 3.276.430.000,00 MKD </w:t>
      </w:r>
      <w:r w:rsidR="007C0E3C">
        <w:rPr>
          <w:rFonts w:cstheme="minorHAnsi"/>
          <w:sz w:val="24"/>
          <w:szCs w:val="24"/>
          <w:lang w:val="en-US"/>
        </w:rPr>
        <w:t>(</w:t>
      </w:r>
      <w:r w:rsidR="008C3A7C" w:rsidRPr="008C3A7C">
        <w:rPr>
          <w:rFonts w:cstheme="minorHAnsi"/>
          <w:sz w:val="24"/>
          <w:szCs w:val="24"/>
          <w:lang w:val="en-US"/>
        </w:rPr>
        <w:t>5</w:t>
      </w:r>
      <w:r w:rsidR="007C0E3C">
        <w:rPr>
          <w:rFonts w:cstheme="minorHAnsi"/>
          <w:sz w:val="24"/>
          <w:szCs w:val="24"/>
          <w:lang w:val="en-US"/>
        </w:rPr>
        <w:t>3 million</w:t>
      </w:r>
      <w:r w:rsidR="008C3A7C" w:rsidRPr="008C3A7C">
        <w:rPr>
          <w:rFonts w:cstheme="minorHAnsi"/>
          <w:sz w:val="24"/>
          <w:szCs w:val="24"/>
          <w:lang w:val="en-US"/>
        </w:rPr>
        <w:t xml:space="preserve"> EUR</w:t>
      </w:r>
      <w:r w:rsidR="007C0E3C">
        <w:rPr>
          <w:rFonts w:cstheme="minorHAnsi"/>
          <w:sz w:val="24"/>
          <w:szCs w:val="24"/>
          <w:lang w:val="en-US"/>
        </w:rPr>
        <w:t>)</w:t>
      </w:r>
      <w:r w:rsidR="008C3A7C" w:rsidRPr="008C3A7C">
        <w:rPr>
          <w:rFonts w:cstheme="minorHAnsi"/>
          <w:sz w:val="24"/>
          <w:szCs w:val="24"/>
          <w:lang w:val="en-US"/>
        </w:rPr>
        <w:t xml:space="preserve">. The </w:t>
      </w:r>
      <w:r w:rsidR="007C0E3C">
        <w:rPr>
          <w:rFonts w:cstheme="minorHAnsi"/>
          <w:sz w:val="24"/>
          <w:szCs w:val="24"/>
          <w:lang w:val="en-US"/>
        </w:rPr>
        <w:t>b</w:t>
      </w:r>
      <w:r w:rsidR="008C3A7C" w:rsidRPr="008C3A7C">
        <w:rPr>
          <w:rFonts w:cstheme="minorHAnsi"/>
          <w:sz w:val="24"/>
          <w:szCs w:val="24"/>
          <w:lang w:val="en-US"/>
        </w:rPr>
        <w:t xml:space="preserve">udget for culture in relation to the entire budget of North Macedonia is 1.23 % percent, and compared to the </w:t>
      </w:r>
      <w:r w:rsidR="007C0E3C">
        <w:rPr>
          <w:rFonts w:cstheme="minorHAnsi"/>
          <w:sz w:val="24"/>
          <w:szCs w:val="24"/>
          <w:lang w:val="en-US"/>
        </w:rPr>
        <w:t>b</w:t>
      </w:r>
      <w:r w:rsidR="008C3A7C" w:rsidRPr="008C3A7C">
        <w:rPr>
          <w:rFonts w:cstheme="minorHAnsi"/>
          <w:sz w:val="24"/>
          <w:szCs w:val="24"/>
          <w:lang w:val="en-US"/>
        </w:rPr>
        <w:t xml:space="preserve">udget for 2020 it has been reduced by 10.000.000 MKD </w:t>
      </w:r>
      <w:r w:rsidR="007C0E3C">
        <w:rPr>
          <w:rFonts w:cstheme="minorHAnsi"/>
          <w:sz w:val="24"/>
          <w:szCs w:val="24"/>
          <w:lang w:val="en-US"/>
        </w:rPr>
        <w:t>(</w:t>
      </w:r>
      <w:r w:rsidR="008C3A7C" w:rsidRPr="008C3A7C">
        <w:rPr>
          <w:rFonts w:cstheme="minorHAnsi"/>
          <w:sz w:val="24"/>
          <w:szCs w:val="24"/>
          <w:lang w:val="en-US"/>
        </w:rPr>
        <w:t>approximately 16</w:t>
      </w:r>
      <w:r w:rsidR="007C0E3C">
        <w:rPr>
          <w:rFonts w:cstheme="minorHAnsi"/>
          <w:sz w:val="24"/>
          <w:szCs w:val="24"/>
          <w:lang w:val="en-US"/>
        </w:rPr>
        <w:t>2</w:t>
      </w:r>
      <w:r w:rsidR="008C3A7C" w:rsidRPr="008C3A7C">
        <w:rPr>
          <w:rFonts w:cstheme="minorHAnsi"/>
          <w:sz w:val="24"/>
          <w:szCs w:val="24"/>
          <w:lang w:val="en-US"/>
        </w:rPr>
        <w:t>.000 EUR</w:t>
      </w:r>
      <w:r w:rsidR="007C0E3C">
        <w:rPr>
          <w:rFonts w:cstheme="minorHAnsi"/>
          <w:sz w:val="24"/>
          <w:szCs w:val="24"/>
          <w:lang w:val="en-US"/>
        </w:rPr>
        <w:t>)</w:t>
      </w:r>
      <w:r w:rsidR="008C3A7C" w:rsidRPr="008C3A7C">
        <w:rPr>
          <w:rFonts w:cstheme="minorHAnsi"/>
          <w:sz w:val="24"/>
          <w:szCs w:val="24"/>
          <w:lang w:val="en-US"/>
        </w:rPr>
        <w:t>.</w:t>
      </w:r>
    </w:p>
    <w:p w:rsidR="008C3A7C" w:rsidRPr="008C3A7C" w:rsidRDefault="007C0E3C" w:rsidP="008C3A7C">
      <w:pPr>
        <w:jc w:val="both"/>
        <w:rPr>
          <w:rFonts w:cstheme="minorHAnsi"/>
          <w:sz w:val="24"/>
          <w:szCs w:val="24"/>
          <w:lang w:val="en-US"/>
        </w:rPr>
      </w:pPr>
      <w:r>
        <w:rPr>
          <w:rFonts w:cstheme="minorHAnsi"/>
          <w:sz w:val="24"/>
          <w:szCs w:val="24"/>
          <w:lang w:val="en-US"/>
        </w:rPr>
        <w:t xml:space="preserve">The cultural budget finance </w:t>
      </w:r>
      <w:r w:rsidR="008C3A7C" w:rsidRPr="008C3A7C">
        <w:rPr>
          <w:rFonts w:cstheme="minorHAnsi"/>
          <w:sz w:val="24"/>
          <w:szCs w:val="24"/>
          <w:lang w:val="en-US"/>
        </w:rPr>
        <w:t xml:space="preserve">projects of national interest and capital (infrastructural) investment projects. The funds </w:t>
      </w:r>
      <w:r>
        <w:rPr>
          <w:rFonts w:cstheme="minorHAnsi"/>
          <w:sz w:val="24"/>
          <w:szCs w:val="24"/>
          <w:lang w:val="en-US"/>
        </w:rPr>
        <w:t xml:space="preserve">allocated to </w:t>
      </w:r>
      <w:r w:rsidR="008C3A7C" w:rsidRPr="008C3A7C">
        <w:rPr>
          <w:rFonts w:cstheme="minorHAnsi"/>
          <w:sz w:val="24"/>
          <w:szCs w:val="24"/>
          <w:lang w:val="en-US"/>
        </w:rPr>
        <w:t xml:space="preserve"> financing projects of national interest in 2021 are 970,100,000.00 MKD (approximately 15</w:t>
      </w:r>
      <w:r w:rsidR="008C3A7C">
        <w:rPr>
          <w:rFonts w:cstheme="minorHAnsi"/>
          <w:sz w:val="24"/>
          <w:szCs w:val="24"/>
          <w:lang w:val="en-US"/>
        </w:rPr>
        <w:t>.5</w:t>
      </w:r>
      <w:r w:rsidR="008C3A7C" w:rsidRPr="008C3A7C">
        <w:rPr>
          <w:rFonts w:cstheme="minorHAnsi"/>
          <w:sz w:val="24"/>
          <w:szCs w:val="24"/>
          <w:lang w:val="en-US"/>
        </w:rPr>
        <w:t xml:space="preserve"> million EUR) and the funds intended for financing capital projects are 217,000,000 MKD (approximately 3</w:t>
      </w:r>
      <w:r>
        <w:rPr>
          <w:rFonts w:cstheme="minorHAnsi"/>
          <w:sz w:val="24"/>
          <w:szCs w:val="24"/>
          <w:lang w:val="en-US"/>
        </w:rPr>
        <w:t xml:space="preserve">.5 million </w:t>
      </w:r>
      <w:r w:rsidR="008C3A7C" w:rsidRPr="008C3A7C">
        <w:rPr>
          <w:rFonts w:cstheme="minorHAnsi"/>
          <w:sz w:val="24"/>
          <w:szCs w:val="24"/>
          <w:lang w:val="en-US"/>
        </w:rPr>
        <w:t xml:space="preserve">EUR). </w:t>
      </w:r>
      <w:r w:rsidR="008C3A7C">
        <w:rPr>
          <w:rFonts w:cstheme="minorHAnsi"/>
          <w:sz w:val="24"/>
          <w:szCs w:val="24"/>
          <w:lang w:val="en-US"/>
        </w:rPr>
        <w:t>The Ministry counts 144 employees</w:t>
      </w:r>
      <w:r w:rsidR="008C3A7C">
        <w:rPr>
          <w:rStyle w:val="FootnoteReference"/>
          <w:rFonts w:cstheme="minorHAnsi"/>
          <w:sz w:val="24"/>
          <w:szCs w:val="24"/>
          <w:lang w:val="en-US"/>
        </w:rPr>
        <w:footnoteReference w:id="3"/>
      </w:r>
      <w:r w:rsidR="008C3A7C">
        <w:rPr>
          <w:rFonts w:cstheme="minorHAnsi"/>
          <w:sz w:val="24"/>
          <w:szCs w:val="24"/>
          <w:lang w:val="en-US"/>
        </w:rPr>
        <w:t xml:space="preserve">. </w:t>
      </w:r>
    </w:p>
    <w:p w:rsidR="008C3A7C" w:rsidRDefault="00AA7C8D" w:rsidP="008C3A7C">
      <w:pPr>
        <w:jc w:val="both"/>
        <w:rPr>
          <w:rFonts w:cstheme="minorHAnsi"/>
          <w:sz w:val="24"/>
          <w:szCs w:val="24"/>
          <w:lang w:val="en-US"/>
        </w:rPr>
      </w:pPr>
      <w:r w:rsidRPr="00F9741C">
        <w:rPr>
          <w:rFonts w:cstheme="minorHAnsi"/>
          <w:sz w:val="24"/>
          <w:szCs w:val="24"/>
          <w:lang w:val="en-US"/>
        </w:rPr>
        <w:t>There is no data available on the local (mu</w:t>
      </w:r>
      <w:r w:rsidR="008960FD" w:rsidRPr="00F9741C">
        <w:rPr>
          <w:rFonts w:cstheme="minorHAnsi"/>
          <w:sz w:val="24"/>
          <w:szCs w:val="24"/>
          <w:lang w:val="en-US"/>
        </w:rPr>
        <w:t>nicipal) expenditure on culture</w:t>
      </w:r>
      <w:r w:rsidR="001F7EE9">
        <w:rPr>
          <w:rFonts w:cstheme="minorHAnsi"/>
          <w:sz w:val="24"/>
          <w:szCs w:val="24"/>
          <w:lang w:val="en-US"/>
        </w:rPr>
        <w:t xml:space="preserve">that complements state funding as </w:t>
      </w:r>
      <w:r w:rsidR="008C3A7C">
        <w:rPr>
          <w:rFonts w:cstheme="minorHAnsi"/>
          <w:sz w:val="24"/>
          <w:szCs w:val="24"/>
          <w:lang w:val="en-US"/>
        </w:rPr>
        <w:t>33 local authorities are being supported by the central government</w:t>
      </w:r>
      <w:r w:rsidR="001F7EE9">
        <w:rPr>
          <w:rFonts w:cstheme="minorHAnsi"/>
          <w:sz w:val="24"/>
          <w:szCs w:val="24"/>
          <w:lang w:val="en-US"/>
        </w:rPr>
        <w:t xml:space="preserve"> at the level of 324 million MKD</w:t>
      </w:r>
      <w:r w:rsidR="008960FD" w:rsidRPr="00F9741C">
        <w:rPr>
          <w:rFonts w:cstheme="minorHAnsi"/>
          <w:sz w:val="24"/>
          <w:szCs w:val="24"/>
          <w:lang w:val="en-US"/>
        </w:rPr>
        <w:t xml:space="preserve">.  </w:t>
      </w:r>
      <w:r w:rsidR="008C3A7C">
        <w:rPr>
          <w:rFonts w:cstheme="minorHAnsi"/>
          <w:sz w:val="24"/>
          <w:szCs w:val="24"/>
          <w:lang w:val="en-US"/>
        </w:rPr>
        <w:t xml:space="preserve">Following </w:t>
      </w:r>
      <w:r w:rsidR="008C3A7C" w:rsidRPr="008C3A7C">
        <w:rPr>
          <w:rFonts w:cstheme="minorHAnsi"/>
          <w:sz w:val="24"/>
          <w:szCs w:val="24"/>
          <w:lang w:val="en-US"/>
        </w:rPr>
        <w:t>the process of decentralization in 2004, when a network of cultural institution was transferred from national to local level, the Government decided to continue the financial support for these institutions</w:t>
      </w:r>
      <w:r w:rsidR="001F7EE9">
        <w:rPr>
          <w:rFonts w:cstheme="minorHAnsi"/>
          <w:sz w:val="24"/>
          <w:szCs w:val="24"/>
          <w:lang w:val="en-US"/>
        </w:rPr>
        <w:t xml:space="preserve"> (49 of them)</w:t>
      </w:r>
      <w:r w:rsidR="008C3A7C" w:rsidRPr="008C3A7C">
        <w:rPr>
          <w:rFonts w:cstheme="minorHAnsi"/>
          <w:sz w:val="24"/>
          <w:szCs w:val="24"/>
          <w:lang w:val="en-US"/>
        </w:rPr>
        <w:t>.</w:t>
      </w:r>
    </w:p>
    <w:p w:rsidR="008C3A7C" w:rsidRDefault="008C3A7C" w:rsidP="008C3A7C">
      <w:pPr>
        <w:jc w:val="both"/>
        <w:rPr>
          <w:rFonts w:cstheme="minorHAnsi"/>
          <w:sz w:val="24"/>
          <w:szCs w:val="24"/>
          <w:lang w:val="en-US"/>
        </w:rPr>
      </w:pPr>
    </w:p>
    <w:p w:rsidR="00AA7C8D" w:rsidRPr="00F9741C" w:rsidRDefault="00AA7C8D" w:rsidP="008C3A7C">
      <w:pPr>
        <w:jc w:val="both"/>
        <w:rPr>
          <w:rFonts w:cstheme="minorHAnsi"/>
          <w:sz w:val="24"/>
          <w:szCs w:val="24"/>
          <w:lang w:val="en-US"/>
        </w:rPr>
      </w:pPr>
      <w:r w:rsidRPr="00F9741C">
        <w:rPr>
          <w:rFonts w:cstheme="minorHAnsi"/>
          <w:sz w:val="24"/>
          <w:szCs w:val="24"/>
          <w:lang w:val="en-US"/>
        </w:rPr>
        <w:lastRenderedPageBreak/>
        <w:t>The MoC has also signed bilateral agreements for cultural cooperation with more than 50 countries.</w:t>
      </w:r>
    </w:p>
    <w:p w:rsidR="00AA7C8D" w:rsidRPr="00F9741C" w:rsidRDefault="00F9741C" w:rsidP="00F9741C">
      <w:pPr>
        <w:jc w:val="both"/>
        <w:rPr>
          <w:sz w:val="24"/>
          <w:szCs w:val="24"/>
          <w:lang w:val="en-US"/>
        </w:rPr>
      </w:pPr>
      <w:r w:rsidRPr="00F9741C">
        <w:rPr>
          <w:sz w:val="24"/>
          <w:szCs w:val="24"/>
          <w:lang w:val="en-US"/>
        </w:rPr>
        <w:t>General s</w:t>
      </w:r>
      <w:r w:rsidR="00AA7C8D" w:rsidRPr="00F9741C">
        <w:rPr>
          <w:sz w:val="24"/>
          <w:szCs w:val="24"/>
          <w:lang w:val="en-US"/>
        </w:rPr>
        <w:t xml:space="preserve">tatistics </w:t>
      </w:r>
      <w:r w:rsidR="009B68E4" w:rsidRPr="00F9741C">
        <w:rPr>
          <w:sz w:val="24"/>
          <w:szCs w:val="24"/>
          <w:lang w:val="en-US"/>
        </w:rPr>
        <w:t xml:space="preserve">available </w:t>
      </w:r>
      <w:r w:rsidR="00AA7C8D" w:rsidRPr="00F9741C">
        <w:rPr>
          <w:sz w:val="24"/>
          <w:szCs w:val="24"/>
          <w:lang w:val="en-US"/>
        </w:rPr>
        <w:t>on North Macedonian culture and creative sector provide</w:t>
      </w:r>
      <w:r w:rsidR="009B68E4">
        <w:rPr>
          <w:sz w:val="24"/>
          <w:szCs w:val="24"/>
          <w:lang w:val="en-US"/>
        </w:rPr>
        <w:t xml:space="preserve"> as follows</w:t>
      </w:r>
      <w:r w:rsidR="00AA7C8D" w:rsidRPr="00F9741C">
        <w:rPr>
          <w:sz w:val="24"/>
          <w:szCs w:val="24"/>
          <w:lang w:val="en-US"/>
        </w:rPr>
        <w:t xml:space="preserve">: </w:t>
      </w:r>
    </w:p>
    <w:p w:rsidR="00AA7C8D" w:rsidRPr="00F9741C" w:rsidRDefault="00AA7C8D" w:rsidP="00F9741C">
      <w:pPr>
        <w:ind w:left="708" w:hanging="708"/>
        <w:jc w:val="both"/>
        <w:rPr>
          <w:sz w:val="24"/>
          <w:szCs w:val="24"/>
          <w:lang w:val="en-US"/>
        </w:rPr>
      </w:pPr>
      <w:r w:rsidRPr="00F9741C">
        <w:rPr>
          <w:sz w:val="24"/>
          <w:szCs w:val="24"/>
          <w:lang w:val="en-US"/>
        </w:rPr>
        <w:t>•</w:t>
      </w:r>
      <w:r w:rsidRPr="00F9741C">
        <w:rPr>
          <w:sz w:val="24"/>
          <w:szCs w:val="24"/>
          <w:lang w:val="en-US"/>
        </w:rPr>
        <w:tab/>
        <w:t xml:space="preserve">Cultural employment is 3.1% (23.000 people) of MK’s total employment. 60% of cultural employees have a tertiary level of education, compared to 25% of the total (Eurostat 2018). </w:t>
      </w:r>
    </w:p>
    <w:p w:rsidR="00AA7C8D" w:rsidRPr="00F9741C" w:rsidRDefault="00AA7C8D" w:rsidP="00F9741C">
      <w:pPr>
        <w:ind w:left="708" w:hanging="708"/>
        <w:jc w:val="both"/>
        <w:rPr>
          <w:sz w:val="24"/>
          <w:szCs w:val="24"/>
          <w:lang w:val="en-US"/>
        </w:rPr>
      </w:pPr>
      <w:r w:rsidRPr="00F9741C">
        <w:rPr>
          <w:sz w:val="24"/>
          <w:szCs w:val="24"/>
          <w:lang w:val="en-US"/>
        </w:rPr>
        <w:t>•</w:t>
      </w:r>
      <w:r w:rsidRPr="00F9741C">
        <w:rPr>
          <w:sz w:val="24"/>
          <w:szCs w:val="24"/>
          <w:lang w:val="en-US"/>
        </w:rPr>
        <w:tab/>
        <w:t>Cultural enterprises comprise 3.8% of the non-financial business economy. Cultural enterprises’ total value added at factor cost is €86 million, 2.3% of the total non-financial business economy. The turnover is €213 million, 1.2% of the total in non-financial business economy (Eurostat 2015).</w:t>
      </w:r>
    </w:p>
    <w:p w:rsidR="00AA7C8D" w:rsidRPr="00F9741C" w:rsidRDefault="00AA7C8D" w:rsidP="00F9741C">
      <w:pPr>
        <w:ind w:left="708" w:hanging="708"/>
        <w:jc w:val="both"/>
        <w:rPr>
          <w:sz w:val="24"/>
          <w:szCs w:val="24"/>
          <w:lang w:val="en-US"/>
        </w:rPr>
      </w:pPr>
      <w:r w:rsidRPr="00F9741C">
        <w:rPr>
          <w:sz w:val="24"/>
          <w:szCs w:val="24"/>
          <w:lang w:val="en-US"/>
        </w:rPr>
        <w:t>•</w:t>
      </w:r>
      <w:r w:rsidRPr="00F9741C">
        <w:rPr>
          <w:sz w:val="24"/>
          <w:szCs w:val="24"/>
          <w:lang w:val="en-US"/>
        </w:rPr>
        <w:tab/>
        <w:t xml:space="preserve">The largest percentage (70%) of CCI products is intended for foreign markets, while 29.4% products </w:t>
      </w:r>
      <w:r w:rsidR="009B68E4">
        <w:rPr>
          <w:sz w:val="24"/>
          <w:szCs w:val="24"/>
          <w:lang w:val="en-US"/>
        </w:rPr>
        <w:t xml:space="preserve">are aimed </w:t>
      </w:r>
      <w:r w:rsidRPr="00F9741C">
        <w:rPr>
          <w:sz w:val="24"/>
          <w:szCs w:val="24"/>
          <w:lang w:val="en-US"/>
        </w:rPr>
        <w:t xml:space="preserve">exclusively </w:t>
      </w:r>
      <w:r w:rsidR="009B68E4">
        <w:rPr>
          <w:sz w:val="24"/>
          <w:szCs w:val="24"/>
          <w:lang w:val="en-US"/>
        </w:rPr>
        <w:t>at</w:t>
      </w:r>
      <w:r w:rsidRPr="00F9741C">
        <w:rPr>
          <w:sz w:val="24"/>
          <w:szCs w:val="24"/>
          <w:lang w:val="en-US"/>
        </w:rPr>
        <w:t xml:space="preserve"> the domestic market. Export is realized through institutions (25.9%), individually (20.7%) or through </w:t>
      </w:r>
      <w:r w:rsidRPr="006D6320">
        <w:rPr>
          <w:sz w:val="24"/>
          <w:szCs w:val="24"/>
          <w:lang w:val="en-US"/>
        </w:rPr>
        <w:t>companies (19%)</w:t>
      </w:r>
      <w:r w:rsidR="006D6320" w:rsidRPr="006D6320">
        <w:rPr>
          <w:rStyle w:val="FootnoteReference"/>
          <w:sz w:val="24"/>
          <w:szCs w:val="24"/>
          <w:lang w:val="en-US"/>
        </w:rPr>
        <w:footnoteReference w:id="4"/>
      </w:r>
      <w:r w:rsidR="006D6320" w:rsidRPr="006D6320">
        <w:rPr>
          <w:sz w:val="24"/>
          <w:szCs w:val="24"/>
          <w:lang w:val="en-US"/>
        </w:rPr>
        <w:t>.</w:t>
      </w:r>
    </w:p>
    <w:p w:rsidR="008960FD" w:rsidRPr="00F9741C" w:rsidRDefault="00AA7C8D" w:rsidP="00F9741C">
      <w:pPr>
        <w:ind w:left="708" w:hanging="708"/>
        <w:jc w:val="both"/>
        <w:rPr>
          <w:sz w:val="24"/>
          <w:szCs w:val="24"/>
          <w:lang w:val="en-US"/>
        </w:rPr>
      </w:pPr>
      <w:r w:rsidRPr="00F9741C">
        <w:rPr>
          <w:sz w:val="24"/>
          <w:szCs w:val="24"/>
          <w:lang w:val="en-US"/>
        </w:rPr>
        <w:t>•</w:t>
      </w:r>
      <w:r w:rsidRPr="00F9741C">
        <w:rPr>
          <w:sz w:val="24"/>
          <w:szCs w:val="24"/>
          <w:lang w:val="en-US"/>
        </w:rPr>
        <w:tab/>
        <w:t xml:space="preserve">In 2015, 25% of MK citizens participated in cultural activity in the preceding 12 months (Eurostat).  </w:t>
      </w:r>
    </w:p>
    <w:p w:rsidR="008960FD" w:rsidRPr="00F9741C" w:rsidRDefault="008960FD" w:rsidP="00F9741C">
      <w:pPr>
        <w:ind w:left="709" w:hanging="1"/>
        <w:jc w:val="both"/>
        <w:rPr>
          <w:sz w:val="24"/>
          <w:szCs w:val="24"/>
          <w:lang w:val="en-US"/>
        </w:rPr>
      </w:pPr>
      <w:r w:rsidRPr="00F9741C">
        <w:rPr>
          <w:sz w:val="24"/>
          <w:szCs w:val="24"/>
          <w:lang w:val="en-US"/>
        </w:rPr>
        <w:t xml:space="preserve">The country </w:t>
      </w:r>
      <w:r w:rsidRPr="006B1C85">
        <w:rPr>
          <w:sz w:val="24"/>
          <w:szCs w:val="24"/>
          <w:lang w:val="en-US"/>
        </w:rPr>
        <w:t xml:space="preserve">produces around </w:t>
      </w:r>
      <w:r w:rsidR="006B1C85" w:rsidRPr="006B1C85">
        <w:rPr>
          <w:sz w:val="24"/>
          <w:szCs w:val="24"/>
          <w:lang w:val="en-US"/>
        </w:rPr>
        <w:t>10 feature</w:t>
      </w:r>
      <w:r w:rsidRPr="006B1C85">
        <w:rPr>
          <w:sz w:val="24"/>
          <w:szCs w:val="24"/>
          <w:lang w:val="en-US"/>
        </w:rPr>
        <w:t xml:space="preserve"> films per year – the great majority (80%) are financed as international coproduction. The market</w:t>
      </w:r>
      <w:r w:rsidRPr="00F9741C">
        <w:rPr>
          <w:sz w:val="24"/>
          <w:szCs w:val="24"/>
          <w:lang w:val="en-US"/>
        </w:rPr>
        <w:t xml:space="preserve"> share of MK’s top 3 film distributors is over 60%</w:t>
      </w:r>
      <w:r w:rsidR="006D6320">
        <w:rPr>
          <w:rStyle w:val="FootnoteReference"/>
          <w:sz w:val="24"/>
          <w:szCs w:val="24"/>
          <w:lang w:val="en-US"/>
        </w:rPr>
        <w:footnoteReference w:id="5"/>
      </w:r>
      <w:r w:rsidRPr="00F9741C">
        <w:rPr>
          <w:sz w:val="24"/>
          <w:szCs w:val="24"/>
          <w:lang w:val="en-US"/>
        </w:rPr>
        <w:t>.</w:t>
      </w:r>
    </w:p>
    <w:p w:rsidR="00AA7C8D" w:rsidRPr="00F9741C" w:rsidRDefault="00AA7C8D" w:rsidP="00C377D3">
      <w:pPr>
        <w:jc w:val="both"/>
        <w:rPr>
          <w:sz w:val="24"/>
          <w:szCs w:val="24"/>
          <w:lang w:val="en-US"/>
        </w:rPr>
      </w:pPr>
      <w:r w:rsidRPr="00F9741C">
        <w:rPr>
          <w:sz w:val="24"/>
          <w:szCs w:val="24"/>
          <w:lang w:val="en-US"/>
        </w:rPr>
        <w:t xml:space="preserve">The country’s cultural infrastructure </w:t>
      </w:r>
      <w:r w:rsidR="00C377D3">
        <w:rPr>
          <w:sz w:val="24"/>
          <w:szCs w:val="24"/>
          <w:lang w:val="en-US"/>
        </w:rPr>
        <w:t xml:space="preserve">in </w:t>
      </w:r>
      <w:r w:rsidR="008960FD" w:rsidRPr="00F9741C">
        <w:rPr>
          <w:sz w:val="24"/>
          <w:szCs w:val="24"/>
          <w:lang w:val="en-US"/>
        </w:rPr>
        <w:t>h</w:t>
      </w:r>
      <w:r w:rsidRPr="00F9741C">
        <w:rPr>
          <w:sz w:val="24"/>
          <w:szCs w:val="24"/>
          <w:lang w:val="en-US"/>
        </w:rPr>
        <w:t xml:space="preserve">eritage </w:t>
      </w:r>
      <w:r w:rsidR="00C377D3">
        <w:rPr>
          <w:sz w:val="24"/>
          <w:szCs w:val="24"/>
          <w:lang w:val="en-US"/>
        </w:rPr>
        <w:t>includes</w:t>
      </w:r>
      <w:r w:rsidRPr="00F9741C">
        <w:rPr>
          <w:sz w:val="24"/>
          <w:szCs w:val="24"/>
          <w:lang w:val="en-US"/>
        </w:rPr>
        <w:t xml:space="preserve"> 11 200 buildings registered as</w:t>
      </w:r>
      <w:r w:rsidR="008960FD" w:rsidRPr="00F9741C">
        <w:rPr>
          <w:sz w:val="24"/>
          <w:szCs w:val="24"/>
          <w:lang w:val="en-US"/>
        </w:rPr>
        <w:t xml:space="preserve"> part of the immovable cultural </w:t>
      </w:r>
      <w:r w:rsidRPr="00F9741C">
        <w:rPr>
          <w:sz w:val="24"/>
          <w:szCs w:val="24"/>
          <w:lang w:val="en-US"/>
        </w:rPr>
        <w:t xml:space="preserve">heritage (4 421 archaeological sites; 1 726 churches and monasteries with over 150 000 square meters of mural fresco paintings; etc.) and 500 000 </w:t>
      </w:r>
      <w:r w:rsidR="008960FD" w:rsidRPr="00F9741C">
        <w:rPr>
          <w:sz w:val="24"/>
          <w:szCs w:val="24"/>
          <w:lang w:val="en-US"/>
        </w:rPr>
        <w:t>museum pieces</w:t>
      </w:r>
      <w:r w:rsidR="006D6320">
        <w:rPr>
          <w:rStyle w:val="FootnoteReference"/>
          <w:sz w:val="24"/>
          <w:szCs w:val="24"/>
          <w:lang w:val="en-US"/>
        </w:rPr>
        <w:footnoteReference w:id="6"/>
      </w:r>
      <w:r w:rsidRPr="00F9741C">
        <w:rPr>
          <w:sz w:val="24"/>
          <w:szCs w:val="24"/>
          <w:lang w:val="en-US"/>
        </w:rPr>
        <w:t xml:space="preserve">. </w:t>
      </w:r>
      <w:r w:rsidR="008866BE">
        <w:rPr>
          <w:sz w:val="24"/>
          <w:szCs w:val="24"/>
          <w:lang w:val="en-US"/>
        </w:rPr>
        <w:t xml:space="preserve">The country counts </w:t>
      </w:r>
      <w:r w:rsidRPr="00F9741C">
        <w:rPr>
          <w:sz w:val="24"/>
          <w:szCs w:val="24"/>
          <w:lang w:val="en-US"/>
        </w:rPr>
        <w:t xml:space="preserve">32 </w:t>
      </w:r>
      <w:r w:rsidR="008960FD" w:rsidRPr="00F9741C">
        <w:rPr>
          <w:sz w:val="24"/>
          <w:szCs w:val="24"/>
          <w:lang w:val="en-US"/>
        </w:rPr>
        <w:t>museums (</w:t>
      </w:r>
      <w:r w:rsidRPr="00F9741C">
        <w:rPr>
          <w:sz w:val="24"/>
          <w:szCs w:val="24"/>
          <w:lang w:val="en-US"/>
        </w:rPr>
        <w:t>21 national</w:t>
      </w:r>
      <w:r w:rsidR="008960FD" w:rsidRPr="00F9741C">
        <w:rPr>
          <w:sz w:val="24"/>
          <w:szCs w:val="24"/>
          <w:lang w:val="en-US"/>
        </w:rPr>
        <w:t>) (</w:t>
      </w:r>
      <w:r w:rsidRPr="00F9741C">
        <w:rPr>
          <w:sz w:val="24"/>
          <w:szCs w:val="24"/>
          <w:lang w:val="en-US"/>
        </w:rPr>
        <w:t>2018)</w:t>
      </w:r>
      <w:r w:rsidR="008960FD" w:rsidRPr="00F9741C">
        <w:rPr>
          <w:sz w:val="24"/>
          <w:szCs w:val="24"/>
          <w:lang w:val="en-US"/>
        </w:rPr>
        <w:t>, 27 Theaters (2017) and 14 cinemas</w:t>
      </w:r>
      <w:r w:rsidR="006D6320">
        <w:rPr>
          <w:rStyle w:val="FootnoteReference"/>
          <w:sz w:val="24"/>
          <w:szCs w:val="24"/>
          <w:lang w:val="en-US"/>
        </w:rPr>
        <w:footnoteReference w:id="7"/>
      </w:r>
      <w:r w:rsidR="008960FD" w:rsidRPr="00F9741C">
        <w:rPr>
          <w:sz w:val="24"/>
          <w:szCs w:val="24"/>
          <w:lang w:val="en-US"/>
        </w:rPr>
        <w:t>.</w:t>
      </w:r>
    </w:p>
    <w:p w:rsidR="002F4C21" w:rsidRPr="005A7456" w:rsidRDefault="002F4C21" w:rsidP="005A7456">
      <w:pPr>
        <w:pStyle w:val="ListParagraph"/>
        <w:numPr>
          <w:ilvl w:val="1"/>
          <w:numId w:val="10"/>
        </w:numPr>
        <w:jc w:val="both"/>
        <w:rPr>
          <w:rFonts w:cstheme="minorHAnsi"/>
          <w:bCs/>
          <w:u w:val="single"/>
          <w:lang w:val="en-US"/>
        </w:rPr>
      </w:pPr>
      <w:r w:rsidRPr="005A7456">
        <w:rPr>
          <w:rFonts w:cstheme="minorHAnsi"/>
          <w:bCs/>
          <w:u w:val="single"/>
          <w:lang w:val="en-US"/>
        </w:rPr>
        <w:t>Relations with the Council of Europe and other international organisations</w:t>
      </w:r>
    </w:p>
    <w:p w:rsidR="002F4C21" w:rsidRPr="00F9741C" w:rsidRDefault="002F4C21" w:rsidP="002F4C21">
      <w:pPr>
        <w:jc w:val="both"/>
        <w:rPr>
          <w:rFonts w:cstheme="minorHAnsi"/>
          <w:sz w:val="24"/>
          <w:szCs w:val="24"/>
          <w:lang w:val="en-US"/>
        </w:rPr>
      </w:pPr>
      <w:r w:rsidRPr="00F9741C">
        <w:rPr>
          <w:rFonts w:cstheme="minorHAnsi"/>
          <w:sz w:val="24"/>
          <w:szCs w:val="24"/>
          <w:lang w:val="en-US"/>
        </w:rPr>
        <w:t xml:space="preserve">In 2003, the </w:t>
      </w:r>
      <w:r w:rsidRPr="005A7456">
        <w:rPr>
          <w:rFonts w:cstheme="minorHAnsi"/>
          <w:b/>
          <w:bCs/>
          <w:sz w:val="24"/>
          <w:szCs w:val="24"/>
          <w:lang w:val="en-US"/>
        </w:rPr>
        <w:t>Co</w:t>
      </w:r>
      <w:r w:rsidR="00170B0F" w:rsidRPr="005A7456">
        <w:rPr>
          <w:rFonts w:cstheme="minorHAnsi"/>
          <w:b/>
          <w:bCs/>
          <w:sz w:val="24"/>
          <w:szCs w:val="24"/>
          <w:lang w:val="en-US"/>
        </w:rPr>
        <w:t>uncil of Europe (Co</w:t>
      </w:r>
      <w:r w:rsidRPr="005A7456">
        <w:rPr>
          <w:rFonts w:cstheme="minorHAnsi"/>
          <w:b/>
          <w:bCs/>
          <w:sz w:val="24"/>
          <w:szCs w:val="24"/>
          <w:lang w:val="en-US"/>
        </w:rPr>
        <w:t>E</w:t>
      </w:r>
      <w:r w:rsidR="00170B0F" w:rsidRPr="005A7456">
        <w:rPr>
          <w:rFonts w:cstheme="minorHAnsi"/>
          <w:b/>
          <w:bCs/>
          <w:sz w:val="24"/>
          <w:szCs w:val="24"/>
          <w:lang w:val="en-US"/>
        </w:rPr>
        <w:t>)</w:t>
      </w:r>
      <w:r w:rsidRPr="00F9741C">
        <w:rPr>
          <w:rFonts w:cstheme="minorHAnsi"/>
          <w:sz w:val="24"/>
          <w:szCs w:val="24"/>
          <w:lang w:val="en-US"/>
        </w:rPr>
        <w:t xml:space="preserve"> in association with the EU proposed a </w:t>
      </w:r>
      <w:hyperlink r:id="rId9" w:history="1">
        <w:r w:rsidRPr="00C377D3">
          <w:rPr>
            <w:rStyle w:val="Hyperlink"/>
            <w:rFonts w:cstheme="minorHAnsi"/>
            <w:color w:val="auto"/>
            <w:sz w:val="24"/>
            <w:szCs w:val="24"/>
            <w:u w:val="none"/>
            <w:lang w:val="en-US"/>
          </w:rPr>
          <w:t>Regional Programme</w:t>
        </w:r>
      </w:hyperlink>
      <w:r w:rsidRPr="00C377D3">
        <w:rPr>
          <w:rFonts w:cstheme="minorHAnsi"/>
          <w:sz w:val="24"/>
          <w:szCs w:val="24"/>
          <w:lang w:val="en-US"/>
        </w:rPr>
        <w:t xml:space="preserve"> o</w:t>
      </w:r>
      <w:r w:rsidRPr="00F9741C">
        <w:rPr>
          <w:rFonts w:cstheme="minorHAnsi"/>
          <w:sz w:val="24"/>
          <w:szCs w:val="24"/>
          <w:lang w:val="en-US"/>
        </w:rPr>
        <w:t xml:space="preserve">n Cultural and Natural Heritage in South East Europe. This included the </w:t>
      </w:r>
      <w:r w:rsidRPr="004438E0">
        <w:rPr>
          <w:rFonts w:cstheme="minorHAnsi"/>
          <w:b/>
          <w:bCs/>
          <w:sz w:val="24"/>
          <w:szCs w:val="24"/>
          <w:lang w:val="en-US"/>
        </w:rPr>
        <w:t>Ljubljana Process</w:t>
      </w:r>
      <w:r w:rsidR="004438E0">
        <w:rPr>
          <w:rStyle w:val="FootnoteReference"/>
          <w:rFonts w:cstheme="minorHAnsi"/>
          <w:b/>
          <w:bCs/>
          <w:sz w:val="24"/>
          <w:szCs w:val="24"/>
          <w:lang w:val="en-US"/>
        </w:rPr>
        <w:footnoteReference w:id="8"/>
      </w:r>
      <w:r w:rsidRPr="00F9741C">
        <w:rPr>
          <w:rFonts w:cstheme="minorHAnsi"/>
          <w:sz w:val="24"/>
          <w:szCs w:val="24"/>
          <w:lang w:val="en-US"/>
        </w:rPr>
        <w:t>, that brought considerable socioeconomic, institutional and political benefits through actions on over 220 monuments and sites. Since 2011, the Regional Cooperation Council oversees the project (Ljubljana Process II).</w:t>
      </w:r>
    </w:p>
    <w:p w:rsidR="002F4C21" w:rsidRPr="00F9741C" w:rsidRDefault="002F4C21" w:rsidP="002F4C21">
      <w:pPr>
        <w:jc w:val="both"/>
        <w:rPr>
          <w:bCs/>
          <w:iCs/>
          <w:sz w:val="24"/>
          <w:szCs w:val="24"/>
          <w:lang w:val="en-GB"/>
        </w:rPr>
      </w:pPr>
      <w:r w:rsidRPr="00F9741C">
        <w:rPr>
          <w:iCs/>
          <w:sz w:val="24"/>
          <w:szCs w:val="24"/>
          <w:lang w:val="en-GB"/>
        </w:rPr>
        <w:lastRenderedPageBreak/>
        <w:t xml:space="preserve">The CoE Ministerial conference "The Social Value of Cultural Heritage in Europe" was organized in 2010 when the Republic of Macedonia chaired the Committee of Ministers of the Council of Europe. This conference was a strong impetus </w:t>
      </w:r>
      <w:r w:rsidR="009B68E4">
        <w:rPr>
          <w:iCs/>
          <w:sz w:val="24"/>
          <w:szCs w:val="24"/>
          <w:lang w:val="en-GB"/>
        </w:rPr>
        <w:t>for</w:t>
      </w:r>
      <w:r w:rsidRPr="00F9741C">
        <w:rPr>
          <w:iCs/>
          <w:sz w:val="24"/>
          <w:szCs w:val="24"/>
          <w:lang w:val="en-GB"/>
        </w:rPr>
        <w:t xml:space="preserve"> cooperation among countries playing a leading role in the promotion of new and sustainable methods of preserving and using cultural heritage. T</w:t>
      </w:r>
      <w:r w:rsidRPr="00F9741C">
        <w:rPr>
          <w:bCs/>
          <w:iCs/>
          <w:sz w:val="24"/>
          <w:szCs w:val="24"/>
          <w:lang w:val="en-GB"/>
        </w:rPr>
        <w:t>he Skopje Agenda</w:t>
      </w:r>
      <w:r w:rsidRPr="00F9741C">
        <w:rPr>
          <w:iCs/>
          <w:sz w:val="24"/>
          <w:szCs w:val="24"/>
          <w:lang w:val="en-GB"/>
        </w:rPr>
        <w:t xml:space="preserve"> was adopted on the monitoring of the ongoing projects by the Council of Europe; </w:t>
      </w:r>
      <w:r w:rsidR="009B68E4">
        <w:rPr>
          <w:iCs/>
          <w:sz w:val="24"/>
          <w:szCs w:val="24"/>
          <w:lang w:val="en-GB"/>
        </w:rPr>
        <w:t>T</w:t>
      </w:r>
      <w:r w:rsidRPr="00F9741C">
        <w:rPr>
          <w:iCs/>
          <w:sz w:val="24"/>
          <w:szCs w:val="24"/>
          <w:lang w:val="en-GB"/>
        </w:rPr>
        <w:t>he Republic of North Macedonia signed the Council of Europe Framework Convention of Faro</w:t>
      </w:r>
      <w:r w:rsidRPr="00F9741C">
        <w:rPr>
          <w:rStyle w:val="FootnoteReference"/>
          <w:rFonts w:cs="Open Sans"/>
          <w:color w:val="161616"/>
          <w:sz w:val="24"/>
          <w:szCs w:val="24"/>
          <w:shd w:val="clear" w:color="auto" w:fill="FFFFFF"/>
          <w:lang w:val="en-US"/>
        </w:rPr>
        <w:footnoteReference w:id="9"/>
      </w:r>
      <w:r w:rsidRPr="00F9741C">
        <w:rPr>
          <w:rFonts w:cs="Open Sans"/>
          <w:color w:val="161616"/>
          <w:sz w:val="24"/>
          <w:szCs w:val="24"/>
          <w:shd w:val="clear" w:color="auto" w:fill="FFFFFF"/>
          <w:lang w:val="en-US"/>
        </w:rPr>
        <w:t>.</w:t>
      </w:r>
      <w:r w:rsidRPr="00F9741C">
        <w:rPr>
          <w:iCs/>
          <w:sz w:val="24"/>
          <w:szCs w:val="24"/>
          <w:lang w:val="en-GB"/>
        </w:rPr>
        <w:t>, and the principles of regional cooperation establishing the Council of Ministers of Culture of the Black Sea and the South Caucasus Region was promoted</w:t>
      </w:r>
      <w:r w:rsidRPr="00F9741C">
        <w:rPr>
          <w:bCs/>
          <w:iCs/>
          <w:sz w:val="24"/>
          <w:szCs w:val="24"/>
          <w:lang w:val="en-GB"/>
        </w:rPr>
        <w:t xml:space="preserve">. The 3-year programme of </w:t>
      </w:r>
      <w:r w:rsidR="009B68E4">
        <w:rPr>
          <w:bCs/>
          <w:iCs/>
          <w:sz w:val="24"/>
          <w:szCs w:val="24"/>
          <w:lang w:val="en-GB"/>
        </w:rPr>
        <w:t xml:space="preserve">the </w:t>
      </w:r>
      <w:r w:rsidRPr="00F9741C">
        <w:rPr>
          <w:bCs/>
          <w:iCs/>
          <w:sz w:val="24"/>
          <w:szCs w:val="24"/>
          <w:lang w:val="en-GB"/>
        </w:rPr>
        <w:t>Skopje Agenda strongly encouraged the implementation of the Faro Convention through tangible, converging activities in developing regional projects</w:t>
      </w:r>
      <w:r w:rsidRPr="00F9741C">
        <w:rPr>
          <w:iCs/>
          <w:sz w:val="24"/>
          <w:szCs w:val="24"/>
          <w:lang w:val="en-GB"/>
        </w:rPr>
        <w:t xml:space="preserve"> in conformity. </w:t>
      </w:r>
      <w:r w:rsidRPr="00F9741C">
        <w:rPr>
          <w:bCs/>
          <w:iCs/>
          <w:sz w:val="24"/>
          <w:szCs w:val="24"/>
          <w:lang w:val="en-GB"/>
        </w:rPr>
        <w:t>This group of projects included Ljubljana Process II: Rehabilitating Our Common Heritage, the Pilot Local Development Projects, and the Pilot Project on the Rehabilitation of Cultural Heritage in Historic Towns, carried out in the countries having signed the Kyiv Initiative.</w:t>
      </w:r>
    </w:p>
    <w:p w:rsidR="00173A7E" w:rsidRPr="00F9741C" w:rsidRDefault="00D01B03" w:rsidP="00F9741C">
      <w:pPr>
        <w:jc w:val="both"/>
        <w:rPr>
          <w:rFonts w:cstheme="minorHAnsi"/>
          <w:bCs/>
          <w:sz w:val="24"/>
          <w:szCs w:val="24"/>
          <w:lang w:val="en-US"/>
        </w:rPr>
      </w:pPr>
      <w:r w:rsidRPr="00F9741C">
        <w:rPr>
          <w:rFonts w:cstheme="minorHAnsi"/>
          <w:sz w:val="24"/>
          <w:szCs w:val="24"/>
          <w:lang w:val="en-US"/>
        </w:rPr>
        <w:t xml:space="preserve">North Macedonia </w:t>
      </w:r>
      <w:r w:rsidR="009B68E4">
        <w:rPr>
          <w:rFonts w:cstheme="minorHAnsi"/>
          <w:sz w:val="24"/>
          <w:szCs w:val="24"/>
          <w:lang w:val="en-US"/>
        </w:rPr>
        <w:t xml:space="preserve">has been </w:t>
      </w:r>
      <w:r w:rsidRPr="00F9741C">
        <w:rPr>
          <w:rFonts w:cstheme="minorHAnsi"/>
          <w:sz w:val="24"/>
          <w:szCs w:val="24"/>
          <w:lang w:val="en-US"/>
        </w:rPr>
        <w:t xml:space="preserve">a member of </w:t>
      </w:r>
      <w:r w:rsidRPr="00C377D3">
        <w:rPr>
          <w:rFonts w:cstheme="minorHAnsi"/>
          <w:b/>
          <w:bCs/>
          <w:sz w:val="24"/>
          <w:szCs w:val="24"/>
          <w:lang w:val="en-US"/>
        </w:rPr>
        <w:t>UNESCO</w:t>
      </w:r>
      <w:r w:rsidRPr="00F9741C">
        <w:rPr>
          <w:rFonts w:cstheme="minorHAnsi"/>
          <w:sz w:val="24"/>
          <w:szCs w:val="24"/>
          <w:lang w:val="en-US"/>
        </w:rPr>
        <w:t>since 28 June 1993. It ratified various conventions including the Convention on the Protection and Promotion of the Diversity of Cultural Expressions (2007) and the Convention for the Safeguarding of the Intangible Cultural Heritage (2006).  Between 2016</w:t>
      </w:r>
      <w:r w:rsidR="00133109">
        <w:rPr>
          <w:rFonts w:cstheme="minorHAnsi"/>
          <w:sz w:val="24"/>
          <w:szCs w:val="24"/>
          <w:lang w:val="en-US"/>
        </w:rPr>
        <w:t xml:space="preserve"> and </w:t>
      </w:r>
      <w:r w:rsidRPr="00F9741C">
        <w:rPr>
          <w:rFonts w:cstheme="minorHAnsi"/>
          <w:sz w:val="24"/>
          <w:szCs w:val="24"/>
          <w:lang w:val="en-US"/>
        </w:rPr>
        <w:t>2017, UNESCO’s Participation Programme approved 5 projects that MK participated in, including 1 regional</w:t>
      </w:r>
      <w:r w:rsidR="009B68E4">
        <w:rPr>
          <w:rFonts w:cstheme="minorHAnsi"/>
          <w:sz w:val="24"/>
          <w:szCs w:val="24"/>
          <w:lang w:val="en-US"/>
        </w:rPr>
        <w:t xml:space="preserve"> project</w:t>
      </w:r>
      <w:r w:rsidRPr="00F9741C">
        <w:rPr>
          <w:rFonts w:cstheme="minorHAnsi"/>
          <w:sz w:val="24"/>
          <w:szCs w:val="24"/>
          <w:lang w:val="en-US"/>
        </w:rPr>
        <w:t xml:space="preserve">. Lake Ohrid region is a </w:t>
      </w:r>
      <w:r w:rsidRPr="00F9741C">
        <w:rPr>
          <w:rFonts w:cstheme="minorHAnsi"/>
          <w:bCs/>
          <w:sz w:val="24"/>
          <w:szCs w:val="24"/>
          <w:lang w:val="en-US"/>
        </w:rPr>
        <w:t>World Heritage Site</w:t>
      </w:r>
      <w:r w:rsidR="00173A7E" w:rsidRPr="00F9741C">
        <w:rPr>
          <w:rFonts w:cstheme="minorHAnsi"/>
          <w:sz w:val="24"/>
          <w:szCs w:val="24"/>
          <w:lang w:val="en-US"/>
        </w:rPr>
        <w:t>since 1979</w:t>
      </w:r>
      <w:r w:rsidRPr="00F9741C">
        <w:rPr>
          <w:rFonts w:cstheme="minorHAnsi"/>
          <w:sz w:val="24"/>
          <w:szCs w:val="24"/>
          <w:lang w:val="en-US"/>
        </w:rPr>
        <w:t xml:space="preserve">.  Bitola </w:t>
      </w:r>
      <w:r w:rsidR="00173A7E" w:rsidRPr="00F9741C">
        <w:rPr>
          <w:rFonts w:cstheme="minorHAnsi"/>
          <w:sz w:val="24"/>
          <w:szCs w:val="24"/>
          <w:lang w:val="en-US"/>
        </w:rPr>
        <w:t xml:space="preserve">became </w:t>
      </w:r>
      <w:r w:rsidRPr="00F9741C">
        <w:rPr>
          <w:rFonts w:cstheme="minorHAnsi"/>
          <w:sz w:val="24"/>
          <w:szCs w:val="24"/>
          <w:lang w:val="en-US"/>
        </w:rPr>
        <w:t>a</w:t>
      </w:r>
      <w:r w:rsidRPr="00F9741C">
        <w:rPr>
          <w:rFonts w:cstheme="minorHAnsi"/>
          <w:bCs/>
          <w:sz w:val="24"/>
          <w:szCs w:val="24"/>
          <w:lang w:val="en-US"/>
        </w:rPr>
        <w:t xml:space="preserve"> UNESCO Creative City of Film</w:t>
      </w:r>
      <w:r w:rsidRPr="00F9741C">
        <w:rPr>
          <w:rFonts w:cstheme="minorHAnsi"/>
          <w:sz w:val="24"/>
          <w:szCs w:val="24"/>
          <w:lang w:val="en-US"/>
        </w:rPr>
        <w:t xml:space="preserve"> in 2015 (part of UNESCO Creative Cities Network</w:t>
      </w:r>
      <w:r w:rsidR="00173A7E" w:rsidRPr="00F9741C">
        <w:rPr>
          <w:rFonts w:cstheme="minorHAnsi"/>
          <w:sz w:val="24"/>
          <w:szCs w:val="24"/>
          <w:lang w:val="en-US"/>
        </w:rPr>
        <w:t>)</w:t>
      </w:r>
      <w:r w:rsidRPr="00F9741C">
        <w:rPr>
          <w:rFonts w:cstheme="minorHAnsi"/>
          <w:sz w:val="24"/>
          <w:szCs w:val="24"/>
          <w:lang w:val="en-US"/>
        </w:rPr>
        <w:t xml:space="preserve">. </w:t>
      </w:r>
      <w:r w:rsidR="00173A7E" w:rsidRPr="00F9741C">
        <w:rPr>
          <w:rFonts w:cstheme="minorHAnsi"/>
          <w:sz w:val="24"/>
          <w:szCs w:val="24"/>
          <w:lang w:val="en-US"/>
        </w:rPr>
        <w:t xml:space="preserve">The country is included in the </w:t>
      </w:r>
      <w:hyperlink r:id="rId10" w:history="1">
        <w:r w:rsidR="00173A7E" w:rsidRPr="00F9741C">
          <w:rPr>
            <w:rStyle w:val="Hyperlink"/>
            <w:rFonts w:cstheme="minorHAnsi"/>
            <w:color w:val="auto"/>
            <w:sz w:val="24"/>
            <w:szCs w:val="24"/>
            <w:u w:val="none"/>
            <w:lang w:val="en-US"/>
          </w:rPr>
          <w:t>UNESCO</w:t>
        </w:r>
      </w:hyperlink>
      <w:r w:rsidR="00173A7E" w:rsidRPr="00F9741C">
        <w:rPr>
          <w:rFonts w:cstheme="minorHAnsi"/>
          <w:sz w:val="24"/>
          <w:szCs w:val="24"/>
          <w:lang w:val="en-US"/>
        </w:rPr>
        <w:t>/</w:t>
      </w:r>
      <w:hyperlink r:id="rId11" w:history="1">
        <w:r w:rsidR="00173A7E" w:rsidRPr="00F9741C">
          <w:rPr>
            <w:rStyle w:val="Hyperlink"/>
            <w:rFonts w:cstheme="minorHAnsi"/>
            <w:color w:val="auto"/>
            <w:sz w:val="24"/>
            <w:szCs w:val="24"/>
            <w:u w:val="none"/>
            <w:lang w:val="en-US"/>
          </w:rPr>
          <w:t>EU</w:t>
        </w:r>
      </w:hyperlink>
      <w:r w:rsidR="00173A7E" w:rsidRPr="00F9741C">
        <w:rPr>
          <w:rFonts w:cstheme="minorHAnsi"/>
          <w:sz w:val="24"/>
          <w:szCs w:val="24"/>
          <w:lang w:val="en-US"/>
        </w:rPr>
        <w:t xml:space="preserve"> action to </w:t>
      </w:r>
      <w:r w:rsidR="00173A7E" w:rsidRPr="00F9741C">
        <w:rPr>
          <w:rFonts w:cstheme="minorHAnsi"/>
          <w:bCs/>
          <w:sz w:val="24"/>
          <w:szCs w:val="24"/>
          <w:lang w:val="en-US"/>
        </w:rPr>
        <w:t xml:space="preserve">Fight Illicit Trafficking of Cultural Property. </w:t>
      </w:r>
    </w:p>
    <w:p w:rsidR="00F9741C" w:rsidRPr="00F9741C" w:rsidRDefault="003623BB" w:rsidP="00F9741C">
      <w:pPr>
        <w:jc w:val="both"/>
        <w:rPr>
          <w:sz w:val="24"/>
          <w:szCs w:val="24"/>
          <w:lang w:val="en-US"/>
        </w:rPr>
      </w:pPr>
      <w:r w:rsidRPr="00C377D3">
        <w:rPr>
          <w:b/>
          <w:sz w:val="24"/>
          <w:szCs w:val="24"/>
          <w:lang w:val="en-US"/>
        </w:rPr>
        <w:t>The E</w:t>
      </w:r>
      <w:r w:rsidR="00173A7E" w:rsidRPr="00C377D3">
        <w:rPr>
          <w:b/>
          <w:sz w:val="24"/>
          <w:szCs w:val="24"/>
          <w:lang w:val="en-US"/>
        </w:rPr>
        <w:t>uropean Union (EU)</w:t>
      </w:r>
      <w:r w:rsidRPr="00F9741C">
        <w:rPr>
          <w:sz w:val="24"/>
          <w:szCs w:val="24"/>
          <w:lang w:val="en-US"/>
        </w:rPr>
        <w:t>support</w:t>
      </w:r>
      <w:r w:rsidR="00F9741C" w:rsidRPr="00F9741C">
        <w:rPr>
          <w:sz w:val="24"/>
          <w:szCs w:val="24"/>
          <w:lang w:val="en-US"/>
        </w:rPr>
        <w:t xml:space="preserve">ed so far </w:t>
      </w:r>
      <w:r w:rsidRPr="00F9741C">
        <w:rPr>
          <w:sz w:val="24"/>
          <w:szCs w:val="24"/>
          <w:lang w:val="en-US"/>
        </w:rPr>
        <w:t xml:space="preserve">with EUR 57.7 million the participation of the country in 12 EU programmes, including Erasmus+, Creative Europe, the programme for the Competitiveness of Enterprises and Small and Medium-sized Enterprises (COSME), Horizon 2020, Customs 2020, Fiscalis 2020 and Europe for Citizens. </w:t>
      </w:r>
    </w:p>
    <w:p w:rsidR="00AA7C8D" w:rsidRPr="00F9741C" w:rsidRDefault="00AA7C8D" w:rsidP="00F9741C">
      <w:pPr>
        <w:jc w:val="both"/>
        <w:rPr>
          <w:sz w:val="24"/>
          <w:szCs w:val="24"/>
          <w:lang w:val="en-US"/>
        </w:rPr>
      </w:pPr>
      <w:r w:rsidRPr="00F9741C">
        <w:rPr>
          <w:sz w:val="24"/>
          <w:szCs w:val="24"/>
          <w:lang w:val="en-US"/>
        </w:rPr>
        <w:t>North Macedonia</w:t>
      </w:r>
      <w:r w:rsidR="008960FD" w:rsidRPr="00F9741C">
        <w:rPr>
          <w:sz w:val="24"/>
          <w:szCs w:val="24"/>
          <w:lang w:val="en-US"/>
        </w:rPr>
        <w:t xml:space="preserve"> is trying to make the most of EU funding </w:t>
      </w:r>
      <w:r w:rsidR="003623BB" w:rsidRPr="00F9741C">
        <w:rPr>
          <w:sz w:val="24"/>
          <w:szCs w:val="24"/>
          <w:lang w:val="en-US"/>
        </w:rPr>
        <w:t>to support its CCS:  its cultural operators have been</w:t>
      </w:r>
      <w:r w:rsidRPr="00F9741C">
        <w:rPr>
          <w:sz w:val="24"/>
          <w:szCs w:val="24"/>
          <w:lang w:val="en-US"/>
        </w:rPr>
        <w:t xml:space="preserve"> involved in </w:t>
      </w:r>
      <w:r w:rsidR="001F7EE9">
        <w:rPr>
          <w:sz w:val="24"/>
          <w:szCs w:val="24"/>
          <w:lang w:val="en-US"/>
        </w:rPr>
        <w:t>79</w:t>
      </w:r>
      <w:r w:rsidRPr="00F9741C">
        <w:rPr>
          <w:sz w:val="24"/>
          <w:szCs w:val="24"/>
          <w:lang w:val="en-US"/>
        </w:rPr>
        <w:t xml:space="preserve"> Creative Europe projects between 2014 and 2020</w:t>
      </w:r>
      <w:r w:rsidR="003623BB" w:rsidRPr="00F9741C">
        <w:rPr>
          <w:sz w:val="24"/>
          <w:szCs w:val="24"/>
          <w:lang w:val="en-US"/>
        </w:rPr>
        <w:t xml:space="preserve"> (as</w:t>
      </w:r>
      <w:r w:rsidRPr="00F9741C">
        <w:rPr>
          <w:sz w:val="24"/>
          <w:szCs w:val="24"/>
          <w:lang w:val="en-US"/>
        </w:rPr>
        <w:t xml:space="preserve"> project coordinator for 45 of these projects</w:t>
      </w:r>
      <w:r w:rsidR="003623BB" w:rsidRPr="00F9741C">
        <w:rPr>
          <w:sz w:val="24"/>
          <w:szCs w:val="24"/>
          <w:lang w:val="en-US"/>
        </w:rPr>
        <w:t>)</w:t>
      </w:r>
      <w:r w:rsidR="001F7EE9">
        <w:rPr>
          <w:rStyle w:val="FootnoteReference"/>
          <w:sz w:val="24"/>
          <w:szCs w:val="24"/>
          <w:lang w:val="en-US"/>
        </w:rPr>
        <w:footnoteReference w:id="10"/>
      </w:r>
      <w:r w:rsidR="003623BB" w:rsidRPr="00F9741C">
        <w:rPr>
          <w:sz w:val="24"/>
          <w:szCs w:val="24"/>
          <w:lang w:val="en-US"/>
        </w:rPr>
        <w:t>.</w:t>
      </w:r>
    </w:p>
    <w:p w:rsidR="006F3385" w:rsidRDefault="003623BB" w:rsidP="00F9741C">
      <w:pPr>
        <w:jc w:val="both"/>
        <w:rPr>
          <w:rFonts w:cstheme="minorHAnsi"/>
          <w:sz w:val="24"/>
          <w:szCs w:val="24"/>
          <w:lang w:val="en-US"/>
        </w:rPr>
      </w:pPr>
      <w:r w:rsidRPr="00F9741C">
        <w:rPr>
          <w:rFonts w:cstheme="minorHAnsi"/>
          <w:sz w:val="24"/>
          <w:szCs w:val="24"/>
          <w:lang w:val="en-US"/>
        </w:rPr>
        <w:t xml:space="preserve">Through </w:t>
      </w:r>
      <w:r w:rsidRPr="00F9741C">
        <w:rPr>
          <w:sz w:val="24"/>
          <w:szCs w:val="24"/>
          <w:lang w:val="en-US"/>
        </w:rPr>
        <w:t>E</w:t>
      </w:r>
      <w:r w:rsidR="009B68E4">
        <w:rPr>
          <w:sz w:val="24"/>
          <w:szCs w:val="24"/>
          <w:lang w:val="en-US"/>
        </w:rPr>
        <w:t>U</w:t>
      </w:r>
      <w:r w:rsidRPr="00F9741C">
        <w:rPr>
          <w:sz w:val="24"/>
          <w:szCs w:val="24"/>
          <w:lang w:val="en-US"/>
        </w:rPr>
        <w:t>’s Instrument for</w:t>
      </w:r>
      <w:r w:rsidR="00230DA9" w:rsidRPr="00F9741C">
        <w:rPr>
          <w:sz w:val="24"/>
          <w:szCs w:val="24"/>
          <w:lang w:val="en-US"/>
        </w:rPr>
        <w:t xml:space="preserve"> Pre-accession Assistance (IPA)</w:t>
      </w:r>
      <w:r w:rsidRPr="00F9741C">
        <w:rPr>
          <w:rFonts w:cstheme="minorHAnsi"/>
          <w:sz w:val="24"/>
          <w:szCs w:val="24"/>
          <w:lang w:val="en-US"/>
        </w:rPr>
        <w:t xml:space="preserve">, DG NEAR of the European Commission </w:t>
      </w:r>
      <w:r w:rsidR="00230DA9" w:rsidRPr="00F9741C">
        <w:rPr>
          <w:rFonts w:cstheme="minorHAnsi"/>
          <w:sz w:val="24"/>
          <w:szCs w:val="24"/>
          <w:lang w:val="en-US"/>
        </w:rPr>
        <w:t xml:space="preserve">is funding the Creative Europe Culture Sub-programme – Western Balkans Cooperation Projects. The programme is </w:t>
      </w:r>
      <w:r w:rsidRPr="00F9741C">
        <w:rPr>
          <w:rFonts w:cstheme="minorHAnsi"/>
          <w:sz w:val="24"/>
          <w:szCs w:val="24"/>
          <w:lang w:val="en-US"/>
        </w:rPr>
        <w:t>managed by DG EAC</w:t>
      </w:r>
      <w:r w:rsidR="00230DA9" w:rsidRPr="00F9741C">
        <w:rPr>
          <w:rFonts w:cstheme="minorHAnsi"/>
          <w:sz w:val="24"/>
          <w:szCs w:val="24"/>
          <w:lang w:val="en-US"/>
        </w:rPr>
        <w:t xml:space="preserve"> with a </w:t>
      </w:r>
      <w:r w:rsidRPr="00F9741C">
        <w:rPr>
          <w:rFonts w:cstheme="minorHAnsi"/>
          <w:sz w:val="24"/>
          <w:szCs w:val="24"/>
          <w:lang w:val="en-US"/>
        </w:rPr>
        <w:t xml:space="preserve">total budget estimated </w:t>
      </w:r>
      <w:r w:rsidRPr="00F9741C">
        <w:rPr>
          <w:rFonts w:cstheme="minorHAnsi"/>
          <w:sz w:val="24"/>
          <w:szCs w:val="24"/>
          <w:lang w:val="en-US"/>
        </w:rPr>
        <w:lastRenderedPageBreak/>
        <w:t>at</w:t>
      </w:r>
      <w:r w:rsidR="008866BE">
        <w:rPr>
          <w:rFonts w:cstheme="minorHAnsi"/>
          <w:sz w:val="24"/>
          <w:szCs w:val="24"/>
          <w:lang w:val="en-US"/>
        </w:rPr>
        <w:t xml:space="preserve"> EUR</w:t>
      </w:r>
      <w:r w:rsidRPr="00F9741C">
        <w:rPr>
          <w:rFonts w:cstheme="minorHAnsi"/>
          <w:sz w:val="24"/>
          <w:szCs w:val="24"/>
          <w:lang w:val="en-US"/>
        </w:rPr>
        <w:t xml:space="preserve">5 million. Selection results </w:t>
      </w:r>
      <w:r w:rsidR="00230DA9" w:rsidRPr="00F9741C">
        <w:rPr>
          <w:rFonts w:cstheme="minorHAnsi"/>
          <w:sz w:val="24"/>
          <w:szCs w:val="24"/>
          <w:lang w:val="en-US"/>
        </w:rPr>
        <w:t xml:space="preserve">on the first call </w:t>
      </w:r>
      <w:r w:rsidRPr="00F9741C">
        <w:rPr>
          <w:rFonts w:cstheme="minorHAnsi"/>
          <w:sz w:val="24"/>
          <w:szCs w:val="24"/>
          <w:lang w:val="en-US"/>
        </w:rPr>
        <w:t>were announced on 30 July 202</w:t>
      </w:r>
      <w:r w:rsidR="00D01B03" w:rsidRPr="00F9741C">
        <w:rPr>
          <w:rFonts w:cstheme="minorHAnsi"/>
          <w:sz w:val="24"/>
          <w:szCs w:val="24"/>
          <w:lang w:val="en-US"/>
        </w:rPr>
        <w:t xml:space="preserve">0. The </w:t>
      </w:r>
      <w:r w:rsidR="00230DA9" w:rsidRPr="00F9741C">
        <w:rPr>
          <w:rFonts w:cstheme="minorHAnsi"/>
          <w:sz w:val="24"/>
          <w:szCs w:val="24"/>
          <w:lang w:val="en-US"/>
        </w:rPr>
        <w:t xml:space="preserve">13 </w:t>
      </w:r>
      <w:r w:rsidR="00D01B03" w:rsidRPr="00F9741C">
        <w:rPr>
          <w:rFonts w:cstheme="minorHAnsi"/>
          <w:sz w:val="24"/>
          <w:szCs w:val="24"/>
          <w:lang w:val="en-US"/>
        </w:rPr>
        <w:t xml:space="preserve">winning </w:t>
      </w:r>
      <w:r w:rsidR="00230DA9" w:rsidRPr="00F9741C">
        <w:rPr>
          <w:rFonts w:cstheme="minorHAnsi"/>
          <w:sz w:val="24"/>
          <w:szCs w:val="24"/>
          <w:lang w:val="en-US"/>
        </w:rPr>
        <w:t xml:space="preserve">applications </w:t>
      </w:r>
      <w:r w:rsidR="00D01B03" w:rsidRPr="00F9741C">
        <w:rPr>
          <w:rFonts w:cstheme="minorHAnsi"/>
          <w:sz w:val="24"/>
          <w:szCs w:val="24"/>
          <w:lang w:val="en-US"/>
        </w:rPr>
        <w:t>include</w:t>
      </w:r>
      <w:r w:rsidRPr="00F9741C">
        <w:rPr>
          <w:rFonts w:cstheme="minorHAnsi"/>
          <w:sz w:val="24"/>
          <w:szCs w:val="24"/>
          <w:lang w:val="en-US"/>
        </w:rPr>
        <w:t xml:space="preserve"> 1</w:t>
      </w:r>
      <w:r w:rsidR="001F7EE9">
        <w:rPr>
          <w:rFonts w:cstheme="minorHAnsi"/>
          <w:sz w:val="24"/>
          <w:szCs w:val="24"/>
          <w:lang w:val="en-US"/>
        </w:rPr>
        <w:t>2</w:t>
      </w:r>
      <w:r w:rsidRPr="00F9741C">
        <w:rPr>
          <w:rFonts w:cstheme="minorHAnsi"/>
          <w:sz w:val="24"/>
          <w:szCs w:val="24"/>
          <w:lang w:val="en-US"/>
        </w:rPr>
        <w:t xml:space="preserve"> cultural organisations from</w:t>
      </w:r>
      <w:r w:rsidR="001F7EE9">
        <w:rPr>
          <w:rFonts w:cstheme="minorHAnsi"/>
          <w:sz w:val="24"/>
          <w:szCs w:val="24"/>
          <w:lang w:val="en-US"/>
        </w:rPr>
        <w:t xml:space="preserve">North Macedonia </w:t>
      </w:r>
      <w:r w:rsidRPr="00F9741C">
        <w:rPr>
          <w:rStyle w:val="FootnoteReference"/>
          <w:rFonts w:cstheme="minorHAnsi"/>
          <w:sz w:val="24"/>
          <w:szCs w:val="24"/>
          <w:lang w:val="en-US"/>
        </w:rPr>
        <w:footnoteReference w:id="11"/>
      </w:r>
      <w:r w:rsidR="00230DA9" w:rsidRPr="00F9741C">
        <w:rPr>
          <w:rFonts w:cstheme="minorHAnsi"/>
          <w:sz w:val="24"/>
          <w:szCs w:val="24"/>
          <w:lang w:val="en-US"/>
        </w:rPr>
        <w:t xml:space="preserve"> (out of a total of 77 beneficiaryorganisations)</w:t>
      </w:r>
      <w:r w:rsidR="00D14B4B">
        <w:rPr>
          <w:rFonts w:cstheme="minorHAnsi"/>
          <w:sz w:val="24"/>
          <w:szCs w:val="24"/>
          <w:lang w:val="en-US"/>
        </w:rPr>
        <w:t xml:space="preserve">. </w:t>
      </w:r>
    </w:p>
    <w:p w:rsidR="003623BB" w:rsidRPr="00F9741C" w:rsidRDefault="003623BB" w:rsidP="00F9741C">
      <w:pPr>
        <w:jc w:val="both"/>
        <w:rPr>
          <w:rFonts w:cstheme="minorHAnsi"/>
          <w:sz w:val="24"/>
          <w:szCs w:val="24"/>
          <w:lang w:val="en-US"/>
        </w:rPr>
      </w:pPr>
      <w:r w:rsidRPr="00F9741C">
        <w:rPr>
          <w:rFonts w:cstheme="minorHAnsi"/>
          <w:bCs/>
          <w:sz w:val="24"/>
          <w:szCs w:val="24"/>
          <w:lang w:val="en-US"/>
        </w:rPr>
        <w:t>Two projects are led by a North Macedonian organisation</w:t>
      </w:r>
      <w:r w:rsidRPr="00F9741C">
        <w:rPr>
          <w:rFonts w:cstheme="minorHAnsi"/>
          <w:sz w:val="24"/>
          <w:szCs w:val="24"/>
          <w:lang w:val="en-US"/>
        </w:rPr>
        <w:t>: “The Ways of the Heroes” (</w:t>
      </w:r>
      <w:r w:rsidR="002F4C21">
        <w:rPr>
          <w:rFonts w:cstheme="minorHAnsi"/>
          <w:sz w:val="24"/>
          <w:szCs w:val="24"/>
          <w:lang w:val="en-US"/>
        </w:rPr>
        <w:t>EUR</w:t>
      </w:r>
      <w:r w:rsidRPr="00F9741C">
        <w:rPr>
          <w:rFonts w:cstheme="minorHAnsi"/>
          <w:sz w:val="24"/>
          <w:szCs w:val="24"/>
          <w:lang w:val="en-US"/>
        </w:rPr>
        <w:t xml:space="preserve"> 395 183) led by Macedonian National Theatre and “Immersive Storytelling Driven Cooperation for Cultural Heritage Dissemination in Western Balkans” (</w:t>
      </w:r>
      <w:r w:rsidR="008866BE">
        <w:rPr>
          <w:rFonts w:cstheme="minorHAnsi"/>
          <w:sz w:val="24"/>
          <w:szCs w:val="24"/>
          <w:lang w:val="en-US"/>
        </w:rPr>
        <w:t xml:space="preserve">EUR </w:t>
      </w:r>
      <w:r w:rsidRPr="00F9741C">
        <w:rPr>
          <w:rFonts w:cstheme="minorHAnsi"/>
          <w:sz w:val="24"/>
          <w:szCs w:val="24"/>
          <w:lang w:val="en-US"/>
        </w:rPr>
        <w:t xml:space="preserve">338 055) led by the Association Centre for Social Innovations Blink 42-21. </w:t>
      </w:r>
    </w:p>
    <w:p w:rsidR="00AA7C8D" w:rsidRPr="00F9741C" w:rsidRDefault="00173A7E" w:rsidP="00F9741C">
      <w:pPr>
        <w:jc w:val="both"/>
        <w:rPr>
          <w:sz w:val="24"/>
          <w:szCs w:val="24"/>
          <w:lang w:val="en-US"/>
        </w:rPr>
      </w:pPr>
      <w:r w:rsidRPr="00F9741C">
        <w:rPr>
          <w:sz w:val="24"/>
          <w:szCs w:val="24"/>
          <w:lang w:val="en-US"/>
        </w:rPr>
        <w:t>The EU</w:t>
      </w:r>
      <w:r w:rsidR="00AA7C8D" w:rsidRPr="00F9741C">
        <w:rPr>
          <w:sz w:val="24"/>
          <w:szCs w:val="24"/>
          <w:lang w:val="en-US"/>
        </w:rPr>
        <w:t xml:space="preserve"> Instrument for Pre-accession Assistance (IPA) refers to the significance of the cultural dimension (especially in relations to other Balkan states and on local level). IPA II </w:t>
      </w:r>
      <w:r w:rsidR="009B68E4">
        <w:rPr>
          <w:sz w:val="24"/>
          <w:szCs w:val="24"/>
          <w:lang w:val="en-US"/>
        </w:rPr>
        <w:t xml:space="preserve">(2014-2020) </w:t>
      </w:r>
      <w:r w:rsidR="00AA7C8D" w:rsidRPr="00F9741C">
        <w:rPr>
          <w:sz w:val="24"/>
          <w:szCs w:val="24"/>
          <w:lang w:val="en-US"/>
        </w:rPr>
        <w:t>reads that: “Cultural heritage remains largely underused while smart policy making could exploit the territorial cultural potential for the socio-economic benefit of the local communities, tourists and visitors thus contributing to socio-economic growth of the regions as well as to boosting the competition among cultural industries in the region.</w:t>
      </w:r>
      <w:r w:rsidR="00B96082">
        <w:rPr>
          <w:rStyle w:val="FootnoteReference"/>
          <w:sz w:val="24"/>
          <w:szCs w:val="24"/>
          <w:lang w:val="en-US"/>
        </w:rPr>
        <w:footnoteReference w:id="12"/>
      </w:r>
      <w:r w:rsidR="00AA7C8D" w:rsidRPr="00F9741C">
        <w:rPr>
          <w:sz w:val="24"/>
          <w:szCs w:val="24"/>
          <w:lang w:val="en-US"/>
        </w:rPr>
        <w:t>”</w:t>
      </w:r>
    </w:p>
    <w:p w:rsidR="00173A7E" w:rsidRPr="00F9741C" w:rsidRDefault="00B014B9" w:rsidP="00F9741C">
      <w:pPr>
        <w:jc w:val="both"/>
        <w:rPr>
          <w:rFonts w:cstheme="minorHAnsi"/>
          <w:sz w:val="24"/>
          <w:szCs w:val="24"/>
          <w:lang w:val="en-US"/>
        </w:rPr>
      </w:pPr>
      <w:r w:rsidRPr="00F9741C">
        <w:rPr>
          <w:sz w:val="24"/>
          <w:szCs w:val="24"/>
          <w:lang w:val="en-US"/>
        </w:rPr>
        <w:t xml:space="preserve">The implementation of </w:t>
      </w:r>
      <w:r w:rsidR="009B68E4" w:rsidRPr="00F9741C">
        <w:rPr>
          <w:sz w:val="24"/>
          <w:szCs w:val="24"/>
          <w:lang w:val="en-US"/>
        </w:rPr>
        <w:t xml:space="preserve">IPA II </w:t>
      </w:r>
      <w:r w:rsidRPr="00F9741C">
        <w:rPr>
          <w:sz w:val="24"/>
          <w:szCs w:val="24"/>
          <w:lang w:val="en-US"/>
        </w:rPr>
        <w:t xml:space="preserve">is underway. The programming of the IPA II funds was successfully completed bringing the IPA package for the country to EUR 633 million. Of this amount EUR 214 million </w:t>
      </w:r>
      <w:r w:rsidR="00B426B1" w:rsidRPr="00F9741C">
        <w:rPr>
          <w:sz w:val="24"/>
          <w:szCs w:val="24"/>
          <w:lang w:val="en-US"/>
        </w:rPr>
        <w:t>has</w:t>
      </w:r>
      <w:r w:rsidRPr="00F9741C">
        <w:rPr>
          <w:sz w:val="24"/>
          <w:szCs w:val="24"/>
          <w:lang w:val="en-US"/>
        </w:rPr>
        <w:t xml:space="preserve"> been already contracted by end 2019. </w:t>
      </w:r>
      <w:r w:rsidR="00173A7E" w:rsidRPr="00F9741C">
        <w:rPr>
          <w:sz w:val="24"/>
          <w:szCs w:val="24"/>
          <w:lang w:val="en-US"/>
        </w:rPr>
        <w:t xml:space="preserve">The MoC has yet to make the most of this funding opportunity to support the development of the cultural and creative sectors notably to implement </w:t>
      </w:r>
      <w:r w:rsidR="00B426B1" w:rsidRPr="00F9741C">
        <w:rPr>
          <w:sz w:val="24"/>
          <w:szCs w:val="24"/>
          <w:lang w:val="en-US"/>
        </w:rPr>
        <w:t>IPA’s</w:t>
      </w:r>
      <w:r w:rsidR="00173A7E" w:rsidRPr="00F9741C">
        <w:rPr>
          <w:sz w:val="24"/>
          <w:szCs w:val="24"/>
          <w:lang w:val="en-US"/>
        </w:rPr>
        <w:t>priorities such as “e</w:t>
      </w:r>
      <w:r w:rsidR="00173A7E" w:rsidRPr="00F9741C">
        <w:rPr>
          <w:rFonts w:cstheme="minorHAnsi"/>
          <w:sz w:val="24"/>
          <w:szCs w:val="24"/>
          <w:lang w:val="en-US"/>
        </w:rPr>
        <w:t>ncouraging tourism, culture and natural heritage” and cultural exchanges with neighboring countries (Interreg/IPA funding)</w:t>
      </w:r>
      <w:r w:rsidR="00F9741C" w:rsidRPr="00F9741C">
        <w:rPr>
          <w:rStyle w:val="FootnoteReference"/>
          <w:rFonts w:cstheme="minorHAnsi"/>
          <w:sz w:val="24"/>
          <w:szCs w:val="24"/>
          <w:lang w:val="en-US"/>
        </w:rPr>
        <w:footnoteReference w:id="13"/>
      </w:r>
      <w:r w:rsidR="00173A7E" w:rsidRPr="00F9741C">
        <w:rPr>
          <w:rFonts w:cstheme="minorHAnsi"/>
          <w:sz w:val="24"/>
          <w:szCs w:val="24"/>
          <w:lang w:val="en-US"/>
        </w:rPr>
        <w:t xml:space="preserve">. </w:t>
      </w:r>
    </w:p>
    <w:p w:rsidR="000720EF" w:rsidRPr="00F9741C" w:rsidRDefault="000720EF" w:rsidP="00F9741C">
      <w:pPr>
        <w:jc w:val="both"/>
        <w:rPr>
          <w:rFonts w:cstheme="minorHAnsi"/>
          <w:sz w:val="24"/>
          <w:szCs w:val="24"/>
          <w:lang w:val="en-US"/>
        </w:rPr>
      </w:pPr>
      <w:r w:rsidRPr="00F9741C">
        <w:rPr>
          <w:rFonts w:cstheme="minorHAnsi"/>
          <w:sz w:val="24"/>
          <w:szCs w:val="24"/>
          <w:lang w:val="en-US"/>
        </w:rPr>
        <w:t>Some other international cultural initiatives</w:t>
      </w:r>
      <w:r w:rsidR="002F4C21">
        <w:rPr>
          <w:rFonts w:cstheme="minorHAnsi"/>
          <w:sz w:val="24"/>
          <w:szCs w:val="24"/>
          <w:lang w:val="en-US"/>
        </w:rPr>
        <w:t xml:space="preserve"> include</w:t>
      </w:r>
      <w:r w:rsidRPr="00F9741C">
        <w:rPr>
          <w:rFonts w:cstheme="minorHAnsi"/>
          <w:sz w:val="24"/>
          <w:szCs w:val="24"/>
          <w:lang w:val="en-US"/>
        </w:rPr>
        <w:t xml:space="preserve">: </w:t>
      </w:r>
    </w:p>
    <w:p w:rsidR="000720EF" w:rsidRPr="00F9741C" w:rsidRDefault="000720EF" w:rsidP="00F9741C">
      <w:pPr>
        <w:pStyle w:val="ListParagraph"/>
        <w:numPr>
          <w:ilvl w:val="0"/>
          <w:numId w:val="1"/>
        </w:numPr>
        <w:jc w:val="both"/>
        <w:rPr>
          <w:rFonts w:cstheme="minorHAnsi"/>
        </w:rPr>
      </w:pPr>
      <w:r w:rsidRPr="00F9741C">
        <w:rPr>
          <w:rFonts w:cstheme="minorHAnsi"/>
        </w:rPr>
        <w:t xml:space="preserve">South East European </w:t>
      </w:r>
      <w:r w:rsidRPr="006F3385">
        <w:rPr>
          <w:rFonts w:cstheme="minorHAnsi"/>
        </w:rPr>
        <w:t>(SEE) Heritage</w:t>
      </w:r>
      <w:r w:rsidR="00167E9F" w:rsidRPr="006F3385">
        <w:rPr>
          <w:rStyle w:val="FootnoteReference"/>
          <w:rFonts w:cstheme="minorHAnsi"/>
        </w:rPr>
        <w:footnoteReference w:id="14"/>
      </w:r>
    </w:p>
    <w:p w:rsidR="000720EF" w:rsidRPr="00F9741C" w:rsidRDefault="00B96082" w:rsidP="00F9741C">
      <w:pPr>
        <w:pStyle w:val="ListParagraph"/>
        <w:numPr>
          <w:ilvl w:val="0"/>
          <w:numId w:val="1"/>
        </w:numPr>
        <w:jc w:val="both"/>
        <w:rPr>
          <w:rFonts w:cstheme="minorHAnsi"/>
        </w:rPr>
      </w:pPr>
      <w:r>
        <w:rPr>
          <w:rFonts w:cstheme="minorHAnsi"/>
        </w:rPr>
        <w:t>The</w:t>
      </w:r>
      <w:r w:rsidR="000720EF" w:rsidRPr="00F9741C">
        <w:rPr>
          <w:rFonts w:cstheme="minorHAnsi"/>
        </w:rPr>
        <w:t xml:space="preserve"> Council of Ministers of Culture of South East Europe </w:t>
      </w:r>
      <w:r w:rsidR="000720EF" w:rsidRPr="00B96082">
        <w:rPr>
          <w:rFonts w:cstheme="minorHAnsi"/>
        </w:rPr>
        <w:t>(CoMoCoSEE</w:t>
      </w:r>
      <w:r w:rsidRPr="00B96082">
        <w:rPr>
          <w:rFonts w:cstheme="minorHAnsi"/>
        </w:rPr>
        <w:t>)</w:t>
      </w:r>
      <w:r w:rsidR="00167E9F">
        <w:rPr>
          <w:rStyle w:val="FootnoteReference"/>
          <w:rFonts w:cstheme="minorHAnsi"/>
        </w:rPr>
        <w:footnoteReference w:id="15"/>
      </w:r>
    </w:p>
    <w:p w:rsidR="00F12798" w:rsidRPr="00B96082" w:rsidRDefault="000720EF" w:rsidP="00F9741C">
      <w:pPr>
        <w:pStyle w:val="ListParagraph"/>
        <w:numPr>
          <w:ilvl w:val="0"/>
          <w:numId w:val="1"/>
        </w:numPr>
        <w:jc w:val="both"/>
        <w:rPr>
          <w:rFonts w:cstheme="minorHAnsi"/>
          <w:lang w:val="en-US"/>
        </w:rPr>
      </w:pPr>
      <w:r w:rsidRPr="00F9741C">
        <w:rPr>
          <w:rFonts w:cstheme="minorHAnsi"/>
          <w:lang w:val="en-US"/>
        </w:rPr>
        <w:lastRenderedPageBreak/>
        <w:t xml:space="preserve">The </w:t>
      </w:r>
      <w:r w:rsidRPr="00B96082">
        <w:rPr>
          <w:rFonts w:cstheme="minorHAnsi"/>
          <w:lang w:val="en-US"/>
        </w:rPr>
        <w:t>Berlin Process</w:t>
      </w:r>
      <w:r w:rsidR="00167E9F" w:rsidRPr="00B96082">
        <w:rPr>
          <w:rStyle w:val="FootnoteReference"/>
          <w:rFonts w:cstheme="minorHAnsi"/>
          <w:lang w:val="en-US"/>
        </w:rPr>
        <w:footnoteReference w:id="16"/>
      </w:r>
    </w:p>
    <w:p w:rsidR="00B96082" w:rsidRPr="00B96082" w:rsidRDefault="00B96082" w:rsidP="00B96082">
      <w:pPr>
        <w:pStyle w:val="ListParagraph"/>
        <w:jc w:val="both"/>
        <w:rPr>
          <w:rFonts w:cstheme="minorHAnsi"/>
          <w:lang w:val="en-US"/>
        </w:rPr>
      </w:pPr>
    </w:p>
    <w:p w:rsidR="00DF4F22" w:rsidRPr="00F9741C" w:rsidRDefault="00DF4F22" w:rsidP="00F9741C">
      <w:pPr>
        <w:jc w:val="both"/>
        <w:rPr>
          <w:b/>
          <w:sz w:val="24"/>
          <w:szCs w:val="24"/>
          <w:lang w:val="en-US"/>
        </w:rPr>
      </w:pPr>
      <w:r w:rsidRPr="00F9741C">
        <w:rPr>
          <w:sz w:val="24"/>
          <w:szCs w:val="24"/>
          <w:lang w:val="en-US"/>
        </w:rPr>
        <w:t>2</w:t>
      </w:r>
      <w:r w:rsidRPr="00F9741C">
        <w:rPr>
          <w:b/>
          <w:sz w:val="24"/>
          <w:szCs w:val="24"/>
          <w:lang w:val="en-US"/>
        </w:rPr>
        <w:t xml:space="preserve">. Aim of the Peer Review </w:t>
      </w:r>
    </w:p>
    <w:p w:rsidR="00966E59" w:rsidRPr="00F9741C" w:rsidRDefault="000720EF" w:rsidP="00F9741C">
      <w:pPr>
        <w:jc w:val="both"/>
        <w:rPr>
          <w:sz w:val="24"/>
          <w:szCs w:val="24"/>
          <w:lang w:val="en-US"/>
        </w:rPr>
      </w:pPr>
      <w:r w:rsidRPr="00F9741C">
        <w:rPr>
          <w:sz w:val="24"/>
          <w:szCs w:val="24"/>
          <w:lang w:val="en-US"/>
        </w:rPr>
        <w:t xml:space="preserve">The </w:t>
      </w:r>
      <w:r w:rsidR="009B68E4">
        <w:rPr>
          <w:sz w:val="24"/>
          <w:szCs w:val="24"/>
          <w:lang w:val="en-US"/>
        </w:rPr>
        <w:t xml:space="preserve">Peer Review </w:t>
      </w:r>
      <w:r w:rsidRPr="00F9741C">
        <w:rPr>
          <w:sz w:val="24"/>
          <w:szCs w:val="24"/>
          <w:lang w:val="en-US"/>
        </w:rPr>
        <w:t xml:space="preserve">exercise was implemented </w:t>
      </w:r>
      <w:r w:rsidR="00966E59" w:rsidRPr="00F9741C">
        <w:rPr>
          <w:sz w:val="24"/>
          <w:szCs w:val="24"/>
          <w:lang w:val="en-US"/>
        </w:rPr>
        <w:t>at the request of the MoC</w:t>
      </w:r>
      <w:r w:rsidRPr="00F9741C">
        <w:rPr>
          <w:sz w:val="24"/>
          <w:szCs w:val="24"/>
          <w:lang w:val="en-US"/>
        </w:rPr>
        <w:t xml:space="preserve">with a view to consider </w:t>
      </w:r>
      <w:r w:rsidR="00966E59" w:rsidRPr="00F9741C">
        <w:rPr>
          <w:sz w:val="24"/>
          <w:szCs w:val="24"/>
          <w:lang w:val="en-US"/>
        </w:rPr>
        <w:t xml:space="preserve">policy options for </w:t>
      </w:r>
      <w:r w:rsidRPr="00F9741C">
        <w:rPr>
          <w:sz w:val="24"/>
          <w:szCs w:val="24"/>
          <w:lang w:val="en-US"/>
        </w:rPr>
        <w:t xml:space="preserve">a better articulation between the MoC objectives of supporting the country’s cultural heritage as well as its cultural and creative sector. </w:t>
      </w:r>
    </w:p>
    <w:p w:rsidR="00966E59" w:rsidRPr="00F9741C" w:rsidRDefault="00966E59" w:rsidP="00F9741C">
      <w:pPr>
        <w:spacing w:after="120" w:line="240" w:lineRule="auto"/>
        <w:jc w:val="both"/>
        <w:rPr>
          <w:sz w:val="24"/>
          <w:szCs w:val="24"/>
          <w:lang w:val="en-US"/>
        </w:rPr>
      </w:pPr>
      <w:r w:rsidRPr="00F9741C">
        <w:rPr>
          <w:sz w:val="24"/>
          <w:szCs w:val="24"/>
          <w:lang w:val="en-US"/>
        </w:rPr>
        <w:t xml:space="preserve">According to the </w:t>
      </w:r>
      <w:r w:rsidR="000720EF" w:rsidRPr="00F9741C">
        <w:rPr>
          <w:sz w:val="24"/>
          <w:szCs w:val="24"/>
          <w:lang w:val="en-US"/>
        </w:rPr>
        <w:t>current law</w:t>
      </w:r>
      <w:r w:rsidRPr="00F9741C">
        <w:rPr>
          <w:rFonts w:eastAsia="Calibri" w:cs="Times New Roman"/>
          <w:sz w:val="24"/>
          <w:szCs w:val="24"/>
          <w:lang w:val="en-US"/>
        </w:rPr>
        <w:t xml:space="preserve"> on Cultural Heritage Protection </w:t>
      </w:r>
      <w:r w:rsidR="0067214C" w:rsidRPr="00F9741C">
        <w:rPr>
          <w:rFonts w:eastAsia="Calibri" w:cs="Times New Roman"/>
          <w:sz w:val="24"/>
          <w:szCs w:val="24"/>
          <w:lang w:val="en-US"/>
        </w:rPr>
        <w:t>(2004)</w:t>
      </w:r>
      <w:r w:rsidR="000720EF" w:rsidRPr="00F9741C">
        <w:rPr>
          <w:sz w:val="24"/>
          <w:szCs w:val="24"/>
          <w:lang w:val="en-US"/>
        </w:rPr>
        <w:t xml:space="preserve">, </w:t>
      </w:r>
      <w:r w:rsidRPr="00F9741C">
        <w:rPr>
          <w:sz w:val="24"/>
          <w:szCs w:val="24"/>
          <w:lang w:val="en-US"/>
        </w:rPr>
        <w:t>the protection of c</w:t>
      </w:r>
      <w:r w:rsidR="000720EF" w:rsidRPr="00F9741C">
        <w:rPr>
          <w:sz w:val="24"/>
          <w:szCs w:val="24"/>
          <w:lang w:val="en-US"/>
        </w:rPr>
        <w:t xml:space="preserve">ultural </w:t>
      </w:r>
      <w:r w:rsidRPr="00F9741C">
        <w:rPr>
          <w:sz w:val="24"/>
          <w:szCs w:val="24"/>
          <w:lang w:val="en-US"/>
        </w:rPr>
        <w:t>h</w:t>
      </w:r>
      <w:r w:rsidR="000720EF" w:rsidRPr="00F9741C">
        <w:rPr>
          <w:sz w:val="24"/>
          <w:szCs w:val="24"/>
          <w:lang w:val="en-US"/>
        </w:rPr>
        <w:t xml:space="preserve">eritage </w:t>
      </w:r>
      <w:r w:rsidRPr="00F9741C">
        <w:rPr>
          <w:sz w:val="24"/>
          <w:szCs w:val="24"/>
          <w:lang w:val="en-US"/>
        </w:rPr>
        <w:t xml:space="preserve">is the responsibility of </w:t>
      </w:r>
      <w:r w:rsidR="000720EF" w:rsidRPr="00F9741C">
        <w:rPr>
          <w:sz w:val="24"/>
          <w:szCs w:val="24"/>
          <w:lang w:val="en-US"/>
        </w:rPr>
        <w:t>9</w:t>
      </w:r>
      <w:r w:rsidRPr="00F9741C">
        <w:rPr>
          <w:sz w:val="24"/>
          <w:szCs w:val="24"/>
          <w:lang w:val="en-US"/>
        </w:rPr>
        <w:t xml:space="preserve"> national institutions:</w:t>
      </w:r>
    </w:p>
    <w:p w:rsidR="00966E59" w:rsidRPr="00F9741C" w:rsidRDefault="000720EF" w:rsidP="00F9741C">
      <w:pPr>
        <w:pStyle w:val="ListParagraph"/>
        <w:numPr>
          <w:ilvl w:val="0"/>
          <w:numId w:val="6"/>
        </w:numPr>
        <w:spacing w:after="120"/>
        <w:jc w:val="both"/>
        <w:rPr>
          <w:rFonts w:eastAsia="Calibri" w:cs="Times New Roman"/>
          <w:lang w:val="en-US"/>
        </w:rPr>
      </w:pPr>
      <w:r w:rsidRPr="00F9741C">
        <w:rPr>
          <w:lang w:val="en-US"/>
        </w:rPr>
        <w:t xml:space="preserve">1 institution is for cultural heritage management, </w:t>
      </w:r>
    </w:p>
    <w:p w:rsidR="00966E59" w:rsidRPr="00F9741C" w:rsidRDefault="000720EF" w:rsidP="00F9741C">
      <w:pPr>
        <w:pStyle w:val="ListParagraph"/>
        <w:numPr>
          <w:ilvl w:val="0"/>
          <w:numId w:val="6"/>
        </w:numPr>
        <w:spacing w:after="120"/>
        <w:jc w:val="both"/>
        <w:rPr>
          <w:rFonts w:eastAsia="Calibri" w:cs="Times New Roman"/>
          <w:lang w:val="en-US"/>
        </w:rPr>
      </w:pPr>
      <w:r w:rsidRPr="00F9741C">
        <w:rPr>
          <w:lang w:val="en-US"/>
        </w:rPr>
        <w:t xml:space="preserve">3 institutions are conservation centersand </w:t>
      </w:r>
    </w:p>
    <w:p w:rsidR="00966E59" w:rsidRPr="008C3A7C" w:rsidRDefault="000720EF" w:rsidP="00F9741C">
      <w:pPr>
        <w:pStyle w:val="ListParagraph"/>
        <w:numPr>
          <w:ilvl w:val="0"/>
          <w:numId w:val="6"/>
        </w:numPr>
        <w:spacing w:after="120"/>
        <w:jc w:val="both"/>
        <w:rPr>
          <w:rFonts w:eastAsia="Calibri" w:cs="Times New Roman"/>
          <w:lang w:val="en-US"/>
        </w:rPr>
      </w:pPr>
      <w:r w:rsidRPr="00F9741C">
        <w:rPr>
          <w:lang w:val="en-US"/>
        </w:rPr>
        <w:t>5 institutions (Institute for Protection of Cultural Monuments and Museum-Bitola, Institute for protection of the cultural monuments and Museum-Prilep, Institute for protection of the cultural monuments and Museum-Ohrid, Institute for protection of the cultural monuments and Museum-Stip and Institute for protection of the cultural monuments and Museum- Strumica)</w:t>
      </w:r>
      <w:r w:rsidR="00966E59" w:rsidRPr="00F9741C">
        <w:rPr>
          <w:lang w:val="en-US"/>
        </w:rPr>
        <w:t>. These institutions</w:t>
      </w:r>
      <w:r w:rsidRPr="00F9741C">
        <w:rPr>
          <w:lang w:val="en-US"/>
        </w:rPr>
        <w:t xml:space="preserve"> operate as hybrid institutions that simultaneously deal with immovable heritage protection</w:t>
      </w:r>
      <w:r w:rsidR="00966E59" w:rsidRPr="00F9741C">
        <w:rPr>
          <w:lang w:val="en-US"/>
        </w:rPr>
        <w:t xml:space="preserve"> and museum/ gallery activities. </w:t>
      </w:r>
    </w:p>
    <w:p w:rsidR="00D14B4B" w:rsidRDefault="00D14B4B" w:rsidP="00D14B4B">
      <w:pPr>
        <w:spacing w:after="120"/>
        <w:jc w:val="both"/>
        <w:rPr>
          <w:rFonts w:eastAsia="Calibri" w:cs="Times New Roman"/>
          <w:sz w:val="24"/>
          <w:szCs w:val="24"/>
          <w:lang w:val="en-US"/>
        </w:rPr>
      </w:pPr>
      <w:r w:rsidRPr="00D14B4B">
        <w:rPr>
          <w:rFonts w:eastAsia="Calibri" w:cs="Times New Roman"/>
          <w:sz w:val="24"/>
          <w:szCs w:val="24"/>
          <w:lang w:val="en-US"/>
        </w:rPr>
        <w:t>The 2021 budget is establishing a new budget line "C</w:t>
      </w:r>
      <w:r w:rsidR="00DC4D0C">
        <w:rPr>
          <w:rFonts w:eastAsia="Calibri" w:cs="Times New Roman"/>
          <w:sz w:val="24"/>
          <w:szCs w:val="24"/>
          <w:lang w:val="en-US"/>
        </w:rPr>
        <w:t>ultural heritage in danger</w:t>
      </w:r>
      <w:r w:rsidRPr="00D14B4B">
        <w:rPr>
          <w:rFonts w:eastAsia="Calibri" w:cs="Times New Roman"/>
          <w:sz w:val="24"/>
          <w:szCs w:val="24"/>
          <w:lang w:val="en-US"/>
        </w:rPr>
        <w:t xml:space="preserve">” with the intention of prioritizing the protection of important intangible cultural monuments. For this purpose, a fund of 12.000.000 MKD or almost 200.000 EUR is allocated. This fund supports urgent activities </w:t>
      </w:r>
      <w:r w:rsidR="009B68E4">
        <w:rPr>
          <w:rFonts w:eastAsia="Calibri" w:cs="Times New Roman"/>
          <w:sz w:val="24"/>
          <w:szCs w:val="24"/>
          <w:lang w:val="en-US"/>
        </w:rPr>
        <w:t xml:space="preserve">aimed at the </w:t>
      </w:r>
      <w:r w:rsidRPr="00D14B4B">
        <w:rPr>
          <w:rFonts w:eastAsia="Calibri" w:cs="Times New Roman"/>
          <w:sz w:val="24"/>
          <w:szCs w:val="24"/>
          <w:lang w:val="en-US"/>
        </w:rPr>
        <w:t>protection, conservation, and repair</w:t>
      </w:r>
      <w:r w:rsidR="009B68E4">
        <w:rPr>
          <w:rFonts w:eastAsia="Calibri" w:cs="Times New Roman"/>
          <w:sz w:val="24"/>
          <w:szCs w:val="24"/>
          <w:lang w:val="en-US"/>
        </w:rPr>
        <w:t xml:space="preserve"> of </w:t>
      </w:r>
      <w:r w:rsidRPr="00D14B4B">
        <w:rPr>
          <w:rFonts w:eastAsia="Calibri" w:cs="Times New Roman"/>
          <w:sz w:val="24"/>
          <w:szCs w:val="24"/>
          <w:lang w:val="en-US"/>
        </w:rPr>
        <w:t xml:space="preserve">important </w:t>
      </w:r>
      <w:r w:rsidR="00B426B1">
        <w:rPr>
          <w:rFonts w:eastAsia="Calibri" w:cs="Times New Roman"/>
          <w:sz w:val="24"/>
          <w:szCs w:val="24"/>
          <w:lang w:val="en-US"/>
        </w:rPr>
        <w:t xml:space="preserve">monuments </w:t>
      </w:r>
      <w:r w:rsidR="00B426B1" w:rsidRPr="00D14B4B">
        <w:rPr>
          <w:rFonts w:eastAsia="Calibri" w:cs="Times New Roman"/>
          <w:sz w:val="24"/>
          <w:szCs w:val="24"/>
          <w:lang w:val="en-US"/>
        </w:rPr>
        <w:t>considered</w:t>
      </w:r>
      <w:r w:rsidRPr="00D14B4B">
        <w:rPr>
          <w:rFonts w:eastAsia="Calibri" w:cs="Times New Roman"/>
          <w:sz w:val="24"/>
          <w:szCs w:val="24"/>
          <w:lang w:val="en-US"/>
        </w:rPr>
        <w:t xml:space="preserve"> to be representative of intangible heritage. In 2021 six </w:t>
      </w:r>
      <w:r w:rsidR="009B68E4">
        <w:rPr>
          <w:rFonts w:eastAsia="Calibri" w:cs="Times New Roman"/>
          <w:sz w:val="24"/>
          <w:szCs w:val="24"/>
          <w:lang w:val="en-US"/>
        </w:rPr>
        <w:t xml:space="preserve">such </w:t>
      </w:r>
      <w:r w:rsidR="00B426B1" w:rsidRPr="00D14B4B">
        <w:rPr>
          <w:rFonts w:eastAsia="Calibri" w:cs="Times New Roman"/>
          <w:sz w:val="24"/>
          <w:szCs w:val="24"/>
          <w:lang w:val="en-US"/>
        </w:rPr>
        <w:t>monuments</w:t>
      </w:r>
      <w:r w:rsidR="009B68E4">
        <w:rPr>
          <w:rFonts w:eastAsia="Calibri" w:cs="Times New Roman"/>
          <w:sz w:val="24"/>
          <w:szCs w:val="24"/>
          <w:lang w:val="en-US"/>
        </w:rPr>
        <w:t xml:space="preserve">have been </w:t>
      </w:r>
      <w:r w:rsidRPr="00D14B4B">
        <w:rPr>
          <w:rFonts w:eastAsia="Calibri" w:cs="Times New Roman"/>
          <w:sz w:val="24"/>
          <w:szCs w:val="24"/>
          <w:lang w:val="en-US"/>
        </w:rPr>
        <w:t>listed</w:t>
      </w:r>
      <w:r>
        <w:rPr>
          <w:rFonts w:eastAsia="Calibri" w:cs="Times New Roman"/>
          <w:sz w:val="24"/>
          <w:szCs w:val="24"/>
          <w:lang w:val="en-US"/>
        </w:rPr>
        <w:t xml:space="preserve">. </w:t>
      </w:r>
      <w:r w:rsidR="002952F1" w:rsidRPr="002952F1">
        <w:rPr>
          <w:rFonts w:eastAsia="Calibri" w:cs="Times New Roman"/>
          <w:sz w:val="24"/>
          <w:szCs w:val="24"/>
          <w:lang w:val="en-US"/>
        </w:rPr>
        <w:t>A new Law on Cultural Heritage is being drafted,</w:t>
      </w:r>
    </w:p>
    <w:p w:rsidR="0067214C" w:rsidRDefault="00966E59" w:rsidP="00D14B4B">
      <w:pPr>
        <w:spacing w:after="120"/>
        <w:jc w:val="both"/>
        <w:rPr>
          <w:sz w:val="24"/>
          <w:szCs w:val="24"/>
          <w:lang w:val="en-US"/>
        </w:rPr>
      </w:pPr>
      <w:r w:rsidRPr="00F9741C">
        <w:rPr>
          <w:rFonts w:eastAsia="Calibri" w:cs="Times New Roman"/>
          <w:sz w:val="24"/>
          <w:szCs w:val="24"/>
          <w:lang w:val="en-US"/>
        </w:rPr>
        <w:t>T</w:t>
      </w:r>
      <w:r w:rsidR="000720EF" w:rsidRPr="00F9741C">
        <w:rPr>
          <w:rFonts w:eastAsia="Calibri" w:cs="Times New Roman"/>
          <w:sz w:val="24"/>
          <w:szCs w:val="24"/>
          <w:lang w:val="en-US"/>
        </w:rPr>
        <w:t xml:space="preserve">he National Strategy for Cultural Development </w:t>
      </w:r>
      <w:r w:rsidRPr="00F9741C">
        <w:rPr>
          <w:rFonts w:eastAsia="Calibri" w:cs="Times New Roman"/>
          <w:sz w:val="24"/>
          <w:szCs w:val="24"/>
          <w:lang w:val="en-US"/>
        </w:rPr>
        <w:t>(2018-2022</w:t>
      </w:r>
      <w:r w:rsidR="0067214C" w:rsidRPr="00F9741C">
        <w:rPr>
          <w:rFonts w:eastAsia="Calibri" w:cs="Times New Roman"/>
          <w:sz w:val="24"/>
          <w:szCs w:val="24"/>
          <w:lang w:val="en-US"/>
        </w:rPr>
        <w:t xml:space="preserve">) </w:t>
      </w:r>
      <w:r w:rsidR="000720EF" w:rsidRPr="00F9741C">
        <w:rPr>
          <w:rFonts w:eastAsia="Calibri" w:cs="Times New Roman"/>
          <w:sz w:val="24"/>
          <w:szCs w:val="24"/>
          <w:lang w:val="en-US"/>
        </w:rPr>
        <w:t xml:space="preserve">envisages </w:t>
      </w:r>
      <w:r w:rsidR="0067214C" w:rsidRPr="00F9741C">
        <w:rPr>
          <w:rFonts w:eastAsia="Calibri" w:cs="Times New Roman"/>
          <w:sz w:val="24"/>
          <w:szCs w:val="24"/>
          <w:lang w:val="en-US"/>
        </w:rPr>
        <w:t xml:space="preserve">the drafting of new legislation </w:t>
      </w:r>
      <w:r w:rsidR="000720EF" w:rsidRPr="00F9741C">
        <w:rPr>
          <w:rFonts w:eastAsia="Calibri" w:cs="Times New Roman"/>
          <w:sz w:val="24"/>
          <w:szCs w:val="24"/>
          <w:lang w:val="en-US"/>
        </w:rPr>
        <w:t>as well as revision of the status and role of the Directorate for Protection of Cultural Heritage.</w:t>
      </w:r>
      <w:r w:rsidR="0067214C" w:rsidRPr="00F9741C">
        <w:rPr>
          <w:sz w:val="24"/>
          <w:szCs w:val="24"/>
          <w:lang w:val="en-US"/>
        </w:rPr>
        <w:t xml:space="preserve">  At the same time the National Strategy for Cultural Development is still at an early stage of implementation and work needs to intensify notably to support the growth of the cultural and creative sector in the country.</w:t>
      </w:r>
    </w:p>
    <w:p w:rsidR="00C377D3" w:rsidRDefault="00C377D3" w:rsidP="00F9741C">
      <w:pPr>
        <w:jc w:val="both"/>
        <w:rPr>
          <w:sz w:val="24"/>
          <w:szCs w:val="24"/>
          <w:lang w:val="en-US"/>
        </w:rPr>
      </w:pPr>
      <w:r>
        <w:rPr>
          <w:sz w:val="24"/>
          <w:szCs w:val="24"/>
          <w:lang w:val="en-US"/>
        </w:rPr>
        <w:t>A mapping o</w:t>
      </w:r>
      <w:r w:rsidR="009B68E4">
        <w:rPr>
          <w:sz w:val="24"/>
          <w:szCs w:val="24"/>
          <w:lang w:val="en-US"/>
        </w:rPr>
        <w:t>f</w:t>
      </w:r>
      <w:r>
        <w:rPr>
          <w:sz w:val="24"/>
          <w:szCs w:val="24"/>
          <w:lang w:val="en-US"/>
        </w:rPr>
        <w:t xml:space="preserve"> the economic and social significance of the Culture and Creative Sector remains to be done in North Macedonia. The development of the National Strategy for Cultural Development </w:t>
      </w:r>
      <w:r w:rsidR="009B68E4">
        <w:rPr>
          <w:sz w:val="24"/>
          <w:szCs w:val="24"/>
          <w:lang w:val="en-US"/>
        </w:rPr>
        <w:t xml:space="preserve">will </w:t>
      </w:r>
      <w:r>
        <w:rPr>
          <w:sz w:val="24"/>
          <w:szCs w:val="24"/>
          <w:lang w:val="en-US"/>
        </w:rPr>
        <w:t xml:space="preserve">lead to </w:t>
      </w:r>
      <w:r w:rsidR="00B426B1">
        <w:rPr>
          <w:sz w:val="24"/>
          <w:szCs w:val="24"/>
          <w:lang w:val="en-US"/>
        </w:rPr>
        <w:t>a</w:t>
      </w:r>
      <w:r>
        <w:rPr>
          <w:sz w:val="24"/>
          <w:szCs w:val="24"/>
          <w:lang w:val="en-US"/>
        </w:rPr>
        <w:t xml:space="preserve"> process of consultation with the sector (enterprises, NGOs) eager to contribute in the implementation. </w:t>
      </w:r>
    </w:p>
    <w:p w:rsidR="00D14B4B" w:rsidRDefault="00D14B4B" w:rsidP="00F9741C">
      <w:pPr>
        <w:jc w:val="both"/>
        <w:rPr>
          <w:sz w:val="24"/>
          <w:szCs w:val="24"/>
          <w:lang w:val="en-US"/>
        </w:rPr>
      </w:pPr>
      <w:r w:rsidRPr="00D14B4B">
        <w:rPr>
          <w:sz w:val="24"/>
          <w:szCs w:val="24"/>
          <w:lang w:val="en-US"/>
        </w:rPr>
        <w:t xml:space="preserve">The </w:t>
      </w:r>
      <w:r w:rsidR="009B68E4">
        <w:rPr>
          <w:sz w:val="24"/>
          <w:szCs w:val="24"/>
          <w:lang w:val="en-US"/>
        </w:rPr>
        <w:t>2021 b</w:t>
      </w:r>
      <w:r w:rsidRPr="00D14B4B">
        <w:rPr>
          <w:sz w:val="24"/>
          <w:szCs w:val="24"/>
          <w:lang w:val="en-US"/>
        </w:rPr>
        <w:t xml:space="preserve">udget has doubled its funds for culture and European integration, compared to the previous budget. The funds supports projects related to the administrative reorganization of cultural institutions in accordance with the principles of public </w:t>
      </w:r>
      <w:r w:rsidRPr="00D14B4B">
        <w:rPr>
          <w:sz w:val="24"/>
          <w:szCs w:val="24"/>
          <w:lang w:val="en-US"/>
        </w:rPr>
        <w:lastRenderedPageBreak/>
        <w:t xml:space="preserve">administration </w:t>
      </w:r>
      <w:r w:rsidR="00CE4589">
        <w:rPr>
          <w:sz w:val="24"/>
          <w:szCs w:val="24"/>
          <w:lang w:val="en-US"/>
        </w:rPr>
        <w:t>drawn up by</w:t>
      </w:r>
      <w:r w:rsidRPr="00D14B4B">
        <w:rPr>
          <w:sz w:val="24"/>
          <w:szCs w:val="24"/>
          <w:lang w:val="en-US"/>
        </w:rPr>
        <w:t xml:space="preserve"> the EU</w:t>
      </w:r>
      <w:r>
        <w:rPr>
          <w:sz w:val="24"/>
          <w:szCs w:val="24"/>
          <w:lang w:val="en-US"/>
        </w:rPr>
        <w:t xml:space="preserve">. It also supports </w:t>
      </w:r>
      <w:r w:rsidRPr="00D14B4B">
        <w:rPr>
          <w:sz w:val="24"/>
          <w:szCs w:val="24"/>
          <w:lang w:val="en-US"/>
        </w:rPr>
        <w:t xml:space="preserve">co-financing of all </w:t>
      </w:r>
      <w:r>
        <w:rPr>
          <w:sz w:val="24"/>
          <w:szCs w:val="24"/>
          <w:lang w:val="en-US"/>
        </w:rPr>
        <w:t xml:space="preserve">local </w:t>
      </w:r>
      <w:r w:rsidRPr="00D14B4B">
        <w:rPr>
          <w:sz w:val="24"/>
          <w:szCs w:val="24"/>
          <w:lang w:val="en-US"/>
        </w:rPr>
        <w:t xml:space="preserve">projects </w:t>
      </w:r>
      <w:r>
        <w:rPr>
          <w:sz w:val="24"/>
          <w:szCs w:val="24"/>
          <w:lang w:val="en-US"/>
        </w:rPr>
        <w:t xml:space="preserve">that received </w:t>
      </w:r>
      <w:r w:rsidRPr="00D14B4B">
        <w:rPr>
          <w:sz w:val="24"/>
          <w:szCs w:val="24"/>
          <w:lang w:val="en-US"/>
        </w:rPr>
        <w:t>approv</w:t>
      </w:r>
      <w:r>
        <w:rPr>
          <w:sz w:val="24"/>
          <w:szCs w:val="24"/>
          <w:lang w:val="en-US"/>
        </w:rPr>
        <w:t xml:space="preserve">al under </w:t>
      </w:r>
      <w:r w:rsidRPr="00D14B4B">
        <w:rPr>
          <w:sz w:val="24"/>
          <w:szCs w:val="24"/>
          <w:lang w:val="en-US"/>
        </w:rPr>
        <w:t xml:space="preserve">the Creative Europe program, as well as </w:t>
      </w:r>
      <w:r>
        <w:rPr>
          <w:sz w:val="24"/>
          <w:szCs w:val="24"/>
          <w:lang w:val="en-US"/>
        </w:rPr>
        <w:t xml:space="preserve">in relation to the </w:t>
      </w:r>
      <w:r w:rsidRPr="00D14B4B">
        <w:rPr>
          <w:sz w:val="24"/>
          <w:szCs w:val="24"/>
          <w:lang w:val="en-US"/>
        </w:rPr>
        <w:t>European agenda for the Western Balkans in the field of culture.</w:t>
      </w:r>
      <w:r>
        <w:rPr>
          <w:sz w:val="24"/>
          <w:szCs w:val="24"/>
          <w:lang w:val="en-US"/>
        </w:rPr>
        <w:t xml:space="preserve"> The priority is to support integration of cultural actors and entrepreneurs in European networks. </w:t>
      </w:r>
    </w:p>
    <w:p w:rsidR="009A0E05" w:rsidRPr="009A0E05" w:rsidRDefault="009A0E05" w:rsidP="009A0E05">
      <w:pPr>
        <w:jc w:val="both"/>
        <w:rPr>
          <w:sz w:val="24"/>
          <w:szCs w:val="24"/>
          <w:lang w:val="en-US"/>
        </w:rPr>
      </w:pPr>
      <w:r w:rsidRPr="009A0E05">
        <w:rPr>
          <w:sz w:val="24"/>
          <w:szCs w:val="24"/>
          <w:lang w:val="en-US"/>
        </w:rPr>
        <w:t xml:space="preserve">Information used to draft this report was compiled through </w:t>
      </w:r>
      <w:r>
        <w:rPr>
          <w:sz w:val="24"/>
          <w:szCs w:val="24"/>
          <w:lang w:val="en-US"/>
        </w:rPr>
        <w:t xml:space="preserve">online </w:t>
      </w:r>
      <w:r w:rsidRPr="009A0E05">
        <w:rPr>
          <w:sz w:val="24"/>
          <w:szCs w:val="24"/>
          <w:lang w:val="en-US"/>
        </w:rPr>
        <w:t>meetings with</w:t>
      </w:r>
      <w:r w:rsidR="00B426B1">
        <w:rPr>
          <w:sz w:val="24"/>
          <w:szCs w:val="24"/>
          <w:lang w:val="en-US"/>
        </w:rPr>
        <w:t xml:space="preserve"> different </w:t>
      </w:r>
      <w:r w:rsidRPr="009A0E05">
        <w:rPr>
          <w:sz w:val="24"/>
          <w:szCs w:val="24"/>
          <w:lang w:val="en-US"/>
        </w:rPr>
        <w:t xml:space="preserve">categories of stakeholders. It was compiled with a view to advise the Ministry of Culture on priorities for the development of </w:t>
      </w:r>
      <w:r>
        <w:rPr>
          <w:sz w:val="24"/>
          <w:szCs w:val="24"/>
          <w:lang w:val="en-US"/>
        </w:rPr>
        <w:t xml:space="preserve">heritage and the </w:t>
      </w:r>
      <w:r w:rsidRPr="009A0E05">
        <w:rPr>
          <w:sz w:val="24"/>
          <w:szCs w:val="24"/>
          <w:lang w:val="en-US"/>
        </w:rPr>
        <w:t>culture and creative sectors</w:t>
      </w:r>
      <w:r w:rsidR="001508E4">
        <w:rPr>
          <w:sz w:val="24"/>
          <w:szCs w:val="24"/>
          <w:lang w:val="en-US"/>
        </w:rPr>
        <w:t xml:space="preserve"> (CCS)</w:t>
      </w:r>
      <w:r w:rsidRPr="009A0E05">
        <w:rPr>
          <w:sz w:val="24"/>
          <w:szCs w:val="24"/>
          <w:lang w:val="en-US"/>
        </w:rPr>
        <w:t xml:space="preserve"> that serves economic, and social development. Cultural and creative </w:t>
      </w:r>
      <w:r>
        <w:rPr>
          <w:sz w:val="24"/>
          <w:szCs w:val="24"/>
          <w:lang w:val="en-US"/>
        </w:rPr>
        <w:t xml:space="preserve">sectors </w:t>
      </w:r>
      <w:r w:rsidRPr="009A0E05">
        <w:rPr>
          <w:sz w:val="24"/>
          <w:szCs w:val="24"/>
          <w:lang w:val="en-US"/>
        </w:rPr>
        <w:t>can be defined according to the definition adopted by EU institutions. These include the cultural sector - heritage, performing art, museum, music, publishing, audiovisual, video games, events and creative industries – design, advertising, architecture and fashion.</w:t>
      </w:r>
    </w:p>
    <w:p w:rsidR="009A0E05" w:rsidRDefault="009A0E05" w:rsidP="009A0E05">
      <w:pPr>
        <w:jc w:val="both"/>
        <w:rPr>
          <w:sz w:val="24"/>
          <w:szCs w:val="24"/>
          <w:lang w:val="en-US"/>
        </w:rPr>
      </w:pPr>
      <w:r w:rsidRPr="009A0E05">
        <w:rPr>
          <w:sz w:val="24"/>
          <w:szCs w:val="24"/>
          <w:lang w:val="en-US"/>
        </w:rPr>
        <w:t xml:space="preserve">The </w:t>
      </w:r>
      <w:r w:rsidR="001508E4">
        <w:rPr>
          <w:sz w:val="24"/>
          <w:szCs w:val="24"/>
          <w:lang w:val="en-US"/>
        </w:rPr>
        <w:t xml:space="preserve">virtual </w:t>
      </w:r>
      <w:r w:rsidRPr="009A0E05">
        <w:rPr>
          <w:sz w:val="24"/>
          <w:szCs w:val="24"/>
          <w:lang w:val="en-US"/>
        </w:rPr>
        <w:t xml:space="preserve">visit took place </w:t>
      </w:r>
      <w:r w:rsidR="001508E4">
        <w:rPr>
          <w:sz w:val="24"/>
          <w:szCs w:val="24"/>
          <w:lang w:val="en-US"/>
        </w:rPr>
        <w:t>on 9</w:t>
      </w:r>
      <w:r w:rsidR="00B426B1">
        <w:rPr>
          <w:sz w:val="24"/>
          <w:szCs w:val="24"/>
          <w:lang w:val="en-US"/>
        </w:rPr>
        <w:t>, 10</w:t>
      </w:r>
      <w:r w:rsidR="001508E4">
        <w:rPr>
          <w:sz w:val="24"/>
          <w:szCs w:val="24"/>
          <w:lang w:val="en-US"/>
        </w:rPr>
        <w:t xml:space="preserve"> and 17 December </w:t>
      </w:r>
      <w:r w:rsidRPr="009A0E05">
        <w:rPr>
          <w:sz w:val="24"/>
          <w:szCs w:val="24"/>
          <w:lang w:val="en-US"/>
        </w:rPr>
        <w:t>20</w:t>
      </w:r>
      <w:r w:rsidR="001508E4">
        <w:rPr>
          <w:sz w:val="24"/>
          <w:szCs w:val="24"/>
          <w:lang w:val="en-US"/>
        </w:rPr>
        <w:t>20</w:t>
      </w:r>
      <w:r w:rsidR="001508E4">
        <w:rPr>
          <w:rStyle w:val="FootnoteReference"/>
          <w:sz w:val="24"/>
          <w:szCs w:val="24"/>
          <w:lang w:val="en-US"/>
        </w:rPr>
        <w:footnoteReference w:id="17"/>
      </w:r>
      <w:r w:rsidRPr="009A0E05">
        <w:rPr>
          <w:sz w:val="24"/>
          <w:szCs w:val="24"/>
          <w:lang w:val="en-US"/>
        </w:rPr>
        <w:t xml:space="preserve">. </w:t>
      </w:r>
      <w:r w:rsidR="00B426B1">
        <w:rPr>
          <w:sz w:val="24"/>
          <w:szCs w:val="24"/>
          <w:lang w:val="en-US"/>
        </w:rPr>
        <w:t xml:space="preserve"> Several m</w:t>
      </w:r>
      <w:r w:rsidRPr="009A0E05">
        <w:rPr>
          <w:sz w:val="24"/>
          <w:szCs w:val="24"/>
          <w:lang w:val="en-US"/>
        </w:rPr>
        <w:t>eeting</w:t>
      </w:r>
      <w:r w:rsidR="00B426B1">
        <w:rPr>
          <w:sz w:val="24"/>
          <w:szCs w:val="24"/>
          <w:lang w:val="en-US"/>
        </w:rPr>
        <w:t>s</w:t>
      </w:r>
      <w:r w:rsidRPr="009A0E05">
        <w:rPr>
          <w:sz w:val="24"/>
          <w:szCs w:val="24"/>
          <w:lang w:val="en-US"/>
        </w:rPr>
        <w:t xml:space="preserve"> with stakeholders enabled to identify challenges and opportunities used to formulate recommendations. The aim of the mission is to help planning and establishing a long-lasting strategic framework that survive political upheavals.</w:t>
      </w:r>
    </w:p>
    <w:p w:rsidR="000720EF" w:rsidRPr="00F9741C" w:rsidRDefault="000720EF" w:rsidP="00F9741C">
      <w:pPr>
        <w:spacing w:after="120"/>
        <w:ind w:left="360"/>
        <w:jc w:val="both"/>
        <w:rPr>
          <w:rFonts w:eastAsia="Calibri" w:cs="Times New Roman"/>
          <w:sz w:val="24"/>
          <w:szCs w:val="24"/>
          <w:lang w:val="en-US"/>
        </w:rPr>
      </w:pPr>
    </w:p>
    <w:p w:rsidR="00562125" w:rsidRPr="00853655" w:rsidRDefault="00DF4F22" w:rsidP="00F9741C">
      <w:pPr>
        <w:jc w:val="both"/>
        <w:rPr>
          <w:sz w:val="24"/>
          <w:szCs w:val="24"/>
          <w:lang w:val="en-US"/>
        </w:rPr>
      </w:pPr>
      <w:r w:rsidRPr="00F9741C">
        <w:rPr>
          <w:sz w:val="24"/>
          <w:szCs w:val="24"/>
          <w:lang w:val="en-US"/>
        </w:rPr>
        <w:t xml:space="preserve">3. </w:t>
      </w:r>
      <w:r w:rsidRPr="00F9741C">
        <w:rPr>
          <w:b/>
          <w:sz w:val="24"/>
          <w:szCs w:val="24"/>
          <w:lang w:val="en-US"/>
        </w:rPr>
        <w:t>Main Challenges and Opportunities</w:t>
      </w:r>
    </w:p>
    <w:p w:rsidR="00B91DA6" w:rsidRDefault="00B91DA6" w:rsidP="00562125">
      <w:pPr>
        <w:jc w:val="both"/>
        <w:rPr>
          <w:sz w:val="24"/>
          <w:szCs w:val="24"/>
          <w:lang w:val="en-US"/>
        </w:rPr>
      </w:pPr>
      <w:r>
        <w:rPr>
          <w:sz w:val="24"/>
          <w:szCs w:val="24"/>
          <w:lang w:val="en-US"/>
        </w:rPr>
        <w:t xml:space="preserve">Challenges linked to the development of a coherent cultural policy are familiar to countries with limited budget resources and </w:t>
      </w:r>
      <w:r w:rsidR="003376C7">
        <w:rPr>
          <w:sz w:val="24"/>
          <w:szCs w:val="24"/>
          <w:lang w:val="en-US"/>
        </w:rPr>
        <w:t>narrow</w:t>
      </w:r>
      <w:r w:rsidR="00B426B1">
        <w:rPr>
          <w:sz w:val="24"/>
          <w:szCs w:val="24"/>
          <w:lang w:val="en-US"/>
        </w:rPr>
        <w:t>er</w:t>
      </w:r>
      <w:r>
        <w:rPr>
          <w:sz w:val="24"/>
          <w:szCs w:val="24"/>
          <w:lang w:val="en-US"/>
        </w:rPr>
        <w:t>understanding on the value</w:t>
      </w:r>
      <w:r w:rsidR="003376C7">
        <w:rPr>
          <w:sz w:val="24"/>
          <w:szCs w:val="24"/>
          <w:lang w:val="en-US"/>
        </w:rPr>
        <w:t xml:space="preserve"> and potential</w:t>
      </w:r>
      <w:r>
        <w:rPr>
          <w:sz w:val="24"/>
          <w:szCs w:val="24"/>
          <w:lang w:val="en-US"/>
        </w:rPr>
        <w:t xml:space="preserve"> of cultural investment to generate economic and social development. </w:t>
      </w:r>
      <w:r w:rsidR="00B426B1">
        <w:rPr>
          <w:sz w:val="24"/>
          <w:szCs w:val="24"/>
          <w:lang w:val="en-US"/>
        </w:rPr>
        <w:t xml:space="preserve">North Macedonia </w:t>
      </w:r>
      <w:r>
        <w:rPr>
          <w:sz w:val="24"/>
          <w:szCs w:val="24"/>
          <w:lang w:val="en-US"/>
        </w:rPr>
        <w:t>is obviously facing many challenges</w:t>
      </w:r>
      <w:r w:rsidR="003376C7">
        <w:rPr>
          <w:sz w:val="24"/>
          <w:szCs w:val="24"/>
          <w:lang w:val="en-US"/>
        </w:rPr>
        <w:t xml:space="preserve"> the more so </w:t>
      </w:r>
      <w:r w:rsidR="00F6017E">
        <w:rPr>
          <w:sz w:val="24"/>
          <w:szCs w:val="24"/>
          <w:lang w:val="en-US"/>
        </w:rPr>
        <w:t xml:space="preserve">with </w:t>
      </w:r>
      <w:r w:rsidR="003376C7" w:rsidRPr="00F9741C">
        <w:rPr>
          <w:sz w:val="24"/>
          <w:szCs w:val="24"/>
          <w:lang w:val="en-US"/>
        </w:rPr>
        <w:t xml:space="preserve">the COVID-19 crisis </w:t>
      </w:r>
      <w:r w:rsidR="00F6017E">
        <w:rPr>
          <w:sz w:val="24"/>
          <w:szCs w:val="24"/>
          <w:lang w:val="en-US"/>
        </w:rPr>
        <w:t xml:space="preserve">that </w:t>
      </w:r>
      <w:r w:rsidR="003376C7" w:rsidRPr="00F9741C">
        <w:rPr>
          <w:sz w:val="24"/>
          <w:szCs w:val="24"/>
          <w:lang w:val="en-US"/>
        </w:rPr>
        <w:t>has left its mark on the economy and on public finances</w:t>
      </w:r>
      <w:r w:rsidR="003376C7">
        <w:rPr>
          <w:sz w:val="24"/>
          <w:szCs w:val="24"/>
          <w:lang w:val="en-US"/>
        </w:rPr>
        <w:t xml:space="preserve"> like in many countries</w:t>
      </w:r>
      <w:r w:rsidR="003376C7" w:rsidRPr="00F9741C">
        <w:rPr>
          <w:sz w:val="24"/>
          <w:szCs w:val="24"/>
          <w:lang w:val="en-US"/>
        </w:rPr>
        <w:t>.</w:t>
      </w:r>
    </w:p>
    <w:p w:rsidR="00B91DA6" w:rsidRDefault="00F6017E" w:rsidP="00562125">
      <w:pPr>
        <w:jc w:val="both"/>
        <w:rPr>
          <w:sz w:val="24"/>
          <w:szCs w:val="24"/>
          <w:lang w:val="en-US"/>
        </w:rPr>
      </w:pPr>
      <w:r>
        <w:rPr>
          <w:sz w:val="24"/>
          <w:szCs w:val="24"/>
          <w:lang w:val="en-US"/>
        </w:rPr>
        <w:t>At the outset e</w:t>
      </w:r>
      <w:r w:rsidR="00B91DA6">
        <w:rPr>
          <w:sz w:val="24"/>
          <w:szCs w:val="24"/>
          <w:lang w:val="en-US"/>
        </w:rPr>
        <w:t xml:space="preserve">xperts would like to highlight that a coherent culture policy strategy would help address social cohesion in a multi-ethnic country and help in the formulation of a more inclusive societal approach triggering community engagement and citizens’ empowerment capable of countering divisive political rhetoric and interference. </w:t>
      </w:r>
    </w:p>
    <w:p w:rsidR="00B91DA6" w:rsidRDefault="00B91DA6" w:rsidP="00562125">
      <w:pPr>
        <w:jc w:val="both"/>
        <w:rPr>
          <w:sz w:val="24"/>
          <w:szCs w:val="24"/>
          <w:lang w:val="en-US"/>
        </w:rPr>
      </w:pPr>
      <w:r>
        <w:rPr>
          <w:sz w:val="24"/>
          <w:szCs w:val="24"/>
          <w:lang w:val="en-US"/>
        </w:rPr>
        <w:t xml:space="preserve">The following </w:t>
      </w:r>
      <w:r w:rsidR="003376C7">
        <w:rPr>
          <w:sz w:val="24"/>
          <w:szCs w:val="24"/>
          <w:lang w:val="en-US"/>
        </w:rPr>
        <w:t xml:space="preserve">main </w:t>
      </w:r>
      <w:r>
        <w:rPr>
          <w:sz w:val="24"/>
          <w:szCs w:val="24"/>
          <w:lang w:val="en-US"/>
        </w:rPr>
        <w:t>challenges have been identified f</w:t>
      </w:r>
      <w:r w:rsidR="00CE4589">
        <w:rPr>
          <w:sz w:val="24"/>
          <w:szCs w:val="24"/>
          <w:lang w:val="en-US"/>
        </w:rPr>
        <w:t xml:space="preserve">ollowing </w:t>
      </w:r>
      <w:r>
        <w:rPr>
          <w:sz w:val="24"/>
          <w:szCs w:val="24"/>
          <w:lang w:val="en-US"/>
        </w:rPr>
        <w:t>consultation with stakeholders</w:t>
      </w:r>
      <w:r w:rsidR="00365029">
        <w:rPr>
          <w:sz w:val="24"/>
          <w:szCs w:val="24"/>
          <w:lang w:val="en-US"/>
        </w:rPr>
        <w:t xml:space="preserve">: </w:t>
      </w:r>
    </w:p>
    <w:p w:rsidR="00DC4D0C" w:rsidRDefault="00365029" w:rsidP="003E3160">
      <w:pPr>
        <w:pStyle w:val="ListParagraph"/>
        <w:numPr>
          <w:ilvl w:val="0"/>
          <w:numId w:val="6"/>
        </w:numPr>
        <w:spacing w:after="120"/>
        <w:jc w:val="both"/>
        <w:rPr>
          <w:lang w:val="en-US"/>
        </w:rPr>
      </w:pPr>
      <w:r>
        <w:rPr>
          <w:lang w:val="en-US"/>
        </w:rPr>
        <w:t xml:space="preserve">The need to reform public administration to improve transparency on management and spending , </w:t>
      </w:r>
    </w:p>
    <w:p w:rsidR="00DC4D0C" w:rsidRDefault="00365029" w:rsidP="003E3160">
      <w:pPr>
        <w:pStyle w:val="ListParagraph"/>
        <w:numPr>
          <w:ilvl w:val="0"/>
          <w:numId w:val="6"/>
        </w:numPr>
        <w:spacing w:after="120"/>
        <w:jc w:val="both"/>
        <w:rPr>
          <w:lang w:val="en-US"/>
        </w:rPr>
      </w:pPr>
      <w:r>
        <w:rPr>
          <w:lang w:val="en-US"/>
        </w:rPr>
        <w:t xml:space="preserve">to improve data collection on the culture and creative sectors, </w:t>
      </w:r>
    </w:p>
    <w:p w:rsidR="00DC4D0C" w:rsidRDefault="00DC4D0C" w:rsidP="003E3160">
      <w:pPr>
        <w:pStyle w:val="ListParagraph"/>
        <w:numPr>
          <w:ilvl w:val="0"/>
          <w:numId w:val="6"/>
        </w:numPr>
        <w:spacing w:after="120"/>
        <w:jc w:val="both"/>
        <w:rPr>
          <w:lang w:val="en-US"/>
        </w:rPr>
      </w:pPr>
      <w:r>
        <w:rPr>
          <w:lang w:val="en-US"/>
        </w:rPr>
        <w:t xml:space="preserve">to digitize procedure, </w:t>
      </w:r>
    </w:p>
    <w:p w:rsidR="00DC4D0C" w:rsidRDefault="00365029" w:rsidP="003E3160">
      <w:pPr>
        <w:pStyle w:val="ListParagraph"/>
        <w:numPr>
          <w:ilvl w:val="0"/>
          <w:numId w:val="6"/>
        </w:numPr>
        <w:spacing w:after="120"/>
        <w:jc w:val="both"/>
        <w:rPr>
          <w:lang w:val="en-US"/>
        </w:rPr>
      </w:pPr>
      <w:r>
        <w:rPr>
          <w:lang w:val="en-US"/>
        </w:rPr>
        <w:t xml:space="preserve">to operationalize policy vision, </w:t>
      </w:r>
    </w:p>
    <w:p w:rsidR="00DC4D0C" w:rsidRDefault="00365029" w:rsidP="003E3160">
      <w:pPr>
        <w:pStyle w:val="ListParagraph"/>
        <w:numPr>
          <w:ilvl w:val="0"/>
          <w:numId w:val="6"/>
        </w:numPr>
        <w:spacing w:after="120"/>
        <w:jc w:val="both"/>
        <w:rPr>
          <w:lang w:val="en-US"/>
        </w:rPr>
      </w:pPr>
      <w:r>
        <w:rPr>
          <w:lang w:val="en-US"/>
        </w:rPr>
        <w:t xml:space="preserve">to reward merit, </w:t>
      </w:r>
    </w:p>
    <w:p w:rsidR="00DC4D0C" w:rsidRDefault="00CE4589" w:rsidP="003E3160">
      <w:pPr>
        <w:pStyle w:val="ListParagraph"/>
        <w:numPr>
          <w:ilvl w:val="0"/>
          <w:numId w:val="6"/>
        </w:numPr>
        <w:spacing w:after="120"/>
        <w:jc w:val="both"/>
        <w:rPr>
          <w:lang w:val="en-US"/>
        </w:rPr>
      </w:pPr>
      <w:r>
        <w:rPr>
          <w:lang w:val="en-US"/>
        </w:rPr>
        <w:t xml:space="preserve">to value </w:t>
      </w:r>
      <w:r w:rsidR="00365029">
        <w:rPr>
          <w:lang w:val="en-US"/>
        </w:rPr>
        <w:t xml:space="preserve">professional expertise over political appointments.   </w:t>
      </w:r>
    </w:p>
    <w:p w:rsidR="00170B0F" w:rsidRDefault="00365029" w:rsidP="00DC4D0C">
      <w:pPr>
        <w:spacing w:after="120"/>
        <w:ind w:left="360"/>
        <w:jc w:val="both"/>
        <w:rPr>
          <w:sz w:val="24"/>
          <w:szCs w:val="24"/>
          <w:lang w:val="en-US"/>
        </w:rPr>
      </w:pPr>
      <w:r w:rsidRPr="00DC4D0C">
        <w:rPr>
          <w:sz w:val="24"/>
          <w:szCs w:val="24"/>
          <w:lang w:val="en-US"/>
        </w:rPr>
        <w:lastRenderedPageBreak/>
        <w:t xml:space="preserve">We understand that a reform of the country’s public administration is being implemented and that the reform strategy is leading to a functional review of the Ministry of Culture planned in the coming months in line with the adoption of the </w:t>
      </w:r>
      <w:r w:rsidRPr="00F9741C">
        <w:rPr>
          <w:sz w:val="24"/>
          <w:szCs w:val="24"/>
          <w:lang w:val="en-US"/>
        </w:rPr>
        <w:t>2019-2021 Transparency Strategy</w:t>
      </w:r>
      <w:r w:rsidR="00B426B1">
        <w:rPr>
          <w:sz w:val="24"/>
          <w:szCs w:val="24"/>
          <w:lang w:val="en-US"/>
        </w:rPr>
        <w:t xml:space="preserve"> and</w:t>
      </w:r>
      <w:r w:rsidRPr="00F9741C">
        <w:rPr>
          <w:sz w:val="24"/>
          <w:szCs w:val="24"/>
          <w:lang w:val="en-US"/>
        </w:rPr>
        <w:t>Public Administration Reform Strategy a</w:t>
      </w:r>
      <w:r w:rsidR="00B426B1">
        <w:rPr>
          <w:sz w:val="24"/>
          <w:szCs w:val="24"/>
          <w:lang w:val="en-US"/>
        </w:rPr>
        <w:t xml:space="preserve">s well as </w:t>
      </w:r>
      <w:r w:rsidRPr="00F9741C">
        <w:rPr>
          <w:sz w:val="24"/>
          <w:szCs w:val="24"/>
          <w:lang w:val="en-US"/>
        </w:rPr>
        <w:t>the Public Financial Management Reform Programme</w:t>
      </w:r>
      <w:r>
        <w:rPr>
          <w:sz w:val="24"/>
          <w:szCs w:val="24"/>
          <w:lang w:val="en-US"/>
        </w:rPr>
        <w:t xml:space="preserve">.  </w:t>
      </w:r>
    </w:p>
    <w:p w:rsidR="00B91DA6" w:rsidRPr="005A7456" w:rsidRDefault="00031B3B" w:rsidP="005A7456">
      <w:pPr>
        <w:pStyle w:val="ListParagraph"/>
        <w:numPr>
          <w:ilvl w:val="0"/>
          <w:numId w:val="6"/>
        </w:numPr>
        <w:spacing w:after="120"/>
        <w:jc w:val="both"/>
        <w:rPr>
          <w:lang w:val="en-US"/>
        </w:rPr>
      </w:pPr>
      <w:r w:rsidRPr="005A7456">
        <w:rPr>
          <w:lang w:val="en-US"/>
        </w:rPr>
        <w:t xml:space="preserve">Numerous stakeholders are critical of funding allocation (transparency, delays, procedures, priorities) and lack of data and statistics to inform policy decisions. </w:t>
      </w:r>
      <w:r w:rsidR="00F6017E" w:rsidRPr="005A7456">
        <w:rPr>
          <w:lang w:val="en-US"/>
        </w:rPr>
        <w:t xml:space="preserve">They are calling for a clear roadmap for cultural policy to serve social cohesion and economic development. </w:t>
      </w:r>
      <w:r w:rsidR="00846FA6" w:rsidRPr="005A7456">
        <w:rPr>
          <w:lang w:val="en-US"/>
        </w:rPr>
        <w:t xml:space="preserve">Procurement policy would also need to be reviewed to accommodate cultural policy specificities. </w:t>
      </w:r>
    </w:p>
    <w:p w:rsidR="00170B0F" w:rsidRDefault="00170B0F" w:rsidP="005A7456">
      <w:pPr>
        <w:pStyle w:val="ListParagraph"/>
        <w:spacing w:after="120"/>
        <w:jc w:val="both"/>
        <w:rPr>
          <w:lang w:val="en-US"/>
        </w:rPr>
      </w:pPr>
    </w:p>
    <w:p w:rsidR="00D01B03" w:rsidRDefault="00331C95" w:rsidP="003E3160">
      <w:pPr>
        <w:pStyle w:val="ListParagraph"/>
        <w:numPr>
          <w:ilvl w:val="0"/>
          <w:numId w:val="6"/>
        </w:numPr>
        <w:spacing w:after="120"/>
        <w:jc w:val="both"/>
        <w:rPr>
          <w:lang w:val="en-US"/>
        </w:rPr>
      </w:pPr>
      <w:r w:rsidRPr="00031B3B">
        <w:rPr>
          <w:lang w:val="en-US"/>
        </w:rPr>
        <w:t xml:space="preserve">North Macedonia </w:t>
      </w:r>
      <w:r w:rsidR="00031B3B">
        <w:rPr>
          <w:lang w:val="en-US"/>
        </w:rPr>
        <w:t xml:space="preserve">has to improve its standards in </w:t>
      </w:r>
      <w:r w:rsidRPr="00031B3B">
        <w:rPr>
          <w:lang w:val="en-US"/>
        </w:rPr>
        <w:t xml:space="preserve">the protection of intellectual property and notably copyright.  </w:t>
      </w:r>
      <w:r w:rsidR="00031B3B">
        <w:rPr>
          <w:lang w:val="en-US"/>
        </w:rPr>
        <w:t>T</w:t>
      </w:r>
      <w:r w:rsidR="00365029" w:rsidRPr="00031B3B">
        <w:rPr>
          <w:lang w:val="en-US"/>
        </w:rPr>
        <w:t>he European Commission’s report on its Communication on Enlargement policy in October 2020</w:t>
      </w:r>
      <w:r w:rsidR="00F6017E" w:rsidRPr="00F9741C">
        <w:rPr>
          <w:rStyle w:val="FootnoteReference"/>
          <w:lang w:val="en-US"/>
        </w:rPr>
        <w:footnoteReference w:id="18"/>
      </w:r>
      <w:r w:rsidR="00031B3B">
        <w:rPr>
          <w:lang w:val="en-US"/>
        </w:rPr>
        <w:t xml:space="preserve">noted </w:t>
      </w:r>
      <w:r w:rsidRPr="00031B3B">
        <w:rPr>
          <w:lang w:val="en-US"/>
        </w:rPr>
        <w:t>some progress with raising awareness about the fight against counterfeiting, smuggling and import of counterfeit goods including an increase of seized goods.</w:t>
      </w:r>
      <w:r w:rsidR="002952F1" w:rsidRPr="00031B3B">
        <w:rPr>
          <w:lang w:val="en-US"/>
        </w:rPr>
        <w:t xml:space="preserve"> The copyright law is expected to be amended as a matter of priority to comply with EU legal standards.  </w:t>
      </w:r>
      <w:r w:rsidR="00031B3B">
        <w:rPr>
          <w:lang w:val="en-US"/>
        </w:rPr>
        <w:t xml:space="preserve">Some stakeholders wondered whether the Ministry had the capacity and expertise to conduct this important reform. </w:t>
      </w:r>
    </w:p>
    <w:p w:rsidR="007C2405" w:rsidRPr="00031B3B" w:rsidRDefault="007C2405" w:rsidP="003E3160">
      <w:pPr>
        <w:pStyle w:val="ListParagraph"/>
        <w:spacing w:after="120"/>
        <w:jc w:val="both"/>
        <w:rPr>
          <w:lang w:val="en-US"/>
        </w:rPr>
      </w:pPr>
    </w:p>
    <w:p w:rsidR="0067214C" w:rsidRDefault="0067214C" w:rsidP="003E3160">
      <w:pPr>
        <w:pStyle w:val="ListParagraph"/>
        <w:numPr>
          <w:ilvl w:val="0"/>
          <w:numId w:val="6"/>
        </w:numPr>
        <w:spacing w:after="120"/>
        <w:jc w:val="both"/>
        <w:rPr>
          <w:lang w:val="en-US"/>
        </w:rPr>
      </w:pPr>
      <w:r w:rsidRPr="00031B3B">
        <w:rPr>
          <w:lang w:val="en-US"/>
        </w:rPr>
        <w:t xml:space="preserve">The 2018-2022 national strategy for culture development is still at an early stage of implementation and work needs to intensify. The adoption of laws on culture and protection of cultural heritage, as well as the national strategy for protection of cultural heritage </w:t>
      </w:r>
      <w:r w:rsidR="00CE4589">
        <w:rPr>
          <w:lang w:val="en-US"/>
        </w:rPr>
        <w:t xml:space="preserve">has been </w:t>
      </w:r>
      <w:r w:rsidRPr="00031B3B">
        <w:rPr>
          <w:lang w:val="en-US"/>
        </w:rPr>
        <w:t>further delayed.</w:t>
      </w:r>
      <w:r w:rsidR="00031B3B">
        <w:rPr>
          <w:lang w:val="en-US"/>
        </w:rPr>
        <w:t xml:space="preserve"> Stakeholders complained on the lack of </w:t>
      </w:r>
      <w:r w:rsidR="00B426B1">
        <w:rPr>
          <w:lang w:val="en-US"/>
        </w:rPr>
        <w:t xml:space="preserve">an </w:t>
      </w:r>
      <w:r w:rsidR="00031B3B">
        <w:rPr>
          <w:lang w:val="en-US"/>
        </w:rPr>
        <w:t>operational plan aimed at implementing the national strategy. They also requested more actions with a view to implement</w:t>
      </w:r>
      <w:r w:rsidR="00B426B1">
        <w:rPr>
          <w:lang w:val="en-US"/>
        </w:rPr>
        <w:t>ing</w:t>
      </w:r>
      <w:r w:rsidR="007C2405">
        <w:rPr>
          <w:lang w:val="en-US"/>
        </w:rPr>
        <w:t xml:space="preserve">the law on decentralization </w:t>
      </w:r>
      <w:r w:rsidR="00833DEF">
        <w:rPr>
          <w:lang w:val="en-US"/>
        </w:rPr>
        <w:t xml:space="preserve">so as to </w:t>
      </w:r>
      <w:r w:rsidR="007C2405">
        <w:rPr>
          <w:lang w:val="en-US"/>
        </w:rPr>
        <w:t xml:space="preserve">support local cultural actions beyond Skopje. </w:t>
      </w:r>
      <w:r w:rsidR="00FD62F3">
        <w:rPr>
          <w:lang w:val="en-US"/>
        </w:rPr>
        <w:t xml:space="preserve">The concern is that cultural offer and investment is collapsing in the regions. </w:t>
      </w:r>
    </w:p>
    <w:p w:rsidR="00031B3B" w:rsidRPr="00031B3B" w:rsidRDefault="00031B3B" w:rsidP="003E3160">
      <w:pPr>
        <w:pStyle w:val="ListParagraph"/>
        <w:spacing w:after="120"/>
        <w:rPr>
          <w:lang w:val="en-US"/>
        </w:rPr>
      </w:pPr>
    </w:p>
    <w:p w:rsidR="00031B3B" w:rsidRDefault="005A7456" w:rsidP="003E3160">
      <w:pPr>
        <w:pStyle w:val="ListParagraph"/>
        <w:numPr>
          <w:ilvl w:val="0"/>
          <w:numId w:val="6"/>
        </w:numPr>
        <w:spacing w:after="120"/>
        <w:jc w:val="both"/>
        <w:rPr>
          <w:lang w:val="en-US"/>
        </w:rPr>
      </w:pPr>
      <w:r>
        <w:rPr>
          <w:lang w:val="en-US"/>
        </w:rPr>
        <w:t>T</w:t>
      </w:r>
      <w:r w:rsidR="00031B3B">
        <w:rPr>
          <w:lang w:val="en-US"/>
        </w:rPr>
        <w:t>he in</w:t>
      </w:r>
      <w:r w:rsidR="007C2405">
        <w:rPr>
          <w:lang w:val="en-US"/>
        </w:rPr>
        <w:t xml:space="preserve">adequate </w:t>
      </w:r>
      <w:r w:rsidR="00031B3B">
        <w:rPr>
          <w:lang w:val="en-US"/>
        </w:rPr>
        <w:t xml:space="preserve">use of </w:t>
      </w:r>
      <w:r w:rsidR="00CE4589">
        <w:rPr>
          <w:lang w:val="en-US"/>
        </w:rPr>
        <w:t xml:space="preserve">the </w:t>
      </w:r>
      <w:r w:rsidR="003376C7">
        <w:rPr>
          <w:lang w:val="en-US"/>
        </w:rPr>
        <w:t>instrument of Pre-accession Assistance (</w:t>
      </w:r>
      <w:r w:rsidR="00031B3B">
        <w:rPr>
          <w:lang w:val="en-US"/>
        </w:rPr>
        <w:t>IPA</w:t>
      </w:r>
      <w:r w:rsidR="003376C7">
        <w:rPr>
          <w:lang w:val="en-US"/>
        </w:rPr>
        <w:t>)</w:t>
      </w:r>
      <w:r w:rsidR="00031B3B">
        <w:rPr>
          <w:lang w:val="en-US"/>
        </w:rPr>
        <w:t xml:space="preserve"> resources to fund cultural and creative industry projects in the country</w:t>
      </w:r>
      <w:r w:rsidR="003376C7">
        <w:rPr>
          <w:lang w:val="en-US"/>
        </w:rPr>
        <w:t xml:space="preserve"> in line with cultural policy objectives to support heritage and the development of the culture and creative sectors (CCS)</w:t>
      </w:r>
      <w:r w:rsidR="00031B3B">
        <w:rPr>
          <w:lang w:val="en-US"/>
        </w:rPr>
        <w:t xml:space="preserve">. </w:t>
      </w:r>
    </w:p>
    <w:p w:rsidR="007C2405" w:rsidRPr="007C2405" w:rsidRDefault="007C2405" w:rsidP="003E3160">
      <w:pPr>
        <w:pStyle w:val="ListParagraph"/>
        <w:spacing w:after="120"/>
        <w:rPr>
          <w:lang w:val="en-US"/>
        </w:rPr>
      </w:pPr>
    </w:p>
    <w:p w:rsidR="007C2405" w:rsidRDefault="00CE4589" w:rsidP="003E3160">
      <w:pPr>
        <w:pStyle w:val="ListParagraph"/>
        <w:numPr>
          <w:ilvl w:val="0"/>
          <w:numId w:val="6"/>
        </w:numPr>
        <w:spacing w:after="120"/>
        <w:jc w:val="both"/>
        <w:rPr>
          <w:lang w:val="en-US"/>
        </w:rPr>
      </w:pPr>
      <w:r>
        <w:rPr>
          <w:lang w:val="en-US"/>
        </w:rPr>
        <w:t xml:space="preserve">Significant </w:t>
      </w:r>
      <w:r w:rsidR="007C2405">
        <w:rPr>
          <w:lang w:val="en-US"/>
        </w:rPr>
        <w:t>skills shortage reflecting shortcomings in the education system on preparing for the creative economy</w:t>
      </w:r>
      <w:r w:rsidR="003376C7">
        <w:rPr>
          <w:lang w:val="en-US"/>
        </w:rPr>
        <w:t xml:space="preserve"> and </w:t>
      </w:r>
      <w:r w:rsidR="007C2405">
        <w:rPr>
          <w:lang w:val="en-US"/>
        </w:rPr>
        <w:t>the management of cultural resources (including heritage)</w:t>
      </w:r>
      <w:r w:rsidR="00833DEF">
        <w:rPr>
          <w:lang w:val="en-US"/>
        </w:rPr>
        <w:t xml:space="preserve"> are in evidence</w:t>
      </w:r>
      <w:r w:rsidR="003376C7">
        <w:rPr>
          <w:lang w:val="en-US"/>
        </w:rPr>
        <w:t>.</w:t>
      </w:r>
      <w:r w:rsidR="00846FA6">
        <w:rPr>
          <w:lang w:val="en-US"/>
        </w:rPr>
        <w:t xml:space="preserve"> Researchers and conservation experts are requesting better consideration and empowerment to carry out their work. Inspections and supervisions should be left to people with experience in heritage and conservation work. </w:t>
      </w:r>
    </w:p>
    <w:p w:rsidR="003376C7" w:rsidRPr="003376C7" w:rsidRDefault="003376C7" w:rsidP="003E3160">
      <w:pPr>
        <w:pStyle w:val="ListParagraph"/>
        <w:spacing w:after="120"/>
        <w:rPr>
          <w:lang w:val="en-US"/>
        </w:rPr>
      </w:pPr>
    </w:p>
    <w:p w:rsidR="003376C7" w:rsidRDefault="003376C7" w:rsidP="003E3160">
      <w:pPr>
        <w:pStyle w:val="ListParagraph"/>
        <w:numPr>
          <w:ilvl w:val="0"/>
          <w:numId w:val="6"/>
        </w:numPr>
        <w:spacing w:after="120"/>
        <w:jc w:val="both"/>
        <w:rPr>
          <w:lang w:val="en-US"/>
        </w:rPr>
      </w:pPr>
      <w:r>
        <w:rPr>
          <w:lang w:val="en-US"/>
        </w:rPr>
        <w:t xml:space="preserve">No specific policy </w:t>
      </w:r>
      <w:r w:rsidR="00833DEF">
        <w:rPr>
          <w:lang w:val="en-US"/>
        </w:rPr>
        <w:t xml:space="preserve">exists </w:t>
      </w:r>
      <w:r>
        <w:rPr>
          <w:lang w:val="en-US"/>
        </w:rPr>
        <w:t>to support the development of the local cultural and creative industries as agent</w:t>
      </w:r>
      <w:r w:rsidR="00CE4589">
        <w:rPr>
          <w:lang w:val="en-US"/>
        </w:rPr>
        <w:t>s</w:t>
      </w:r>
      <w:r>
        <w:rPr>
          <w:lang w:val="en-US"/>
        </w:rPr>
        <w:t xml:space="preserve"> of economic development, innovation, entrepreneurship and clustering to </w:t>
      </w:r>
      <w:r w:rsidR="00833DEF">
        <w:rPr>
          <w:lang w:val="en-US"/>
        </w:rPr>
        <w:t xml:space="preserve">assist </w:t>
      </w:r>
      <w:r>
        <w:rPr>
          <w:lang w:val="en-US"/>
        </w:rPr>
        <w:t xml:space="preserve">the emergence of a digital and creative economy. Policy has yet to </w:t>
      </w:r>
      <w:r w:rsidR="00CE4589">
        <w:rPr>
          <w:lang w:val="en-US"/>
        </w:rPr>
        <w:lastRenderedPageBreak/>
        <w:t>include</w:t>
      </w:r>
      <w:r>
        <w:rPr>
          <w:lang w:val="en-US"/>
        </w:rPr>
        <w:t xml:space="preserve"> support to distribution of cultural products and market access/promotion of such production. </w:t>
      </w:r>
    </w:p>
    <w:p w:rsidR="00F6017E" w:rsidRPr="00F6017E" w:rsidRDefault="00F6017E" w:rsidP="003E3160">
      <w:pPr>
        <w:pStyle w:val="ListParagraph"/>
        <w:spacing w:after="120"/>
        <w:rPr>
          <w:lang w:val="en-US"/>
        </w:rPr>
      </w:pPr>
    </w:p>
    <w:p w:rsidR="00F6017E" w:rsidRPr="00031B3B" w:rsidRDefault="00833DEF" w:rsidP="003E3160">
      <w:pPr>
        <w:pStyle w:val="ListParagraph"/>
        <w:numPr>
          <w:ilvl w:val="0"/>
          <w:numId w:val="6"/>
        </w:numPr>
        <w:spacing w:after="120"/>
        <w:jc w:val="both"/>
        <w:rPr>
          <w:lang w:val="en-US"/>
        </w:rPr>
      </w:pPr>
      <w:r>
        <w:rPr>
          <w:lang w:val="en-US"/>
        </w:rPr>
        <w:t xml:space="preserve">Awareness-raising as well as regular </w:t>
      </w:r>
      <w:r w:rsidR="00F6017E" w:rsidRPr="00F6017E">
        <w:rPr>
          <w:lang w:val="en-US"/>
        </w:rPr>
        <w:t>and appropriate budget allocations are necessary to protect cultural heritage. Authorities must intensify inter-institutional cooperation in the protection of cultural heritage and prevent illegal constructions in places with a ‘cultural heritage with particular importance’ status, such as Ohrid and the Skopje Old Bazaar.</w:t>
      </w:r>
      <w:r w:rsidR="00787A80">
        <w:rPr>
          <w:lang w:val="en-US"/>
        </w:rPr>
        <w:t xml:space="preserve"> Law on construction/building should be adapted to enable protection of cultural heritage (review conservation privilege granted to architects and builders) . </w:t>
      </w:r>
    </w:p>
    <w:p w:rsidR="00456643" w:rsidRDefault="00F6017E" w:rsidP="00F9741C">
      <w:pPr>
        <w:jc w:val="both"/>
        <w:rPr>
          <w:sz w:val="24"/>
          <w:szCs w:val="24"/>
          <w:lang w:val="en-GB"/>
        </w:rPr>
      </w:pPr>
      <w:r>
        <w:rPr>
          <w:sz w:val="24"/>
          <w:szCs w:val="24"/>
          <w:lang w:val="en-GB"/>
        </w:rPr>
        <w:t xml:space="preserve">The following opportunities </w:t>
      </w:r>
      <w:r w:rsidR="00FD62F3">
        <w:rPr>
          <w:sz w:val="24"/>
          <w:szCs w:val="24"/>
          <w:lang w:val="en-GB"/>
        </w:rPr>
        <w:t xml:space="preserve">have been identified in the course of the policy review: </w:t>
      </w:r>
    </w:p>
    <w:p w:rsidR="003E3160" w:rsidRDefault="00787A80" w:rsidP="003E3160">
      <w:pPr>
        <w:pStyle w:val="ListParagraph"/>
        <w:numPr>
          <w:ilvl w:val="1"/>
          <w:numId w:val="6"/>
        </w:numPr>
        <w:spacing w:after="120"/>
        <w:jc w:val="both"/>
      </w:pPr>
      <w:r>
        <w:t xml:space="preserve">A large pool of talent and strong distinctive cultural resources (heritage, institutions, ethnic diversity, crafts).  </w:t>
      </w:r>
    </w:p>
    <w:p w:rsidR="00846FA6" w:rsidRDefault="00846FA6" w:rsidP="003E3160">
      <w:pPr>
        <w:pStyle w:val="ListParagraph"/>
        <w:numPr>
          <w:ilvl w:val="1"/>
          <w:numId w:val="6"/>
        </w:numPr>
        <w:spacing w:after="120"/>
        <w:jc w:val="both"/>
      </w:pPr>
      <w:r>
        <w:t xml:space="preserve">The emergence of a vibrant CCS sector with the capacity to participate and contribute in policy consultation and </w:t>
      </w:r>
      <w:r w:rsidR="00833DEF">
        <w:t xml:space="preserve">in designing </w:t>
      </w:r>
      <w:r>
        <w:t>action plan</w:t>
      </w:r>
      <w:r w:rsidR="00833DEF">
        <w:t>s</w:t>
      </w:r>
      <w:r>
        <w:t xml:space="preserve"> (for instance UMPACI) .</w:t>
      </w:r>
    </w:p>
    <w:p w:rsidR="00787A80" w:rsidRDefault="00846FA6" w:rsidP="003E3160">
      <w:pPr>
        <w:pStyle w:val="ListParagraph"/>
        <w:numPr>
          <w:ilvl w:val="1"/>
          <w:numId w:val="6"/>
        </w:numPr>
        <w:spacing w:after="120"/>
        <w:jc w:val="both"/>
      </w:pPr>
      <w:r>
        <w:t xml:space="preserve">A clear policy will to initiate change and reform. </w:t>
      </w:r>
    </w:p>
    <w:p w:rsidR="00DC4D0C" w:rsidRDefault="00787A80" w:rsidP="00DC4D0C">
      <w:pPr>
        <w:pStyle w:val="ListParagraph"/>
        <w:numPr>
          <w:ilvl w:val="1"/>
          <w:numId w:val="6"/>
        </w:numPr>
        <w:spacing w:after="120"/>
        <w:rPr>
          <w:lang w:val="en-US"/>
        </w:rPr>
      </w:pPr>
      <w:r>
        <w:t xml:space="preserve">The proven ability </w:t>
      </w:r>
      <w:r w:rsidR="002375E4">
        <w:t>of operators</w:t>
      </w:r>
      <w:r>
        <w:t xml:space="preserve"> to access Creative Europe funding and to generate regional cultural cooperation with neighbouring countries.</w:t>
      </w:r>
      <w:r w:rsidR="006131A7" w:rsidRPr="006131A7">
        <w:rPr>
          <w:lang w:val="en-US"/>
        </w:rPr>
        <w:t>Match fund projects that obtained Creative Europe funding</w:t>
      </w:r>
      <w:r w:rsidR="00833DEF">
        <w:rPr>
          <w:lang w:val="en-US"/>
        </w:rPr>
        <w:t xml:space="preserve">are a good policy. </w:t>
      </w:r>
    </w:p>
    <w:p w:rsidR="00FD62F3" w:rsidRPr="00DC4D0C" w:rsidRDefault="00787A80" w:rsidP="00DC4D0C">
      <w:pPr>
        <w:pStyle w:val="ListParagraph"/>
        <w:numPr>
          <w:ilvl w:val="1"/>
          <w:numId w:val="6"/>
        </w:numPr>
        <w:spacing w:after="120"/>
        <w:rPr>
          <w:lang w:val="en-US"/>
        </w:rPr>
      </w:pPr>
      <w:r w:rsidRPr="00DC4D0C">
        <w:rPr>
          <w:lang w:val="en-US"/>
        </w:rPr>
        <w:t xml:space="preserve">Support </w:t>
      </w:r>
      <w:r w:rsidR="00FD62F3" w:rsidRPr="00DC4D0C">
        <w:rPr>
          <w:lang w:val="en-US"/>
        </w:rPr>
        <w:t>from international donors (</w:t>
      </w:r>
      <w:r w:rsidRPr="00DC4D0C">
        <w:rPr>
          <w:lang w:val="en-US"/>
        </w:rPr>
        <w:t xml:space="preserve">notably </w:t>
      </w:r>
      <w:r w:rsidR="00FD62F3" w:rsidRPr="00DC4D0C">
        <w:rPr>
          <w:lang w:val="en-US"/>
        </w:rPr>
        <w:t>cultural institutes) and opportunities of EU funding (notably through IPA and recent policy initiatives for the West Balkans specifically targeting cultural cooperation).</w:t>
      </w:r>
    </w:p>
    <w:p w:rsidR="00787A80" w:rsidRDefault="00FD62F3" w:rsidP="003E3160">
      <w:pPr>
        <w:pStyle w:val="ListParagraph"/>
        <w:numPr>
          <w:ilvl w:val="1"/>
          <w:numId w:val="6"/>
        </w:numPr>
        <w:spacing w:after="120"/>
        <w:jc w:val="both"/>
      </w:pPr>
      <w:r>
        <w:t>Citizens’ thirst for local cultural content and cultural participation.</w:t>
      </w:r>
    </w:p>
    <w:p w:rsidR="005A7456" w:rsidRDefault="00787A80" w:rsidP="003E3160">
      <w:pPr>
        <w:pStyle w:val="ListParagraph"/>
        <w:numPr>
          <w:ilvl w:val="1"/>
          <w:numId w:val="6"/>
        </w:numPr>
        <w:spacing w:after="120"/>
        <w:jc w:val="both"/>
      </w:pPr>
      <w:r>
        <w:t xml:space="preserve">The intrinsic importance of culture policy to unite the country and its citizens. </w:t>
      </w:r>
    </w:p>
    <w:p w:rsidR="00FD62F3" w:rsidRPr="00F6017E" w:rsidRDefault="005A7456" w:rsidP="005A7456">
      <w:pPr>
        <w:pStyle w:val="ListParagraph"/>
        <w:numPr>
          <w:ilvl w:val="1"/>
          <w:numId w:val="6"/>
        </w:numPr>
        <w:spacing w:after="120"/>
        <w:jc w:val="both"/>
      </w:pPr>
      <w:r>
        <w:t>The n</w:t>
      </w:r>
      <w:r w:rsidRPr="005A7456">
        <w:t xml:space="preserve">eed to create an atmosphere for culture so that young people </w:t>
      </w:r>
      <w:r>
        <w:t xml:space="preserve">and talent </w:t>
      </w:r>
      <w:r w:rsidRPr="005A7456">
        <w:t xml:space="preserve">stay on and </w:t>
      </w:r>
      <w:r>
        <w:t>do not leave the country.</w:t>
      </w:r>
    </w:p>
    <w:p w:rsidR="00456643" w:rsidRPr="00F9741C" w:rsidRDefault="00456643" w:rsidP="00F9741C">
      <w:pPr>
        <w:pStyle w:val="ListParagraph"/>
        <w:jc w:val="both"/>
        <w:rPr>
          <w:rFonts w:cstheme="minorHAnsi"/>
          <w:lang w:val="en-US"/>
        </w:rPr>
      </w:pPr>
    </w:p>
    <w:p w:rsidR="00456643" w:rsidRPr="00F9741C" w:rsidRDefault="00456643" w:rsidP="00F9741C">
      <w:pPr>
        <w:pStyle w:val="ListParagraph"/>
        <w:jc w:val="both"/>
        <w:rPr>
          <w:rFonts w:cstheme="minorHAnsi"/>
          <w:lang w:val="en-US"/>
        </w:rPr>
      </w:pPr>
    </w:p>
    <w:p w:rsidR="00DF4F22" w:rsidRDefault="00DF4F22" w:rsidP="00F9741C">
      <w:pPr>
        <w:jc w:val="both"/>
        <w:rPr>
          <w:sz w:val="24"/>
          <w:szCs w:val="24"/>
          <w:lang w:val="en-US"/>
        </w:rPr>
      </w:pPr>
      <w:r w:rsidRPr="00F9741C">
        <w:rPr>
          <w:sz w:val="24"/>
          <w:szCs w:val="24"/>
          <w:lang w:val="en-US"/>
        </w:rPr>
        <w:t>4</w:t>
      </w:r>
      <w:r w:rsidRPr="00F9741C">
        <w:rPr>
          <w:b/>
          <w:sz w:val="24"/>
          <w:szCs w:val="24"/>
          <w:lang w:val="en-US"/>
        </w:rPr>
        <w:t>. Policy Recommendations</w:t>
      </w:r>
    </w:p>
    <w:p w:rsidR="005C0F49" w:rsidRDefault="00CE4589" w:rsidP="00F9741C">
      <w:pPr>
        <w:jc w:val="both"/>
        <w:rPr>
          <w:sz w:val="24"/>
          <w:szCs w:val="24"/>
          <w:lang w:val="en-US"/>
        </w:rPr>
      </w:pPr>
      <w:r>
        <w:rPr>
          <w:sz w:val="24"/>
          <w:szCs w:val="24"/>
          <w:lang w:val="en-US"/>
        </w:rPr>
        <w:t>E</w:t>
      </w:r>
      <w:r w:rsidR="00DC4FD5">
        <w:rPr>
          <w:sz w:val="24"/>
          <w:szCs w:val="24"/>
          <w:lang w:val="en-US"/>
        </w:rPr>
        <w:t>xperts’ priority recommendation</w:t>
      </w:r>
      <w:r w:rsidR="00BE1AB5">
        <w:rPr>
          <w:sz w:val="24"/>
          <w:szCs w:val="24"/>
          <w:lang w:val="en-US"/>
        </w:rPr>
        <w:t>s</w:t>
      </w:r>
      <w:r w:rsidR="00DC4FD5">
        <w:rPr>
          <w:sz w:val="24"/>
          <w:szCs w:val="24"/>
          <w:lang w:val="en-US"/>
        </w:rPr>
        <w:t xml:space="preserve"> to the Ministry of Culture </w:t>
      </w:r>
      <w:r>
        <w:rPr>
          <w:sz w:val="24"/>
          <w:szCs w:val="24"/>
          <w:lang w:val="en-US"/>
        </w:rPr>
        <w:t xml:space="preserve">are listed herewith. </w:t>
      </w:r>
    </w:p>
    <w:p w:rsidR="00846FA6" w:rsidRPr="000326E1" w:rsidRDefault="00595FC9" w:rsidP="00DC4FD5">
      <w:pPr>
        <w:pStyle w:val="ListParagraph"/>
        <w:numPr>
          <w:ilvl w:val="1"/>
          <w:numId w:val="8"/>
        </w:numPr>
        <w:jc w:val="both"/>
        <w:rPr>
          <w:u w:val="single"/>
          <w:lang w:val="en-US"/>
        </w:rPr>
      </w:pPr>
      <w:r w:rsidRPr="000326E1">
        <w:rPr>
          <w:u w:val="single"/>
          <w:lang w:val="en-US"/>
        </w:rPr>
        <w:t xml:space="preserve">Priority measures to support public administration </w:t>
      </w:r>
      <w:r w:rsidR="00E622FC" w:rsidRPr="000326E1">
        <w:rPr>
          <w:u w:val="single"/>
          <w:lang w:val="en-US"/>
        </w:rPr>
        <w:t xml:space="preserve">of culture </w:t>
      </w:r>
    </w:p>
    <w:p w:rsidR="00DC4FD5" w:rsidRPr="00DC4FD5" w:rsidRDefault="00DC4FD5" w:rsidP="00DC4FD5">
      <w:pPr>
        <w:pStyle w:val="ListParagraph"/>
        <w:ind w:left="360"/>
        <w:jc w:val="both"/>
        <w:rPr>
          <w:lang w:val="en-US"/>
        </w:rPr>
      </w:pPr>
    </w:p>
    <w:p w:rsidR="00DC4FD5" w:rsidRPr="00DC4FD5" w:rsidRDefault="00DC4FD5" w:rsidP="00DC4FD5">
      <w:pPr>
        <w:jc w:val="both"/>
        <w:rPr>
          <w:sz w:val="24"/>
          <w:szCs w:val="24"/>
          <w:lang w:val="en-US"/>
        </w:rPr>
      </w:pPr>
      <w:r w:rsidRPr="00DC4FD5">
        <w:rPr>
          <w:sz w:val="24"/>
          <w:szCs w:val="24"/>
          <w:lang w:val="en-US"/>
        </w:rPr>
        <w:t xml:space="preserve">Implement the </w:t>
      </w:r>
      <w:r w:rsidR="00846FA6" w:rsidRPr="00DC4FD5">
        <w:rPr>
          <w:sz w:val="24"/>
          <w:szCs w:val="24"/>
          <w:lang w:val="en-US"/>
        </w:rPr>
        <w:t xml:space="preserve">2018-2022 </w:t>
      </w:r>
      <w:r w:rsidR="00BE1AB5">
        <w:rPr>
          <w:sz w:val="24"/>
          <w:szCs w:val="24"/>
          <w:lang w:val="en-US"/>
        </w:rPr>
        <w:t>P</w:t>
      </w:r>
      <w:r w:rsidR="00846FA6" w:rsidRPr="00DC4FD5">
        <w:rPr>
          <w:sz w:val="24"/>
          <w:szCs w:val="24"/>
          <w:lang w:val="en-US"/>
        </w:rPr>
        <w:t xml:space="preserve">ublic </w:t>
      </w:r>
      <w:r w:rsidR="00BE1AB5">
        <w:rPr>
          <w:sz w:val="24"/>
          <w:szCs w:val="24"/>
          <w:lang w:val="en-US"/>
        </w:rPr>
        <w:t>A</w:t>
      </w:r>
      <w:r w:rsidR="00846FA6" w:rsidRPr="00DC4FD5">
        <w:rPr>
          <w:sz w:val="24"/>
          <w:szCs w:val="24"/>
          <w:lang w:val="en-US"/>
        </w:rPr>
        <w:t xml:space="preserve">dministration </w:t>
      </w:r>
      <w:r w:rsidR="00BE1AB5">
        <w:rPr>
          <w:sz w:val="24"/>
          <w:szCs w:val="24"/>
          <w:lang w:val="en-US"/>
        </w:rPr>
        <w:t>R</w:t>
      </w:r>
      <w:r w:rsidR="00846FA6" w:rsidRPr="00DC4FD5">
        <w:rPr>
          <w:sz w:val="24"/>
          <w:szCs w:val="24"/>
          <w:lang w:val="en-US"/>
        </w:rPr>
        <w:t xml:space="preserve">eform </w:t>
      </w:r>
      <w:r w:rsidR="00BE1AB5">
        <w:rPr>
          <w:sz w:val="24"/>
          <w:szCs w:val="24"/>
          <w:lang w:val="en-US"/>
        </w:rPr>
        <w:t>S</w:t>
      </w:r>
      <w:r w:rsidR="00846FA6" w:rsidRPr="00DC4FD5">
        <w:rPr>
          <w:sz w:val="24"/>
          <w:szCs w:val="24"/>
          <w:lang w:val="en-US"/>
        </w:rPr>
        <w:t xml:space="preserve">trategy and the 2018-2021 </w:t>
      </w:r>
      <w:r w:rsidR="00BE1AB5">
        <w:rPr>
          <w:sz w:val="24"/>
          <w:szCs w:val="24"/>
          <w:lang w:val="en-US"/>
        </w:rPr>
        <w:t>P</w:t>
      </w:r>
      <w:r w:rsidR="00846FA6" w:rsidRPr="00DC4FD5">
        <w:rPr>
          <w:sz w:val="24"/>
          <w:szCs w:val="24"/>
          <w:lang w:val="en-US"/>
        </w:rPr>
        <w:t xml:space="preserve">ublic </w:t>
      </w:r>
      <w:r w:rsidR="00BE1AB5">
        <w:rPr>
          <w:sz w:val="24"/>
          <w:szCs w:val="24"/>
          <w:lang w:val="en-US"/>
        </w:rPr>
        <w:t>F</w:t>
      </w:r>
      <w:r w:rsidR="00846FA6" w:rsidRPr="00DC4FD5">
        <w:rPr>
          <w:sz w:val="24"/>
          <w:szCs w:val="24"/>
          <w:lang w:val="en-US"/>
        </w:rPr>
        <w:t xml:space="preserve">inancial </w:t>
      </w:r>
      <w:r w:rsidR="00BE1AB5">
        <w:rPr>
          <w:sz w:val="24"/>
          <w:szCs w:val="24"/>
          <w:lang w:val="en-US"/>
        </w:rPr>
        <w:t>M</w:t>
      </w:r>
      <w:r w:rsidR="00846FA6" w:rsidRPr="00DC4FD5">
        <w:rPr>
          <w:sz w:val="24"/>
          <w:szCs w:val="24"/>
          <w:lang w:val="en-US"/>
        </w:rPr>
        <w:t xml:space="preserve">anagement </w:t>
      </w:r>
      <w:r w:rsidR="00BE1AB5">
        <w:rPr>
          <w:sz w:val="24"/>
          <w:szCs w:val="24"/>
          <w:lang w:val="en-US"/>
        </w:rPr>
        <w:t>R</w:t>
      </w:r>
      <w:r w:rsidR="00846FA6" w:rsidRPr="00DC4FD5">
        <w:rPr>
          <w:sz w:val="24"/>
          <w:szCs w:val="24"/>
          <w:lang w:val="en-US"/>
        </w:rPr>
        <w:t xml:space="preserve">eform </w:t>
      </w:r>
      <w:r w:rsidR="00BE1AB5">
        <w:rPr>
          <w:sz w:val="24"/>
          <w:szCs w:val="24"/>
          <w:lang w:val="en-US"/>
        </w:rPr>
        <w:t>P</w:t>
      </w:r>
      <w:r w:rsidR="00846FA6" w:rsidRPr="00DC4FD5">
        <w:rPr>
          <w:sz w:val="24"/>
          <w:szCs w:val="24"/>
          <w:lang w:val="en-US"/>
        </w:rPr>
        <w:t>rogramme.</w:t>
      </w:r>
      <w:r w:rsidRPr="00DC4FD5">
        <w:rPr>
          <w:sz w:val="24"/>
          <w:szCs w:val="24"/>
          <w:lang w:val="en-US"/>
        </w:rPr>
        <w:t xml:space="preserve"> The Ministry of Culture </w:t>
      </w:r>
      <w:r w:rsidR="00846FA6" w:rsidRPr="00DC4FD5">
        <w:rPr>
          <w:sz w:val="24"/>
          <w:szCs w:val="24"/>
          <w:lang w:val="en-US"/>
        </w:rPr>
        <w:t xml:space="preserve">should, in particular: </w:t>
      </w:r>
    </w:p>
    <w:p w:rsidR="00DC4FD5" w:rsidRDefault="00DC4FD5" w:rsidP="00DC4FD5">
      <w:pPr>
        <w:pStyle w:val="ListParagraph"/>
        <w:ind w:left="1416" w:hanging="696"/>
        <w:jc w:val="both"/>
        <w:rPr>
          <w:lang w:val="en-US"/>
        </w:rPr>
      </w:pPr>
      <w:r>
        <w:rPr>
          <w:lang w:val="en-US"/>
        </w:rPr>
        <w:t xml:space="preserve">- </w:t>
      </w:r>
      <w:r>
        <w:rPr>
          <w:lang w:val="en-US"/>
        </w:rPr>
        <w:tab/>
      </w:r>
      <w:r w:rsidR="00846FA6" w:rsidRPr="00846FA6">
        <w:rPr>
          <w:lang w:val="en-US"/>
        </w:rPr>
        <w:t>put in place a framework that ensures full respect of merit-based recruitment for senior civil service and other positions</w:t>
      </w:r>
      <w:r>
        <w:rPr>
          <w:lang w:val="en-US"/>
        </w:rPr>
        <w:t xml:space="preserve"> in cultural institutions </w:t>
      </w:r>
      <w:r w:rsidR="00846FA6" w:rsidRPr="00846FA6">
        <w:rPr>
          <w:lang w:val="en-US"/>
        </w:rPr>
        <w:t xml:space="preserve">; </w:t>
      </w:r>
    </w:p>
    <w:p w:rsidR="00DC4FD5" w:rsidRDefault="00DC4FD5" w:rsidP="00DC4FD5">
      <w:pPr>
        <w:pStyle w:val="ListParagraph"/>
        <w:ind w:left="1416" w:hanging="696"/>
        <w:jc w:val="both"/>
        <w:rPr>
          <w:lang w:val="en-US"/>
        </w:rPr>
      </w:pPr>
      <w:r>
        <w:rPr>
          <w:lang w:val="en-US"/>
        </w:rPr>
        <w:t xml:space="preserve">- </w:t>
      </w:r>
      <w:r>
        <w:rPr>
          <w:lang w:val="en-US"/>
        </w:rPr>
        <w:tab/>
        <w:t xml:space="preserve">organise as a matter of priority </w:t>
      </w:r>
      <w:r w:rsidR="00846FA6" w:rsidRPr="00846FA6">
        <w:rPr>
          <w:lang w:val="en-US"/>
        </w:rPr>
        <w:t xml:space="preserve">the horizontal functional review and start implementing it to ensure clear accountability lines between </w:t>
      </w:r>
      <w:r>
        <w:rPr>
          <w:lang w:val="en-US"/>
        </w:rPr>
        <w:t xml:space="preserve">services and </w:t>
      </w:r>
      <w:r w:rsidR="00846FA6" w:rsidRPr="00846FA6">
        <w:rPr>
          <w:lang w:val="en-US"/>
        </w:rPr>
        <w:t>institutions;</w:t>
      </w:r>
    </w:p>
    <w:p w:rsidR="00DC4FD5" w:rsidRDefault="00DC4FD5" w:rsidP="00DC4FD5">
      <w:pPr>
        <w:pStyle w:val="ListParagraph"/>
        <w:ind w:left="1416" w:hanging="696"/>
        <w:jc w:val="both"/>
        <w:rPr>
          <w:lang w:val="en-US"/>
        </w:rPr>
      </w:pPr>
      <w:r>
        <w:rPr>
          <w:lang w:val="en-US"/>
        </w:rPr>
        <w:t xml:space="preserve">- </w:t>
      </w:r>
      <w:r>
        <w:rPr>
          <w:lang w:val="en-US"/>
        </w:rPr>
        <w:tab/>
      </w:r>
      <w:r w:rsidR="00846FA6" w:rsidRPr="00846FA6">
        <w:rPr>
          <w:lang w:val="en-US"/>
        </w:rPr>
        <w:t>ensure full implementation of the Law on General Administrative Procedures</w:t>
      </w:r>
      <w:r>
        <w:rPr>
          <w:lang w:val="en-US"/>
        </w:rPr>
        <w:t xml:space="preserve"> to ensure transparency and fairness</w:t>
      </w:r>
      <w:r w:rsidR="00846FA6" w:rsidRPr="00846FA6">
        <w:rPr>
          <w:lang w:val="en-US"/>
        </w:rPr>
        <w:t xml:space="preserve">. </w:t>
      </w:r>
    </w:p>
    <w:p w:rsidR="006248F9" w:rsidRDefault="006248F9" w:rsidP="00DC4FD5">
      <w:pPr>
        <w:jc w:val="both"/>
        <w:rPr>
          <w:sz w:val="24"/>
          <w:szCs w:val="24"/>
          <w:lang w:val="en-US"/>
        </w:rPr>
      </w:pPr>
    </w:p>
    <w:p w:rsidR="00DC4FD5" w:rsidRPr="00203F8B" w:rsidRDefault="00DC4FD5" w:rsidP="00DC4FD5">
      <w:pPr>
        <w:jc w:val="both"/>
        <w:rPr>
          <w:sz w:val="24"/>
          <w:szCs w:val="24"/>
          <w:lang w:val="en-US"/>
        </w:rPr>
      </w:pPr>
      <w:r w:rsidRPr="00203F8B">
        <w:rPr>
          <w:sz w:val="24"/>
          <w:szCs w:val="24"/>
          <w:lang w:val="en-US"/>
        </w:rPr>
        <w:lastRenderedPageBreak/>
        <w:t>As part of the functional review the Ministry should consider feasibility of delegating funding allocation</w:t>
      </w:r>
      <w:r w:rsidR="00203F8B">
        <w:rPr>
          <w:sz w:val="24"/>
          <w:szCs w:val="24"/>
          <w:lang w:val="en-US"/>
        </w:rPr>
        <w:t>/subsidies</w:t>
      </w:r>
      <w:r w:rsidRPr="00203F8B">
        <w:rPr>
          <w:sz w:val="24"/>
          <w:szCs w:val="24"/>
          <w:lang w:val="en-US"/>
        </w:rPr>
        <w:t xml:space="preserve"> to an independent </w:t>
      </w:r>
      <w:r w:rsidR="00203F8B">
        <w:rPr>
          <w:sz w:val="24"/>
          <w:szCs w:val="24"/>
          <w:lang w:val="en-US"/>
        </w:rPr>
        <w:t xml:space="preserve">public </w:t>
      </w:r>
      <w:r w:rsidRPr="00203F8B">
        <w:rPr>
          <w:sz w:val="24"/>
          <w:szCs w:val="24"/>
          <w:lang w:val="en-US"/>
        </w:rPr>
        <w:t>agency reporting to the Ministry</w:t>
      </w:r>
      <w:r w:rsidR="00203F8B">
        <w:rPr>
          <w:sz w:val="24"/>
          <w:szCs w:val="24"/>
          <w:lang w:val="en-US"/>
        </w:rPr>
        <w:t xml:space="preserve"> and managing application</w:t>
      </w:r>
      <w:r w:rsidR="00833DEF">
        <w:rPr>
          <w:sz w:val="24"/>
          <w:szCs w:val="24"/>
          <w:lang w:val="en-US"/>
        </w:rPr>
        <w:t>s</w:t>
      </w:r>
      <w:r w:rsidR="00203F8B">
        <w:rPr>
          <w:sz w:val="24"/>
          <w:szCs w:val="24"/>
          <w:lang w:val="en-US"/>
        </w:rPr>
        <w:t xml:space="preserve"> for funding. </w:t>
      </w:r>
      <w:r w:rsidR="00833DEF">
        <w:rPr>
          <w:sz w:val="24"/>
          <w:szCs w:val="24"/>
          <w:lang w:val="en-US"/>
        </w:rPr>
        <w:t xml:space="preserve"> The Ministry of Culture s</w:t>
      </w:r>
      <w:r w:rsidR="000326E1">
        <w:rPr>
          <w:sz w:val="24"/>
          <w:szCs w:val="24"/>
          <w:lang w:val="en-US"/>
        </w:rPr>
        <w:t xml:space="preserve">hould reflect on granting more autonomy to public agencies to empower </w:t>
      </w:r>
      <w:r w:rsidR="00833DEF">
        <w:rPr>
          <w:sz w:val="24"/>
          <w:szCs w:val="24"/>
          <w:lang w:val="en-US"/>
        </w:rPr>
        <w:t xml:space="preserve">the latter. </w:t>
      </w:r>
      <w:r w:rsidR="00292108">
        <w:rPr>
          <w:sz w:val="24"/>
          <w:szCs w:val="24"/>
          <w:lang w:val="en-US"/>
        </w:rPr>
        <w:t xml:space="preserve">Public procurement policy should be reviewed to take into account specifics of CCS. Funding policy should also address distribution bottlenecks and support the digital transition. </w:t>
      </w:r>
    </w:p>
    <w:p w:rsidR="00DA4C36" w:rsidRDefault="000326E1" w:rsidP="00DA4C36">
      <w:pPr>
        <w:jc w:val="both"/>
        <w:rPr>
          <w:sz w:val="24"/>
          <w:szCs w:val="24"/>
          <w:lang w:val="en-US"/>
        </w:rPr>
      </w:pPr>
      <w:r>
        <w:rPr>
          <w:sz w:val="24"/>
          <w:szCs w:val="24"/>
          <w:lang w:val="en-US"/>
        </w:rPr>
        <w:t>As a matter of priority t</w:t>
      </w:r>
      <w:r w:rsidR="00203F8B" w:rsidRPr="000326E1">
        <w:rPr>
          <w:sz w:val="24"/>
          <w:szCs w:val="24"/>
          <w:lang w:val="en-US"/>
        </w:rPr>
        <w:t xml:space="preserve">he Ministry should develop </w:t>
      </w:r>
      <w:r w:rsidR="00DA4C36" w:rsidRPr="000326E1">
        <w:rPr>
          <w:sz w:val="24"/>
          <w:szCs w:val="24"/>
          <w:lang w:val="en-US"/>
        </w:rPr>
        <w:t xml:space="preserve">statistical capacity </w:t>
      </w:r>
      <w:r w:rsidR="00203F8B" w:rsidRPr="000326E1">
        <w:rPr>
          <w:sz w:val="24"/>
          <w:szCs w:val="24"/>
          <w:lang w:val="en-US"/>
        </w:rPr>
        <w:t xml:space="preserve">to </w:t>
      </w:r>
      <w:r w:rsidR="00DA4C36" w:rsidRPr="000326E1">
        <w:rPr>
          <w:sz w:val="24"/>
          <w:szCs w:val="24"/>
          <w:lang w:val="en-US"/>
        </w:rPr>
        <w:t>map the</w:t>
      </w:r>
      <w:r w:rsidRPr="000326E1">
        <w:rPr>
          <w:sz w:val="24"/>
          <w:szCs w:val="24"/>
          <w:lang w:val="en-US"/>
        </w:rPr>
        <w:t xml:space="preserve"> economic and social importance of the </w:t>
      </w:r>
      <w:r w:rsidR="00203F8B" w:rsidRPr="000326E1">
        <w:rPr>
          <w:sz w:val="24"/>
          <w:szCs w:val="24"/>
          <w:lang w:val="en-US"/>
        </w:rPr>
        <w:t>c</w:t>
      </w:r>
      <w:r w:rsidR="00DA4C36" w:rsidRPr="000326E1">
        <w:rPr>
          <w:sz w:val="24"/>
          <w:szCs w:val="24"/>
          <w:lang w:val="en-US"/>
        </w:rPr>
        <w:t xml:space="preserve">ulture and </w:t>
      </w:r>
      <w:r w:rsidRPr="000326E1">
        <w:rPr>
          <w:sz w:val="24"/>
          <w:szCs w:val="24"/>
          <w:lang w:val="en-US"/>
        </w:rPr>
        <w:t>c</w:t>
      </w:r>
      <w:r w:rsidR="00DA4C36" w:rsidRPr="000326E1">
        <w:rPr>
          <w:sz w:val="24"/>
          <w:szCs w:val="24"/>
          <w:lang w:val="en-US"/>
        </w:rPr>
        <w:t xml:space="preserve">reative </w:t>
      </w:r>
      <w:r w:rsidR="00562695">
        <w:rPr>
          <w:sz w:val="24"/>
          <w:szCs w:val="24"/>
          <w:lang w:val="en-US"/>
        </w:rPr>
        <w:t xml:space="preserve">sectors </w:t>
      </w:r>
      <w:r w:rsidRPr="000326E1">
        <w:rPr>
          <w:sz w:val="24"/>
          <w:szCs w:val="24"/>
          <w:lang w:val="en-US"/>
        </w:rPr>
        <w:t xml:space="preserve">with a view to </w:t>
      </w:r>
      <w:r w:rsidR="00562695">
        <w:rPr>
          <w:sz w:val="24"/>
          <w:szCs w:val="24"/>
          <w:lang w:val="en-US"/>
        </w:rPr>
        <w:t>understand the contribution of the CCS, identify sectors with growth potentials and requiring policy support. The mapping would also serve in the d</w:t>
      </w:r>
      <w:r w:rsidR="00DA4C36" w:rsidRPr="000326E1">
        <w:rPr>
          <w:sz w:val="24"/>
          <w:szCs w:val="24"/>
          <w:lang w:val="en-US"/>
        </w:rPr>
        <w:t>evelop</w:t>
      </w:r>
      <w:r w:rsidR="00562695">
        <w:rPr>
          <w:sz w:val="24"/>
          <w:szCs w:val="24"/>
          <w:lang w:val="en-US"/>
        </w:rPr>
        <w:t xml:space="preserve">ment of </w:t>
      </w:r>
      <w:r w:rsidR="00DA4C36" w:rsidRPr="000326E1">
        <w:rPr>
          <w:sz w:val="24"/>
          <w:szCs w:val="24"/>
          <w:lang w:val="en-US"/>
        </w:rPr>
        <w:t xml:space="preserve">measurement tools </w:t>
      </w:r>
      <w:r w:rsidRPr="000326E1">
        <w:rPr>
          <w:sz w:val="24"/>
          <w:szCs w:val="24"/>
          <w:lang w:val="en-US"/>
        </w:rPr>
        <w:t xml:space="preserve">and indicators capable of assessing </w:t>
      </w:r>
      <w:r w:rsidR="00833DEF">
        <w:rPr>
          <w:sz w:val="24"/>
          <w:szCs w:val="24"/>
          <w:lang w:val="en-US"/>
        </w:rPr>
        <w:t xml:space="preserve">the </w:t>
      </w:r>
      <w:r w:rsidRPr="000326E1">
        <w:rPr>
          <w:sz w:val="24"/>
          <w:szCs w:val="24"/>
          <w:lang w:val="en-US"/>
        </w:rPr>
        <w:t>impact of policy measure</w:t>
      </w:r>
      <w:r w:rsidR="00170B0F">
        <w:rPr>
          <w:sz w:val="24"/>
          <w:szCs w:val="24"/>
          <w:lang w:val="en-US"/>
        </w:rPr>
        <w:t>s</w:t>
      </w:r>
      <w:r w:rsidR="00562695">
        <w:rPr>
          <w:sz w:val="24"/>
          <w:szCs w:val="24"/>
          <w:lang w:val="en-US"/>
        </w:rPr>
        <w:t xml:space="preserve">. The mapping will also serve in raising </w:t>
      </w:r>
      <w:r>
        <w:rPr>
          <w:sz w:val="24"/>
          <w:szCs w:val="24"/>
          <w:lang w:val="en-US"/>
        </w:rPr>
        <w:t xml:space="preserve">awareness on </w:t>
      </w:r>
      <w:r w:rsidRPr="000326E1">
        <w:rPr>
          <w:sz w:val="24"/>
          <w:szCs w:val="24"/>
          <w:lang w:val="en-US"/>
        </w:rPr>
        <w:t xml:space="preserve">the </w:t>
      </w:r>
      <w:r w:rsidR="00DA4C36" w:rsidRPr="000326E1">
        <w:rPr>
          <w:sz w:val="24"/>
          <w:szCs w:val="24"/>
          <w:lang w:val="en-US"/>
        </w:rPr>
        <w:t xml:space="preserve">importance of the </w:t>
      </w:r>
      <w:r w:rsidRPr="000326E1">
        <w:rPr>
          <w:sz w:val="24"/>
          <w:szCs w:val="24"/>
          <w:lang w:val="en-US"/>
        </w:rPr>
        <w:t>sector</w:t>
      </w:r>
      <w:r w:rsidR="00DA4C36" w:rsidRPr="000326E1">
        <w:rPr>
          <w:sz w:val="24"/>
          <w:szCs w:val="24"/>
          <w:lang w:val="en-US"/>
        </w:rPr>
        <w:t>.</w:t>
      </w:r>
    </w:p>
    <w:p w:rsidR="00292108" w:rsidRDefault="00833DEF" w:rsidP="00DA4C36">
      <w:pPr>
        <w:jc w:val="both"/>
        <w:rPr>
          <w:sz w:val="24"/>
          <w:szCs w:val="24"/>
          <w:lang w:val="en-US"/>
        </w:rPr>
      </w:pPr>
      <w:r>
        <w:rPr>
          <w:sz w:val="24"/>
          <w:szCs w:val="24"/>
          <w:lang w:val="en-US"/>
        </w:rPr>
        <w:t xml:space="preserve">The Ministry of Culture </w:t>
      </w:r>
      <w:r w:rsidR="00292108">
        <w:rPr>
          <w:sz w:val="24"/>
          <w:szCs w:val="24"/>
          <w:lang w:val="en-US"/>
        </w:rPr>
        <w:t xml:space="preserve">should set a roadmap for the implementation of the national strategy for cultural development and associate CCS in development of such roadmap. It should establish clearly </w:t>
      </w:r>
      <w:r w:rsidR="00E66EB3">
        <w:rPr>
          <w:sz w:val="24"/>
          <w:szCs w:val="24"/>
          <w:lang w:val="en-US"/>
        </w:rPr>
        <w:t xml:space="preserve">its role and ambition in working for social cohesion and mutual understanding to make cultural diversity </w:t>
      </w:r>
      <w:r w:rsidR="00562695">
        <w:rPr>
          <w:sz w:val="24"/>
          <w:szCs w:val="24"/>
          <w:lang w:val="en-US"/>
        </w:rPr>
        <w:t xml:space="preserve">the </w:t>
      </w:r>
      <w:r w:rsidR="00E66EB3">
        <w:rPr>
          <w:sz w:val="24"/>
          <w:szCs w:val="24"/>
          <w:lang w:val="en-US"/>
        </w:rPr>
        <w:t xml:space="preserve">country’s strength. </w:t>
      </w:r>
    </w:p>
    <w:p w:rsidR="000326E1" w:rsidRDefault="00833DEF" w:rsidP="00DA4C36">
      <w:pPr>
        <w:jc w:val="both"/>
        <w:rPr>
          <w:sz w:val="24"/>
          <w:szCs w:val="24"/>
          <w:lang w:val="en-US"/>
        </w:rPr>
      </w:pPr>
      <w:r>
        <w:rPr>
          <w:sz w:val="24"/>
          <w:szCs w:val="24"/>
          <w:lang w:val="en-US"/>
        </w:rPr>
        <w:t xml:space="preserve">The Ministry of Culture </w:t>
      </w:r>
      <w:r w:rsidR="000326E1">
        <w:rPr>
          <w:sz w:val="24"/>
          <w:szCs w:val="24"/>
          <w:lang w:val="en-US"/>
        </w:rPr>
        <w:t xml:space="preserve">should develop stronger links with other ministerial departments </w:t>
      </w:r>
      <w:r w:rsidR="00E66EB3">
        <w:rPr>
          <w:sz w:val="24"/>
          <w:szCs w:val="24"/>
          <w:lang w:val="en-US"/>
        </w:rPr>
        <w:t xml:space="preserve">and initiate cross administrative collaboration notably </w:t>
      </w:r>
      <w:r>
        <w:rPr>
          <w:sz w:val="24"/>
          <w:szCs w:val="24"/>
          <w:lang w:val="en-US"/>
        </w:rPr>
        <w:t xml:space="preserve">in relation to the </w:t>
      </w:r>
      <w:r w:rsidR="000326E1">
        <w:rPr>
          <w:sz w:val="24"/>
          <w:szCs w:val="24"/>
          <w:lang w:val="en-US"/>
        </w:rPr>
        <w:t>economy (entrepreneurship, innovation, incubation</w:t>
      </w:r>
      <w:r w:rsidR="00292108">
        <w:rPr>
          <w:sz w:val="24"/>
          <w:szCs w:val="24"/>
          <w:lang w:val="en-US"/>
        </w:rPr>
        <w:t>, investment</w:t>
      </w:r>
      <w:r w:rsidR="000326E1">
        <w:rPr>
          <w:sz w:val="24"/>
          <w:szCs w:val="24"/>
          <w:lang w:val="en-US"/>
        </w:rPr>
        <w:t xml:space="preserve">), education (art </w:t>
      </w:r>
      <w:r w:rsidR="00292108">
        <w:rPr>
          <w:sz w:val="24"/>
          <w:szCs w:val="24"/>
          <w:lang w:val="en-US"/>
        </w:rPr>
        <w:t>education, cultural management</w:t>
      </w:r>
      <w:r w:rsidR="000326E1">
        <w:rPr>
          <w:sz w:val="24"/>
          <w:szCs w:val="24"/>
          <w:lang w:val="en-US"/>
        </w:rPr>
        <w:t xml:space="preserve"> and cultural participation), decentralization (cultural offering</w:t>
      </w:r>
      <w:r w:rsidR="00E66EB3">
        <w:rPr>
          <w:sz w:val="24"/>
          <w:szCs w:val="24"/>
          <w:lang w:val="en-US"/>
        </w:rPr>
        <w:t>, participation</w:t>
      </w:r>
      <w:r w:rsidR="000326E1">
        <w:rPr>
          <w:sz w:val="24"/>
          <w:szCs w:val="24"/>
          <w:lang w:val="en-US"/>
        </w:rPr>
        <w:t xml:space="preserve"> and creative hubs) and European affairs (intercultural dialogue, regional market for cultural goods and services</w:t>
      </w:r>
      <w:r w:rsidR="00292108">
        <w:rPr>
          <w:sz w:val="24"/>
          <w:szCs w:val="24"/>
          <w:lang w:val="en-US"/>
        </w:rPr>
        <w:t>, funding, international networking</w:t>
      </w:r>
      <w:r w:rsidR="000326E1">
        <w:rPr>
          <w:sz w:val="24"/>
          <w:szCs w:val="24"/>
          <w:lang w:val="en-US"/>
        </w:rPr>
        <w:t xml:space="preserve">). </w:t>
      </w:r>
    </w:p>
    <w:p w:rsidR="00292108" w:rsidRDefault="00833DEF" w:rsidP="00DA4C36">
      <w:pPr>
        <w:jc w:val="both"/>
        <w:rPr>
          <w:sz w:val="24"/>
          <w:szCs w:val="24"/>
          <w:lang w:val="en-US"/>
        </w:rPr>
      </w:pPr>
      <w:r>
        <w:rPr>
          <w:sz w:val="24"/>
          <w:szCs w:val="24"/>
          <w:lang w:val="en-US"/>
        </w:rPr>
        <w:t>The Ministry of Culture should</w:t>
      </w:r>
      <w:r w:rsidR="00292108">
        <w:rPr>
          <w:sz w:val="24"/>
          <w:szCs w:val="24"/>
          <w:lang w:val="en-US"/>
        </w:rPr>
        <w:t xml:space="preserve"> develop or initiate large scale projects capable of IPA funding to address underfunding in heritage and CCS</w:t>
      </w:r>
      <w:r w:rsidR="00562695">
        <w:rPr>
          <w:sz w:val="24"/>
          <w:szCs w:val="24"/>
          <w:lang w:val="en-US"/>
        </w:rPr>
        <w:t xml:space="preserve"> with a view to build scale and capacity to develop cultural services to cater for the national as well as the West Balkan market. </w:t>
      </w:r>
    </w:p>
    <w:p w:rsidR="00292108" w:rsidRDefault="00292108" w:rsidP="00DA4C36">
      <w:pPr>
        <w:jc w:val="both"/>
        <w:rPr>
          <w:sz w:val="24"/>
          <w:szCs w:val="24"/>
          <w:lang w:val="en-US"/>
        </w:rPr>
      </w:pPr>
      <w:r>
        <w:rPr>
          <w:sz w:val="24"/>
          <w:szCs w:val="24"/>
          <w:lang w:val="en-US"/>
        </w:rPr>
        <w:t>Mentoring and exchange programmes could be developed with willing countries ready to share training expertise for professionals in culture management</w:t>
      </w:r>
      <w:r w:rsidR="00E66EB3">
        <w:rPr>
          <w:sz w:val="24"/>
          <w:szCs w:val="24"/>
          <w:lang w:val="en-US"/>
        </w:rPr>
        <w:t xml:space="preserve">, intellectual property enforcement, </w:t>
      </w:r>
      <w:r w:rsidR="00562695">
        <w:rPr>
          <w:sz w:val="24"/>
          <w:szCs w:val="24"/>
          <w:lang w:val="en-US"/>
        </w:rPr>
        <w:t xml:space="preserve">entrepreneurship, </w:t>
      </w:r>
      <w:r w:rsidR="00E66EB3">
        <w:rPr>
          <w:sz w:val="24"/>
          <w:szCs w:val="24"/>
          <w:lang w:val="en-US"/>
        </w:rPr>
        <w:t>conservation and heritage protection</w:t>
      </w:r>
      <w:r>
        <w:rPr>
          <w:sz w:val="24"/>
          <w:szCs w:val="24"/>
          <w:lang w:val="en-US"/>
        </w:rPr>
        <w:t>.</w:t>
      </w:r>
      <w:r w:rsidR="00CE4589">
        <w:rPr>
          <w:sz w:val="24"/>
          <w:szCs w:val="24"/>
          <w:lang w:val="en-US"/>
        </w:rPr>
        <w:t xml:space="preserve"> Mobility or artists and cultural operators/entrepreneurs should be encouraged. </w:t>
      </w:r>
    </w:p>
    <w:p w:rsidR="00595FC9" w:rsidRDefault="00833DEF" w:rsidP="00595FC9">
      <w:pPr>
        <w:jc w:val="both"/>
        <w:rPr>
          <w:sz w:val="24"/>
          <w:szCs w:val="24"/>
          <w:lang w:val="en-US"/>
        </w:rPr>
      </w:pPr>
      <w:r>
        <w:rPr>
          <w:sz w:val="24"/>
          <w:szCs w:val="24"/>
          <w:lang w:val="en-US"/>
        </w:rPr>
        <w:t xml:space="preserve">The Ministry of Culture </w:t>
      </w:r>
      <w:r w:rsidR="00562695">
        <w:rPr>
          <w:sz w:val="24"/>
          <w:szCs w:val="24"/>
          <w:lang w:val="en-US"/>
        </w:rPr>
        <w:t xml:space="preserve">should take the initiative of organizing a </w:t>
      </w:r>
      <w:r w:rsidR="006248F9">
        <w:rPr>
          <w:sz w:val="24"/>
          <w:szCs w:val="24"/>
          <w:lang w:val="en-US"/>
        </w:rPr>
        <w:t xml:space="preserve">Culture and </w:t>
      </w:r>
      <w:r w:rsidR="00562695">
        <w:rPr>
          <w:sz w:val="24"/>
          <w:szCs w:val="24"/>
          <w:lang w:val="en-US"/>
        </w:rPr>
        <w:t>Creative Industry Summit to gather cultural and creative entrepreneurs from North Macedonia and the West Balkans to stimulate cross border collaboration as well as to raise political awareness on the potential of the sector. There is the potential for North Macedonia to become the region’s creative hub</w:t>
      </w:r>
      <w:r w:rsidR="006248F9">
        <w:rPr>
          <w:sz w:val="24"/>
          <w:szCs w:val="24"/>
          <w:lang w:val="en-US"/>
        </w:rPr>
        <w:t xml:space="preserve"> in line with the outcome of the </w:t>
      </w:r>
      <w:r w:rsidR="00595FC9" w:rsidRPr="00F9741C">
        <w:rPr>
          <w:sz w:val="24"/>
          <w:szCs w:val="24"/>
          <w:lang w:val="en-US"/>
        </w:rPr>
        <w:t>Zagreb Summit on 6 May 2020</w:t>
      </w:r>
      <w:r w:rsidR="006248F9">
        <w:rPr>
          <w:sz w:val="24"/>
          <w:szCs w:val="24"/>
          <w:lang w:val="en-US"/>
        </w:rPr>
        <w:t xml:space="preserve"> where</w:t>
      </w:r>
      <w:r w:rsidR="00595FC9" w:rsidRPr="00F9741C">
        <w:rPr>
          <w:sz w:val="24"/>
          <w:szCs w:val="24"/>
          <w:lang w:val="en-US"/>
        </w:rPr>
        <w:t xml:space="preserve"> EU and Western Balkans leaders agreed that deepening regional economic integration has to be a prominent part of recovery efforts of the Western Balkans. North Macedonia </w:t>
      </w:r>
      <w:r w:rsidR="006248F9">
        <w:rPr>
          <w:sz w:val="24"/>
          <w:szCs w:val="24"/>
          <w:lang w:val="en-US"/>
        </w:rPr>
        <w:t xml:space="preserve">could </w:t>
      </w:r>
      <w:r w:rsidR="00595FC9" w:rsidRPr="00F9741C">
        <w:rPr>
          <w:sz w:val="24"/>
          <w:szCs w:val="24"/>
          <w:lang w:val="en-US"/>
        </w:rPr>
        <w:t>play a constructive role in building a common regional market</w:t>
      </w:r>
      <w:r w:rsidR="006248F9">
        <w:rPr>
          <w:sz w:val="24"/>
          <w:szCs w:val="24"/>
          <w:lang w:val="en-US"/>
        </w:rPr>
        <w:t xml:space="preserve"> in CCS services. </w:t>
      </w:r>
    </w:p>
    <w:p w:rsidR="00BE1AB5" w:rsidRDefault="00BE1AB5" w:rsidP="00595FC9">
      <w:pPr>
        <w:jc w:val="both"/>
        <w:rPr>
          <w:sz w:val="24"/>
          <w:szCs w:val="24"/>
          <w:lang w:val="en-US"/>
        </w:rPr>
      </w:pPr>
    </w:p>
    <w:p w:rsidR="00846FA6" w:rsidRPr="00A20D04" w:rsidRDefault="00595FC9" w:rsidP="00595FC9">
      <w:pPr>
        <w:jc w:val="both"/>
        <w:rPr>
          <w:sz w:val="24"/>
          <w:szCs w:val="24"/>
          <w:u w:val="single"/>
          <w:lang w:val="en-US"/>
        </w:rPr>
      </w:pPr>
      <w:r w:rsidRPr="006248F9">
        <w:rPr>
          <w:sz w:val="24"/>
          <w:szCs w:val="24"/>
          <w:lang w:val="en-US"/>
        </w:rPr>
        <w:t xml:space="preserve">4.2 </w:t>
      </w:r>
      <w:r w:rsidRPr="00A20D04">
        <w:rPr>
          <w:sz w:val="24"/>
          <w:szCs w:val="24"/>
          <w:u w:val="single"/>
          <w:lang w:val="en-US"/>
        </w:rPr>
        <w:t xml:space="preserve">Priority Measure to support the development of CCS and heritage </w:t>
      </w:r>
    </w:p>
    <w:p w:rsidR="00595FC9" w:rsidRDefault="006248F9" w:rsidP="00CE4589">
      <w:pPr>
        <w:spacing w:after="120" w:line="240" w:lineRule="auto"/>
        <w:jc w:val="both"/>
        <w:rPr>
          <w:rFonts w:eastAsia="Calibri" w:cs="Times New Roman"/>
          <w:sz w:val="24"/>
          <w:szCs w:val="24"/>
          <w:lang w:val="en-US"/>
        </w:rPr>
      </w:pPr>
      <w:r>
        <w:rPr>
          <w:rFonts w:eastAsia="Calibri" w:cs="Times New Roman"/>
          <w:sz w:val="24"/>
          <w:szCs w:val="24"/>
          <w:lang w:val="en-US"/>
        </w:rPr>
        <w:t>We understand from the M</w:t>
      </w:r>
      <w:r w:rsidR="00833DEF">
        <w:rPr>
          <w:rFonts w:eastAsia="Calibri" w:cs="Times New Roman"/>
          <w:sz w:val="24"/>
          <w:szCs w:val="24"/>
          <w:lang w:val="en-US"/>
        </w:rPr>
        <w:t xml:space="preserve">inistry of Culture </w:t>
      </w:r>
      <w:r>
        <w:rPr>
          <w:rFonts w:eastAsia="Calibri" w:cs="Times New Roman"/>
          <w:sz w:val="24"/>
          <w:szCs w:val="24"/>
          <w:lang w:val="en-US"/>
        </w:rPr>
        <w:t>that a</w:t>
      </w:r>
      <w:r w:rsidR="00595FC9" w:rsidRPr="00595FC9">
        <w:rPr>
          <w:rFonts w:eastAsia="Calibri" w:cs="Times New Roman"/>
          <w:sz w:val="24"/>
          <w:szCs w:val="24"/>
          <w:lang w:val="en-US"/>
        </w:rPr>
        <w:t xml:space="preserve"> National Strategy for </w:t>
      </w:r>
      <w:r w:rsidR="00833DEF">
        <w:rPr>
          <w:rFonts w:eastAsia="Calibri" w:cs="Times New Roman"/>
          <w:sz w:val="24"/>
          <w:szCs w:val="24"/>
          <w:lang w:val="en-US"/>
        </w:rPr>
        <w:t xml:space="preserve">the </w:t>
      </w:r>
      <w:r w:rsidR="00595FC9" w:rsidRPr="00595FC9">
        <w:rPr>
          <w:rFonts w:eastAsia="Calibri" w:cs="Times New Roman"/>
          <w:sz w:val="24"/>
          <w:szCs w:val="24"/>
          <w:lang w:val="en-US"/>
        </w:rPr>
        <w:t xml:space="preserve">Protection and Use of Cultural Heritage is in a process of preparation, as well as a new Law on </w:t>
      </w:r>
      <w:r w:rsidR="00833DEF">
        <w:rPr>
          <w:rFonts w:eastAsia="Calibri" w:cs="Times New Roman"/>
          <w:sz w:val="24"/>
          <w:szCs w:val="24"/>
          <w:lang w:val="en-US"/>
        </w:rPr>
        <w:t xml:space="preserve">the </w:t>
      </w:r>
      <w:r w:rsidR="00595FC9" w:rsidRPr="00595FC9">
        <w:rPr>
          <w:rFonts w:eastAsia="Calibri" w:cs="Times New Roman"/>
          <w:sz w:val="24"/>
          <w:szCs w:val="24"/>
          <w:lang w:val="en-US"/>
        </w:rPr>
        <w:t>Protection of Cultural Heritag</w:t>
      </w:r>
      <w:r w:rsidR="00BE1AB5">
        <w:rPr>
          <w:rFonts w:eastAsia="Calibri" w:cs="Times New Roman"/>
          <w:sz w:val="24"/>
          <w:szCs w:val="24"/>
          <w:lang w:val="en-US"/>
        </w:rPr>
        <w:t>e. The activity of preparing a l</w:t>
      </w:r>
      <w:r w:rsidR="00595FC9" w:rsidRPr="00595FC9">
        <w:rPr>
          <w:rFonts w:eastAsia="Calibri" w:cs="Times New Roman"/>
          <w:sz w:val="24"/>
          <w:szCs w:val="24"/>
          <w:lang w:val="en-US"/>
        </w:rPr>
        <w:t xml:space="preserve">ist of cultural heritage of national importance has started. The new </w:t>
      </w:r>
      <w:r>
        <w:rPr>
          <w:rFonts w:eastAsia="Calibri" w:cs="Times New Roman"/>
          <w:sz w:val="24"/>
          <w:szCs w:val="24"/>
          <w:lang w:val="en-US"/>
        </w:rPr>
        <w:t xml:space="preserve">law </w:t>
      </w:r>
      <w:r w:rsidR="00595FC9" w:rsidRPr="00595FC9">
        <w:rPr>
          <w:rFonts w:eastAsia="Calibri" w:cs="Times New Roman"/>
          <w:sz w:val="24"/>
          <w:szCs w:val="24"/>
          <w:lang w:val="en-US"/>
        </w:rPr>
        <w:t>envisage</w:t>
      </w:r>
      <w:r>
        <w:rPr>
          <w:rFonts w:eastAsia="Calibri" w:cs="Times New Roman"/>
          <w:sz w:val="24"/>
          <w:szCs w:val="24"/>
          <w:lang w:val="en-US"/>
        </w:rPr>
        <w:t>s a</w:t>
      </w:r>
      <w:r w:rsidR="00595FC9" w:rsidRPr="00595FC9">
        <w:rPr>
          <w:rFonts w:eastAsia="Calibri" w:cs="Times New Roman"/>
          <w:sz w:val="24"/>
          <w:szCs w:val="24"/>
          <w:lang w:val="en-US"/>
        </w:rPr>
        <w:t xml:space="preserve"> reduction of administrative and bureaucratic procedures, harmonization of the protection of cultural heritage with the relevant international conventions</w:t>
      </w:r>
      <w:r>
        <w:rPr>
          <w:rFonts w:eastAsia="Calibri" w:cs="Times New Roman"/>
          <w:sz w:val="24"/>
          <w:szCs w:val="24"/>
          <w:lang w:val="en-US"/>
        </w:rPr>
        <w:t xml:space="preserve">. The emphasis will be </w:t>
      </w:r>
      <w:r w:rsidR="00595FC9" w:rsidRPr="00595FC9">
        <w:rPr>
          <w:rFonts w:eastAsia="Calibri" w:cs="Times New Roman"/>
          <w:sz w:val="24"/>
          <w:szCs w:val="24"/>
          <w:lang w:val="en-US"/>
        </w:rPr>
        <w:t>on the protection of intangible heritage.</w:t>
      </w:r>
      <w:r>
        <w:rPr>
          <w:rFonts w:eastAsia="Calibri" w:cs="Times New Roman"/>
          <w:sz w:val="24"/>
          <w:szCs w:val="24"/>
          <w:lang w:val="en-US"/>
        </w:rPr>
        <w:t xml:space="preserve">   To address skill shortages </w:t>
      </w:r>
      <w:r w:rsidR="00595FC9" w:rsidRPr="00595FC9">
        <w:rPr>
          <w:rFonts w:eastAsia="Calibri" w:cs="Times New Roman"/>
          <w:sz w:val="24"/>
          <w:szCs w:val="24"/>
          <w:lang w:val="en-US"/>
        </w:rPr>
        <w:t xml:space="preserve">the opening of undergraduate studies in conservation is planned. </w:t>
      </w:r>
    </w:p>
    <w:p w:rsidR="00595FC9" w:rsidRPr="00A20D04" w:rsidRDefault="006248F9" w:rsidP="00595FC9">
      <w:pPr>
        <w:jc w:val="both"/>
        <w:rPr>
          <w:sz w:val="24"/>
          <w:szCs w:val="24"/>
          <w:lang w:val="en-US"/>
        </w:rPr>
      </w:pPr>
      <w:r w:rsidRPr="00A20D04">
        <w:rPr>
          <w:sz w:val="24"/>
          <w:szCs w:val="24"/>
          <w:lang w:val="en-US"/>
        </w:rPr>
        <w:t>Experts recommend that institutions in charge of heritage work more closely with CCS in areas such as festival/performing art events, service and product design, digital engagement (Virtual and Augmented Reality)</w:t>
      </w:r>
      <w:r w:rsidR="00A20D04" w:rsidRPr="00A20D04">
        <w:rPr>
          <w:sz w:val="24"/>
          <w:szCs w:val="24"/>
          <w:lang w:val="en-US"/>
        </w:rPr>
        <w:t xml:space="preserve">, crafts and fashion. This will contribute to raise awareness on locally made products and services (contributing to the establishment of a market) as well as support attractiveness of sites for visitors, including tourists.  </w:t>
      </w:r>
    </w:p>
    <w:p w:rsidR="00A20D04" w:rsidRDefault="00A20D04" w:rsidP="00A20D04">
      <w:pPr>
        <w:jc w:val="both"/>
        <w:rPr>
          <w:sz w:val="24"/>
          <w:szCs w:val="24"/>
          <w:lang w:val="en-US"/>
        </w:rPr>
      </w:pPr>
      <w:r w:rsidRPr="00A20D04">
        <w:rPr>
          <w:sz w:val="24"/>
          <w:szCs w:val="24"/>
          <w:lang w:val="en-US"/>
        </w:rPr>
        <w:t xml:space="preserve">Policy supports </w:t>
      </w:r>
      <w:r>
        <w:rPr>
          <w:sz w:val="24"/>
          <w:szCs w:val="24"/>
          <w:lang w:val="en-US"/>
        </w:rPr>
        <w:t xml:space="preserve">(whether in the form of subsidies or regulation) </w:t>
      </w:r>
      <w:r w:rsidRPr="00A20D04">
        <w:rPr>
          <w:sz w:val="24"/>
          <w:szCs w:val="24"/>
          <w:lang w:val="en-US"/>
        </w:rPr>
        <w:t>should not only target creation and production but should also consider support to distribution and promotion notably for cultural products and services (books, music and films). Local media should be incentivize</w:t>
      </w:r>
      <w:r w:rsidR="00833DEF">
        <w:rPr>
          <w:sz w:val="24"/>
          <w:szCs w:val="24"/>
          <w:lang w:val="en-US"/>
        </w:rPr>
        <w:t>d</w:t>
      </w:r>
      <w:r w:rsidR="00A91E43">
        <w:rPr>
          <w:sz w:val="24"/>
          <w:szCs w:val="24"/>
          <w:lang w:val="en-US"/>
        </w:rPr>
        <w:t xml:space="preserve"> or required</w:t>
      </w:r>
      <w:r w:rsidRPr="00A20D04">
        <w:rPr>
          <w:sz w:val="24"/>
          <w:szCs w:val="24"/>
          <w:lang w:val="en-US"/>
        </w:rPr>
        <w:t xml:space="preserve"> to showcase local cultural production. </w:t>
      </w:r>
    </w:p>
    <w:p w:rsidR="00DA4C36" w:rsidRPr="00A20D04" w:rsidRDefault="00A20D04" w:rsidP="00A20D04">
      <w:pPr>
        <w:jc w:val="both"/>
        <w:rPr>
          <w:sz w:val="24"/>
          <w:szCs w:val="24"/>
          <w:lang w:val="en-US"/>
        </w:rPr>
      </w:pPr>
      <w:r w:rsidRPr="00A20D04">
        <w:rPr>
          <w:sz w:val="24"/>
          <w:szCs w:val="24"/>
          <w:lang w:val="en-US"/>
        </w:rPr>
        <w:t xml:space="preserve">With a view to encourage investment in </w:t>
      </w:r>
      <w:r w:rsidR="003E3160">
        <w:rPr>
          <w:sz w:val="24"/>
          <w:szCs w:val="24"/>
          <w:lang w:val="en-US"/>
        </w:rPr>
        <w:t>i</w:t>
      </w:r>
      <w:r w:rsidR="00DA4C36" w:rsidRPr="00A20D04">
        <w:rPr>
          <w:sz w:val="24"/>
          <w:szCs w:val="24"/>
          <w:lang w:val="en-US"/>
        </w:rPr>
        <w:t xml:space="preserve">ntellectual property </w:t>
      </w:r>
      <w:r w:rsidRPr="00A20D04">
        <w:rPr>
          <w:sz w:val="24"/>
          <w:szCs w:val="24"/>
          <w:lang w:val="en-US"/>
        </w:rPr>
        <w:t xml:space="preserve">assets, to reward creators as well as to attract </w:t>
      </w:r>
      <w:r w:rsidR="00CE4589">
        <w:rPr>
          <w:sz w:val="24"/>
          <w:szCs w:val="24"/>
          <w:lang w:val="en-US"/>
        </w:rPr>
        <w:t xml:space="preserve">local and </w:t>
      </w:r>
      <w:r w:rsidRPr="00A20D04">
        <w:rPr>
          <w:sz w:val="24"/>
          <w:szCs w:val="24"/>
          <w:lang w:val="en-US"/>
        </w:rPr>
        <w:t>foreign investment North Macedonia needs to improve its legal framework on copyright and law enforcement. This require</w:t>
      </w:r>
      <w:r w:rsidR="00BE1AB5">
        <w:rPr>
          <w:sz w:val="24"/>
          <w:szCs w:val="24"/>
          <w:lang w:val="en-US"/>
        </w:rPr>
        <w:t>s</w:t>
      </w:r>
      <w:r w:rsidRPr="00A20D04">
        <w:rPr>
          <w:sz w:val="24"/>
          <w:szCs w:val="24"/>
          <w:lang w:val="en-US"/>
        </w:rPr>
        <w:t xml:space="preserve"> an alignment with “the acquis” from the European Union in the field of copyright harmonization and </w:t>
      </w:r>
      <w:r w:rsidR="003E3160">
        <w:rPr>
          <w:sz w:val="24"/>
          <w:szCs w:val="24"/>
          <w:lang w:val="en-US"/>
        </w:rPr>
        <w:t xml:space="preserve">IP </w:t>
      </w:r>
      <w:r w:rsidRPr="00A20D04">
        <w:rPr>
          <w:sz w:val="24"/>
          <w:szCs w:val="24"/>
          <w:lang w:val="en-US"/>
        </w:rPr>
        <w:t xml:space="preserve">rights management. </w:t>
      </w:r>
    </w:p>
    <w:p w:rsidR="00331C95" w:rsidRPr="00F9741C" w:rsidRDefault="00CE4B84" w:rsidP="00F9741C">
      <w:pPr>
        <w:jc w:val="both"/>
        <w:rPr>
          <w:sz w:val="24"/>
          <w:szCs w:val="24"/>
          <w:lang w:val="en-US"/>
        </w:rPr>
      </w:pPr>
      <w:r>
        <w:rPr>
          <w:sz w:val="24"/>
          <w:szCs w:val="24"/>
          <w:lang w:val="en-US"/>
        </w:rPr>
        <w:t>Efforts should be made to cluster CCS with</w:t>
      </w:r>
      <w:r w:rsidR="006131A7">
        <w:rPr>
          <w:sz w:val="24"/>
          <w:szCs w:val="24"/>
          <w:lang w:val="en-US"/>
        </w:rPr>
        <w:t xml:space="preserve"> other sectors such as </w:t>
      </w:r>
      <w:r>
        <w:rPr>
          <w:sz w:val="24"/>
          <w:szCs w:val="24"/>
          <w:lang w:val="en-US"/>
        </w:rPr>
        <w:t>IT</w:t>
      </w:r>
      <w:r w:rsidR="006131A7">
        <w:rPr>
          <w:sz w:val="24"/>
          <w:szCs w:val="24"/>
          <w:lang w:val="en-US"/>
        </w:rPr>
        <w:t xml:space="preserve">/ </w:t>
      </w:r>
      <w:r>
        <w:rPr>
          <w:sz w:val="24"/>
          <w:szCs w:val="24"/>
          <w:lang w:val="en-US"/>
        </w:rPr>
        <w:t xml:space="preserve">digital </w:t>
      </w:r>
      <w:r w:rsidR="006131A7">
        <w:rPr>
          <w:sz w:val="24"/>
          <w:szCs w:val="24"/>
          <w:lang w:val="en-US"/>
        </w:rPr>
        <w:t xml:space="preserve">and tourism </w:t>
      </w:r>
      <w:r>
        <w:rPr>
          <w:sz w:val="24"/>
          <w:szCs w:val="24"/>
          <w:lang w:val="en-US"/>
        </w:rPr>
        <w:t xml:space="preserve">to encourage development of new services reflecting new forms of cultural consumption via digital networks, social media and apps. </w:t>
      </w:r>
      <w:r w:rsidR="00CE4589">
        <w:rPr>
          <w:sz w:val="24"/>
          <w:szCs w:val="24"/>
          <w:lang w:val="en-US"/>
        </w:rPr>
        <w:t>In tourism t</w:t>
      </w:r>
      <w:r w:rsidR="006131A7" w:rsidRPr="006131A7">
        <w:rPr>
          <w:sz w:val="24"/>
          <w:szCs w:val="24"/>
          <w:lang w:val="en-US"/>
        </w:rPr>
        <w:t>his may include for example joining of the Enlarged Partial Agreement of the Council of Europe's Cultural Routes program</w:t>
      </w:r>
      <w:r w:rsidR="00A91E43">
        <w:rPr>
          <w:sz w:val="24"/>
          <w:szCs w:val="24"/>
          <w:lang w:val="en-US"/>
        </w:rPr>
        <w:t>me</w:t>
      </w:r>
      <w:r w:rsidR="006131A7" w:rsidRPr="006131A7">
        <w:rPr>
          <w:sz w:val="24"/>
          <w:szCs w:val="24"/>
          <w:lang w:val="en-US"/>
        </w:rPr>
        <w:t xml:space="preserve"> to help </w:t>
      </w:r>
      <w:r w:rsidR="006131A7">
        <w:rPr>
          <w:sz w:val="24"/>
          <w:szCs w:val="24"/>
          <w:lang w:val="en-US"/>
        </w:rPr>
        <w:t xml:space="preserve">North Macedonia </w:t>
      </w:r>
      <w:r w:rsidR="006131A7" w:rsidRPr="006131A7">
        <w:rPr>
          <w:sz w:val="24"/>
          <w:szCs w:val="24"/>
          <w:lang w:val="en-US"/>
        </w:rPr>
        <w:t>in fostering cultural tourism as engine of economic development, especially for local SMEs.</w:t>
      </w:r>
    </w:p>
    <w:p w:rsidR="00DF4F22" w:rsidRDefault="006131A7" w:rsidP="006131A7">
      <w:pPr>
        <w:jc w:val="both"/>
        <w:rPr>
          <w:sz w:val="24"/>
          <w:szCs w:val="24"/>
          <w:lang w:val="en-US"/>
        </w:rPr>
      </w:pPr>
      <w:r w:rsidRPr="006131A7">
        <w:rPr>
          <w:sz w:val="24"/>
          <w:szCs w:val="24"/>
          <w:lang w:val="en-US"/>
        </w:rPr>
        <w:t>There is a need for the establishment of a</w:t>
      </w:r>
      <w:r w:rsidR="00CE4589">
        <w:rPr>
          <w:sz w:val="24"/>
          <w:szCs w:val="24"/>
          <w:lang w:val="en-US"/>
        </w:rPr>
        <w:t>n agency</w:t>
      </w:r>
      <w:r w:rsidRPr="006131A7">
        <w:rPr>
          <w:sz w:val="24"/>
          <w:szCs w:val="24"/>
          <w:lang w:val="en-US"/>
        </w:rPr>
        <w:t xml:space="preserve"> with the ultimate mission to create a well-coordinated, consistent, enabling environment for </w:t>
      </w:r>
      <w:r w:rsidR="00A91E43">
        <w:rPr>
          <w:sz w:val="24"/>
          <w:szCs w:val="24"/>
          <w:lang w:val="en-US"/>
        </w:rPr>
        <w:t xml:space="preserve">the </w:t>
      </w:r>
      <w:r w:rsidRPr="006131A7">
        <w:rPr>
          <w:sz w:val="24"/>
          <w:szCs w:val="24"/>
          <w:lang w:val="en-US"/>
        </w:rPr>
        <w:t xml:space="preserve">development and enhancement of cultural and creative industries in </w:t>
      </w:r>
      <w:r>
        <w:rPr>
          <w:sz w:val="24"/>
          <w:szCs w:val="24"/>
          <w:lang w:val="en-US"/>
        </w:rPr>
        <w:t>North Macedonia</w:t>
      </w:r>
      <w:r w:rsidRPr="006131A7">
        <w:rPr>
          <w:sz w:val="24"/>
          <w:szCs w:val="24"/>
          <w:lang w:val="en-US"/>
        </w:rPr>
        <w:t>. This entity could also play the role of the national coordinating body of the EU Creative Europe</w:t>
      </w:r>
      <w:r>
        <w:rPr>
          <w:sz w:val="24"/>
          <w:szCs w:val="24"/>
          <w:lang w:val="en-US"/>
        </w:rPr>
        <w:t xml:space="preserve"> / West Balkan/ IPA</w:t>
      </w:r>
      <w:r w:rsidRPr="006131A7">
        <w:rPr>
          <w:sz w:val="24"/>
          <w:szCs w:val="24"/>
          <w:lang w:val="en-US"/>
        </w:rPr>
        <w:t>Program</w:t>
      </w:r>
      <w:r>
        <w:rPr>
          <w:sz w:val="24"/>
          <w:szCs w:val="24"/>
          <w:lang w:val="en-US"/>
        </w:rPr>
        <w:t>s</w:t>
      </w:r>
      <w:r w:rsidRPr="006131A7">
        <w:rPr>
          <w:sz w:val="24"/>
          <w:szCs w:val="24"/>
          <w:lang w:val="en-US"/>
        </w:rPr>
        <w:t xml:space="preserve"> in order to ensure more flexibility, transparency and </w:t>
      </w:r>
      <w:r>
        <w:rPr>
          <w:sz w:val="24"/>
          <w:szCs w:val="24"/>
          <w:lang w:val="en-US"/>
        </w:rPr>
        <w:t xml:space="preserve">help </w:t>
      </w:r>
      <w:r w:rsidRPr="006131A7">
        <w:rPr>
          <w:sz w:val="24"/>
          <w:szCs w:val="24"/>
          <w:lang w:val="en-US"/>
        </w:rPr>
        <w:t>fund-raising.</w:t>
      </w:r>
    </w:p>
    <w:p w:rsidR="009A0E05" w:rsidRDefault="009A0E05" w:rsidP="00F9741C">
      <w:pPr>
        <w:jc w:val="both"/>
        <w:rPr>
          <w:sz w:val="24"/>
          <w:szCs w:val="24"/>
          <w:lang w:val="en-US"/>
        </w:rPr>
      </w:pPr>
    </w:p>
    <w:p w:rsidR="00A91E43" w:rsidRDefault="00A91E43" w:rsidP="00F9741C">
      <w:pPr>
        <w:jc w:val="both"/>
        <w:rPr>
          <w:sz w:val="24"/>
          <w:szCs w:val="24"/>
          <w:lang w:val="en-US"/>
        </w:rPr>
      </w:pPr>
    </w:p>
    <w:p w:rsidR="00A91E43" w:rsidRDefault="00A91E43" w:rsidP="00F9741C">
      <w:pPr>
        <w:jc w:val="both"/>
        <w:rPr>
          <w:sz w:val="24"/>
          <w:szCs w:val="24"/>
          <w:lang w:val="en-US"/>
        </w:rPr>
      </w:pPr>
    </w:p>
    <w:p w:rsidR="00DF4F22" w:rsidRPr="009A0E05" w:rsidRDefault="00DF4F22" w:rsidP="00F9741C">
      <w:pPr>
        <w:jc w:val="both"/>
        <w:rPr>
          <w:sz w:val="24"/>
          <w:szCs w:val="24"/>
          <w:lang w:val="en-US"/>
        </w:rPr>
      </w:pPr>
      <w:r w:rsidRPr="00F9741C">
        <w:rPr>
          <w:b/>
          <w:sz w:val="24"/>
          <w:szCs w:val="24"/>
          <w:lang w:val="en-US"/>
        </w:rPr>
        <w:lastRenderedPageBreak/>
        <w:t xml:space="preserve">5. Conclusions </w:t>
      </w:r>
      <w:r w:rsidR="009A0E05">
        <w:rPr>
          <w:b/>
          <w:sz w:val="24"/>
          <w:szCs w:val="24"/>
          <w:lang w:val="en-US"/>
        </w:rPr>
        <w:t xml:space="preserve">- </w:t>
      </w:r>
      <w:r w:rsidR="009A0E05" w:rsidRPr="009A0E05">
        <w:rPr>
          <w:b/>
          <w:sz w:val="24"/>
          <w:szCs w:val="24"/>
          <w:lang w:val="en-US"/>
        </w:rPr>
        <w:t xml:space="preserve">Towards a Modern Cultural Policy  </w:t>
      </w:r>
    </w:p>
    <w:p w:rsidR="009A0E05" w:rsidRPr="009A0E05" w:rsidRDefault="009A0E05" w:rsidP="009A0E05">
      <w:pPr>
        <w:jc w:val="both"/>
        <w:rPr>
          <w:sz w:val="24"/>
          <w:szCs w:val="24"/>
          <w:lang w:val="en-US"/>
        </w:rPr>
      </w:pPr>
      <w:r w:rsidRPr="009A0E05">
        <w:rPr>
          <w:sz w:val="24"/>
          <w:szCs w:val="24"/>
          <w:lang w:val="en-US"/>
        </w:rPr>
        <w:t>In post-industrial societies culture is everywhere.  As a territorial resource stemming from language, history, talent, industries and heritage producing singularities, it reaches out well beyond museums, heritage sites or traditional cultural institutions.  Because it nourishes innovation, social and creative entrepreneurship as well as new working practices, it inspires and drives technology hubs, creative clusters, popular festivals, digital networks, new manufacturing and services.     Powerful social media channels use cultural goods as main resources to generate precious data exchanges (music, fashion, TV series , games, performing arts and sport). In addition to its economic significance, cultural activities support social interactions contributing to making places attractive, peaceful, and contributing to improve well-being (culture as the industry of happiness).  The sanitary crisis serves to highlight the importance of culture in sustaining</w:t>
      </w:r>
      <w:r>
        <w:rPr>
          <w:sz w:val="24"/>
          <w:szCs w:val="24"/>
          <w:lang w:val="en-US"/>
        </w:rPr>
        <w:t xml:space="preserve"> social interactions</w:t>
      </w:r>
      <w:r w:rsidRPr="009A0E05">
        <w:rPr>
          <w:sz w:val="24"/>
          <w:szCs w:val="24"/>
          <w:lang w:val="en-US"/>
        </w:rPr>
        <w:t xml:space="preserve">.  Any lack of cultural offering has a negative impact on attractiveness </w:t>
      </w:r>
      <w:r w:rsidR="00A91E43">
        <w:rPr>
          <w:sz w:val="24"/>
          <w:szCs w:val="24"/>
          <w:lang w:val="en-US"/>
        </w:rPr>
        <w:t xml:space="preserve">of places </w:t>
      </w:r>
      <w:r w:rsidRPr="009A0E05">
        <w:rPr>
          <w:sz w:val="24"/>
          <w:szCs w:val="24"/>
          <w:lang w:val="en-US"/>
        </w:rPr>
        <w:t xml:space="preserve">(thus affecting real estate, the hospitality sector and the overall organization of </w:t>
      </w:r>
      <w:r>
        <w:rPr>
          <w:sz w:val="24"/>
          <w:szCs w:val="24"/>
          <w:lang w:val="en-US"/>
        </w:rPr>
        <w:t xml:space="preserve">society </w:t>
      </w:r>
      <w:r w:rsidRPr="009A0E05">
        <w:rPr>
          <w:sz w:val="24"/>
          <w:szCs w:val="24"/>
          <w:lang w:val="en-US"/>
        </w:rPr>
        <w:t>ranging from transport to policing).</w:t>
      </w:r>
    </w:p>
    <w:p w:rsidR="009A0E05" w:rsidRDefault="009A0E05" w:rsidP="009A0E05">
      <w:pPr>
        <w:jc w:val="both"/>
        <w:rPr>
          <w:sz w:val="24"/>
          <w:szCs w:val="24"/>
          <w:lang w:val="en-US"/>
        </w:rPr>
      </w:pPr>
      <w:r w:rsidRPr="009A0E05">
        <w:rPr>
          <w:sz w:val="24"/>
          <w:szCs w:val="24"/>
          <w:lang w:val="en-US"/>
        </w:rPr>
        <w:t>This capacity to shape our daily lives requires a reassessment of cultural policy goals origi</w:t>
      </w:r>
      <w:r w:rsidR="00BE1AB5">
        <w:rPr>
          <w:sz w:val="24"/>
          <w:szCs w:val="24"/>
          <w:lang w:val="en-US"/>
        </w:rPr>
        <w:t>nally set for a different world; a</w:t>
      </w:r>
      <w:r w:rsidRPr="009A0E05">
        <w:rPr>
          <w:sz w:val="24"/>
          <w:szCs w:val="24"/>
          <w:lang w:val="en-US"/>
        </w:rPr>
        <w:t xml:space="preserve"> world that was less globalized, flat and connected, more hierarchical and focused on managing flagship institutions.  </w:t>
      </w:r>
    </w:p>
    <w:p w:rsidR="009A0E05" w:rsidRPr="009A0E05" w:rsidRDefault="009A0E05" w:rsidP="009A0E05">
      <w:pPr>
        <w:jc w:val="both"/>
        <w:rPr>
          <w:sz w:val="24"/>
          <w:szCs w:val="24"/>
          <w:lang w:val="en-US"/>
        </w:rPr>
      </w:pPr>
      <w:r w:rsidRPr="009A0E05">
        <w:rPr>
          <w:sz w:val="24"/>
          <w:szCs w:val="24"/>
          <w:lang w:val="en-US"/>
        </w:rPr>
        <w:t xml:space="preserve">Modern cultural policy should be designed to help culture work as a stimulant, an agent of </w:t>
      </w:r>
      <w:r w:rsidR="00A91E43" w:rsidRPr="009A0E05">
        <w:rPr>
          <w:sz w:val="24"/>
          <w:szCs w:val="24"/>
          <w:lang w:val="en-US"/>
        </w:rPr>
        <w:t>change steering</w:t>
      </w:r>
      <w:r w:rsidRPr="009A0E05">
        <w:rPr>
          <w:sz w:val="24"/>
          <w:szCs w:val="24"/>
          <w:lang w:val="en-US"/>
        </w:rPr>
        <w:t xml:space="preserve"> a new enlightenment and collective will.  This means essentially that culture should be considered as a resource requiring: </w:t>
      </w:r>
    </w:p>
    <w:p w:rsidR="009A0E05" w:rsidRPr="009A0E05" w:rsidRDefault="009A0E05" w:rsidP="009A0E05">
      <w:pPr>
        <w:jc w:val="both"/>
        <w:rPr>
          <w:sz w:val="24"/>
          <w:szCs w:val="24"/>
          <w:lang w:val="en-US"/>
        </w:rPr>
      </w:pPr>
      <w:r w:rsidRPr="009A0E05">
        <w:rPr>
          <w:sz w:val="24"/>
          <w:szCs w:val="24"/>
          <w:lang w:val="en-US"/>
        </w:rPr>
        <w:t>-</w:t>
      </w:r>
      <w:r w:rsidRPr="009A0E05">
        <w:rPr>
          <w:sz w:val="24"/>
          <w:szCs w:val="24"/>
          <w:lang w:val="en-US"/>
        </w:rPr>
        <w:tab/>
        <w:t xml:space="preserve">protection from standardization trends degrading cultural richness and diversity,  </w:t>
      </w:r>
    </w:p>
    <w:p w:rsidR="009A0E05" w:rsidRPr="009A0E05" w:rsidRDefault="009A0E05" w:rsidP="009A0E05">
      <w:pPr>
        <w:ind w:left="708" w:hanging="708"/>
        <w:jc w:val="both"/>
        <w:rPr>
          <w:sz w:val="24"/>
          <w:szCs w:val="24"/>
          <w:lang w:val="en-US"/>
        </w:rPr>
      </w:pPr>
      <w:r w:rsidRPr="009A0E05">
        <w:rPr>
          <w:sz w:val="24"/>
          <w:szCs w:val="24"/>
          <w:lang w:val="en-US"/>
        </w:rPr>
        <w:t>-</w:t>
      </w:r>
      <w:r w:rsidRPr="009A0E05">
        <w:rPr>
          <w:sz w:val="24"/>
          <w:szCs w:val="24"/>
          <w:lang w:val="en-US"/>
        </w:rPr>
        <w:tab/>
        <w:t>promotion to enrich, to innovate, to challenge, to connect with a view to empower communities as well as individuals,</w:t>
      </w:r>
    </w:p>
    <w:p w:rsidR="00456643" w:rsidRPr="00F9741C" w:rsidRDefault="009A0E05" w:rsidP="009A0E05">
      <w:pPr>
        <w:ind w:left="708" w:hanging="708"/>
        <w:jc w:val="both"/>
        <w:rPr>
          <w:sz w:val="24"/>
          <w:szCs w:val="24"/>
          <w:lang w:val="en-US"/>
        </w:rPr>
      </w:pPr>
      <w:r w:rsidRPr="009A0E05">
        <w:rPr>
          <w:sz w:val="24"/>
          <w:szCs w:val="24"/>
          <w:lang w:val="en-US"/>
        </w:rPr>
        <w:t>-</w:t>
      </w:r>
      <w:r w:rsidRPr="009A0E05">
        <w:rPr>
          <w:sz w:val="24"/>
          <w:szCs w:val="24"/>
          <w:lang w:val="en-US"/>
        </w:rPr>
        <w:tab/>
        <w:t xml:space="preserve">elevation to nurture solidarities and empathies across cultures to develop a collective-will to confront </w:t>
      </w:r>
      <w:r w:rsidR="00A91E43">
        <w:rPr>
          <w:sz w:val="24"/>
          <w:szCs w:val="24"/>
          <w:lang w:val="en-US"/>
        </w:rPr>
        <w:t xml:space="preserve">local and </w:t>
      </w:r>
      <w:r w:rsidRPr="009A0E05">
        <w:rPr>
          <w:sz w:val="24"/>
          <w:szCs w:val="24"/>
          <w:lang w:val="en-US"/>
        </w:rPr>
        <w:t>global challenges</w:t>
      </w:r>
      <w:r>
        <w:rPr>
          <w:rStyle w:val="FootnoteReference"/>
          <w:sz w:val="24"/>
          <w:szCs w:val="24"/>
          <w:lang w:val="en-US"/>
        </w:rPr>
        <w:footnoteReference w:id="19"/>
      </w:r>
      <w:r w:rsidRPr="009A0E05">
        <w:rPr>
          <w:sz w:val="24"/>
          <w:szCs w:val="24"/>
          <w:lang w:val="en-US"/>
        </w:rPr>
        <w:t xml:space="preserve">.   </w:t>
      </w:r>
    </w:p>
    <w:p w:rsidR="00112562" w:rsidRPr="00F9741C" w:rsidRDefault="00112562" w:rsidP="00F9741C">
      <w:pPr>
        <w:jc w:val="both"/>
        <w:rPr>
          <w:rFonts w:eastAsia="Times New Roman" w:cs="Times New Roman"/>
          <w:color w:val="000000"/>
          <w:sz w:val="24"/>
          <w:szCs w:val="24"/>
          <w:lang w:val="en-US" w:eastAsia="en-GB"/>
        </w:rPr>
      </w:pPr>
    </w:p>
    <w:p w:rsidR="00112562" w:rsidRPr="00F9741C" w:rsidRDefault="001F7EE9" w:rsidP="00F9741C">
      <w:pPr>
        <w:jc w:val="both"/>
        <w:rPr>
          <w:rFonts w:eastAsia="Times New Roman" w:cs="Times New Roman"/>
          <w:color w:val="000000"/>
          <w:sz w:val="24"/>
          <w:szCs w:val="24"/>
          <w:lang w:val="en-US" w:eastAsia="en-GB"/>
        </w:rPr>
      </w:pPr>
      <w:r>
        <w:rPr>
          <w:rFonts w:eastAsia="Times New Roman" w:cs="Times New Roman"/>
          <w:color w:val="000000"/>
          <w:sz w:val="24"/>
          <w:szCs w:val="24"/>
          <w:lang w:val="en-US" w:eastAsia="en-GB"/>
        </w:rPr>
        <w:t xml:space="preserve">9 February </w:t>
      </w:r>
      <w:r w:rsidR="008F4D89">
        <w:rPr>
          <w:rFonts w:eastAsia="Times New Roman" w:cs="Times New Roman"/>
          <w:color w:val="000000"/>
          <w:sz w:val="24"/>
          <w:szCs w:val="24"/>
          <w:lang w:val="en-US" w:eastAsia="en-GB"/>
        </w:rPr>
        <w:t>2021</w:t>
      </w:r>
    </w:p>
    <w:p w:rsidR="00112562" w:rsidRDefault="00112562" w:rsidP="0013487B">
      <w:pPr>
        <w:rPr>
          <w:rFonts w:ascii="Times New Roman" w:eastAsia="Times New Roman" w:hAnsi="Times New Roman" w:cs="Times New Roman"/>
          <w:color w:val="000000"/>
          <w:sz w:val="24"/>
          <w:szCs w:val="24"/>
          <w:lang w:val="en-US" w:eastAsia="en-GB"/>
        </w:rPr>
      </w:pPr>
    </w:p>
    <w:p w:rsidR="00112562" w:rsidRDefault="00112562" w:rsidP="0013487B">
      <w:pPr>
        <w:rPr>
          <w:rFonts w:ascii="Times New Roman" w:eastAsia="Times New Roman" w:hAnsi="Times New Roman" w:cs="Times New Roman"/>
          <w:color w:val="000000"/>
          <w:sz w:val="24"/>
          <w:szCs w:val="24"/>
          <w:lang w:val="en-US" w:eastAsia="en-GB"/>
        </w:rPr>
      </w:pPr>
    </w:p>
    <w:p w:rsidR="00112562" w:rsidRDefault="00112562" w:rsidP="0013487B">
      <w:pPr>
        <w:rPr>
          <w:rFonts w:ascii="Times New Roman" w:eastAsia="Times New Roman" w:hAnsi="Times New Roman" w:cs="Times New Roman"/>
          <w:color w:val="000000"/>
          <w:sz w:val="24"/>
          <w:szCs w:val="24"/>
          <w:lang w:val="en-US" w:eastAsia="en-GB"/>
        </w:rPr>
      </w:pPr>
    </w:p>
    <w:p w:rsidR="003E3160" w:rsidRDefault="003E3160" w:rsidP="0013487B">
      <w:pPr>
        <w:rPr>
          <w:rFonts w:ascii="Times New Roman" w:eastAsia="Times New Roman" w:hAnsi="Times New Roman" w:cs="Times New Roman"/>
          <w:color w:val="000000"/>
          <w:sz w:val="24"/>
          <w:szCs w:val="24"/>
          <w:lang w:val="en-US" w:eastAsia="en-GB"/>
        </w:rPr>
      </w:pPr>
    </w:p>
    <w:p w:rsidR="00112562" w:rsidRDefault="00112562" w:rsidP="0013487B">
      <w:pP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lastRenderedPageBreak/>
        <w:t xml:space="preserve">Annex 1 </w:t>
      </w:r>
    </w:p>
    <w:tbl>
      <w:tblPr>
        <w:tblW w:w="872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82"/>
        <w:gridCol w:w="6237"/>
        <w:gridCol w:w="102"/>
      </w:tblGrid>
      <w:tr w:rsidR="00112562" w:rsidRPr="001F7EE9" w:rsidTr="003623BB">
        <w:trPr>
          <w:cantSplit/>
        </w:trPr>
        <w:tc>
          <w:tcPr>
            <w:tcW w:w="8721" w:type="dxa"/>
            <w:gridSpan w:val="3"/>
            <w:shd w:val="clear" w:color="auto" w:fill="800000"/>
          </w:tcPr>
          <w:p w:rsidR="00112562" w:rsidRPr="00112562" w:rsidRDefault="00112562" w:rsidP="003623BB">
            <w:pPr>
              <w:jc w:val="center"/>
              <w:rPr>
                <w:rFonts w:ascii="Arial" w:hAnsi="Arial" w:cs="Arial"/>
                <w:sz w:val="20"/>
                <w:szCs w:val="20"/>
                <w:lang w:val="en-US"/>
              </w:rPr>
            </w:pPr>
            <w:bookmarkStart w:id="0" w:name="coetech"/>
            <w:bookmarkStart w:id="1" w:name="_Hlk58321514"/>
            <w:r w:rsidRPr="00112562">
              <w:rPr>
                <w:rFonts w:ascii="Arial" w:hAnsi="Arial" w:cs="Arial"/>
                <w:b/>
                <w:caps/>
                <w:sz w:val="20"/>
                <w:szCs w:val="20"/>
                <w:lang w:val="en-US"/>
              </w:rPr>
              <w:t>relations with the Council of Europe</w:t>
            </w:r>
            <w:bookmarkEnd w:id="0"/>
          </w:p>
        </w:tc>
      </w:tr>
      <w:bookmarkEnd w:id="1"/>
      <w:tr w:rsidR="00112562" w:rsidRPr="001F7EE9" w:rsidTr="003623BB">
        <w:tc>
          <w:tcPr>
            <w:tcW w:w="2382" w:type="dxa"/>
          </w:tcPr>
          <w:p w:rsidR="00112562" w:rsidRPr="00D05231" w:rsidRDefault="00112562" w:rsidP="003623BB">
            <w:pPr>
              <w:spacing w:after="120"/>
              <w:jc w:val="both"/>
              <w:rPr>
                <w:rFonts w:ascii="Arial" w:hAnsi="Arial" w:cs="Arial"/>
                <w:sz w:val="20"/>
                <w:szCs w:val="20"/>
              </w:rPr>
            </w:pPr>
            <w:r w:rsidRPr="00D05231">
              <w:rPr>
                <w:rFonts w:ascii="Arial" w:hAnsi="Arial" w:cs="Arial"/>
                <w:sz w:val="20"/>
                <w:szCs w:val="20"/>
              </w:rPr>
              <w:t>Date of application</w:t>
            </w:r>
          </w:p>
        </w:tc>
        <w:tc>
          <w:tcPr>
            <w:tcW w:w="6339" w:type="dxa"/>
            <w:gridSpan w:val="2"/>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13 May 1993: Special Guest Status with the Assembly</w:t>
            </w:r>
          </w:p>
          <w:p w:rsidR="00112562" w:rsidRPr="00112562" w:rsidRDefault="00112562" w:rsidP="003623BB">
            <w:pPr>
              <w:tabs>
                <w:tab w:val="left" w:pos="8594"/>
                <w:tab w:val="left" w:pos="8765"/>
              </w:tabs>
              <w:ind w:right="1283"/>
              <w:jc w:val="both"/>
              <w:rPr>
                <w:rFonts w:ascii="Arial" w:hAnsi="Arial" w:cs="Arial"/>
                <w:sz w:val="20"/>
                <w:szCs w:val="20"/>
                <w:lang w:val="en-US"/>
              </w:rPr>
            </w:pPr>
            <w:r w:rsidRPr="00112562">
              <w:rPr>
                <w:rFonts w:ascii="Arial" w:hAnsi="Arial" w:cs="Arial"/>
                <w:sz w:val="20"/>
                <w:szCs w:val="20"/>
                <w:lang w:val="en-US"/>
              </w:rPr>
              <w:t>25 June 1993: Date of candidature for accession</w:t>
            </w:r>
          </w:p>
        </w:tc>
      </w:tr>
      <w:tr w:rsidR="00112562" w:rsidRPr="001F7EE9" w:rsidTr="003623BB">
        <w:tc>
          <w:tcPr>
            <w:tcW w:w="2382" w:type="dxa"/>
          </w:tcPr>
          <w:p w:rsidR="00112562" w:rsidRPr="00D05231" w:rsidRDefault="00112562" w:rsidP="003623BB">
            <w:pPr>
              <w:spacing w:after="120"/>
              <w:jc w:val="both"/>
              <w:rPr>
                <w:rFonts w:ascii="Arial" w:hAnsi="Arial" w:cs="Arial"/>
                <w:sz w:val="20"/>
                <w:szCs w:val="20"/>
              </w:rPr>
            </w:pPr>
            <w:r w:rsidRPr="00D05231">
              <w:rPr>
                <w:rFonts w:ascii="Arial" w:hAnsi="Arial" w:cs="Arial"/>
                <w:sz w:val="20"/>
                <w:szCs w:val="20"/>
              </w:rPr>
              <w:t>Accession</w:t>
            </w:r>
          </w:p>
        </w:tc>
        <w:tc>
          <w:tcPr>
            <w:tcW w:w="6339" w:type="dxa"/>
            <w:gridSpan w:val="2"/>
          </w:tcPr>
          <w:p w:rsidR="00112562" w:rsidRPr="00112562" w:rsidRDefault="00112562" w:rsidP="003623BB">
            <w:pPr>
              <w:spacing w:after="120"/>
              <w:jc w:val="both"/>
              <w:rPr>
                <w:rFonts w:ascii="Arial" w:hAnsi="Arial" w:cs="Arial"/>
                <w:sz w:val="20"/>
                <w:szCs w:val="20"/>
                <w:lang w:val="en-US"/>
              </w:rPr>
            </w:pPr>
            <w:r w:rsidRPr="00112562">
              <w:rPr>
                <w:rFonts w:ascii="Arial" w:hAnsi="Arial" w:cs="Arial"/>
                <w:sz w:val="20"/>
                <w:szCs w:val="20"/>
                <w:lang w:val="en-US"/>
              </w:rPr>
              <w:t>9 November 1995</w:t>
            </w:r>
          </w:p>
          <w:p w:rsidR="00112562" w:rsidRPr="00112562" w:rsidRDefault="000E041F" w:rsidP="003623BB">
            <w:pPr>
              <w:shd w:val="clear" w:color="auto" w:fill="FFFFFF"/>
              <w:jc w:val="both"/>
              <w:rPr>
                <w:rFonts w:ascii="Arial" w:hAnsi="Arial" w:cs="Arial"/>
                <w:bCs/>
                <w:sz w:val="20"/>
                <w:szCs w:val="20"/>
                <w:lang w:val="en-US"/>
              </w:rPr>
            </w:pPr>
            <w:hyperlink r:id="rId12" w:history="1">
              <w:r w:rsidR="00112562" w:rsidRPr="00112562">
                <w:rPr>
                  <w:rStyle w:val="Hyperlink"/>
                  <w:rFonts w:ascii="Arial" w:hAnsi="Arial" w:cs="Arial"/>
                  <w:sz w:val="20"/>
                  <w:szCs w:val="20"/>
                  <w:lang w:val="en-US"/>
                </w:rPr>
                <w:t>Opinion 191 (1995)</w:t>
              </w:r>
            </w:hyperlink>
            <w:bookmarkStart w:id="2" w:name="pgfId-1360857"/>
            <w:bookmarkEnd w:id="2"/>
            <w:r w:rsidR="00112562" w:rsidRPr="00112562">
              <w:rPr>
                <w:rFonts w:ascii="Arial" w:hAnsi="Arial" w:cs="Arial"/>
                <w:bCs/>
                <w:sz w:val="20"/>
                <w:szCs w:val="20"/>
                <w:lang w:val="en-US"/>
              </w:rPr>
              <w:t>Application by “the former Yugoslav Republic of Macedonia”* for membership of the Council of Europe</w:t>
            </w:r>
          </w:p>
        </w:tc>
      </w:tr>
      <w:tr w:rsidR="00112562" w:rsidRPr="00D05231" w:rsidTr="003623BB">
        <w:tc>
          <w:tcPr>
            <w:tcW w:w="2382" w:type="dxa"/>
            <w:tcBorders>
              <w:bottom w:val="single" w:sz="4" w:space="0" w:color="auto"/>
            </w:tcBorders>
          </w:tcPr>
          <w:p w:rsidR="00112562" w:rsidRPr="00D05231" w:rsidRDefault="00112562" w:rsidP="003623BB">
            <w:pPr>
              <w:spacing w:after="120"/>
              <w:jc w:val="both"/>
              <w:rPr>
                <w:rFonts w:ascii="Arial" w:hAnsi="Arial" w:cs="Arial"/>
                <w:sz w:val="20"/>
                <w:szCs w:val="20"/>
              </w:rPr>
            </w:pPr>
            <w:r w:rsidRPr="00D05231">
              <w:rPr>
                <w:rFonts w:ascii="Arial" w:hAnsi="Arial" w:cs="Arial"/>
                <w:sz w:val="20"/>
                <w:szCs w:val="20"/>
              </w:rPr>
              <w:t>Ratification ECHR</w:t>
            </w:r>
          </w:p>
        </w:tc>
        <w:tc>
          <w:tcPr>
            <w:tcW w:w="6339" w:type="dxa"/>
            <w:gridSpan w:val="2"/>
            <w:tcBorders>
              <w:bottom w:val="single" w:sz="4" w:space="0" w:color="auto"/>
            </w:tcBorders>
          </w:tcPr>
          <w:p w:rsidR="00112562" w:rsidRPr="00D05231" w:rsidRDefault="00112562" w:rsidP="003623BB">
            <w:pPr>
              <w:spacing w:after="120"/>
              <w:jc w:val="both"/>
              <w:rPr>
                <w:rFonts w:ascii="Arial" w:hAnsi="Arial" w:cs="Arial"/>
                <w:sz w:val="20"/>
                <w:szCs w:val="20"/>
              </w:rPr>
            </w:pPr>
            <w:r w:rsidRPr="00D05231">
              <w:rPr>
                <w:rFonts w:ascii="Arial" w:hAnsi="Arial" w:cs="Arial"/>
                <w:sz w:val="20"/>
                <w:szCs w:val="20"/>
              </w:rPr>
              <w:t>10 April 1997</w:t>
            </w:r>
          </w:p>
        </w:tc>
      </w:tr>
      <w:tr w:rsidR="00112562" w:rsidRPr="001F7EE9" w:rsidTr="003623BB">
        <w:tc>
          <w:tcPr>
            <w:tcW w:w="2382" w:type="dxa"/>
          </w:tcPr>
          <w:p w:rsidR="00112562" w:rsidRPr="00D05231" w:rsidRDefault="00112562" w:rsidP="003623BB">
            <w:pPr>
              <w:spacing w:after="120"/>
              <w:jc w:val="both"/>
              <w:rPr>
                <w:rFonts w:ascii="Arial" w:hAnsi="Arial" w:cs="Arial"/>
                <w:sz w:val="20"/>
                <w:szCs w:val="20"/>
              </w:rPr>
            </w:pPr>
            <w:r w:rsidRPr="00D05231">
              <w:rPr>
                <w:rFonts w:ascii="Arial" w:hAnsi="Arial" w:cs="Arial"/>
                <w:sz w:val="20"/>
                <w:szCs w:val="20"/>
              </w:rPr>
              <w:t>Relations with the Court</w:t>
            </w:r>
          </w:p>
        </w:tc>
        <w:tc>
          <w:tcPr>
            <w:tcW w:w="6339" w:type="dxa"/>
            <w:gridSpan w:val="2"/>
          </w:tcPr>
          <w:p w:rsidR="00112562" w:rsidRPr="00D05231" w:rsidRDefault="00112562" w:rsidP="003623BB">
            <w:pPr>
              <w:pStyle w:val="Default"/>
              <w:jc w:val="both"/>
              <w:rPr>
                <w:rFonts w:ascii="Arial" w:hAnsi="Arial" w:cs="Arial"/>
                <w:sz w:val="20"/>
                <w:szCs w:val="20"/>
                <w:lang w:val="en-GB"/>
              </w:rPr>
            </w:pPr>
            <w:r w:rsidRPr="00D05231">
              <w:rPr>
                <w:rFonts w:ascii="Arial" w:hAnsi="Arial" w:cs="Arial"/>
                <w:sz w:val="20"/>
                <w:szCs w:val="20"/>
                <w:lang w:val="en-GB"/>
              </w:rPr>
              <w:t xml:space="preserve">Judge to the </w:t>
            </w:r>
            <w:hyperlink r:id="rId13" w:tgtFrame="_top" w:history="1">
              <w:r w:rsidRPr="00D05231">
                <w:rPr>
                  <w:rStyle w:val="Hyperlink"/>
                  <w:rFonts w:ascii="Arial" w:hAnsi="Arial" w:cs="Arial"/>
                  <w:sz w:val="20"/>
                  <w:szCs w:val="20"/>
                  <w:lang w:val="en-GB"/>
                </w:rPr>
                <w:t>European Court of Human Rights</w:t>
              </w:r>
            </w:hyperlink>
            <w:r w:rsidRPr="00D05231">
              <w:rPr>
                <w:rFonts w:ascii="Arial" w:hAnsi="Arial" w:cs="Arial"/>
                <w:sz w:val="20"/>
                <w:szCs w:val="20"/>
                <w:lang w:val="en-GB"/>
              </w:rPr>
              <w:t xml:space="preserve">: Jovan Ilievski (since February 2017). </w:t>
            </w:r>
          </w:p>
          <w:p w:rsidR="00112562" w:rsidRPr="00112562" w:rsidRDefault="00112562" w:rsidP="003623BB">
            <w:pPr>
              <w:jc w:val="both"/>
              <w:rPr>
                <w:rFonts w:ascii="Arial" w:hAnsi="Arial" w:cs="Arial"/>
                <w:sz w:val="20"/>
                <w:szCs w:val="20"/>
                <w:lang w:val="en-US"/>
              </w:rPr>
            </w:pPr>
            <w:r w:rsidRPr="00112562">
              <w:rPr>
                <w:lang w:val="en-US"/>
              </w:rPr>
              <w:br/>
            </w:r>
            <w:r w:rsidRPr="00112562">
              <w:rPr>
                <w:rFonts w:ascii="Arial" w:hAnsi="Arial" w:cs="Arial"/>
                <w:sz w:val="20"/>
                <w:szCs w:val="20"/>
                <w:lang w:val="en-US"/>
              </w:rPr>
              <w:t xml:space="preserve">The Court dealt with 257 applications concerning "The republic of North Macedonia” in </w:t>
            </w:r>
            <w:r w:rsidRPr="00112562">
              <w:rPr>
                <w:rFonts w:ascii="Arial" w:hAnsi="Arial" w:cs="Arial"/>
                <w:b/>
                <w:sz w:val="20"/>
                <w:szCs w:val="20"/>
                <w:lang w:val="en-US"/>
              </w:rPr>
              <w:t>2019</w:t>
            </w:r>
            <w:r w:rsidRPr="00112562">
              <w:rPr>
                <w:rFonts w:ascii="Arial" w:hAnsi="Arial" w:cs="Arial"/>
                <w:sz w:val="20"/>
                <w:szCs w:val="20"/>
                <w:lang w:val="en-US"/>
              </w:rPr>
              <w:t>, of which 246 were declared inadmissible or struck out. It delivered 12 judgments (concerning 11 applications), 9 of which found at least one violation of the ECHR.</w:t>
            </w:r>
          </w:p>
          <w:p w:rsidR="00112562" w:rsidRPr="00D05231" w:rsidRDefault="00112562" w:rsidP="003623BB">
            <w:pPr>
              <w:pStyle w:val="Default"/>
              <w:jc w:val="both"/>
              <w:rPr>
                <w:rFonts w:ascii="Arial" w:hAnsi="Arial" w:cs="Arial"/>
                <w:sz w:val="20"/>
                <w:szCs w:val="20"/>
                <w:lang w:val="en-GB"/>
              </w:rPr>
            </w:pPr>
          </w:p>
          <w:p w:rsidR="00112562" w:rsidRPr="00B33D6D" w:rsidRDefault="000E041F" w:rsidP="003623BB">
            <w:pPr>
              <w:pStyle w:val="Default"/>
              <w:jc w:val="both"/>
              <w:rPr>
                <w:rFonts w:ascii="Arial" w:hAnsi="Arial" w:cs="Arial"/>
                <w:spacing w:val="-3"/>
                <w:sz w:val="20"/>
                <w:szCs w:val="20"/>
                <w:lang w:val="en-GB"/>
              </w:rPr>
            </w:pPr>
            <w:hyperlink r:id="rId14" w:history="1">
              <w:r w:rsidR="00112562" w:rsidRPr="00FC028C">
                <w:rPr>
                  <w:rStyle w:val="Hyperlink"/>
                  <w:rFonts w:ascii="Arial" w:hAnsi="Arial" w:cs="Arial"/>
                  <w:spacing w:val="-3"/>
                  <w:sz w:val="20"/>
                  <w:szCs w:val="20"/>
                  <w:lang w:val="en-GB"/>
                </w:rPr>
                <w:t>ECtHR/Country Profile</w:t>
              </w:r>
            </w:hyperlink>
            <w:r w:rsidR="00112562" w:rsidRPr="00D05231">
              <w:rPr>
                <w:rFonts w:ascii="Arial" w:hAnsi="Arial" w:cs="Arial"/>
                <w:spacing w:val="-3"/>
                <w:sz w:val="20"/>
                <w:szCs w:val="20"/>
                <w:lang w:val="en-GB"/>
              </w:rPr>
              <w:t xml:space="preserve"> (last updated: </w:t>
            </w:r>
            <w:r w:rsidR="00112562" w:rsidRPr="00601A65">
              <w:rPr>
                <w:rFonts w:ascii="Arial" w:hAnsi="Arial" w:cs="Arial"/>
                <w:spacing w:val="-3"/>
                <w:sz w:val="20"/>
                <w:szCs w:val="20"/>
                <w:lang w:val="en-GB"/>
              </w:rPr>
              <w:t>July</w:t>
            </w:r>
            <w:r w:rsidR="00112562">
              <w:rPr>
                <w:rFonts w:ascii="Arial" w:hAnsi="Arial" w:cs="Arial"/>
                <w:spacing w:val="-3"/>
                <w:sz w:val="20"/>
                <w:szCs w:val="20"/>
                <w:lang w:val="en-GB"/>
              </w:rPr>
              <w:t xml:space="preserve"> 2020</w:t>
            </w:r>
            <w:r w:rsidR="00112562" w:rsidRPr="00D05231">
              <w:rPr>
                <w:rFonts w:ascii="Arial" w:hAnsi="Arial" w:cs="Arial"/>
                <w:spacing w:val="-3"/>
                <w:sz w:val="20"/>
                <w:szCs w:val="20"/>
                <w:lang w:val="en-GB"/>
              </w:rPr>
              <w:t>)</w:t>
            </w:r>
          </w:p>
        </w:tc>
      </w:tr>
      <w:tr w:rsidR="00112562" w:rsidRPr="001F7EE9" w:rsidTr="003623BB">
        <w:tc>
          <w:tcPr>
            <w:tcW w:w="2382" w:type="dxa"/>
          </w:tcPr>
          <w:p w:rsidR="00112562" w:rsidRPr="00112562" w:rsidRDefault="00112562" w:rsidP="003623BB">
            <w:pPr>
              <w:spacing w:after="120"/>
              <w:jc w:val="both"/>
              <w:rPr>
                <w:rFonts w:ascii="Arial" w:hAnsi="Arial" w:cs="Arial"/>
                <w:sz w:val="20"/>
                <w:szCs w:val="20"/>
                <w:lang w:val="en-US"/>
              </w:rPr>
            </w:pPr>
            <w:r w:rsidRPr="00112562">
              <w:rPr>
                <w:rFonts w:ascii="Arial" w:hAnsi="Arial" w:cs="Arial"/>
                <w:sz w:val="20"/>
                <w:szCs w:val="20"/>
                <w:lang w:val="en-US"/>
              </w:rPr>
              <w:t>Execution of Judgments of the ECHR</w:t>
            </w:r>
          </w:p>
        </w:tc>
        <w:tc>
          <w:tcPr>
            <w:tcW w:w="6339" w:type="dxa"/>
            <w:gridSpan w:val="2"/>
          </w:tcPr>
          <w:p w:rsidR="00112562" w:rsidRPr="00112562" w:rsidRDefault="000E041F" w:rsidP="003623BB">
            <w:pPr>
              <w:spacing w:after="120"/>
              <w:jc w:val="both"/>
              <w:rPr>
                <w:rFonts w:ascii="Arial" w:hAnsi="Arial" w:cs="Arial"/>
                <w:bCs/>
                <w:sz w:val="20"/>
                <w:szCs w:val="20"/>
                <w:lang w:val="en-US"/>
              </w:rPr>
            </w:pPr>
            <w:hyperlink r:id="rId15" w:history="1">
              <w:r w:rsidR="00112562" w:rsidRPr="00112562">
                <w:rPr>
                  <w:rStyle w:val="Hyperlink"/>
                  <w:rFonts w:ascii="Arial" w:hAnsi="Arial" w:cs="Arial"/>
                  <w:bCs/>
                  <w:sz w:val="20"/>
                  <w:szCs w:val="20"/>
                  <w:lang w:val="en-US"/>
                </w:rPr>
                <w:t xml:space="preserve">Country Factsheet – North Macedonia </w:t>
              </w:r>
            </w:hyperlink>
            <w:r w:rsidR="00112562" w:rsidRPr="00112562">
              <w:rPr>
                <w:rFonts w:ascii="Arial" w:hAnsi="Arial" w:cs="Arial"/>
                <w:bCs/>
                <w:sz w:val="20"/>
                <w:szCs w:val="20"/>
                <w:lang w:val="en-US"/>
              </w:rPr>
              <w:t>(updated: October 2020)</w:t>
            </w:r>
          </w:p>
        </w:tc>
      </w:tr>
      <w:tr w:rsidR="00112562" w:rsidRPr="001F7EE9" w:rsidTr="003623BB">
        <w:tc>
          <w:tcPr>
            <w:tcW w:w="2382" w:type="dxa"/>
          </w:tcPr>
          <w:p w:rsidR="00112562" w:rsidRPr="00D05231" w:rsidRDefault="00112562" w:rsidP="003623BB">
            <w:pPr>
              <w:spacing w:after="120"/>
              <w:jc w:val="both"/>
              <w:rPr>
                <w:rFonts w:ascii="Arial" w:hAnsi="Arial" w:cs="Arial"/>
                <w:sz w:val="20"/>
                <w:szCs w:val="20"/>
              </w:rPr>
            </w:pPr>
            <w:r w:rsidRPr="00D05231">
              <w:rPr>
                <w:rFonts w:ascii="Arial" w:hAnsi="Arial" w:cs="Arial"/>
                <w:sz w:val="20"/>
                <w:szCs w:val="20"/>
              </w:rPr>
              <w:t xml:space="preserve">Signature/Ratification </w:t>
            </w:r>
          </w:p>
          <w:p w:rsidR="00112562" w:rsidRPr="00D05231" w:rsidRDefault="00112562" w:rsidP="003623BB">
            <w:pPr>
              <w:spacing w:after="120"/>
              <w:jc w:val="both"/>
              <w:rPr>
                <w:rFonts w:ascii="Arial" w:hAnsi="Arial" w:cs="Arial"/>
                <w:sz w:val="20"/>
                <w:szCs w:val="20"/>
              </w:rPr>
            </w:pPr>
            <w:r w:rsidRPr="00D05231">
              <w:rPr>
                <w:rFonts w:ascii="Arial" w:hAnsi="Arial" w:cs="Arial"/>
                <w:sz w:val="20"/>
                <w:szCs w:val="20"/>
              </w:rPr>
              <w:t>CoE Conventions</w:t>
            </w:r>
          </w:p>
        </w:tc>
        <w:tc>
          <w:tcPr>
            <w:tcW w:w="6339" w:type="dxa"/>
            <w:gridSpan w:val="2"/>
          </w:tcPr>
          <w:p w:rsidR="00112562" w:rsidRPr="00112562" w:rsidRDefault="00112562" w:rsidP="003623BB">
            <w:pPr>
              <w:spacing w:after="120"/>
              <w:jc w:val="both"/>
              <w:rPr>
                <w:rFonts w:ascii="Arial" w:hAnsi="Arial" w:cs="Arial"/>
                <w:bCs/>
                <w:sz w:val="20"/>
                <w:szCs w:val="20"/>
                <w:lang w:val="en-US"/>
              </w:rPr>
            </w:pPr>
            <w:r w:rsidRPr="00112562">
              <w:rPr>
                <w:rFonts w:ascii="Arial" w:hAnsi="Arial" w:cs="Arial"/>
                <w:bCs/>
                <w:sz w:val="20"/>
                <w:szCs w:val="20"/>
                <w:lang w:val="en-US"/>
              </w:rPr>
              <w:t xml:space="preserve">To date, </w:t>
            </w:r>
            <w:r w:rsidRPr="00112562">
              <w:rPr>
                <w:rFonts w:ascii="Arial" w:hAnsi="Arial" w:cs="Arial"/>
                <w:sz w:val="20"/>
                <w:szCs w:val="20"/>
                <w:lang w:val="en-US"/>
              </w:rPr>
              <w:t xml:space="preserve">North Macedonia </w:t>
            </w:r>
            <w:r w:rsidRPr="00112562">
              <w:rPr>
                <w:rFonts w:ascii="Arial" w:hAnsi="Arial" w:cs="Arial"/>
                <w:bCs/>
                <w:sz w:val="20"/>
                <w:szCs w:val="20"/>
                <w:lang w:val="en-US"/>
              </w:rPr>
              <w:t xml:space="preserve">has signed and ratified the following (95) </w:t>
            </w:r>
            <w:hyperlink r:id="rId16" w:history="1">
              <w:r w:rsidRPr="00112562">
                <w:rPr>
                  <w:rStyle w:val="Hyperlink"/>
                  <w:rFonts w:ascii="Arial" w:hAnsi="Arial" w:cs="Arial"/>
                  <w:bCs/>
                  <w:sz w:val="20"/>
                  <w:szCs w:val="20"/>
                  <w:lang w:val="en-US"/>
                </w:rPr>
                <w:t>conventions</w:t>
              </w:r>
            </w:hyperlink>
            <w:r w:rsidRPr="00112562">
              <w:rPr>
                <w:rFonts w:ascii="Arial" w:hAnsi="Arial" w:cs="Arial"/>
                <w:bCs/>
                <w:sz w:val="20"/>
                <w:szCs w:val="20"/>
                <w:lang w:val="en-US"/>
              </w:rPr>
              <w:t>.</w:t>
            </w:r>
          </w:p>
          <w:p w:rsidR="00112562" w:rsidRPr="00112562" w:rsidRDefault="00112562" w:rsidP="003623BB">
            <w:pPr>
              <w:spacing w:after="120"/>
              <w:jc w:val="both"/>
              <w:rPr>
                <w:rFonts w:ascii="Arial" w:hAnsi="Arial" w:cs="Arial"/>
                <w:bCs/>
                <w:sz w:val="20"/>
                <w:szCs w:val="20"/>
                <w:lang w:val="en-US"/>
              </w:rPr>
            </w:pPr>
            <w:r w:rsidRPr="00112562">
              <w:rPr>
                <w:rFonts w:ascii="Arial" w:hAnsi="Arial" w:cs="Arial"/>
                <w:bCs/>
                <w:sz w:val="20"/>
                <w:szCs w:val="20"/>
                <w:lang w:val="en-US"/>
              </w:rPr>
              <w:t xml:space="preserve">To date, </w:t>
            </w:r>
            <w:r w:rsidRPr="00112562">
              <w:rPr>
                <w:rFonts w:ascii="Arial" w:hAnsi="Arial" w:cs="Arial"/>
                <w:sz w:val="20"/>
                <w:szCs w:val="20"/>
                <w:lang w:val="en-US"/>
              </w:rPr>
              <w:t xml:space="preserve">North Macedonia </w:t>
            </w:r>
            <w:r w:rsidRPr="00112562">
              <w:rPr>
                <w:rFonts w:ascii="Arial" w:hAnsi="Arial" w:cs="Arial"/>
                <w:bCs/>
                <w:sz w:val="20"/>
                <w:szCs w:val="20"/>
                <w:lang w:val="en-US"/>
              </w:rPr>
              <w:t xml:space="preserve">has signed but not ratified the following (9) </w:t>
            </w:r>
            <w:hyperlink r:id="rId17" w:history="1">
              <w:r w:rsidRPr="00112562">
                <w:rPr>
                  <w:rStyle w:val="Hyperlink"/>
                  <w:rFonts w:ascii="Arial" w:hAnsi="Arial" w:cs="Arial"/>
                  <w:bCs/>
                  <w:sz w:val="20"/>
                  <w:szCs w:val="20"/>
                  <w:lang w:val="en-US"/>
                </w:rPr>
                <w:t>conventions</w:t>
              </w:r>
            </w:hyperlink>
            <w:r w:rsidRPr="00112562">
              <w:rPr>
                <w:rFonts w:ascii="Arial" w:hAnsi="Arial" w:cs="Arial"/>
                <w:bCs/>
                <w:sz w:val="20"/>
                <w:szCs w:val="20"/>
                <w:lang w:val="en-US"/>
              </w:rPr>
              <w:t>.</w:t>
            </w:r>
          </w:p>
          <w:p w:rsidR="00112562" w:rsidRPr="00112562" w:rsidRDefault="00112562" w:rsidP="003623BB">
            <w:pPr>
              <w:spacing w:after="120"/>
              <w:jc w:val="both"/>
              <w:rPr>
                <w:rFonts w:ascii="Arial" w:hAnsi="Arial" w:cs="Arial"/>
                <w:bCs/>
                <w:sz w:val="20"/>
                <w:szCs w:val="20"/>
                <w:lang w:val="en-US"/>
              </w:rPr>
            </w:pPr>
            <w:r w:rsidRPr="00112562">
              <w:rPr>
                <w:rFonts w:ascii="Arial" w:hAnsi="Arial" w:cs="Arial"/>
                <w:bCs/>
                <w:sz w:val="20"/>
                <w:szCs w:val="20"/>
                <w:lang w:val="en-US"/>
              </w:rPr>
              <w:t xml:space="preserve">To date, </w:t>
            </w:r>
            <w:r w:rsidRPr="00112562">
              <w:rPr>
                <w:rFonts w:ascii="Arial" w:hAnsi="Arial" w:cs="Arial"/>
                <w:sz w:val="20"/>
                <w:szCs w:val="20"/>
                <w:lang w:val="en-US"/>
              </w:rPr>
              <w:t xml:space="preserve">North Macedonia </w:t>
            </w:r>
            <w:r w:rsidRPr="00112562">
              <w:rPr>
                <w:rFonts w:ascii="Arial" w:hAnsi="Arial" w:cs="Arial"/>
                <w:bCs/>
                <w:sz w:val="20"/>
                <w:szCs w:val="20"/>
                <w:lang w:val="en-US"/>
              </w:rPr>
              <w:t xml:space="preserve">has neither signed nor ratified the following (104) </w:t>
            </w:r>
            <w:hyperlink r:id="rId18" w:history="1">
              <w:r w:rsidRPr="00112562">
                <w:rPr>
                  <w:rStyle w:val="Hyperlink"/>
                  <w:rFonts w:ascii="Arial" w:hAnsi="Arial" w:cs="Arial"/>
                  <w:bCs/>
                  <w:sz w:val="20"/>
                  <w:szCs w:val="20"/>
                  <w:lang w:val="en-US"/>
                </w:rPr>
                <w:t>conventions</w:t>
              </w:r>
            </w:hyperlink>
            <w:r w:rsidRPr="00112562">
              <w:rPr>
                <w:rFonts w:ascii="Arial" w:hAnsi="Arial" w:cs="Arial"/>
                <w:bCs/>
                <w:sz w:val="20"/>
                <w:szCs w:val="20"/>
                <w:lang w:val="en-US"/>
              </w:rPr>
              <w:t>.</w:t>
            </w:r>
          </w:p>
        </w:tc>
      </w:tr>
      <w:tr w:rsidR="00112562" w:rsidRPr="001F7EE9" w:rsidTr="003623BB">
        <w:trPr>
          <w:gridAfter w:val="1"/>
          <w:wAfter w:w="102" w:type="dxa"/>
        </w:trPr>
        <w:tc>
          <w:tcPr>
            <w:tcW w:w="8619" w:type="dxa"/>
            <w:gridSpan w:val="2"/>
          </w:tcPr>
          <w:p w:rsidR="00112562" w:rsidRPr="00112562" w:rsidRDefault="00112562" w:rsidP="003623BB">
            <w:pPr>
              <w:pBdr>
                <w:top w:val="single" w:sz="4" w:space="1" w:color="auto"/>
                <w:left w:val="single" w:sz="4" w:space="0" w:color="auto"/>
                <w:bottom w:val="single" w:sz="4" w:space="1" w:color="auto"/>
                <w:right w:val="single" w:sz="4" w:space="21" w:color="auto"/>
              </w:pBdr>
              <w:jc w:val="both"/>
              <w:rPr>
                <w:rFonts w:ascii="Arial" w:hAnsi="Arial" w:cs="Arial"/>
                <w:b/>
                <w:sz w:val="20"/>
                <w:szCs w:val="20"/>
                <w:lang w:val="en-US"/>
              </w:rPr>
            </w:pPr>
            <w:r w:rsidRPr="00112562">
              <w:rPr>
                <w:rFonts w:ascii="Arial" w:hAnsi="Arial" w:cs="Arial"/>
                <w:b/>
                <w:sz w:val="20"/>
                <w:szCs w:val="20"/>
                <w:lang w:val="en-US"/>
              </w:rPr>
              <w:t>Ratification of major CoE Conventions</w:t>
            </w:r>
          </w:p>
        </w:tc>
      </w:tr>
      <w:tr w:rsidR="00112562" w:rsidRPr="001F7EE9" w:rsidTr="003623BB">
        <w:trPr>
          <w:gridAfter w:val="1"/>
          <w:wAfter w:w="102" w:type="dxa"/>
        </w:trPr>
        <w:tc>
          <w:tcPr>
            <w:tcW w:w="8619" w:type="dxa"/>
            <w:gridSpan w:val="2"/>
          </w:tcPr>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5"/>
              <w:gridCol w:w="5042"/>
              <w:gridCol w:w="1254"/>
              <w:gridCol w:w="1791"/>
            </w:tblGrid>
            <w:tr w:rsidR="00112562" w:rsidRPr="00D05231" w:rsidTr="003623BB">
              <w:trPr>
                <w:trHeight w:val="411"/>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N°</w:t>
                  </w:r>
                </w:p>
              </w:tc>
              <w:tc>
                <w:tcPr>
                  <w:tcW w:w="5042"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Title</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Signed</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Ratified</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p>
              </w:tc>
              <w:tc>
                <w:tcPr>
                  <w:tcW w:w="5042" w:type="dxa"/>
                  <w:shd w:val="clear" w:color="auto" w:fill="auto"/>
                </w:tcPr>
                <w:p w:rsidR="00112562" w:rsidRPr="00D05231" w:rsidRDefault="00112562" w:rsidP="003623BB">
                  <w:pPr>
                    <w:jc w:val="both"/>
                    <w:rPr>
                      <w:rFonts w:ascii="Arial" w:hAnsi="Arial" w:cs="Arial"/>
                      <w:i/>
                      <w:sz w:val="20"/>
                      <w:szCs w:val="20"/>
                    </w:rPr>
                  </w:pPr>
                  <w:r w:rsidRPr="00D05231">
                    <w:rPr>
                      <w:rFonts w:ascii="Arial" w:hAnsi="Arial" w:cs="Arial"/>
                      <w:i/>
                      <w:sz w:val="20"/>
                      <w:szCs w:val="20"/>
                    </w:rPr>
                    <w:t>ECHR protocols:</w:t>
                  </w:r>
                </w:p>
              </w:tc>
              <w:tc>
                <w:tcPr>
                  <w:tcW w:w="1254" w:type="dxa"/>
                  <w:shd w:val="clear" w:color="auto" w:fill="auto"/>
                </w:tcPr>
                <w:p w:rsidR="00112562" w:rsidRPr="00D05231" w:rsidRDefault="00112562" w:rsidP="003623BB">
                  <w:pPr>
                    <w:jc w:val="both"/>
                    <w:rPr>
                      <w:rFonts w:ascii="Arial" w:hAnsi="Arial" w:cs="Arial"/>
                      <w:sz w:val="20"/>
                      <w:szCs w:val="20"/>
                    </w:rPr>
                  </w:pPr>
                </w:p>
              </w:tc>
              <w:tc>
                <w:tcPr>
                  <w:tcW w:w="1791" w:type="dxa"/>
                  <w:shd w:val="clear" w:color="auto" w:fill="auto"/>
                </w:tcPr>
                <w:p w:rsidR="00112562" w:rsidRPr="00D05231" w:rsidRDefault="00112562" w:rsidP="003623BB">
                  <w:pPr>
                    <w:jc w:val="both"/>
                    <w:rPr>
                      <w:rFonts w:ascii="Arial" w:hAnsi="Arial" w:cs="Arial"/>
                      <w:sz w:val="20"/>
                      <w:szCs w:val="20"/>
                    </w:rPr>
                  </w:pP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214</w:t>
                  </w:r>
                </w:p>
              </w:tc>
              <w:tc>
                <w:tcPr>
                  <w:tcW w:w="5042"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Protocol 16 ECHR</w:t>
                  </w:r>
                </w:p>
              </w:tc>
              <w:tc>
                <w:tcPr>
                  <w:tcW w:w="1254" w:type="dxa"/>
                  <w:shd w:val="clear" w:color="auto" w:fill="auto"/>
                </w:tcPr>
                <w:p w:rsidR="00112562" w:rsidRPr="00D05231" w:rsidRDefault="00112562" w:rsidP="003623BB">
                  <w:pPr>
                    <w:jc w:val="both"/>
                    <w:rPr>
                      <w:rFonts w:ascii="Arial" w:hAnsi="Arial" w:cs="Arial"/>
                      <w:color w:val="000000"/>
                      <w:sz w:val="20"/>
                      <w:szCs w:val="20"/>
                    </w:rPr>
                  </w:pPr>
                </w:p>
              </w:tc>
              <w:tc>
                <w:tcPr>
                  <w:tcW w:w="1791" w:type="dxa"/>
                  <w:shd w:val="clear" w:color="auto" w:fill="auto"/>
                </w:tcPr>
                <w:p w:rsidR="00112562" w:rsidRPr="00D05231" w:rsidRDefault="00112562" w:rsidP="003623BB">
                  <w:pPr>
                    <w:jc w:val="both"/>
                    <w:rPr>
                      <w:rFonts w:ascii="Arial" w:hAnsi="Arial" w:cs="Arial"/>
                      <w:color w:val="000000"/>
                      <w:sz w:val="20"/>
                      <w:szCs w:val="20"/>
                    </w:rPr>
                  </w:pP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213</w:t>
                  </w:r>
                </w:p>
              </w:tc>
              <w:tc>
                <w:tcPr>
                  <w:tcW w:w="5042"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Protocol 15 ECHR</w:t>
                  </w:r>
                </w:p>
              </w:tc>
              <w:tc>
                <w:tcPr>
                  <w:tcW w:w="1254" w:type="dxa"/>
                  <w:shd w:val="clear" w:color="auto" w:fill="auto"/>
                </w:tcPr>
                <w:p w:rsidR="00112562" w:rsidRPr="00D05231" w:rsidRDefault="00112562" w:rsidP="003623BB">
                  <w:pPr>
                    <w:jc w:val="both"/>
                    <w:rPr>
                      <w:rFonts w:ascii="Arial" w:hAnsi="Arial" w:cs="Arial"/>
                      <w:color w:val="000000"/>
                      <w:sz w:val="20"/>
                      <w:szCs w:val="20"/>
                    </w:rPr>
                  </w:pPr>
                  <w:r w:rsidRPr="00D05231">
                    <w:rPr>
                      <w:rFonts w:ascii="Arial" w:hAnsi="Arial" w:cs="Arial"/>
                      <w:color w:val="000000"/>
                      <w:sz w:val="20"/>
                      <w:szCs w:val="20"/>
                    </w:rPr>
                    <w:t>21/11/2013</w:t>
                  </w:r>
                </w:p>
              </w:tc>
              <w:tc>
                <w:tcPr>
                  <w:tcW w:w="1791" w:type="dxa"/>
                  <w:shd w:val="clear" w:color="auto" w:fill="auto"/>
                </w:tcPr>
                <w:p w:rsidR="00112562" w:rsidRPr="00D05231" w:rsidRDefault="00112562" w:rsidP="003623BB">
                  <w:pPr>
                    <w:jc w:val="both"/>
                    <w:rPr>
                      <w:rFonts w:ascii="Arial" w:hAnsi="Arial" w:cs="Arial"/>
                      <w:color w:val="000000"/>
                      <w:sz w:val="20"/>
                      <w:szCs w:val="20"/>
                    </w:rPr>
                  </w:pPr>
                  <w:r w:rsidRPr="00D05231">
                    <w:rPr>
                      <w:rFonts w:ascii="Arial" w:hAnsi="Arial" w:cs="Arial"/>
                      <w:sz w:val="20"/>
                      <w:szCs w:val="20"/>
                    </w:rPr>
                    <w:t>16/06/2016</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1   187</w:t>
                  </w:r>
                </w:p>
              </w:tc>
              <w:tc>
                <w:tcPr>
                  <w:tcW w:w="5042"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Protocol 13 ECHR</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3/5/2002</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13/7/2004</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1   177</w:t>
                  </w:r>
                </w:p>
              </w:tc>
              <w:tc>
                <w:tcPr>
                  <w:tcW w:w="5042" w:type="dxa"/>
                  <w:shd w:val="clear" w:color="auto" w:fill="auto"/>
                </w:tcPr>
                <w:p w:rsidR="00112562" w:rsidRPr="00D05231" w:rsidRDefault="00112562" w:rsidP="003623BB">
                  <w:pPr>
                    <w:ind w:left="132" w:hanging="132"/>
                    <w:jc w:val="both"/>
                    <w:rPr>
                      <w:rFonts w:ascii="Arial" w:hAnsi="Arial" w:cs="Arial"/>
                      <w:sz w:val="20"/>
                      <w:szCs w:val="20"/>
                    </w:rPr>
                  </w:pPr>
                  <w:r w:rsidRPr="00D05231">
                    <w:rPr>
                      <w:rFonts w:ascii="Arial" w:hAnsi="Arial" w:cs="Arial"/>
                      <w:sz w:val="20"/>
                      <w:szCs w:val="20"/>
                    </w:rPr>
                    <w:t>Protocol 12 ECHR</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4/11/2000</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13/7/2004</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1   114</w:t>
                  </w:r>
                </w:p>
              </w:tc>
              <w:tc>
                <w:tcPr>
                  <w:tcW w:w="5042"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Protocol 6 ECHR</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14/6/1996</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10/4/1997</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p>
              </w:tc>
              <w:tc>
                <w:tcPr>
                  <w:tcW w:w="5042" w:type="dxa"/>
                  <w:shd w:val="clear" w:color="auto" w:fill="auto"/>
                </w:tcPr>
                <w:p w:rsidR="00112562" w:rsidRPr="00D05231" w:rsidRDefault="00112562" w:rsidP="003623BB">
                  <w:pPr>
                    <w:jc w:val="both"/>
                    <w:rPr>
                      <w:rFonts w:ascii="Arial" w:hAnsi="Arial" w:cs="Arial"/>
                      <w:sz w:val="20"/>
                      <w:szCs w:val="20"/>
                    </w:rPr>
                  </w:pPr>
                </w:p>
              </w:tc>
              <w:tc>
                <w:tcPr>
                  <w:tcW w:w="1254" w:type="dxa"/>
                  <w:shd w:val="clear" w:color="auto" w:fill="auto"/>
                </w:tcPr>
                <w:p w:rsidR="00112562" w:rsidRPr="00D05231" w:rsidRDefault="00112562" w:rsidP="003623BB">
                  <w:pPr>
                    <w:jc w:val="both"/>
                    <w:rPr>
                      <w:rFonts w:ascii="Arial" w:hAnsi="Arial" w:cs="Arial"/>
                      <w:sz w:val="20"/>
                      <w:szCs w:val="20"/>
                    </w:rPr>
                  </w:pPr>
                </w:p>
              </w:tc>
              <w:tc>
                <w:tcPr>
                  <w:tcW w:w="1791" w:type="dxa"/>
                  <w:shd w:val="clear" w:color="auto" w:fill="auto"/>
                </w:tcPr>
                <w:p w:rsidR="00112562" w:rsidRPr="00D05231" w:rsidRDefault="00112562" w:rsidP="003623BB">
                  <w:pPr>
                    <w:jc w:val="both"/>
                    <w:rPr>
                      <w:rFonts w:ascii="Arial" w:hAnsi="Arial" w:cs="Arial"/>
                      <w:sz w:val="20"/>
                      <w:szCs w:val="20"/>
                    </w:rPr>
                  </w:pP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p>
              </w:tc>
              <w:tc>
                <w:tcPr>
                  <w:tcW w:w="5042" w:type="dxa"/>
                  <w:shd w:val="clear" w:color="auto" w:fill="auto"/>
                </w:tcPr>
                <w:p w:rsidR="00112562" w:rsidRPr="00D05231" w:rsidRDefault="00112562" w:rsidP="003623BB">
                  <w:pPr>
                    <w:jc w:val="both"/>
                    <w:rPr>
                      <w:rFonts w:ascii="Arial" w:hAnsi="Arial" w:cs="Arial"/>
                      <w:i/>
                      <w:sz w:val="20"/>
                      <w:szCs w:val="20"/>
                    </w:rPr>
                  </w:pPr>
                  <w:r w:rsidRPr="00D05231">
                    <w:rPr>
                      <w:rFonts w:ascii="Arial" w:hAnsi="Arial" w:cs="Arial"/>
                      <w:i/>
                      <w:sz w:val="20"/>
                      <w:szCs w:val="20"/>
                    </w:rPr>
                    <w:t>Warsaw Conventions:</w:t>
                  </w:r>
                </w:p>
              </w:tc>
              <w:tc>
                <w:tcPr>
                  <w:tcW w:w="1254" w:type="dxa"/>
                  <w:shd w:val="clear" w:color="auto" w:fill="auto"/>
                </w:tcPr>
                <w:p w:rsidR="00112562" w:rsidRPr="00D05231" w:rsidRDefault="00112562" w:rsidP="003623BB">
                  <w:pPr>
                    <w:jc w:val="both"/>
                    <w:rPr>
                      <w:rFonts w:ascii="Arial" w:hAnsi="Arial" w:cs="Arial"/>
                      <w:sz w:val="20"/>
                      <w:szCs w:val="20"/>
                    </w:rPr>
                  </w:pPr>
                </w:p>
              </w:tc>
              <w:tc>
                <w:tcPr>
                  <w:tcW w:w="1791" w:type="dxa"/>
                  <w:shd w:val="clear" w:color="auto" w:fill="auto"/>
                </w:tcPr>
                <w:p w:rsidR="00112562" w:rsidRPr="00D05231" w:rsidRDefault="00112562" w:rsidP="003623BB">
                  <w:pPr>
                    <w:jc w:val="both"/>
                    <w:rPr>
                      <w:rFonts w:ascii="Arial" w:hAnsi="Arial" w:cs="Arial"/>
                      <w:sz w:val="20"/>
                      <w:szCs w:val="20"/>
                    </w:rPr>
                  </w:pP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1   198</w:t>
                  </w:r>
                </w:p>
              </w:tc>
              <w:tc>
                <w:tcPr>
                  <w:tcW w:w="5042" w:type="dxa"/>
                  <w:shd w:val="clear" w:color="auto" w:fill="auto"/>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 xml:space="preserve">On Laundering, Search Seizure and confiscation of the Proceeds from Crime and on the Financing of </w:t>
                  </w:r>
                  <w:r w:rsidRPr="00112562">
                    <w:rPr>
                      <w:rFonts w:ascii="Arial" w:hAnsi="Arial" w:cs="Arial"/>
                      <w:sz w:val="20"/>
                      <w:szCs w:val="20"/>
                      <w:lang w:val="en-US"/>
                    </w:rPr>
                    <w:lastRenderedPageBreak/>
                    <w:t>Terrorism</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lastRenderedPageBreak/>
                    <w:t>17/11/2005</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27/5/2009</w:t>
                  </w:r>
                </w:p>
              </w:tc>
            </w:tr>
            <w:tr w:rsidR="00112562" w:rsidRPr="00D05231" w:rsidTr="003623BB">
              <w:trPr>
                <w:jc w:val="center"/>
              </w:trPr>
              <w:tc>
                <w:tcPr>
                  <w:tcW w:w="1115" w:type="dxa"/>
                  <w:shd w:val="clear" w:color="auto" w:fill="auto"/>
                </w:tcPr>
                <w:p w:rsidR="00112562" w:rsidRPr="004D495E" w:rsidRDefault="00112562" w:rsidP="003623BB">
                  <w:pPr>
                    <w:jc w:val="both"/>
                    <w:rPr>
                      <w:rFonts w:ascii="Arial" w:hAnsi="Arial" w:cs="Arial"/>
                      <w:sz w:val="20"/>
                      <w:szCs w:val="20"/>
                    </w:rPr>
                  </w:pPr>
                  <w:r>
                    <w:rPr>
                      <w:rFonts w:ascii="Arial" w:hAnsi="Arial" w:cs="Arial"/>
                      <w:sz w:val="20"/>
                      <w:szCs w:val="20"/>
                    </w:rPr>
                    <w:lastRenderedPageBreak/>
                    <w:t xml:space="preserve">11  </w:t>
                  </w:r>
                  <w:r w:rsidRPr="00020841">
                    <w:rPr>
                      <w:rFonts w:ascii="Arial" w:hAnsi="Arial" w:cs="Arial"/>
                      <w:sz w:val="20"/>
                      <w:szCs w:val="20"/>
                    </w:rPr>
                    <w:t>197</w:t>
                  </w:r>
                </w:p>
              </w:tc>
              <w:tc>
                <w:tcPr>
                  <w:tcW w:w="5042" w:type="dxa"/>
                  <w:shd w:val="clear" w:color="auto" w:fill="auto"/>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On Action against Trafficking in Human Beings</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17/11/2005</w:t>
                  </w:r>
                </w:p>
              </w:tc>
              <w:tc>
                <w:tcPr>
                  <w:tcW w:w="1791" w:type="dxa"/>
                  <w:shd w:val="clear" w:color="auto" w:fill="auto"/>
                </w:tcPr>
                <w:p w:rsidR="00112562" w:rsidRPr="00D05231" w:rsidRDefault="00112562" w:rsidP="003623BB">
                  <w:pPr>
                    <w:jc w:val="both"/>
                    <w:rPr>
                      <w:rFonts w:ascii="Arial" w:hAnsi="Arial" w:cs="Arial"/>
                      <w:color w:val="000000"/>
                      <w:sz w:val="20"/>
                      <w:szCs w:val="20"/>
                    </w:rPr>
                  </w:pPr>
                  <w:r w:rsidRPr="00D05231">
                    <w:rPr>
                      <w:rFonts w:ascii="Arial" w:hAnsi="Arial" w:cs="Arial"/>
                      <w:color w:val="000000"/>
                      <w:sz w:val="20"/>
                      <w:szCs w:val="20"/>
                    </w:rPr>
                    <w:t>27/5/2009</w:t>
                  </w:r>
                </w:p>
              </w:tc>
            </w:tr>
            <w:tr w:rsidR="00112562" w:rsidRPr="00D05231" w:rsidTr="003623BB">
              <w:trPr>
                <w:trHeight w:val="270"/>
                <w:jc w:val="center"/>
              </w:trPr>
              <w:tc>
                <w:tcPr>
                  <w:tcW w:w="1115" w:type="dxa"/>
                  <w:shd w:val="clear" w:color="auto" w:fill="auto"/>
                </w:tcPr>
                <w:p w:rsidR="00112562" w:rsidRPr="00020841" w:rsidRDefault="00112562" w:rsidP="003623BB">
                  <w:pPr>
                    <w:jc w:val="both"/>
                    <w:rPr>
                      <w:rFonts w:ascii="Arial" w:hAnsi="Arial" w:cs="Arial"/>
                      <w:sz w:val="20"/>
                      <w:szCs w:val="20"/>
                    </w:rPr>
                  </w:pPr>
                  <w:r w:rsidRPr="00020841">
                    <w:rPr>
                      <w:rFonts w:ascii="Arial" w:hAnsi="Arial" w:cs="Arial"/>
                      <w:sz w:val="20"/>
                      <w:szCs w:val="20"/>
                    </w:rPr>
                    <w:t>196</w:t>
                  </w:r>
                </w:p>
              </w:tc>
              <w:tc>
                <w:tcPr>
                  <w:tcW w:w="5042" w:type="dxa"/>
                  <w:shd w:val="clear" w:color="auto" w:fill="auto"/>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Convention on the Prevention of Terrorism</w:t>
                  </w:r>
                </w:p>
              </w:tc>
              <w:tc>
                <w:tcPr>
                  <w:tcW w:w="1254" w:type="dxa"/>
                  <w:shd w:val="clear" w:color="auto" w:fill="auto"/>
                </w:tcPr>
                <w:p w:rsidR="00112562" w:rsidRPr="00D05231" w:rsidRDefault="00112562" w:rsidP="003623BB">
                  <w:pPr>
                    <w:jc w:val="both"/>
                    <w:rPr>
                      <w:rFonts w:ascii="Arial" w:hAnsi="Arial" w:cs="Arial"/>
                      <w:color w:val="000000"/>
                      <w:sz w:val="20"/>
                      <w:szCs w:val="20"/>
                    </w:rPr>
                  </w:pPr>
                  <w:r w:rsidRPr="00D05231">
                    <w:rPr>
                      <w:rFonts w:ascii="Arial" w:hAnsi="Arial" w:cs="Arial"/>
                      <w:sz w:val="20"/>
                      <w:szCs w:val="20"/>
                    </w:rPr>
                    <w:t>21/11/2006</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23/03/2010</w:t>
                  </w:r>
                </w:p>
              </w:tc>
            </w:tr>
            <w:tr w:rsidR="00112562" w:rsidRPr="00D05231" w:rsidTr="003623BB">
              <w:trPr>
                <w:trHeight w:val="270"/>
                <w:jc w:val="center"/>
              </w:trPr>
              <w:tc>
                <w:tcPr>
                  <w:tcW w:w="1115" w:type="dxa"/>
                  <w:shd w:val="clear" w:color="auto" w:fill="auto"/>
                </w:tcPr>
                <w:p w:rsidR="00112562" w:rsidRPr="00D05231" w:rsidRDefault="00112562" w:rsidP="003623BB">
                  <w:pPr>
                    <w:jc w:val="both"/>
                    <w:rPr>
                      <w:rFonts w:ascii="Arial" w:hAnsi="Arial" w:cs="Arial"/>
                      <w:sz w:val="20"/>
                      <w:szCs w:val="20"/>
                    </w:rPr>
                  </w:pPr>
                  <w:r>
                    <w:rPr>
                      <w:rFonts w:ascii="Arial" w:hAnsi="Arial" w:cs="Arial"/>
                      <w:sz w:val="20"/>
                      <w:szCs w:val="20"/>
                    </w:rPr>
                    <w:t xml:space="preserve">21   </w:t>
                  </w:r>
                  <w:r w:rsidRPr="00020841">
                    <w:rPr>
                      <w:rFonts w:ascii="Arial" w:hAnsi="Arial" w:cs="Arial"/>
                      <w:sz w:val="20"/>
                      <w:szCs w:val="20"/>
                    </w:rPr>
                    <w:t>217</w:t>
                  </w:r>
                </w:p>
              </w:tc>
              <w:tc>
                <w:tcPr>
                  <w:tcW w:w="5042" w:type="dxa"/>
                  <w:shd w:val="clear" w:color="auto" w:fill="auto"/>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Additional Protocol to the Council of Europe Convention on the Prevention of Terrorism</w:t>
                  </w:r>
                </w:p>
              </w:tc>
              <w:tc>
                <w:tcPr>
                  <w:tcW w:w="1254" w:type="dxa"/>
                  <w:shd w:val="clear" w:color="auto" w:fill="auto"/>
                </w:tcPr>
                <w:p w:rsidR="00112562" w:rsidRPr="00D05231" w:rsidRDefault="00112562" w:rsidP="003623BB">
                  <w:pPr>
                    <w:jc w:val="both"/>
                    <w:rPr>
                      <w:rFonts w:ascii="Arial" w:hAnsi="Arial" w:cs="Arial"/>
                      <w:color w:val="000000"/>
                      <w:sz w:val="20"/>
                      <w:szCs w:val="20"/>
                    </w:rPr>
                  </w:pPr>
                  <w:r w:rsidRPr="00D05231">
                    <w:rPr>
                      <w:rFonts w:ascii="Arial" w:hAnsi="Arial" w:cs="Arial"/>
                      <w:sz w:val="20"/>
                      <w:szCs w:val="20"/>
                    </w:rPr>
                    <w:t>18/01/2017</w:t>
                  </w:r>
                </w:p>
              </w:tc>
              <w:tc>
                <w:tcPr>
                  <w:tcW w:w="1791" w:type="dxa"/>
                  <w:shd w:val="clear" w:color="auto" w:fill="auto"/>
                </w:tcPr>
                <w:p w:rsidR="00112562" w:rsidRPr="00D05231" w:rsidRDefault="00112562" w:rsidP="003623BB">
                  <w:pPr>
                    <w:jc w:val="both"/>
                    <w:rPr>
                      <w:rFonts w:ascii="Arial" w:hAnsi="Arial" w:cs="Arial"/>
                      <w:sz w:val="20"/>
                      <w:szCs w:val="20"/>
                    </w:rPr>
                  </w:pPr>
                </w:p>
                <w:p w:rsidR="00112562" w:rsidRPr="00D05231" w:rsidRDefault="00112562" w:rsidP="003623BB">
                  <w:pPr>
                    <w:jc w:val="both"/>
                    <w:rPr>
                      <w:rFonts w:ascii="Arial" w:hAnsi="Arial" w:cs="Arial"/>
                      <w:sz w:val="20"/>
                      <w:szCs w:val="20"/>
                    </w:rPr>
                  </w:pP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p>
              </w:tc>
              <w:tc>
                <w:tcPr>
                  <w:tcW w:w="5042" w:type="dxa"/>
                  <w:shd w:val="clear" w:color="auto" w:fill="auto"/>
                </w:tcPr>
                <w:p w:rsidR="00112562" w:rsidRPr="00D05231" w:rsidRDefault="00112562" w:rsidP="003623BB">
                  <w:pPr>
                    <w:jc w:val="both"/>
                    <w:rPr>
                      <w:rFonts w:ascii="Arial" w:hAnsi="Arial" w:cs="Arial"/>
                      <w:sz w:val="20"/>
                      <w:szCs w:val="20"/>
                    </w:rPr>
                  </w:pPr>
                </w:p>
              </w:tc>
              <w:tc>
                <w:tcPr>
                  <w:tcW w:w="1254" w:type="dxa"/>
                  <w:shd w:val="clear" w:color="auto" w:fill="auto"/>
                </w:tcPr>
                <w:p w:rsidR="00112562" w:rsidRPr="00D05231" w:rsidRDefault="00112562" w:rsidP="003623BB">
                  <w:pPr>
                    <w:jc w:val="both"/>
                    <w:rPr>
                      <w:rFonts w:ascii="Arial" w:hAnsi="Arial" w:cs="Arial"/>
                      <w:sz w:val="20"/>
                      <w:szCs w:val="20"/>
                    </w:rPr>
                  </w:pPr>
                </w:p>
              </w:tc>
              <w:tc>
                <w:tcPr>
                  <w:tcW w:w="1791" w:type="dxa"/>
                  <w:shd w:val="clear" w:color="auto" w:fill="auto"/>
                </w:tcPr>
                <w:p w:rsidR="00112562" w:rsidRPr="00D05231" w:rsidRDefault="00112562" w:rsidP="003623BB">
                  <w:pPr>
                    <w:jc w:val="both"/>
                    <w:rPr>
                      <w:rFonts w:ascii="Arial" w:hAnsi="Arial" w:cs="Arial"/>
                      <w:sz w:val="20"/>
                      <w:szCs w:val="20"/>
                    </w:rPr>
                  </w:pP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p>
              </w:tc>
              <w:tc>
                <w:tcPr>
                  <w:tcW w:w="5042" w:type="dxa"/>
                  <w:shd w:val="clear" w:color="auto" w:fill="auto"/>
                </w:tcPr>
                <w:p w:rsidR="00112562" w:rsidRPr="00D05231" w:rsidRDefault="00112562" w:rsidP="003623BB">
                  <w:pPr>
                    <w:jc w:val="both"/>
                    <w:rPr>
                      <w:rFonts w:ascii="Arial" w:hAnsi="Arial" w:cs="Arial"/>
                      <w:i/>
                      <w:sz w:val="20"/>
                      <w:szCs w:val="20"/>
                    </w:rPr>
                  </w:pPr>
                  <w:r w:rsidRPr="00D05231">
                    <w:rPr>
                      <w:rFonts w:ascii="Arial" w:hAnsi="Arial" w:cs="Arial"/>
                      <w:i/>
                      <w:sz w:val="20"/>
                      <w:szCs w:val="20"/>
                    </w:rPr>
                    <w:t>Minorities:</w:t>
                  </w:r>
                </w:p>
              </w:tc>
              <w:tc>
                <w:tcPr>
                  <w:tcW w:w="1254" w:type="dxa"/>
                  <w:shd w:val="clear" w:color="auto" w:fill="auto"/>
                </w:tcPr>
                <w:p w:rsidR="00112562" w:rsidRPr="00D05231" w:rsidRDefault="00112562" w:rsidP="003623BB">
                  <w:pPr>
                    <w:jc w:val="both"/>
                    <w:rPr>
                      <w:rFonts w:ascii="Arial" w:hAnsi="Arial" w:cs="Arial"/>
                      <w:sz w:val="20"/>
                      <w:szCs w:val="20"/>
                    </w:rPr>
                  </w:pPr>
                </w:p>
              </w:tc>
              <w:tc>
                <w:tcPr>
                  <w:tcW w:w="1791" w:type="dxa"/>
                  <w:shd w:val="clear" w:color="auto" w:fill="auto"/>
                </w:tcPr>
                <w:p w:rsidR="00112562" w:rsidRPr="00D05231" w:rsidRDefault="00112562" w:rsidP="003623BB">
                  <w:pPr>
                    <w:jc w:val="both"/>
                    <w:rPr>
                      <w:rFonts w:ascii="Arial" w:hAnsi="Arial" w:cs="Arial"/>
                      <w:sz w:val="20"/>
                      <w:szCs w:val="20"/>
                    </w:rPr>
                  </w:pP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1   157</w:t>
                  </w:r>
                </w:p>
              </w:tc>
              <w:tc>
                <w:tcPr>
                  <w:tcW w:w="5042" w:type="dxa"/>
                  <w:shd w:val="clear" w:color="auto" w:fill="auto"/>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Framework Convention on the Protection of National Minorities</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25/7/1996</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10/4/1997</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1   148</w:t>
                  </w:r>
                </w:p>
              </w:tc>
              <w:tc>
                <w:tcPr>
                  <w:tcW w:w="5042" w:type="dxa"/>
                  <w:shd w:val="clear" w:color="auto" w:fill="auto"/>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European Charter for Regional or Minority Languages</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25/7/1996</w:t>
                  </w:r>
                </w:p>
              </w:tc>
              <w:tc>
                <w:tcPr>
                  <w:tcW w:w="1791" w:type="dxa"/>
                  <w:shd w:val="clear" w:color="auto" w:fill="auto"/>
                </w:tcPr>
                <w:p w:rsidR="00112562" w:rsidRPr="00D05231" w:rsidRDefault="00112562" w:rsidP="003623BB">
                  <w:pPr>
                    <w:jc w:val="both"/>
                    <w:rPr>
                      <w:rFonts w:ascii="Arial" w:hAnsi="Arial" w:cs="Arial"/>
                      <w:sz w:val="20"/>
                      <w:szCs w:val="20"/>
                    </w:rPr>
                  </w:pP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p>
              </w:tc>
              <w:tc>
                <w:tcPr>
                  <w:tcW w:w="5042" w:type="dxa"/>
                  <w:shd w:val="clear" w:color="auto" w:fill="auto"/>
                </w:tcPr>
                <w:p w:rsidR="00112562" w:rsidRPr="00D05231" w:rsidRDefault="00112562" w:rsidP="003623BB">
                  <w:pPr>
                    <w:jc w:val="both"/>
                    <w:rPr>
                      <w:rFonts w:ascii="Arial" w:hAnsi="Arial" w:cs="Arial"/>
                      <w:sz w:val="20"/>
                      <w:szCs w:val="20"/>
                    </w:rPr>
                  </w:pPr>
                </w:p>
              </w:tc>
              <w:tc>
                <w:tcPr>
                  <w:tcW w:w="1254" w:type="dxa"/>
                  <w:shd w:val="clear" w:color="auto" w:fill="auto"/>
                </w:tcPr>
                <w:p w:rsidR="00112562" w:rsidRPr="00D05231" w:rsidRDefault="00112562" w:rsidP="003623BB">
                  <w:pPr>
                    <w:jc w:val="both"/>
                    <w:rPr>
                      <w:rFonts w:ascii="Arial" w:hAnsi="Arial" w:cs="Arial"/>
                      <w:sz w:val="20"/>
                      <w:szCs w:val="20"/>
                    </w:rPr>
                  </w:pPr>
                </w:p>
              </w:tc>
              <w:tc>
                <w:tcPr>
                  <w:tcW w:w="1791" w:type="dxa"/>
                  <w:shd w:val="clear" w:color="auto" w:fill="auto"/>
                </w:tcPr>
                <w:p w:rsidR="00112562" w:rsidRPr="00D05231" w:rsidRDefault="00112562" w:rsidP="003623BB">
                  <w:pPr>
                    <w:jc w:val="both"/>
                    <w:rPr>
                      <w:rFonts w:ascii="Arial" w:hAnsi="Arial" w:cs="Arial"/>
                      <w:sz w:val="20"/>
                      <w:szCs w:val="20"/>
                    </w:rPr>
                  </w:pP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p>
              </w:tc>
              <w:tc>
                <w:tcPr>
                  <w:tcW w:w="5042" w:type="dxa"/>
                  <w:shd w:val="clear" w:color="auto" w:fill="auto"/>
                </w:tcPr>
                <w:p w:rsidR="00112562" w:rsidRPr="00D05231" w:rsidRDefault="00112562" w:rsidP="003623BB">
                  <w:pPr>
                    <w:jc w:val="both"/>
                    <w:rPr>
                      <w:rFonts w:ascii="Arial" w:hAnsi="Arial" w:cs="Arial"/>
                      <w:i/>
                      <w:sz w:val="20"/>
                      <w:szCs w:val="20"/>
                    </w:rPr>
                  </w:pPr>
                  <w:r w:rsidRPr="00D05231">
                    <w:rPr>
                      <w:rFonts w:ascii="Arial" w:hAnsi="Arial" w:cs="Arial"/>
                      <w:i/>
                      <w:sz w:val="20"/>
                      <w:szCs w:val="20"/>
                    </w:rPr>
                    <w:t>Social Charter:</w:t>
                  </w:r>
                </w:p>
              </w:tc>
              <w:tc>
                <w:tcPr>
                  <w:tcW w:w="1254" w:type="dxa"/>
                  <w:shd w:val="clear" w:color="auto" w:fill="auto"/>
                </w:tcPr>
                <w:p w:rsidR="00112562" w:rsidRPr="00D05231" w:rsidRDefault="00112562" w:rsidP="003623BB">
                  <w:pPr>
                    <w:jc w:val="both"/>
                    <w:rPr>
                      <w:rFonts w:ascii="Arial" w:hAnsi="Arial" w:cs="Arial"/>
                      <w:sz w:val="20"/>
                      <w:szCs w:val="20"/>
                    </w:rPr>
                  </w:pPr>
                </w:p>
              </w:tc>
              <w:tc>
                <w:tcPr>
                  <w:tcW w:w="1791" w:type="dxa"/>
                  <w:shd w:val="clear" w:color="auto" w:fill="auto"/>
                </w:tcPr>
                <w:p w:rsidR="00112562" w:rsidRPr="00D05231" w:rsidRDefault="00112562" w:rsidP="003623BB">
                  <w:pPr>
                    <w:jc w:val="both"/>
                    <w:rPr>
                      <w:rFonts w:ascii="Arial" w:hAnsi="Arial" w:cs="Arial"/>
                      <w:sz w:val="20"/>
                      <w:szCs w:val="20"/>
                    </w:rPr>
                  </w:pP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1   163</w:t>
                  </w:r>
                </w:p>
              </w:tc>
              <w:tc>
                <w:tcPr>
                  <w:tcW w:w="5042"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European Social Charter (Revised)</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27/5/2009</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06/01/2012</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0   035</w:t>
                  </w:r>
                </w:p>
              </w:tc>
              <w:tc>
                <w:tcPr>
                  <w:tcW w:w="5042"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European Social Charter</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5/5/1998</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31/3/2005</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p>
              </w:tc>
              <w:tc>
                <w:tcPr>
                  <w:tcW w:w="5042" w:type="dxa"/>
                  <w:shd w:val="clear" w:color="auto" w:fill="auto"/>
                </w:tcPr>
                <w:p w:rsidR="00112562" w:rsidRPr="00D05231" w:rsidRDefault="00112562" w:rsidP="003623BB">
                  <w:pPr>
                    <w:jc w:val="both"/>
                    <w:rPr>
                      <w:rFonts w:ascii="Arial" w:hAnsi="Arial" w:cs="Arial"/>
                      <w:i/>
                      <w:sz w:val="20"/>
                      <w:szCs w:val="20"/>
                    </w:rPr>
                  </w:pPr>
                </w:p>
              </w:tc>
              <w:tc>
                <w:tcPr>
                  <w:tcW w:w="1254" w:type="dxa"/>
                  <w:shd w:val="clear" w:color="auto" w:fill="auto"/>
                </w:tcPr>
                <w:p w:rsidR="00112562" w:rsidRPr="00D05231" w:rsidRDefault="00112562" w:rsidP="003623BB">
                  <w:pPr>
                    <w:jc w:val="both"/>
                    <w:rPr>
                      <w:rFonts w:ascii="Arial" w:hAnsi="Arial" w:cs="Arial"/>
                      <w:sz w:val="20"/>
                      <w:szCs w:val="20"/>
                    </w:rPr>
                  </w:pPr>
                </w:p>
              </w:tc>
              <w:tc>
                <w:tcPr>
                  <w:tcW w:w="1791" w:type="dxa"/>
                  <w:shd w:val="clear" w:color="auto" w:fill="auto"/>
                </w:tcPr>
                <w:p w:rsidR="00112562" w:rsidRPr="00D05231" w:rsidRDefault="00112562" w:rsidP="003623BB">
                  <w:pPr>
                    <w:jc w:val="both"/>
                    <w:rPr>
                      <w:rFonts w:ascii="Arial" w:hAnsi="Arial" w:cs="Arial"/>
                      <w:sz w:val="20"/>
                      <w:szCs w:val="20"/>
                    </w:rPr>
                  </w:pP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p>
              </w:tc>
              <w:tc>
                <w:tcPr>
                  <w:tcW w:w="5042" w:type="dxa"/>
                  <w:shd w:val="clear" w:color="auto" w:fill="auto"/>
                </w:tcPr>
                <w:p w:rsidR="00112562" w:rsidRPr="00D05231" w:rsidRDefault="00112562" w:rsidP="003623BB">
                  <w:pPr>
                    <w:jc w:val="both"/>
                    <w:rPr>
                      <w:rFonts w:ascii="Arial" w:hAnsi="Arial" w:cs="Arial"/>
                      <w:i/>
                      <w:sz w:val="20"/>
                      <w:szCs w:val="20"/>
                    </w:rPr>
                  </w:pPr>
                  <w:r w:rsidRPr="00D05231">
                    <w:rPr>
                      <w:rFonts w:ascii="Arial" w:hAnsi="Arial" w:cs="Arial"/>
                      <w:i/>
                      <w:sz w:val="20"/>
                      <w:szCs w:val="20"/>
                    </w:rPr>
                    <w:t>Others:</w:t>
                  </w:r>
                </w:p>
              </w:tc>
              <w:tc>
                <w:tcPr>
                  <w:tcW w:w="1254" w:type="dxa"/>
                  <w:shd w:val="clear" w:color="auto" w:fill="auto"/>
                </w:tcPr>
                <w:p w:rsidR="00112562" w:rsidRPr="00D05231" w:rsidRDefault="00112562" w:rsidP="003623BB">
                  <w:pPr>
                    <w:jc w:val="both"/>
                    <w:rPr>
                      <w:rFonts w:ascii="Arial" w:hAnsi="Arial" w:cs="Arial"/>
                      <w:sz w:val="20"/>
                      <w:szCs w:val="20"/>
                    </w:rPr>
                  </w:pPr>
                </w:p>
              </w:tc>
              <w:tc>
                <w:tcPr>
                  <w:tcW w:w="1791" w:type="dxa"/>
                  <w:shd w:val="clear" w:color="auto" w:fill="auto"/>
                </w:tcPr>
                <w:p w:rsidR="00112562" w:rsidRPr="00D05231" w:rsidRDefault="00112562" w:rsidP="003623BB">
                  <w:pPr>
                    <w:jc w:val="both"/>
                    <w:rPr>
                      <w:rFonts w:ascii="Arial" w:hAnsi="Arial" w:cs="Arial"/>
                      <w:sz w:val="20"/>
                      <w:szCs w:val="20"/>
                    </w:rPr>
                  </w:pPr>
                </w:p>
              </w:tc>
            </w:tr>
            <w:tr w:rsidR="00112562" w:rsidRPr="001F7EE9"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2   216</w:t>
                  </w:r>
                </w:p>
              </w:tc>
              <w:tc>
                <w:tcPr>
                  <w:tcW w:w="5042" w:type="dxa"/>
                  <w:shd w:val="clear" w:color="auto" w:fill="auto"/>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Convention against Trafficking in Human Organs</w:t>
                  </w:r>
                </w:p>
              </w:tc>
              <w:tc>
                <w:tcPr>
                  <w:tcW w:w="1254" w:type="dxa"/>
                  <w:shd w:val="clear" w:color="auto" w:fill="auto"/>
                </w:tcPr>
                <w:p w:rsidR="00112562" w:rsidRPr="00112562" w:rsidRDefault="00112562" w:rsidP="003623BB">
                  <w:pPr>
                    <w:jc w:val="both"/>
                    <w:rPr>
                      <w:rFonts w:ascii="Arial" w:hAnsi="Arial" w:cs="Arial"/>
                      <w:color w:val="000000"/>
                      <w:sz w:val="20"/>
                      <w:szCs w:val="20"/>
                      <w:lang w:val="en-US"/>
                    </w:rPr>
                  </w:pPr>
                </w:p>
              </w:tc>
              <w:tc>
                <w:tcPr>
                  <w:tcW w:w="1791" w:type="dxa"/>
                  <w:shd w:val="clear" w:color="auto" w:fill="auto"/>
                </w:tcPr>
                <w:p w:rsidR="00112562" w:rsidRPr="00112562" w:rsidRDefault="00112562" w:rsidP="003623BB">
                  <w:pPr>
                    <w:jc w:val="both"/>
                    <w:rPr>
                      <w:rFonts w:ascii="Arial" w:hAnsi="Arial" w:cs="Arial"/>
                      <w:sz w:val="20"/>
                      <w:szCs w:val="20"/>
                      <w:lang w:val="en-US"/>
                    </w:rPr>
                  </w:pP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2   210</w:t>
                  </w:r>
                </w:p>
              </w:tc>
              <w:tc>
                <w:tcPr>
                  <w:tcW w:w="5042" w:type="dxa"/>
                  <w:shd w:val="clear" w:color="auto" w:fill="auto"/>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Council of Europe Convention on preventing and combating violence against women and domestic violence</w:t>
                  </w:r>
                </w:p>
              </w:tc>
              <w:tc>
                <w:tcPr>
                  <w:tcW w:w="1254" w:type="dxa"/>
                  <w:shd w:val="clear" w:color="auto" w:fill="auto"/>
                </w:tcPr>
                <w:p w:rsidR="00112562" w:rsidRPr="00D05231" w:rsidRDefault="00112562" w:rsidP="003623BB">
                  <w:pPr>
                    <w:jc w:val="both"/>
                    <w:rPr>
                      <w:rFonts w:ascii="Arial" w:hAnsi="Arial" w:cs="Arial"/>
                      <w:color w:val="000000"/>
                      <w:sz w:val="20"/>
                      <w:szCs w:val="20"/>
                    </w:rPr>
                  </w:pPr>
                  <w:r w:rsidRPr="00D05231">
                    <w:rPr>
                      <w:rFonts w:ascii="Arial" w:hAnsi="Arial" w:cs="Arial"/>
                      <w:color w:val="000000"/>
                      <w:sz w:val="20"/>
                      <w:szCs w:val="20"/>
                    </w:rPr>
                    <w:t>08/07/2011</w:t>
                  </w:r>
                </w:p>
              </w:tc>
              <w:tc>
                <w:tcPr>
                  <w:tcW w:w="1791" w:type="dxa"/>
                  <w:shd w:val="clear" w:color="auto" w:fill="auto"/>
                </w:tcPr>
                <w:p w:rsidR="00112562" w:rsidRPr="005C587C" w:rsidRDefault="00112562" w:rsidP="003623BB">
                  <w:pPr>
                    <w:jc w:val="both"/>
                    <w:rPr>
                      <w:rFonts w:ascii="Arial" w:hAnsi="Arial" w:cs="Arial"/>
                      <w:sz w:val="20"/>
                      <w:szCs w:val="20"/>
                    </w:rPr>
                  </w:pPr>
                  <w:r w:rsidRPr="005C587C">
                    <w:rPr>
                      <w:rFonts w:ascii="Arial" w:hAnsi="Arial" w:cs="Arial"/>
                      <w:sz w:val="20"/>
                      <w:szCs w:val="20"/>
                    </w:rPr>
                    <w:t>23/03/2018</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2   201</w:t>
                  </w:r>
                </w:p>
              </w:tc>
              <w:tc>
                <w:tcPr>
                  <w:tcW w:w="5042" w:type="dxa"/>
                  <w:shd w:val="clear" w:color="auto" w:fill="auto"/>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Protection of Children against Sexual Exploitation and Sexual Abuse</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25/10/2007</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11/6/2012</w:t>
                  </w:r>
                </w:p>
              </w:tc>
            </w:tr>
            <w:tr w:rsidR="00112562" w:rsidRPr="001F7EE9"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2   200</w:t>
                  </w:r>
                </w:p>
              </w:tc>
              <w:tc>
                <w:tcPr>
                  <w:tcW w:w="5042" w:type="dxa"/>
                  <w:shd w:val="clear" w:color="auto" w:fill="auto"/>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On the Avoidance of Statelessness in relation to State Succession</w:t>
                  </w:r>
                </w:p>
              </w:tc>
              <w:tc>
                <w:tcPr>
                  <w:tcW w:w="1254" w:type="dxa"/>
                  <w:shd w:val="clear" w:color="auto" w:fill="auto"/>
                </w:tcPr>
                <w:p w:rsidR="00112562" w:rsidRPr="00112562" w:rsidRDefault="00112562" w:rsidP="003623BB">
                  <w:pPr>
                    <w:jc w:val="both"/>
                    <w:rPr>
                      <w:rFonts w:ascii="Arial" w:hAnsi="Arial" w:cs="Arial"/>
                      <w:sz w:val="20"/>
                      <w:szCs w:val="20"/>
                      <w:lang w:val="en-US"/>
                    </w:rPr>
                  </w:pPr>
                </w:p>
              </w:tc>
              <w:tc>
                <w:tcPr>
                  <w:tcW w:w="1791" w:type="dxa"/>
                  <w:shd w:val="clear" w:color="auto" w:fill="auto"/>
                </w:tcPr>
                <w:p w:rsidR="00112562" w:rsidRPr="00112562" w:rsidRDefault="00112562" w:rsidP="003623BB">
                  <w:pPr>
                    <w:jc w:val="both"/>
                    <w:rPr>
                      <w:rFonts w:ascii="Arial" w:hAnsi="Arial" w:cs="Arial"/>
                      <w:sz w:val="20"/>
                      <w:szCs w:val="20"/>
                      <w:lang w:val="en-US"/>
                    </w:rPr>
                  </w:pP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1   185</w:t>
                  </w:r>
                </w:p>
              </w:tc>
              <w:tc>
                <w:tcPr>
                  <w:tcW w:w="5042"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On Cybercrime</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23/11/2001</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15/9/2004</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1   174</w:t>
                  </w:r>
                </w:p>
              </w:tc>
              <w:tc>
                <w:tcPr>
                  <w:tcW w:w="5042"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Civil Law Convention on Corruption</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8/6/2000</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29/11/2002</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1   173</w:t>
                  </w:r>
                </w:p>
              </w:tc>
              <w:tc>
                <w:tcPr>
                  <w:tcW w:w="5042"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Criminal Law Convention on Corruption</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28/7/1999</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28/7/1999</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1   166</w:t>
                  </w:r>
                </w:p>
              </w:tc>
              <w:tc>
                <w:tcPr>
                  <w:tcW w:w="5042"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On Nationality</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6/11/1997</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3/6/2003</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1   132</w:t>
                  </w:r>
                </w:p>
              </w:tc>
              <w:tc>
                <w:tcPr>
                  <w:tcW w:w="5042"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On TransfrontierTelevision</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30/5/2001</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18/11/2003</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1   122</w:t>
                  </w:r>
                </w:p>
              </w:tc>
              <w:tc>
                <w:tcPr>
                  <w:tcW w:w="5042" w:type="dxa"/>
                  <w:shd w:val="clear" w:color="auto" w:fill="auto"/>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European Charter of Local Self-Government</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14/6/1996</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6/6/1997</w:t>
                  </w:r>
                </w:p>
              </w:tc>
            </w:tr>
            <w:tr w:rsidR="00112562" w:rsidRPr="00D05231" w:rsidTr="003623BB">
              <w:trPr>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t>1   108</w:t>
                  </w:r>
                </w:p>
              </w:tc>
              <w:tc>
                <w:tcPr>
                  <w:tcW w:w="5042" w:type="dxa"/>
                  <w:shd w:val="clear" w:color="auto" w:fill="auto"/>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For the Protection of Individuals with regard to Automatic processing of Personal Data</w:t>
                  </w:r>
                </w:p>
              </w:tc>
              <w:tc>
                <w:tcPr>
                  <w:tcW w:w="1254"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24/3/2006</w:t>
                  </w:r>
                </w:p>
              </w:tc>
              <w:tc>
                <w:tcPr>
                  <w:tcW w:w="1791"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color w:val="000000"/>
                      <w:sz w:val="20"/>
                      <w:szCs w:val="20"/>
                    </w:rPr>
                    <w:t>24/3/2006</w:t>
                  </w:r>
                </w:p>
              </w:tc>
            </w:tr>
            <w:tr w:rsidR="00112562" w:rsidRPr="001F7EE9" w:rsidTr="003623BB">
              <w:trPr>
                <w:trHeight w:val="581"/>
                <w:jc w:val="center"/>
              </w:trPr>
              <w:tc>
                <w:tcPr>
                  <w:tcW w:w="1115" w:type="dxa"/>
                  <w:shd w:val="clear" w:color="auto" w:fill="auto"/>
                </w:tcPr>
                <w:p w:rsidR="00112562" w:rsidRPr="00D05231" w:rsidRDefault="00112562" w:rsidP="003623BB">
                  <w:pPr>
                    <w:jc w:val="both"/>
                    <w:rPr>
                      <w:rFonts w:ascii="Arial" w:hAnsi="Arial" w:cs="Arial"/>
                      <w:sz w:val="20"/>
                      <w:szCs w:val="20"/>
                    </w:rPr>
                  </w:pPr>
                  <w:r w:rsidRPr="00D05231">
                    <w:rPr>
                      <w:rFonts w:ascii="Arial" w:hAnsi="Arial" w:cs="Arial"/>
                      <w:sz w:val="20"/>
                      <w:szCs w:val="20"/>
                    </w:rPr>
                    <w:lastRenderedPageBreak/>
                    <w:t>1   106</w:t>
                  </w:r>
                </w:p>
              </w:tc>
              <w:tc>
                <w:tcPr>
                  <w:tcW w:w="5042" w:type="dxa"/>
                  <w:shd w:val="clear" w:color="auto" w:fill="auto"/>
                </w:tcPr>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European Outline Convention on Transfrontier Co-</w:t>
                  </w:r>
                </w:p>
                <w:p w:rsidR="00112562" w:rsidRPr="00112562" w:rsidRDefault="00112562" w:rsidP="003623BB">
                  <w:pPr>
                    <w:jc w:val="both"/>
                    <w:rPr>
                      <w:rFonts w:ascii="Arial" w:hAnsi="Arial" w:cs="Arial"/>
                      <w:sz w:val="20"/>
                      <w:szCs w:val="20"/>
                      <w:lang w:val="en-US"/>
                    </w:rPr>
                  </w:pPr>
                  <w:r w:rsidRPr="00112562">
                    <w:rPr>
                      <w:rFonts w:ascii="Arial" w:hAnsi="Arial" w:cs="Arial"/>
                      <w:sz w:val="20"/>
                      <w:szCs w:val="20"/>
                      <w:lang w:val="en-US"/>
                    </w:rPr>
                    <w:t>operation between Territorial Communities or Authorities</w:t>
                  </w:r>
                </w:p>
              </w:tc>
              <w:tc>
                <w:tcPr>
                  <w:tcW w:w="1254" w:type="dxa"/>
                  <w:shd w:val="clear" w:color="auto" w:fill="auto"/>
                </w:tcPr>
                <w:p w:rsidR="00112562" w:rsidRPr="00112562" w:rsidRDefault="00112562" w:rsidP="003623BB">
                  <w:pPr>
                    <w:jc w:val="both"/>
                    <w:rPr>
                      <w:rFonts w:ascii="Arial" w:hAnsi="Arial" w:cs="Arial"/>
                      <w:sz w:val="20"/>
                      <w:szCs w:val="20"/>
                      <w:lang w:val="en-US"/>
                    </w:rPr>
                  </w:pPr>
                </w:p>
              </w:tc>
              <w:tc>
                <w:tcPr>
                  <w:tcW w:w="1791" w:type="dxa"/>
                  <w:shd w:val="clear" w:color="auto" w:fill="auto"/>
                </w:tcPr>
                <w:p w:rsidR="00112562" w:rsidRPr="00112562" w:rsidRDefault="00112562" w:rsidP="003623BB">
                  <w:pPr>
                    <w:jc w:val="both"/>
                    <w:rPr>
                      <w:rFonts w:ascii="Arial" w:hAnsi="Arial" w:cs="Arial"/>
                      <w:sz w:val="20"/>
                      <w:szCs w:val="20"/>
                      <w:lang w:val="en-US"/>
                    </w:rPr>
                  </w:pPr>
                </w:p>
              </w:tc>
            </w:tr>
          </w:tbl>
          <w:p w:rsidR="00112562" w:rsidRPr="00112562" w:rsidRDefault="00112562" w:rsidP="003623BB">
            <w:pPr>
              <w:jc w:val="both"/>
              <w:rPr>
                <w:rFonts w:ascii="Arial" w:hAnsi="Arial" w:cs="Arial"/>
                <w:sz w:val="20"/>
                <w:szCs w:val="20"/>
                <w:lang w:val="en-US"/>
              </w:rPr>
            </w:pPr>
          </w:p>
        </w:tc>
      </w:tr>
    </w:tbl>
    <w:p w:rsidR="00112562" w:rsidRDefault="00112562"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D14B4B" w:rsidRDefault="00D14B4B" w:rsidP="0013487B">
      <w:pPr>
        <w:rPr>
          <w:lang w:val="en-US"/>
        </w:rPr>
      </w:pPr>
    </w:p>
    <w:p w:rsidR="00317A8B" w:rsidRDefault="00317A8B" w:rsidP="0013487B">
      <w:pPr>
        <w:rPr>
          <w:b/>
          <w:bCs/>
          <w:sz w:val="24"/>
          <w:szCs w:val="24"/>
          <w:lang w:val="en-US"/>
        </w:rPr>
      </w:pPr>
    </w:p>
    <w:p w:rsidR="00853655" w:rsidRDefault="00853655">
      <w:pPr>
        <w:rPr>
          <w:b/>
          <w:bCs/>
          <w:sz w:val="24"/>
          <w:szCs w:val="24"/>
          <w:lang w:val="en-US"/>
        </w:rPr>
      </w:pPr>
      <w:r>
        <w:rPr>
          <w:b/>
          <w:bCs/>
          <w:sz w:val="24"/>
          <w:szCs w:val="24"/>
          <w:lang w:val="en-US"/>
        </w:rPr>
        <w:br w:type="page"/>
      </w:r>
    </w:p>
    <w:p w:rsidR="00D14B4B" w:rsidRPr="00D14B4B" w:rsidRDefault="00D14B4B" w:rsidP="0013487B">
      <w:pPr>
        <w:rPr>
          <w:b/>
          <w:bCs/>
          <w:sz w:val="24"/>
          <w:szCs w:val="24"/>
          <w:lang w:val="en-US"/>
        </w:rPr>
      </w:pPr>
      <w:r w:rsidRPr="00D14B4B">
        <w:rPr>
          <w:b/>
          <w:bCs/>
          <w:sz w:val="24"/>
          <w:szCs w:val="24"/>
          <w:lang w:val="en-US"/>
        </w:rPr>
        <w:lastRenderedPageBreak/>
        <w:t xml:space="preserve">Annex 2 – Legal Framework </w:t>
      </w:r>
    </w:p>
    <w:p w:rsidR="00D14B4B" w:rsidRPr="00D14B4B" w:rsidRDefault="0089209D" w:rsidP="00D14B4B">
      <w:pPr>
        <w:rPr>
          <w:lang w:val="en-US"/>
        </w:rPr>
      </w:pPr>
      <w:r>
        <w:rPr>
          <w:lang w:val="en-US"/>
        </w:rPr>
        <w:t>The l</w:t>
      </w:r>
      <w:r w:rsidR="00D14B4B" w:rsidRPr="00D14B4B">
        <w:rPr>
          <w:lang w:val="en-US"/>
        </w:rPr>
        <w:t>egal</w:t>
      </w:r>
      <w:r>
        <w:rPr>
          <w:lang w:val="en-US"/>
        </w:rPr>
        <w:t xml:space="preserve"> f</w:t>
      </w:r>
      <w:r w:rsidR="00D14B4B" w:rsidRPr="00D14B4B">
        <w:rPr>
          <w:lang w:val="en-US"/>
        </w:rPr>
        <w:t>ramework in</w:t>
      </w:r>
      <w:r>
        <w:rPr>
          <w:lang w:val="en-US"/>
        </w:rPr>
        <w:t xml:space="preserve"> the</w:t>
      </w:r>
      <w:r w:rsidR="00D14B4B" w:rsidRPr="00D14B4B">
        <w:rPr>
          <w:lang w:val="en-US"/>
        </w:rPr>
        <w:t xml:space="preserve"> Republic of North Macedonia that regulate</w:t>
      </w:r>
      <w:r>
        <w:rPr>
          <w:lang w:val="en-US"/>
        </w:rPr>
        <w:t>s</w:t>
      </w:r>
      <w:r w:rsidR="00D14B4B" w:rsidRPr="00D14B4B">
        <w:rPr>
          <w:lang w:val="en-US"/>
        </w:rPr>
        <w:t xml:space="preserve"> the cultural processes and work of its institutions consist</w:t>
      </w:r>
      <w:r>
        <w:rPr>
          <w:lang w:val="en-US"/>
        </w:rPr>
        <w:t xml:space="preserve">s in a </w:t>
      </w:r>
      <w:r w:rsidR="00D14B4B" w:rsidRPr="00D14B4B">
        <w:rPr>
          <w:lang w:val="en-US"/>
        </w:rPr>
        <w:t>set of laws, by-laws, strategies and yearly strategic oper</w:t>
      </w:r>
      <w:r>
        <w:rPr>
          <w:lang w:val="en-US"/>
        </w:rPr>
        <w:t>ating plans of the Ministry of C</w:t>
      </w:r>
      <w:r w:rsidR="00D14B4B" w:rsidRPr="00D14B4B">
        <w:rPr>
          <w:lang w:val="en-US"/>
        </w:rPr>
        <w:t xml:space="preserve">ulture. </w:t>
      </w:r>
    </w:p>
    <w:p w:rsidR="00D14B4B" w:rsidRPr="00D14B4B" w:rsidRDefault="00D14B4B" w:rsidP="00D14B4B">
      <w:pPr>
        <w:rPr>
          <w:lang w:val="en-US"/>
        </w:rPr>
      </w:pPr>
      <w:r w:rsidRPr="00D14B4B">
        <w:rPr>
          <w:lang w:val="en-US"/>
        </w:rPr>
        <w:t>A total of 16 laws are operational in the field of culture:</w:t>
      </w:r>
    </w:p>
    <w:p w:rsidR="00D14B4B" w:rsidRPr="00D14B4B" w:rsidRDefault="00D14B4B" w:rsidP="00D14B4B">
      <w:pPr>
        <w:rPr>
          <w:lang w:val="en-US"/>
        </w:rPr>
      </w:pPr>
      <w:r w:rsidRPr="00D14B4B">
        <w:rPr>
          <w:lang w:val="en-US"/>
        </w:rPr>
        <w:t>1.</w:t>
      </w:r>
      <w:r w:rsidRPr="00D14B4B">
        <w:rPr>
          <w:lang w:val="en-US"/>
        </w:rPr>
        <w:tab/>
        <w:t>Law on Culture, with seven (7) active by-laws within this Law,</w:t>
      </w:r>
    </w:p>
    <w:p w:rsidR="00D14B4B" w:rsidRPr="00D14B4B" w:rsidRDefault="00D14B4B" w:rsidP="00D14B4B">
      <w:pPr>
        <w:rPr>
          <w:lang w:val="en-US"/>
        </w:rPr>
      </w:pPr>
      <w:r w:rsidRPr="00D14B4B">
        <w:rPr>
          <w:lang w:val="en-US"/>
        </w:rPr>
        <w:t>2.</w:t>
      </w:r>
      <w:r w:rsidRPr="00D14B4B">
        <w:rPr>
          <w:lang w:val="en-US"/>
        </w:rPr>
        <w:tab/>
        <w:t xml:space="preserve">Law on Libraries, with five (5) active by-laws within this Law , </w:t>
      </w:r>
    </w:p>
    <w:p w:rsidR="00D14B4B" w:rsidRPr="00D14B4B" w:rsidRDefault="00D14B4B" w:rsidP="00D14B4B">
      <w:pPr>
        <w:rPr>
          <w:lang w:val="en-US"/>
        </w:rPr>
      </w:pPr>
      <w:r w:rsidRPr="00D14B4B">
        <w:rPr>
          <w:lang w:val="en-US"/>
        </w:rPr>
        <w:t>3.</w:t>
      </w:r>
      <w:r w:rsidRPr="00D14B4B">
        <w:rPr>
          <w:lang w:val="en-US"/>
        </w:rPr>
        <w:tab/>
        <w:t xml:space="preserve">Law on Museums, with eight (8) active by-laws within this Law, </w:t>
      </w:r>
    </w:p>
    <w:p w:rsidR="00D14B4B" w:rsidRPr="00D14B4B" w:rsidRDefault="00D14B4B" w:rsidP="00D14B4B">
      <w:pPr>
        <w:rPr>
          <w:lang w:val="en-US"/>
        </w:rPr>
      </w:pPr>
      <w:r w:rsidRPr="00D14B4B">
        <w:rPr>
          <w:lang w:val="en-US"/>
        </w:rPr>
        <w:t>4.</w:t>
      </w:r>
      <w:r w:rsidRPr="00D14B4B">
        <w:rPr>
          <w:lang w:val="en-US"/>
        </w:rPr>
        <w:tab/>
        <w:t xml:space="preserve">Law on Audiovisual Goods, with six (6) active by-laws within this Law, </w:t>
      </w:r>
    </w:p>
    <w:p w:rsidR="00D14B4B" w:rsidRPr="00D14B4B" w:rsidRDefault="00D14B4B" w:rsidP="00D14B4B">
      <w:pPr>
        <w:rPr>
          <w:lang w:val="en-US"/>
        </w:rPr>
      </w:pPr>
      <w:r w:rsidRPr="00D14B4B">
        <w:rPr>
          <w:lang w:val="en-US"/>
        </w:rPr>
        <w:t>5.</w:t>
      </w:r>
      <w:r w:rsidRPr="00D14B4B">
        <w:rPr>
          <w:lang w:val="en-US"/>
        </w:rPr>
        <w:tab/>
        <w:t xml:space="preserve">Law on </w:t>
      </w:r>
      <w:r w:rsidR="0089209D">
        <w:rPr>
          <w:lang w:val="en-US"/>
        </w:rPr>
        <w:t xml:space="preserve">the </w:t>
      </w:r>
      <w:r w:rsidRPr="00D14B4B">
        <w:rPr>
          <w:lang w:val="en-US"/>
        </w:rPr>
        <w:t>Protection</w:t>
      </w:r>
      <w:r w:rsidR="0089209D">
        <w:rPr>
          <w:lang w:val="en-US"/>
        </w:rPr>
        <w:t xml:space="preserve"> of </w:t>
      </w:r>
      <w:r w:rsidRPr="00D14B4B">
        <w:rPr>
          <w:lang w:val="en-US"/>
        </w:rPr>
        <w:t xml:space="preserve">Cultural Heritage, with thirty (30) active by-laws, </w:t>
      </w:r>
    </w:p>
    <w:p w:rsidR="00D14B4B" w:rsidRPr="00D14B4B" w:rsidRDefault="00D14B4B" w:rsidP="00D14B4B">
      <w:pPr>
        <w:rPr>
          <w:lang w:val="en-US"/>
        </w:rPr>
      </w:pPr>
      <w:r w:rsidRPr="00D14B4B">
        <w:rPr>
          <w:lang w:val="en-US"/>
        </w:rPr>
        <w:t>6.</w:t>
      </w:r>
      <w:r w:rsidRPr="00D14B4B">
        <w:rPr>
          <w:lang w:val="en-US"/>
        </w:rPr>
        <w:tab/>
        <w:t>Law on Copyright and Related Rights</w:t>
      </w:r>
      <w:r w:rsidR="0089209D">
        <w:rPr>
          <w:lang w:val="en-US"/>
        </w:rPr>
        <w:t xml:space="preserve">, </w:t>
      </w:r>
      <w:r w:rsidRPr="00D14B4B">
        <w:rPr>
          <w:lang w:val="en-US"/>
        </w:rPr>
        <w:t xml:space="preserve"> with two (2) active by-laws</w:t>
      </w:r>
    </w:p>
    <w:p w:rsidR="00D14B4B" w:rsidRPr="00D14B4B" w:rsidRDefault="00D14B4B" w:rsidP="00D14B4B">
      <w:pPr>
        <w:rPr>
          <w:lang w:val="en-US"/>
        </w:rPr>
      </w:pPr>
      <w:r w:rsidRPr="00D14B4B">
        <w:rPr>
          <w:lang w:val="en-US"/>
        </w:rPr>
        <w:t>7.</w:t>
      </w:r>
      <w:r w:rsidRPr="00D14B4B">
        <w:rPr>
          <w:lang w:val="en-US"/>
        </w:rPr>
        <w:tab/>
        <w:t xml:space="preserve"> Law on Publishing, with five (5) active by-</w:t>
      </w:r>
      <w:r w:rsidR="0089209D" w:rsidRPr="00D14B4B">
        <w:rPr>
          <w:lang w:val="en-US"/>
        </w:rPr>
        <w:t>laws,</w:t>
      </w:r>
    </w:p>
    <w:p w:rsidR="00D14B4B" w:rsidRPr="00D14B4B" w:rsidRDefault="00D14B4B" w:rsidP="00D14B4B">
      <w:pPr>
        <w:rPr>
          <w:lang w:val="en-US"/>
        </w:rPr>
      </w:pPr>
      <w:r w:rsidRPr="00D14B4B">
        <w:rPr>
          <w:lang w:val="en-US"/>
        </w:rPr>
        <w:t>8.</w:t>
      </w:r>
      <w:r w:rsidRPr="00D14B4B">
        <w:rPr>
          <w:lang w:val="en-US"/>
        </w:rPr>
        <w:tab/>
        <w:t>Law on Cinematography, with three (3) active by-laws within this Law,</w:t>
      </w:r>
    </w:p>
    <w:p w:rsidR="00D14B4B" w:rsidRPr="00D14B4B" w:rsidRDefault="00D14B4B" w:rsidP="00D14B4B">
      <w:pPr>
        <w:rPr>
          <w:lang w:val="en-US"/>
        </w:rPr>
      </w:pPr>
      <w:r w:rsidRPr="00D14B4B">
        <w:rPr>
          <w:lang w:val="en-US"/>
        </w:rPr>
        <w:t>9.</w:t>
      </w:r>
      <w:r w:rsidRPr="00D14B4B">
        <w:rPr>
          <w:lang w:val="en-US"/>
        </w:rPr>
        <w:tab/>
        <w:t>Law on Memorials and Memorial Monuments, with two (2) active by-laws,</w:t>
      </w:r>
    </w:p>
    <w:p w:rsidR="00D14B4B" w:rsidRPr="00D14B4B" w:rsidRDefault="00D14B4B" w:rsidP="00D14B4B">
      <w:pPr>
        <w:rPr>
          <w:lang w:val="en-US"/>
        </w:rPr>
      </w:pPr>
      <w:r w:rsidRPr="00D14B4B">
        <w:rPr>
          <w:lang w:val="en-US"/>
        </w:rPr>
        <w:t>10.</w:t>
      </w:r>
      <w:r w:rsidRPr="00D14B4B">
        <w:rPr>
          <w:lang w:val="en-US"/>
        </w:rPr>
        <w:tab/>
        <w:t>Law on the use of Macedonian Language, with seven(7) active by-laws ,</w:t>
      </w:r>
    </w:p>
    <w:p w:rsidR="00D14B4B" w:rsidRPr="00D14B4B" w:rsidRDefault="00D14B4B" w:rsidP="00D14B4B">
      <w:pPr>
        <w:rPr>
          <w:lang w:val="en-US"/>
        </w:rPr>
      </w:pPr>
      <w:r w:rsidRPr="00D14B4B">
        <w:rPr>
          <w:lang w:val="en-US"/>
        </w:rPr>
        <w:t>11.</w:t>
      </w:r>
      <w:r w:rsidRPr="00D14B4B">
        <w:rPr>
          <w:lang w:val="en-US"/>
        </w:rPr>
        <w:tab/>
        <w:t>Law on the proclamation of the Old Skopje Bazaar for cultural heritage of special importance,</w:t>
      </w:r>
    </w:p>
    <w:p w:rsidR="00D14B4B" w:rsidRPr="00D14B4B" w:rsidRDefault="00D14B4B" w:rsidP="00787A80">
      <w:pPr>
        <w:ind w:left="708" w:hanging="708"/>
        <w:rPr>
          <w:lang w:val="en-US"/>
        </w:rPr>
      </w:pPr>
      <w:r w:rsidRPr="00D14B4B">
        <w:rPr>
          <w:lang w:val="en-US"/>
        </w:rPr>
        <w:t>12.</w:t>
      </w:r>
      <w:r w:rsidRPr="00D14B4B">
        <w:rPr>
          <w:lang w:val="en-US"/>
        </w:rPr>
        <w:tab/>
        <w:t>Law on the proclamation of the Old City Core of Ohrid for cultural heritage of special importance,</w:t>
      </w:r>
    </w:p>
    <w:p w:rsidR="00D14B4B" w:rsidRPr="00D14B4B" w:rsidRDefault="00D14B4B" w:rsidP="00787A80">
      <w:pPr>
        <w:ind w:left="708" w:hanging="708"/>
        <w:rPr>
          <w:lang w:val="en-US"/>
        </w:rPr>
      </w:pPr>
      <w:r w:rsidRPr="00D14B4B">
        <w:rPr>
          <w:lang w:val="en-US"/>
        </w:rPr>
        <w:t>13.</w:t>
      </w:r>
      <w:r w:rsidRPr="00D14B4B">
        <w:rPr>
          <w:lang w:val="en-US"/>
        </w:rPr>
        <w:tab/>
        <w:t xml:space="preserve"> Law on </w:t>
      </w:r>
      <w:r w:rsidR="0089209D">
        <w:rPr>
          <w:lang w:val="en-US"/>
        </w:rPr>
        <w:t>the m</w:t>
      </w:r>
      <w:r w:rsidRPr="00D14B4B">
        <w:rPr>
          <w:lang w:val="en-US"/>
        </w:rPr>
        <w:t xml:space="preserve">anagement </w:t>
      </w:r>
      <w:r w:rsidR="0089209D">
        <w:rPr>
          <w:lang w:val="en-US"/>
        </w:rPr>
        <w:t xml:space="preserve">of </w:t>
      </w:r>
      <w:r w:rsidRPr="00D14B4B">
        <w:rPr>
          <w:lang w:val="en-US"/>
        </w:rPr>
        <w:t xml:space="preserve"> the World Natural and Cultural Heritage </w:t>
      </w:r>
      <w:r w:rsidR="0089209D">
        <w:rPr>
          <w:lang w:val="en-US"/>
        </w:rPr>
        <w:t xml:space="preserve">Site </w:t>
      </w:r>
      <w:r w:rsidRPr="00D14B4B">
        <w:rPr>
          <w:lang w:val="en-US"/>
        </w:rPr>
        <w:t>of the Ohrid Region, with one ac</w:t>
      </w:r>
      <w:r w:rsidR="0089209D">
        <w:rPr>
          <w:lang w:val="en-US"/>
        </w:rPr>
        <w:t>tive by-law within this Law: A p</w:t>
      </w:r>
      <w:r w:rsidRPr="00D14B4B">
        <w:rPr>
          <w:lang w:val="en-US"/>
        </w:rPr>
        <w:t xml:space="preserve">lan for </w:t>
      </w:r>
      <w:r w:rsidR="0089209D">
        <w:rPr>
          <w:lang w:val="en-US"/>
        </w:rPr>
        <w:t xml:space="preserve">the </w:t>
      </w:r>
      <w:r w:rsidRPr="00D14B4B">
        <w:rPr>
          <w:lang w:val="en-US"/>
        </w:rPr>
        <w:t xml:space="preserve">management of the world natural and cultural heritage </w:t>
      </w:r>
      <w:r w:rsidR="0089209D">
        <w:rPr>
          <w:lang w:val="en-US"/>
        </w:rPr>
        <w:t xml:space="preserve">site </w:t>
      </w:r>
      <w:r w:rsidRPr="00D14B4B">
        <w:rPr>
          <w:lang w:val="en-US"/>
        </w:rPr>
        <w:t>of the Ohrid region with an action plan (2020-2029),</w:t>
      </w:r>
    </w:p>
    <w:p w:rsidR="00D14B4B" w:rsidRPr="00D14B4B" w:rsidRDefault="00D14B4B" w:rsidP="00787A80">
      <w:pPr>
        <w:ind w:left="708" w:hanging="708"/>
        <w:rPr>
          <w:lang w:val="en-US"/>
        </w:rPr>
      </w:pPr>
      <w:r w:rsidRPr="00D14B4B">
        <w:rPr>
          <w:lang w:val="en-US"/>
        </w:rPr>
        <w:t>14.</w:t>
      </w:r>
      <w:r w:rsidRPr="00D14B4B">
        <w:rPr>
          <w:lang w:val="en-US"/>
        </w:rPr>
        <w:tab/>
        <w:t xml:space="preserve">Law on the proclamation of the Monumental whole Krushevo for cultural heritage of special importance, </w:t>
      </w:r>
    </w:p>
    <w:p w:rsidR="00D14B4B" w:rsidRPr="00D14B4B" w:rsidRDefault="00D14B4B" w:rsidP="00787A80">
      <w:pPr>
        <w:ind w:left="708" w:hanging="708"/>
        <w:rPr>
          <w:lang w:val="en-US"/>
        </w:rPr>
      </w:pPr>
      <w:r w:rsidRPr="00D14B4B">
        <w:rPr>
          <w:lang w:val="en-US"/>
        </w:rPr>
        <w:t>15.</w:t>
      </w:r>
      <w:r w:rsidRPr="00D14B4B">
        <w:rPr>
          <w:lang w:val="en-US"/>
        </w:rPr>
        <w:tab/>
        <w:t xml:space="preserve">Law on the proclamation of the Old City Core of Kratovo for cultural heritage of special importance, </w:t>
      </w:r>
    </w:p>
    <w:p w:rsidR="00E124B4" w:rsidRDefault="00D14B4B" w:rsidP="00787A80">
      <w:pPr>
        <w:ind w:left="708" w:hanging="708"/>
        <w:rPr>
          <w:lang w:val="en-US"/>
        </w:rPr>
      </w:pPr>
      <w:r w:rsidRPr="00D14B4B">
        <w:rPr>
          <w:lang w:val="en-US"/>
        </w:rPr>
        <w:t>16.</w:t>
      </w:r>
      <w:r w:rsidRPr="00D14B4B">
        <w:rPr>
          <w:lang w:val="en-US"/>
        </w:rPr>
        <w:tab/>
        <w:t>Law on the proclamation of the Old City Core of Bitola for cultural heritage of special importance,</w:t>
      </w:r>
    </w:p>
    <w:p w:rsidR="00E124B4" w:rsidRDefault="00E124B4" w:rsidP="0013487B">
      <w:pPr>
        <w:rPr>
          <w:lang w:val="en-US"/>
        </w:rPr>
      </w:pPr>
    </w:p>
    <w:p w:rsidR="00317A8B" w:rsidRDefault="00317A8B" w:rsidP="0013487B">
      <w:pPr>
        <w:rPr>
          <w:lang w:val="en-US"/>
        </w:rPr>
      </w:pPr>
      <w:r>
        <w:rPr>
          <w:lang w:val="en-US"/>
        </w:rPr>
        <w:br w:type="page"/>
      </w:r>
    </w:p>
    <w:p w:rsidR="00317A8B" w:rsidRPr="00317A8B" w:rsidRDefault="00317A8B" w:rsidP="0013487B">
      <w:pPr>
        <w:rPr>
          <w:b/>
          <w:bCs/>
          <w:sz w:val="24"/>
          <w:szCs w:val="24"/>
          <w:lang w:val="en-US"/>
        </w:rPr>
      </w:pPr>
      <w:r w:rsidRPr="00317A8B">
        <w:rPr>
          <w:b/>
          <w:bCs/>
          <w:sz w:val="24"/>
          <w:szCs w:val="24"/>
          <w:lang w:val="en-US"/>
        </w:rPr>
        <w:lastRenderedPageBreak/>
        <w:t xml:space="preserve">Annex 3 </w:t>
      </w:r>
      <w:r w:rsidR="0089209D">
        <w:rPr>
          <w:b/>
          <w:bCs/>
          <w:sz w:val="24"/>
          <w:szCs w:val="24"/>
          <w:lang w:val="en-US"/>
        </w:rPr>
        <w:t>– UN C</w:t>
      </w:r>
      <w:r>
        <w:rPr>
          <w:b/>
          <w:bCs/>
          <w:sz w:val="24"/>
          <w:szCs w:val="24"/>
          <w:lang w:val="en-US"/>
        </w:rPr>
        <w:t xml:space="preserve">onventions </w:t>
      </w:r>
    </w:p>
    <w:p w:rsidR="00317A8B" w:rsidRPr="00317A8B" w:rsidRDefault="0089209D" w:rsidP="00317A8B">
      <w:pPr>
        <w:rPr>
          <w:sz w:val="24"/>
          <w:szCs w:val="24"/>
          <w:lang w:val="en-US"/>
        </w:rPr>
      </w:pPr>
      <w:r>
        <w:rPr>
          <w:sz w:val="24"/>
          <w:szCs w:val="24"/>
          <w:lang w:val="en-US"/>
        </w:rPr>
        <w:t xml:space="preserve">The </w:t>
      </w:r>
      <w:r w:rsidR="00317A8B" w:rsidRPr="00317A8B">
        <w:rPr>
          <w:sz w:val="24"/>
          <w:szCs w:val="24"/>
          <w:lang w:val="en-US"/>
        </w:rPr>
        <w:t>Republic of North Macedonia has ratified the following UN conventions which are under the jurisdiction of the Ministry of Culture:</w:t>
      </w:r>
    </w:p>
    <w:p w:rsidR="00317A8B" w:rsidRPr="00317A8B" w:rsidRDefault="00317A8B" w:rsidP="00317A8B">
      <w:pPr>
        <w:ind w:left="708" w:hanging="708"/>
        <w:rPr>
          <w:sz w:val="24"/>
          <w:szCs w:val="24"/>
          <w:lang w:val="en-US"/>
        </w:rPr>
      </w:pPr>
      <w:r w:rsidRPr="00317A8B">
        <w:rPr>
          <w:sz w:val="24"/>
          <w:szCs w:val="24"/>
          <w:lang w:val="en-US"/>
        </w:rPr>
        <w:t>1.</w:t>
      </w:r>
      <w:r w:rsidRPr="00317A8B">
        <w:rPr>
          <w:sz w:val="24"/>
          <w:szCs w:val="24"/>
          <w:lang w:val="en-US"/>
        </w:rPr>
        <w:tab/>
        <w:t>Convention for the Protection of Cultural Property in the Event of Armed Conflict with Regulations for the Execution of the Convention</w:t>
      </w:r>
      <w:r w:rsidR="0089209D">
        <w:rPr>
          <w:sz w:val="24"/>
          <w:szCs w:val="24"/>
          <w:lang w:val="en-US"/>
        </w:rPr>
        <w:t>.</w:t>
      </w:r>
    </w:p>
    <w:p w:rsidR="00317A8B" w:rsidRPr="00317A8B" w:rsidRDefault="00317A8B" w:rsidP="00317A8B">
      <w:pPr>
        <w:ind w:left="708" w:hanging="708"/>
        <w:rPr>
          <w:sz w:val="24"/>
          <w:szCs w:val="24"/>
          <w:lang w:val="en-US"/>
        </w:rPr>
      </w:pPr>
      <w:r w:rsidRPr="00317A8B">
        <w:rPr>
          <w:sz w:val="24"/>
          <w:szCs w:val="24"/>
          <w:lang w:val="en-US"/>
        </w:rPr>
        <w:t>2.</w:t>
      </w:r>
      <w:r w:rsidRPr="00317A8B">
        <w:rPr>
          <w:sz w:val="24"/>
          <w:szCs w:val="24"/>
          <w:lang w:val="en-US"/>
        </w:rPr>
        <w:tab/>
        <w:t>Convention on the Means of Prohibiting and Preventing the Illicit Import, Export and Transfer of Ownership of Cultural Properties</w:t>
      </w:r>
      <w:r w:rsidR="0089209D">
        <w:rPr>
          <w:sz w:val="24"/>
          <w:szCs w:val="24"/>
          <w:lang w:val="en-US"/>
        </w:rPr>
        <w:t>.</w:t>
      </w:r>
    </w:p>
    <w:p w:rsidR="00317A8B" w:rsidRPr="00317A8B" w:rsidRDefault="00317A8B" w:rsidP="00317A8B">
      <w:pPr>
        <w:rPr>
          <w:sz w:val="24"/>
          <w:szCs w:val="24"/>
          <w:lang w:val="en-US"/>
        </w:rPr>
      </w:pPr>
      <w:r w:rsidRPr="00317A8B">
        <w:rPr>
          <w:sz w:val="24"/>
          <w:szCs w:val="24"/>
          <w:lang w:val="en-US"/>
        </w:rPr>
        <w:t>3.</w:t>
      </w:r>
      <w:r w:rsidRPr="00317A8B">
        <w:rPr>
          <w:sz w:val="24"/>
          <w:szCs w:val="24"/>
          <w:lang w:val="en-US"/>
        </w:rPr>
        <w:tab/>
        <w:t>Convention concerning the Protection of the World Cultural and Natural Heritage</w:t>
      </w:r>
      <w:r w:rsidR="0089209D">
        <w:rPr>
          <w:sz w:val="24"/>
          <w:szCs w:val="24"/>
          <w:lang w:val="en-US"/>
        </w:rPr>
        <w:t>.</w:t>
      </w:r>
    </w:p>
    <w:p w:rsidR="00317A8B" w:rsidRPr="00317A8B" w:rsidRDefault="00317A8B" w:rsidP="00317A8B">
      <w:pPr>
        <w:rPr>
          <w:sz w:val="24"/>
          <w:szCs w:val="24"/>
          <w:lang w:val="en-US"/>
        </w:rPr>
      </w:pPr>
      <w:r w:rsidRPr="00317A8B">
        <w:rPr>
          <w:sz w:val="24"/>
          <w:szCs w:val="24"/>
          <w:lang w:val="en-US"/>
        </w:rPr>
        <w:t>4.</w:t>
      </w:r>
      <w:r w:rsidRPr="00317A8B">
        <w:rPr>
          <w:sz w:val="24"/>
          <w:szCs w:val="24"/>
          <w:lang w:val="en-US"/>
        </w:rPr>
        <w:tab/>
        <w:t>Convention for the Safeguarding of the Intangible Cultural Heritage</w:t>
      </w:r>
      <w:r w:rsidR="0089209D">
        <w:rPr>
          <w:sz w:val="24"/>
          <w:szCs w:val="24"/>
          <w:lang w:val="en-US"/>
        </w:rPr>
        <w:t>.</w:t>
      </w:r>
    </w:p>
    <w:p w:rsidR="00317A8B" w:rsidRPr="00317A8B" w:rsidRDefault="00317A8B" w:rsidP="00317A8B">
      <w:pPr>
        <w:rPr>
          <w:sz w:val="24"/>
          <w:szCs w:val="24"/>
          <w:lang w:val="en-US"/>
        </w:rPr>
      </w:pPr>
      <w:r w:rsidRPr="00317A8B">
        <w:rPr>
          <w:sz w:val="24"/>
          <w:szCs w:val="24"/>
          <w:lang w:val="en-US"/>
        </w:rPr>
        <w:t>5.</w:t>
      </w:r>
      <w:r w:rsidRPr="00317A8B">
        <w:rPr>
          <w:sz w:val="24"/>
          <w:szCs w:val="24"/>
          <w:lang w:val="en-US"/>
        </w:rPr>
        <w:tab/>
        <w:t>Convention on the Protection and Promotion of the Diversity of Cultural Expressions</w:t>
      </w:r>
      <w:r w:rsidR="0089209D">
        <w:rPr>
          <w:sz w:val="24"/>
          <w:szCs w:val="24"/>
          <w:lang w:val="en-US"/>
        </w:rPr>
        <w:t>.</w:t>
      </w:r>
    </w:p>
    <w:p w:rsidR="00317A8B" w:rsidRPr="00317A8B" w:rsidRDefault="00317A8B" w:rsidP="00317A8B">
      <w:pPr>
        <w:ind w:left="708" w:hanging="708"/>
        <w:rPr>
          <w:sz w:val="24"/>
          <w:szCs w:val="24"/>
          <w:lang w:val="en-US"/>
        </w:rPr>
      </w:pPr>
      <w:r w:rsidRPr="00317A8B">
        <w:rPr>
          <w:sz w:val="24"/>
          <w:szCs w:val="24"/>
          <w:lang w:val="en-US"/>
        </w:rPr>
        <w:t>6.</w:t>
      </w:r>
      <w:r w:rsidRPr="00317A8B">
        <w:rPr>
          <w:sz w:val="24"/>
          <w:szCs w:val="24"/>
          <w:lang w:val="en-US"/>
        </w:rPr>
        <w:tab/>
        <w:t xml:space="preserve">Universal Copyright Convention, with Appendix Declaration relating to Articles XVII and Resolution concerning Article XI and Universal Copyright Convention as revised in Paris on July 24, 1971, with Appendix Declaration relating to Article XVII and </w:t>
      </w:r>
      <w:r w:rsidR="0089209D">
        <w:rPr>
          <w:sz w:val="24"/>
          <w:szCs w:val="24"/>
          <w:lang w:val="en-US"/>
        </w:rPr>
        <w:t xml:space="preserve">the </w:t>
      </w:r>
      <w:r w:rsidRPr="00317A8B">
        <w:rPr>
          <w:sz w:val="24"/>
          <w:szCs w:val="24"/>
          <w:lang w:val="en-US"/>
        </w:rPr>
        <w:t>Resolution concerning Article XI</w:t>
      </w:r>
      <w:r w:rsidR="0089209D">
        <w:rPr>
          <w:sz w:val="24"/>
          <w:szCs w:val="24"/>
          <w:lang w:val="en-US"/>
        </w:rPr>
        <w:t>.</w:t>
      </w:r>
    </w:p>
    <w:p w:rsidR="00317A8B" w:rsidRPr="00317A8B" w:rsidRDefault="00317A8B" w:rsidP="00317A8B">
      <w:pPr>
        <w:ind w:left="708" w:hanging="708"/>
        <w:rPr>
          <w:sz w:val="24"/>
          <w:szCs w:val="24"/>
          <w:lang w:val="en-US"/>
        </w:rPr>
      </w:pPr>
      <w:r w:rsidRPr="00317A8B">
        <w:rPr>
          <w:sz w:val="24"/>
          <w:szCs w:val="24"/>
          <w:lang w:val="en-US"/>
        </w:rPr>
        <w:t>7.</w:t>
      </w:r>
      <w:r w:rsidRPr="00317A8B">
        <w:rPr>
          <w:sz w:val="24"/>
          <w:szCs w:val="24"/>
          <w:lang w:val="en-US"/>
        </w:rPr>
        <w:tab/>
        <w:t>Convention for the Protection of Producers of Phonograms against Unauthorized Duplication of their Phonograms</w:t>
      </w:r>
      <w:r w:rsidR="0089209D">
        <w:rPr>
          <w:sz w:val="24"/>
          <w:szCs w:val="24"/>
          <w:lang w:val="en-US"/>
        </w:rPr>
        <w:t>.</w:t>
      </w:r>
    </w:p>
    <w:p w:rsidR="00317A8B" w:rsidRPr="00317A8B" w:rsidRDefault="00317A8B" w:rsidP="00317A8B">
      <w:pPr>
        <w:rPr>
          <w:sz w:val="24"/>
          <w:szCs w:val="24"/>
          <w:lang w:val="en-US"/>
        </w:rPr>
      </w:pPr>
      <w:r w:rsidRPr="00317A8B">
        <w:rPr>
          <w:sz w:val="24"/>
          <w:szCs w:val="24"/>
          <w:lang w:val="en-US"/>
        </w:rPr>
        <w:t>8.</w:t>
      </w:r>
      <w:r w:rsidRPr="00317A8B">
        <w:rPr>
          <w:sz w:val="24"/>
          <w:szCs w:val="24"/>
          <w:lang w:val="en-US"/>
        </w:rPr>
        <w:tab/>
        <w:t>Convention Establishing the World Intellectual Property Organization</w:t>
      </w:r>
      <w:r w:rsidR="0089209D">
        <w:rPr>
          <w:sz w:val="24"/>
          <w:szCs w:val="24"/>
          <w:lang w:val="en-US"/>
        </w:rPr>
        <w:t>.</w:t>
      </w:r>
    </w:p>
    <w:p w:rsidR="0089209D" w:rsidRDefault="0089209D" w:rsidP="00317A8B">
      <w:pPr>
        <w:rPr>
          <w:sz w:val="24"/>
          <w:szCs w:val="24"/>
          <w:lang w:val="en-US"/>
        </w:rPr>
      </w:pPr>
    </w:p>
    <w:p w:rsidR="00D14B4B" w:rsidRPr="00317A8B" w:rsidRDefault="0089209D" w:rsidP="00317A8B">
      <w:pPr>
        <w:rPr>
          <w:sz w:val="24"/>
          <w:szCs w:val="24"/>
          <w:lang w:val="en-US"/>
        </w:rPr>
      </w:pPr>
      <w:r>
        <w:rPr>
          <w:sz w:val="24"/>
          <w:szCs w:val="24"/>
          <w:lang w:val="en-US"/>
        </w:rPr>
        <w:t>Source: Ministry of Culture</w:t>
      </w:r>
      <w:r w:rsidR="00D14B4B" w:rsidRPr="00317A8B">
        <w:rPr>
          <w:sz w:val="24"/>
          <w:szCs w:val="24"/>
          <w:lang w:val="en-US"/>
        </w:rPr>
        <w:br w:type="page"/>
      </w:r>
    </w:p>
    <w:p w:rsidR="00E124B4" w:rsidRPr="00E124B4" w:rsidRDefault="00E124B4" w:rsidP="00E124B4">
      <w:pPr>
        <w:keepNext/>
        <w:keepLines/>
        <w:spacing w:before="240" w:after="0"/>
        <w:outlineLvl w:val="0"/>
        <w:rPr>
          <w:rFonts w:ascii="Calibri" w:eastAsiaTheme="majorEastAsia" w:hAnsi="Calibri" w:cs="Calibri"/>
          <w:b/>
          <w:sz w:val="28"/>
          <w:szCs w:val="32"/>
          <w:lang w:val="en-GB"/>
        </w:rPr>
      </w:pPr>
      <w:bookmarkStart w:id="3" w:name="_Toc26960107"/>
      <w:r>
        <w:rPr>
          <w:rFonts w:ascii="Calibri" w:eastAsiaTheme="majorEastAsia" w:hAnsi="Calibri" w:cs="Calibri"/>
          <w:b/>
          <w:sz w:val="28"/>
          <w:szCs w:val="32"/>
          <w:lang w:val="en-GB"/>
        </w:rPr>
        <w:lastRenderedPageBreak/>
        <w:t xml:space="preserve">Annex </w:t>
      </w:r>
      <w:r w:rsidR="00317A8B">
        <w:rPr>
          <w:rFonts w:ascii="Calibri" w:eastAsiaTheme="majorEastAsia" w:hAnsi="Calibri" w:cs="Calibri"/>
          <w:b/>
          <w:sz w:val="28"/>
          <w:szCs w:val="32"/>
          <w:lang w:val="en-GB"/>
        </w:rPr>
        <w:t>4</w:t>
      </w:r>
      <w:r w:rsidRPr="00E124B4">
        <w:rPr>
          <w:rFonts w:ascii="Calibri" w:eastAsiaTheme="majorEastAsia" w:hAnsi="Calibri" w:cs="Calibri"/>
          <w:b/>
          <w:sz w:val="28"/>
          <w:szCs w:val="32"/>
          <w:lang w:val="en-GB"/>
        </w:rPr>
        <w:t xml:space="preserve"> – Programme</w:t>
      </w:r>
      <w:bookmarkEnd w:id="3"/>
    </w:p>
    <w:p w:rsidR="00E124B4" w:rsidRDefault="00E124B4" w:rsidP="00E124B4">
      <w:pPr>
        <w:rPr>
          <w:rFonts w:ascii="Calibri" w:hAnsi="Calibri" w:cs="Calibri"/>
          <w:b/>
          <w:lang w:val="en-GB"/>
        </w:rPr>
      </w:pPr>
    </w:p>
    <w:p w:rsidR="0089209D" w:rsidRPr="00E124B4" w:rsidRDefault="0089209D" w:rsidP="00E124B4">
      <w:pPr>
        <w:rPr>
          <w:rFonts w:ascii="Calibri" w:hAnsi="Calibri" w:cs="Calibri"/>
          <w:b/>
          <w:lang w:val="en-GB"/>
        </w:rPr>
      </w:pPr>
      <w:r>
        <w:rPr>
          <w:rFonts w:ascii="Calibri" w:hAnsi="Calibri" w:cs="Calibri"/>
          <w:b/>
          <w:lang w:val="en-GB"/>
        </w:rPr>
        <w:t xml:space="preserve">Preparation in Autumn 2019 with contacts with the Ministry of Culture in view of running a Cultural Policy Peer Review in early 2020. Plans had to be postponed due to the Covid 19 crisis. </w:t>
      </w:r>
    </w:p>
    <w:tbl>
      <w:tblPr>
        <w:tblStyle w:val="TableGrid"/>
        <w:tblW w:w="9884" w:type="dxa"/>
        <w:tblLook w:val="01E0"/>
      </w:tblPr>
      <w:tblGrid>
        <w:gridCol w:w="1991"/>
        <w:gridCol w:w="7893"/>
      </w:tblGrid>
      <w:tr w:rsidR="00E124B4" w:rsidRPr="00E124B4" w:rsidTr="003623BB">
        <w:tc>
          <w:tcPr>
            <w:tcW w:w="1991" w:type="dxa"/>
            <w:tcBorders>
              <w:top w:val="single" w:sz="4" w:space="0" w:color="auto"/>
              <w:left w:val="single" w:sz="4" w:space="0" w:color="auto"/>
              <w:bottom w:val="single" w:sz="4" w:space="0" w:color="auto"/>
              <w:right w:val="single" w:sz="4" w:space="0" w:color="auto"/>
            </w:tcBorders>
            <w:hideMark/>
          </w:tcPr>
          <w:p w:rsidR="00E124B4" w:rsidRPr="00E124B4" w:rsidRDefault="00E124B4" w:rsidP="00E124B4">
            <w:pPr>
              <w:jc w:val="center"/>
              <w:rPr>
                <w:rFonts w:ascii="Calibri" w:hAnsi="Calibri" w:cs="Calibri"/>
                <w:bCs/>
                <w:i/>
                <w:sz w:val="24"/>
                <w:szCs w:val="24"/>
                <w:lang w:eastAsia="uk-UA"/>
              </w:rPr>
            </w:pPr>
            <w:r w:rsidRPr="00E124B4">
              <w:rPr>
                <w:rFonts w:ascii="Calibri" w:hAnsi="Calibri" w:cs="Calibri"/>
                <w:bCs/>
                <w:i/>
                <w:sz w:val="24"/>
                <w:szCs w:val="24"/>
              </w:rPr>
              <w:t>Date and time</w:t>
            </w:r>
          </w:p>
        </w:tc>
        <w:tc>
          <w:tcPr>
            <w:tcW w:w="7893" w:type="dxa"/>
            <w:tcBorders>
              <w:top w:val="single" w:sz="4" w:space="0" w:color="auto"/>
              <w:left w:val="single" w:sz="4" w:space="0" w:color="auto"/>
              <w:bottom w:val="single" w:sz="4" w:space="0" w:color="auto"/>
              <w:right w:val="single" w:sz="4" w:space="0" w:color="auto"/>
            </w:tcBorders>
          </w:tcPr>
          <w:p w:rsidR="00E124B4" w:rsidRPr="00E124B4" w:rsidRDefault="00E124B4" w:rsidP="00E124B4">
            <w:pPr>
              <w:jc w:val="center"/>
              <w:rPr>
                <w:rFonts w:ascii="Calibri" w:hAnsi="Calibri" w:cs="Calibri"/>
                <w:bCs/>
                <w:i/>
                <w:sz w:val="24"/>
                <w:szCs w:val="24"/>
                <w:lang w:eastAsia="uk-UA"/>
              </w:rPr>
            </w:pPr>
          </w:p>
        </w:tc>
      </w:tr>
      <w:tr w:rsidR="00E124B4" w:rsidRPr="0077587A" w:rsidTr="003623BB">
        <w:trPr>
          <w:trHeight w:val="872"/>
        </w:trPr>
        <w:tc>
          <w:tcPr>
            <w:tcW w:w="1991" w:type="dxa"/>
            <w:tcBorders>
              <w:top w:val="single" w:sz="4" w:space="0" w:color="auto"/>
              <w:left w:val="single" w:sz="4" w:space="0" w:color="auto"/>
              <w:bottom w:val="single" w:sz="4" w:space="0" w:color="auto"/>
              <w:right w:val="single" w:sz="4" w:space="0" w:color="auto"/>
            </w:tcBorders>
            <w:hideMark/>
          </w:tcPr>
          <w:p w:rsidR="00E124B4" w:rsidRPr="00E124B4" w:rsidRDefault="0077587A" w:rsidP="0077587A">
            <w:pPr>
              <w:rPr>
                <w:rFonts w:ascii="Calibri" w:hAnsi="Calibri" w:cs="Calibri"/>
                <w:b/>
                <w:bCs/>
                <w:sz w:val="24"/>
                <w:szCs w:val="24"/>
                <w:lang w:eastAsia="uk-UA"/>
              </w:rPr>
            </w:pPr>
            <w:r>
              <w:rPr>
                <w:rFonts w:ascii="Calibri" w:hAnsi="Calibri" w:cs="Calibri"/>
                <w:b/>
                <w:bCs/>
                <w:sz w:val="24"/>
                <w:szCs w:val="24"/>
              </w:rPr>
              <w:t xml:space="preserve">9 December </w:t>
            </w:r>
            <w:r w:rsidR="00E124B4" w:rsidRPr="00E124B4">
              <w:rPr>
                <w:rFonts w:ascii="Calibri" w:hAnsi="Calibri" w:cs="Calibri"/>
                <w:b/>
                <w:bCs/>
                <w:sz w:val="24"/>
                <w:szCs w:val="24"/>
              </w:rPr>
              <w:t>20</w:t>
            </w:r>
            <w:r>
              <w:rPr>
                <w:rFonts w:ascii="Calibri" w:hAnsi="Calibri" w:cs="Calibri"/>
                <w:b/>
                <w:bCs/>
                <w:sz w:val="24"/>
                <w:szCs w:val="24"/>
              </w:rPr>
              <w:t>20</w:t>
            </w:r>
          </w:p>
        </w:tc>
        <w:tc>
          <w:tcPr>
            <w:tcW w:w="7893" w:type="dxa"/>
            <w:tcBorders>
              <w:top w:val="single" w:sz="4" w:space="0" w:color="auto"/>
              <w:left w:val="single" w:sz="4" w:space="0" w:color="auto"/>
              <w:bottom w:val="single" w:sz="4" w:space="0" w:color="auto"/>
              <w:right w:val="single" w:sz="4" w:space="0" w:color="auto"/>
            </w:tcBorders>
          </w:tcPr>
          <w:p w:rsidR="00843FE0" w:rsidRDefault="0077587A" w:rsidP="0077587A">
            <w:pPr>
              <w:rPr>
                <w:rFonts w:ascii="Calibri" w:hAnsi="Calibri" w:cs="Calibri"/>
                <w:bCs/>
                <w:sz w:val="24"/>
                <w:szCs w:val="24"/>
              </w:rPr>
            </w:pPr>
            <w:r>
              <w:rPr>
                <w:rFonts w:ascii="Calibri" w:hAnsi="Calibri" w:cs="Calibri"/>
                <w:bCs/>
                <w:sz w:val="24"/>
                <w:szCs w:val="24"/>
              </w:rPr>
              <w:t>Initial contact with the MoC to explain the policy review and prepare stakeholders consultation</w:t>
            </w:r>
            <w:r w:rsidR="00843FE0">
              <w:rPr>
                <w:rFonts w:ascii="Calibri" w:hAnsi="Calibri" w:cs="Calibri"/>
                <w:bCs/>
                <w:sz w:val="24"/>
                <w:szCs w:val="24"/>
              </w:rPr>
              <w:t xml:space="preserve">. </w:t>
            </w:r>
          </w:p>
          <w:p w:rsidR="00843FE0" w:rsidRDefault="00843FE0" w:rsidP="00843FE0">
            <w:pPr>
              <w:pStyle w:val="ListParagraph"/>
              <w:numPr>
                <w:ilvl w:val="0"/>
                <w:numId w:val="6"/>
              </w:numPr>
              <w:rPr>
                <w:rFonts w:ascii="Calibri" w:hAnsi="Calibri" w:cs="Calibri"/>
                <w:bCs/>
                <w:lang w:val="fi-FI"/>
              </w:rPr>
            </w:pPr>
            <w:r>
              <w:rPr>
                <w:rFonts w:ascii="Calibri" w:hAnsi="Calibri" w:cs="Calibri"/>
                <w:bCs/>
                <w:lang w:val="fi-FI"/>
              </w:rPr>
              <w:t>Dafina Dzeparoska</w:t>
            </w:r>
          </w:p>
          <w:p w:rsidR="00843FE0" w:rsidRDefault="00843FE0" w:rsidP="00843FE0">
            <w:pPr>
              <w:pStyle w:val="ListParagraph"/>
              <w:numPr>
                <w:ilvl w:val="0"/>
                <w:numId w:val="6"/>
              </w:numPr>
              <w:rPr>
                <w:rFonts w:ascii="Calibri" w:hAnsi="Calibri" w:cs="Calibri"/>
                <w:bCs/>
                <w:lang w:val="fi-FI"/>
              </w:rPr>
            </w:pPr>
            <w:r>
              <w:rPr>
                <w:rFonts w:ascii="Calibri" w:hAnsi="Calibri" w:cs="Calibri"/>
                <w:bCs/>
                <w:lang w:val="fi-FI"/>
              </w:rPr>
              <w:t>Nada Peseva</w:t>
            </w:r>
          </w:p>
          <w:p w:rsidR="00843FE0" w:rsidRDefault="00843FE0" w:rsidP="00843FE0">
            <w:pPr>
              <w:pStyle w:val="ListParagraph"/>
              <w:numPr>
                <w:ilvl w:val="0"/>
                <w:numId w:val="6"/>
              </w:numPr>
              <w:rPr>
                <w:rFonts w:ascii="Calibri" w:hAnsi="Calibri" w:cs="Calibri"/>
                <w:bCs/>
                <w:lang w:val="fi-FI"/>
              </w:rPr>
            </w:pPr>
            <w:r>
              <w:rPr>
                <w:rFonts w:ascii="Calibri" w:hAnsi="Calibri" w:cs="Calibri"/>
                <w:bCs/>
                <w:lang w:val="fi-FI"/>
              </w:rPr>
              <w:t>Elena Bodajiva</w:t>
            </w:r>
          </w:p>
          <w:p w:rsidR="00843FE0" w:rsidRPr="00843FE0" w:rsidRDefault="00843FE0" w:rsidP="00843FE0">
            <w:pPr>
              <w:pStyle w:val="ListParagraph"/>
              <w:numPr>
                <w:ilvl w:val="0"/>
                <w:numId w:val="6"/>
              </w:numPr>
              <w:rPr>
                <w:rFonts w:ascii="Calibri" w:hAnsi="Calibri" w:cs="Calibri"/>
                <w:bCs/>
                <w:lang w:val="fi-FI"/>
              </w:rPr>
            </w:pPr>
            <w:r>
              <w:rPr>
                <w:rFonts w:ascii="Calibri" w:hAnsi="Calibri" w:cs="Calibri"/>
                <w:bCs/>
                <w:lang w:val="fi-FI"/>
              </w:rPr>
              <w:t>Biljana Pentoska</w:t>
            </w:r>
          </w:p>
          <w:p w:rsidR="00E124B4" w:rsidRPr="00E124B4" w:rsidRDefault="00E124B4" w:rsidP="0077587A">
            <w:pPr>
              <w:rPr>
                <w:rFonts w:ascii="Calibri" w:hAnsi="Calibri" w:cs="Calibri"/>
                <w:bCs/>
                <w:sz w:val="24"/>
                <w:szCs w:val="24"/>
                <w:lang w:eastAsia="uk-UA"/>
              </w:rPr>
            </w:pPr>
          </w:p>
        </w:tc>
      </w:tr>
      <w:tr w:rsidR="00E124B4" w:rsidRPr="00843FE0" w:rsidTr="003623BB">
        <w:trPr>
          <w:trHeight w:val="611"/>
        </w:trPr>
        <w:tc>
          <w:tcPr>
            <w:tcW w:w="9884" w:type="dxa"/>
            <w:gridSpan w:val="2"/>
            <w:tcBorders>
              <w:top w:val="single" w:sz="4" w:space="0" w:color="auto"/>
              <w:left w:val="single" w:sz="4" w:space="0" w:color="auto"/>
              <w:bottom w:val="single" w:sz="4" w:space="0" w:color="auto"/>
              <w:right w:val="single" w:sz="4" w:space="0" w:color="auto"/>
            </w:tcBorders>
            <w:hideMark/>
          </w:tcPr>
          <w:p w:rsidR="00E124B4" w:rsidRPr="00E124B4" w:rsidRDefault="00E124B4" w:rsidP="00E124B4">
            <w:pPr>
              <w:rPr>
                <w:rFonts w:ascii="Calibri" w:hAnsi="Calibri" w:cs="Calibri"/>
                <w:b/>
                <w:bCs/>
                <w:sz w:val="24"/>
                <w:szCs w:val="24"/>
              </w:rPr>
            </w:pPr>
          </w:p>
          <w:p w:rsidR="00E124B4" w:rsidRPr="00E124B4" w:rsidRDefault="00843FE0" w:rsidP="00E124B4">
            <w:pPr>
              <w:rPr>
                <w:rFonts w:ascii="Calibri" w:hAnsi="Calibri" w:cs="Calibri"/>
                <w:b/>
                <w:bCs/>
                <w:sz w:val="24"/>
                <w:szCs w:val="24"/>
              </w:rPr>
            </w:pPr>
            <w:r>
              <w:rPr>
                <w:rFonts w:ascii="Calibri" w:hAnsi="Calibri" w:cs="Calibri"/>
                <w:b/>
                <w:bCs/>
                <w:sz w:val="24"/>
                <w:szCs w:val="24"/>
              </w:rPr>
              <w:t xml:space="preserve">10 December </w:t>
            </w:r>
            <w:r w:rsidR="00E124B4" w:rsidRPr="00E124B4">
              <w:rPr>
                <w:rFonts w:ascii="Calibri" w:hAnsi="Calibri" w:cs="Calibri"/>
                <w:b/>
                <w:bCs/>
                <w:sz w:val="24"/>
                <w:szCs w:val="24"/>
              </w:rPr>
              <w:t xml:space="preserve"> 20</w:t>
            </w:r>
            <w:r>
              <w:rPr>
                <w:rFonts w:ascii="Calibri" w:hAnsi="Calibri" w:cs="Calibri"/>
                <w:b/>
                <w:bCs/>
                <w:sz w:val="24"/>
                <w:szCs w:val="24"/>
              </w:rPr>
              <w:t>20</w:t>
            </w:r>
          </w:p>
          <w:p w:rsidR="00E124B4" w:rsidRPr="00E124B4" w:rsidRDefault="00E124B4" w:rsidP="00E124B4">
            <w:pPr>
              <w:rPr>
                <w:rFonts w:ascii="Calibri" w:hAnsi="Calibri" w:cs="Calibri"/>
                <w:b/>
                <w:bCs/>
                <w:sz w:val="24"/>
                <w:szCs w:val="24"/>
                <w:lang w:eastAsia="uk-UA"/>
              </w:rPr>
            </w:pPr>
          </w:p>
        </w:tc>
      </w:tr>
      <w:tr w:rsidR="00E124B4" w:rsidRPr="00DF4F22" w:rsidTr="003623BB">
        <w:trPr>
          <w:trHeight w:val="707"/>
        </w:trPr>
        <w:tc>
          <w:tcPr>
            <w:tcW w:w="1991" w:type="dxa"/>
            <w:tcBorders>
              <w:top w:val="single" w:sz="4" w:space="0" w:color="auto"/>
              <w:left w:val="single" w:sz="4" w:space="0" w:color="auto"/>
              <w:bottom w:val="single" w:sz="4" w:space="0" w:color="auto"/>
              <w:right w:val="single" w:sz="4" w:space="0" w:color="auto"/>
            </w:tcBorders>
            <w:hideMark/>
          </w:tcPr>
          <w:p w:rsidR="00E124B4" w:rsidRPr="00E124B4" w:rsidRDefault="00E124B4" w:rsidP="00E124B4">
            <w:pPr>
              <w:rPr>
                <w:rFonts w:ascii="Calibri" w:hAnsi="Calibri" w:cs="Calibri"/>
                <w:bCs/>
                <w:sz w:val="24"/>
                <w:szCs w:val="24"/>
                <w:lang w:eastAsia="uk-UA"/>
              </w:rPr>
            </w:pPr>
          </w:p>
        </w:tc>
        <w:tc>
          <w:tcPr>
            <w:tcW w:w="7893" w:type="dxa"/>
            <w:tcBorders>
              <w:top w:val="single" w:sz="4" w:space="0" w:color="auto"/>
              <w:left w:val="single" w:sz="4" w:space="0" w:color="auto"/>
              <w:bottom w:val="single" w:sz="4" w:space="0" w:color="auto"/>
              <w:right w:val="single" w:sz="4" w:space="0" w:color="auto"/>
            </w:tcBorders>
            <w:hideMark/>
          </w:tcPr>
          <w:p w:rsidR="00E124B4" w:rsidRPr="00E124B4" w:rsidRDefault="00E124B4" w:rsidP="00E124B4">
            <w:pPr>
              <w:rPr>
                <w:rFonts w:ascii="Calibri" w:hAnsi="Calibri" w:cs="Calibri"/>
                <w:bCs/>
                <w:i/>
                <w:sz w:val="24"/>
                <w:szCs w:val="24"/>
                <w:lang w:eastAsia="uk-UA"/>
              </w:rPr>
            </w:pPr>
          </w:p>
        </w:tc>
      </w:tr>
      <w:tr w:rsidR="00E124B4" w:rsidRPr="0089209D" w:rsidTr="003623BB">
        <w:trPr>
          <w:trHeight w:val="707"/>
        </w:trPr>
        <w:tc>
          <w:tcPr>
            <w:tcW w:w="1991" w:type="dxa"/>
            <w:tcBorders>
              <w:top w:val="single" w:sz="4" w:space="0" w:color="auto"/>
              <w:left w:val="single" w:sz="4" w:space="0" w:color="auto"/>
              <w:bottom w:val="single" w:sz="4" w:space="0" w:color="auto"/>
              <w:right w:val="single" w:sz="4" w:space="0" w:color="auto"/>
            </w:tcBorders>
          </w:tcPr>
          <w:p w:rsidR="00E124B4" w:rsidRPr="00E124B4" w:rsidRDefault="00843FE0" w:rsidP="00843FE0">
            <w:pPr>
              <w:rPr>
                <w:rFonts w:ascii="Calibri" w:hAnsi="Calibri" w:cs="Calibri"/>
                <w:bCs/>
                <w:sz w:val="24"/>
                <w:szCs w:val="24"/>
              </w:rPr>
            </w:pPr>
            <w:r>
              <w:rPr>
                <w:rFonts w:ascii="Calibri" w:hAnsi="Calibri" w:cs="Calibri"/>
                <w:bCs/>
                <w:sz w:val="24"/>
                <w:szCs w:val="24"/>
              </w:rPr>
              <w:t>10</w:t>
            </w:r>
            <w:r w:rsidR="00E124B4" w:rsidRPr="00E124B4">
              <w:rPr>
                <w:rFonts w:ascii="Calibri" w:hAnsi="Calibri" w:cs="Calibri"/>
                <w:bCs/>
                <w:sz w:val="24"/>
                <w:szCs w:val="24"/>
              </w:rPr>
              <w:t>:00 –</w:t>
            </w:r>
            <w:r>
              <w:rPr>
                <w:rFonts w:ascii="Calibri" w:hAnsi="Calibri" w:cs="Calibri"/>
                <w:bCs/>
                <w:sz w:val="24"/>
                <w:szCs w:val="24"/>
              </w:rPr>
              <w:t>11</w:t>
            </w:r>
            <w:r w:rsidR="00E124B4" w:rsidRPr="00E124B4">
              <w:rPr>
                <w:rFonts w:ascii="Calibri" w:hAnsi="Calibri" w:cs="Calibri"/>
                <w:bCs/>
                <w:sz w:val="24"/>
                <w:szCs w:val="24"/>
              </w:rPr>
              <w:t>:30</w:t>
            </w:r>
          </w:p>
        </w:tc>
        <w:tc>
          <w:tcPr>
            <w:tcW w:w="7893" w:type="dxa"/>
            <w:tcBorders>
              <w:top w:val="single" w:sz="4" w:space="0" w:color="auto"/>
              <w:left w:val="single" w:sz="4" w:space="0" w:color="auto"/>
              <w:bottom w:val="single" w:sz="4" w:space="0" w:color="auto"/>
              <w:right w:val="single" w:sz="4" w:space="0" w:color="auto"/>
            </w:tcBorders>
          </w:tcPr>
          <w:p w:rsidR="00A9329A" w:rsidRDefault="00E124B4" w:rsidP="00843FE0">
            <w:pPr>
              <w:rPr>
                <w:rFonts w:ascii="Calibri" w:hAnsi="Calibri" w:cs="Calibri"/>
                <w:b/>
                <w:bCs/>
                <w:sz w:val="24"/>
                <w:szCs w:val="24"/>
              </w:rPr>
            </w:pPr>
            <w:r w:rsidRPr="00E124B4">
              <w:rPr>
                <w:rFonts w:ascii="Calibri" w:hAnsi="Calibri" w:cs="Calibri"/>
                <w:b/>
                <w:bCs/>
                <w:sz w:val="24"/>
                <w:szCs w:val="24"/>
              </w:rPr>
              <w:t xml:space="preserve">Meeting with </w:t>
            </w:r>
            <w:r w:rsidR="00843FE0">
              <w:rPr>
                <w:rFonts w:ascii="Calibri" w:hAnsi="Calibri" w:cs="Calibri"/>
                <w:b/>
                <w:bCs/>
                <w:sz w:val="24"/>
                <w:szCs w:val="24"/>
              </w:rPr>
              <w:t>representatives of the Cultural and Creative Industries (NGO, Private Sector)</w:t>
            </w:r>
          </w:p>
          <w:p w:rsidR="00A9329A" w:rsidRDefault="00A9329A" w:rsidP="00843FE0">
            <w:pPr>
              <w:rPr>
                <w:rFonts w:ascii="Calibri" w:hAnsi="Calibri" w:cs="Calibri"/>
                <w:b/>
                <w:bCs/>
                <w:sz w:val="24"/>
                <w:szCs w:val="24"/>
              </w:rPr>
            </w:pPr>
          </w:p>
          <w:p w:rsidR="00A9329A" w:rsidRPr="0089209D" w:rsidRDefault="00A9329A" w:rsidP="0089209D">
            <w:pPr>
              <w:pStyle w:val="ListParagraph"/>
              <w:numPr>
                <w:ilvl w:val="0"/>
                <w:numId w:val="6"/>
              </w:numPr>
              <w:spacing w:after="160" w:line="259" w:lineRule="auto"/>
              <w:rPr>
                <w:rFonts w:cstheme="minorHAnsi"/>
                <w:sz w:val="20"/>
                <w:szCs w:val="20"/>
                <w:lang w:val="fi-FI"/>
              </w:rPr>
            </w:pPr>
            <w:r w:rsidRPr="0089209D">
              <w:rPr>
                <w:rFonts w:cstheme="minorHAnsi"/>
                <w:sz w:val="20"/>
                <w:szCs w:val="20"/>
                <w:lang w:val="fi-FI"/>
              </w:rPr>
              <w:t>Elena Bojadjieva – President of UMPACI (Union of Macedonian professional associations in the creative industries)</w:t>
            </w:r>
          </w:p>
          <w:p w:rsidR="00A9329A" w:rsidRPr="0089209D" w:rsidRDefault="00A9329A" w:rsidP="0089209D">
            <w:pPr>
              <w:pStyle w:val="ListParagraph"/>
              <w:numPr>
                <w:ilvl w:val="0"/>
                <w:numId w:val="6"/>
              </w:numPr>
              <w:spacing w:after="160" w:line="259" w:lineRule="auto"/>
              <w:rPr>
                <w:rFonts w:cstheme="minorHAnsi"/>
                <w:sz w:val="20"/>
                <w:szCs w:val="20"/>
                <w:lang w:val="fi-FI"/>
              </w:rPr>
            </w:pPr>
            <w:r w:rsidRPr="0089209D">
              <w:rPr>
                <w:rFonts w:cstheme="minorHAnsi"/>
                <w:sz w:val="20"/>
                <w:szCs w:val="20"/>
                <w:shd w:val="clear" w:color="auto" w:fill="FFFFFF"/>
                <w:lang w:val="fi-FI"/>
              </w:rPr>
              <w:t>Petar Kotevski – MAGDA (Association for game development)</w:t>
            </w:r>
          </w:p>
          <w:p w:rsidR="00A9329A" w:rsidRPr="0063606C" w:rsidRDefault="00A9329A" w:rsidP="0089209D">
            <w:pPr>
              <w:pStyle w:val="ListParagraph"/>
              <w:numPr>
                <w:ilvl w:val="0"/>
                <w:numId w:val="6"/>
              </w:numPr>
              <w:spacing w:after="160" w:line="259" w:lineRule="auto"/>
              <w:rPr>
                <w:rFonts w:cstheme="minorHAnsi"/>
                <w:sz w:val="20"/>
                <w:szCs w:val="20"/>
              </w:rPr>
            </w:pPr>
            <w:r w:rsidRPr="0063606C">
              <w:rPr>
                <w:rFonts w:cstheme="minorHAnsi"/>
                <w:sz w:val="20"/>
                <w:szCs w:val="20"/>
              </w:rPr>
              <w:t>Nika Gavrovska – ,,Gavroche Books’’ (independent publishing house)</w:t>
            </w:r>
          </w:p>
          <w:p w:rsidR="00A9329A" w:rsidRPr="0063606C" w:rsidRDefault="00A9329A" w:rsidP="0089209D">
            <w:pPr>
              <w:pStyle w:val="ListParagraph"/>
              <w:numPr>
                <w:ilvl w:val="0"/>
                <w:numId w:val="6"/>
              </w:numPr>
              <w:spacing w:after="160" w:line="259" w:lineRule="auto"/>
              <w:rPr>
                <w:rFonts w:cstheme="minorHAnsi"/>
                <w:sz w:val="20"/>
                <w:szCs w:val="20"/>
              </w:rPr>
            </w:pPr>
            <w:r w:rsidRPr="0063606C">
              <w:rPr>
                <w:rFonts w:cstheme="minorHAnsi"/>
                <w:sz w:val="20"/>
                <w:szCs w:val="20"/>
              </w:rPr>
              <w:t>Sonja Stavrova – BULB (Association for professional photographers)</w:t>
            </w:r>
          </w:p>
          <w:p w:rsidR="00A9329A" w:rsidRPr="0063606C" w:rsidRDefault="00A9329A" w:rsidP="0089209D">
            <w:pPr>
              <w:pStyle w:val="ListParagraph"/>
              <w:numPr>
                <w:ilvl w:val="0"/>
                <w:numId w:val="6"/>
              </w:numPr>
              <w:spacing w:after="160" w:line="259" w:lineRule="auto"/>
              <w:rPr>
                <w:rFonts w:cstheme="minorHAnsi"/>
                <w:sz w:val="20"/>
                <w:szCs w:val="20"/>
              </w:rPr>
            </w:pPr>
            <w:r w:rsidRPr="0063606C">
              <w:rPr>
                <w:rFonts w:cstheme="minorHAnsi"/>
                <w:sz w:val="20"/>
                <w:szCs w:val="20"/>
              </w:rPr>
              <w:t>Irina Tosheva – Independent fashion designer</w:t>
            </w:r>
          </w:p>
          <w:p w:rsidR="00A9329A" w:rsidRPr="0089209D" w:rsidRDefault="00A9329A" w:rsidP="0089209D">
            <w:pPr>
              <w:pStyle w:val="ListParagraph"/>
              <w:numPr>
                <w:ilvl w:val="0"/>
                <w:numId w:val="6"/>
              </w:numPr>
              <w:spacing w:after="160" w:line="259" w:lineRule="auto"/>
              <w:rPr>
                <w:rFonts w:cstheme="minorHAnsi"/>
                <w:sz w:val="20"/>
                <w:szCs w:val="20"/>
                <w:lang w:val="fi-FI"/>
              </w:rPr>
            </w:pPr>
            <w:r w:rsidRPr="0089209D">
              <w:rPr>
                <w:rFonts w:cstheme="minorHAnsi"/>
                <w:sz w:val="20"/>
                <w:szCs w:val="20"/>
                <w:lang w:val="fi-FI"/>
              </w:rPr>
              <w:t>Aleksandar Ristevski – Association of Performers, Producers and Authors ZIPA</w:t>
            </w:r>
          </w:p>
          <w:p w:rsidR="00A9329A" w:rsidRPr="0063606C" w:rsidRDefault="00A9329A" w:rsidP="0089209D">
            <w:pPr>
              <w:pStyle w:val="ListParagraph"/>
              <w:numPr>
                <w:ilvl w:val="0"/>
                <w:numId w:val="6"/>
              </w:numPr>
              <w:spacing w:after="160" w:line="259" w:lineRule="auto"/>
              <w:rPr>
                <w:rFonts w:cstheme="minorHAnsi"/>
                <w:sz w:val="20"/>
                <w:szCs w:val="20"/>
              </w:rPr>
            </w:pPr>
            <w:r w:rsidRPr="0063606C">
              <w:rPr>
                <w:rFonts w:cstheme="minorHAnsi"/>
                <w:sz w:val="20"/>
                <w:szCs w:val="20"/>
              </w:rPr>
              <w:t>KrsteGospodinovski – Animation, Flipbook Film Festival</w:t>
            </w:r>
          </w:p>
          <w:p w:rsidR="00A9329A" w:rsidRPr="0063606C" w:rsidRDefault="00A9329A" w:rsidP="0089209D">
            <w:pPr>
              <w:pStyle w:val="ListParagraph"/>
              <w:numPr>
                <w:ilvl w:val="0"/>
                <w:numId w:val="6"/>
              </w:numPr>
              <w:spacing w:after="160" w:line="259" w:lineRule="auto"/>
              <w:rPr>
                <w:rFonts w:cstheme="minorHAnsi"/>
                <w:sz w:val="20"/>
                <w:szCs w:val="20"/>
              </w:rPr>
            </w:pPr>
            <w:r w:rsidRPr="0063606C">
              <w:rPr>
                <w:rFonts w:cstheme="minorHAnsi"/>
                <w:sz w:val="20"/>
                <w:szCs w:val="20"/>
              </w:rPr>
              <w:t>Sasha Stanisic – ,,AFIDI’’ – Association of film professionals</w:t>
            </w:r>
          </w:p>
          <w:p w:rsidR="00A9329A" w:rsidRPr="0063606C" w:rsidRDefault="00A9329A" w:rsidP="0089209D">
            <w:pPr>
              <w:pStyle w:val="ListParagraph"/>
              <w:numPr>
                <w:ilvl w:val="0"/>
                <w:numId w:val="6"/>
              </w:numPr>
              <w:spacing w:after="160" w:line="259" w:lineRule="auto"/>
              <w:rPr>
                <w:rFonts w:cstheme="minorHAnsi"/>
                <w:sz w:val="20"/>
                <w:szCs w:val="20"/>
              </w:rPr>
            </w:pPr>
            <w:r w:rsidRPr="0063606C">
              <w:rPr>
                <w:rFonts w:cstheme="minorHAnsi"/>
                <w:sz w:val="20"/>
                <w:szCs w:val="20"/>
              </w:rPr>
              <w:t>ZojaTarevska – UMPACI Project coordinator</w:t>
            </w:r>
          </w:p>
          <w:p w:rsidR="00A9329A" w:rsidRPr="0063606C" w:rsidRDefault="00A9329A" w:rsidP="0089209D">
            <w:pPr>
              <w:pStyle w:val="ListParagraph"/>
              <w:numPr>
                <w:ilvl w:val="0"/>
                <w:numId w:val="6"/>
              </w:numPr>
              <w:spacing w:after="160" w:line="259" w:lineRule="auto"/>
              <w:rPr>
                <w:rFonts w:cstheme="minorHAnsi"/>
                <w:sz w:val="20"/>
                <w:szCs w:val="20"/>
              </w:rPr>
            </w:pPr>
            <w:r w:rsidRPr="0063606C">
              <w:rPr>
                <w:rFonts w:cstheme="minorHAnsi"/>
                <w:sz w:val="20"/>
                <w:szCs w:val="20"/>
              </w:rPr>
              <w:t>Zharko Ivanov  – Animation, Flipbook Film Festival</w:t>
            </w:r>
          </w:p>
          <w:p w:rsidR="00A9329A" w:rsidRDefault="00A9329A" w:rsidP="0089209D">
            <w:pPr>
              <w:pStyle w:val="ListParagraph"/>
              <w:numPr>
                <w:ilvl w:val="0"/>
                <w:numId w:val="6"/>
              </w:numPr>
              <w:spacing w:after="160" w:line="259" w:lineRule="auto"/>
              <w:rPr>
                <w:rFonts w:cstheme="minorHAnsi"/>
                <w:sz w:val="20"/>
                <w:szCs w:val="20"/>
              </w:rPr>
            </w:pPr>
            <w:r w:rsidRPr="0063606C">
              <w:rPr>
                <w:rFonts w:cstheme="minorHAnsi"/>
                <w:sz w:val="20"/>
                <w:szCs w:val="20"/>
              </w:rPr>
              <w:t>RisimaRisimkin – Skopje Dance Theater</w:t>
            </w:r>
          </w:p>
          <w:p w:rsidR="008861AE" w:rsidRPr="008861AE" w:rsidRDefault="00A9329A" w:rsidP="008861AE">
            <w:pPr>
              <w:pStyle w:val="ListParagraph"/>
              <w:numPr>
                <w:ilvl w:val="0"/>
                <w:numId w:val="6"/>
              </w:numPr>
              <w:spacing w:after="160" w:line="259" w:lineRule="auto"/>
              <w:rPr>
                <w:rFonts w:cstheme="minorHAnsi"/>
                <w:sz w:val="20"/>
                <w:szCs w:val="20"/>
              </w:rPr>
            </w:pPr>
            <w:r w:rsidRPr="008861AE">
              <w:rPr>
                <w:rFonts w:cstheme="minorHAnsi"/>
                <w:sz w:val="20"/>
                <w:szCs w:val="20"/>
                <w:lang w:val="fi-FI"/>
              </w:rPr>
              <w:t xml:space="preserve">Biljana Tanurovska – Lokomotiva </w:t>
            </w:r>
            <w:r w:rsidR="0063606C" w:rsidRPr="008861AE">
              <w:rPr>
                <w:rFonts w:cstheme="minorHAnsi"/>
                <w:sz w:val="20"/>
                <w:szCs w:val="20"/>
                <w:lang w:val="fi-FI"/>
              </w:rPr>
              <w:t>–</w:t>
            </w:r>
            <w:r w:rsidRPr="008861AE">
              <w:rPr>
                <w:rFonts w:cstheme="minorHAnsi"/>
                <w:sz w:val="20"/>
                <w:szCs w:val="20"/>
                <w:lang w:val="fi-FI"/>
              </w:rPr>
              <w:t xml:space="preserve"> NGO</w:t>
            </w:r>
            <w:r w:rsidR="0063606C" w:rsidRPr="008861AE">
              <w:rPr>
                <w:rFonts w:cstheme="minorHAnsi"/>
                <w:sz w:val="20"/>
                <w:szCs w:val="20"/>
                <w:lang w:val="fi-FI"/>
              </w:rPr>
              <w:t xml:space="preserve"> – performing art</w:t>
            </w:r>
          </w:p>
          <w:p w:rsidR="00A9329A" w:rsidRPr="008861AE" w:rsidRDefault="008861AE" w:rsidP="008861AE">
            <w:pPr>
              <w:pStyle w:val="ListParagraph"/>
              <w:numPr>
                <w:ilvl w:val="0"/>
                <w:numId w:val="6"/>
              </w:numPr>
              <w:spacing w:after="160" w:line="259" w:lineRule="auto"/>
              <w:rPr>
                <w:rFonts w:cstheme="minorHAnsi"/>
                <w:sz w:val="20"/>
                <w:szCs w:val="20"/>
              </w:rPr>
            </w:pPr>
            <w:r w:rsidRPr="008861AE">
              <w:rPr>
                <w:rFonts w:cstheme="minorHAnsi"/>
                <w:sz w:val="20"/>
                <w:szCs w:val="20"/>
              </w:rPr>
              <w:t>J</w:t>
            </w:r>
            <w:r w:rsidR="00A9329A" w:rsidRPr="008861AE">
              <w:rPr>
                <w:rFonts w:cstheme="minorHAnsi"/>
                <w:sz w:val="20"/>
                <w:szCs w:val="20"/>
              </w:rPr>
              <w:t>ana Kocevska – Tiiit!Inc. – NGO</w:t>
            </w:r>
          </w:p>
          <w:p w:rsidR="00A9329A" w:rsidRPr="0063606C" w:rsidRDefault="00A9329A" w:rsidP="008861AE">
            <w:pPr>
              <w:pStyle w:val="ListParagraph"/>
              <w:numPr>
                <w:ilvl w:val="0"/>
                <w:numId w:val="6"/>
              </w:numPr>
              <w:spacing w:after="160" w:line="259" w:lineRule="auto"/>
              <w:rPr>
                <w:rFonts w:cstheme="minorHAnsi"/>
                <w:sz w:val="20"/>
                <w:szCs w:val="20"/>
              </w:rPr>
            </w:pPr>
            <w:r w:rsidRPr="0063606C">
              <w:rPr>
                <w:rFonts w:cstheme="minorHAnsi"/>
                <w:sz w:val="20"/>
                <w:szCs w:val="20"/>
              </w:rPr>
              <w:t xml:space="preserve">Biljana Crvenkovska – </w:t>
            </w:r>
            <w:r w:rsidR="0063606C">
              <w:rPr>
                <w:rFonts w:cstheme="minorHAnsi"/>
                <w:sz w:val="20"/>
                <w:szCs w:val="20"/>
              </w:rPr>
              <w:t xml:space="preserve">Book </w:t>
            </w:r>
            <w:r w:rsidRPr="0063606C">
              <w:rPr>
                <w:rFonts w:cstheme="minorHAnsi"/>
                <w:sz w:val="20"/>
                <w:szCs w:val="20"/>
              </w:rPr>
              <w:t>Publish</w:t>
            </w:r>
            <w:r w:rsidR="0063606C">
              <w:rPr>
                <w:rFonts w:cstheme="minorHAnsi"/>
                <w:sz w:val="20"/>
                <w:szCs w:val="20"/>
              </w:rPr>
              <w:t xml:space="preserve">er Association </w:t>
            </w:r>
            <w:r w:rsidRPr="0063606C">
              <w:rPr>
                <w:rFonts w:cstheme="minorHAnsi"/>
                <w:sz w:val="20"/>
                <w:szCs w:val="20"/>
              </w:rPr>
              <w:t>’</w:t>
            </w:r>
          </w:p>
          <w:p w:rsidR="00A9329A" w:rsidRPr="0063606C" w:rsidRDefault="00A9329A" w:rsidP="008861AE">
            <w:pPr>
              <w:pStyle w:val="ListParagraph"/>
              <w:numPr>
                <w:ilvl w:val="0"/>
                <w:numId w:val="6"/>
              </w:numPr>
              <w:spacing w:after="160" w:line="259" w:lineRule="auto"/>
              <w:rPr>
                <w:rFonts w:cstheme="minorHAnsi"/>
                <w:sz w:val="20"/>
                <w:szCs w:val="20"/>
              </w:rPr>
            </w:pPr>
            <w:r w:rsidRPr="0063606C">
              <w:rPr>
                <w:rFonts w:cstheme="minorHAnsi"/>
                <w:sz w:val="20"/>
                <w:szCs w:val="20"/>
              </w:rPr>
              <w:t>JasnaShoptrajanova</w:t>
            </w:r>
            <w:r w:rsidR="0063606C">
              <w:rPr>
                <w:rFonts w:cstheme="minorHAnsi"/>
                <w:sz w:val="20"/>
                <w:szCs w:val="20"/>
              </w:rPr>
              <w:t>– independent cultural producer</w:t>
            </w:r>
          </w:p>
          <w:p w:rsidR="00A9329A" w:rsidRPr="0063606C" w:rsidRDefault="00A9329A" w:rsidP="008861AE">
            <w:pPr>
              <w:pStyle w:val="ListParagraph"/>
              <w:numPr>
                <w:ilvl w:val="0"/>
                <w:numId w:val="6"/>
              </w:numPr>
              <w:spacing w:after="160" w:line="259" w:lineRule="auto"/>
              <w:rPr>
                <w:rFonts w:cstheme="minorHAnsi"/>
                <w:sz w:val="20"/>
                <w:szCs w:val="20"/>
              </w:rPr>
            </w:pPr>
            <w:r w:rsidRPr="0063606C">
              <w:rPr>
                <w:rFonts w:cstheme="minorHAnsi"/>
                <w:sz w:val="20"/>
                <w:szCs w:val="20"/>
              </w:rPr>
              <w:t>Apostolova Baskar – ITI – Center of International Theatre Culture</w:t>
            </w:r>
          </w:p>
          <w:p w:rsidR="00A9329A" w:rsidRPr="0063606C" w:rsidRDefault="00A9329A" w:rsidP="008861AE">
            <w:pPr>
              <w:pStyle w:val="ListParagraph"/>
              <w:numPr>
                <w:ilvl w:val="0"/>
                <w:numId w:val="6"/>
              </w:numPr>
              <w:spacing w:after="160" w:line="259" w:lineRule="auto"/>
              <w:rPr>
                <w:rFonts w:cstheme="minorHAnsi"/>
                <w:sz w:val="20"/>
                <w:szCs w:val="20"/>
              </w:rPr>
            </w:pPr>
            <w:r w:rsidRPr="0063606C">
              <w:rPr>
                <w:rFonts w:cstheme="minorHAnsi"/>
                <w:sz w:val="20"/>
                <w:szCs w:val="20"/>
              </w:rPr>
              <w:t>Filip Jovanovski – Akto Festival</w:t>
            </w:r>
            <w:r w:rsidR="0063606C">
              <w:rPr>
                <w:rFonts w:cstheme="minorHAnsi"/>
                <w:sz w:val="20"/>
                <w:szCs w:val="20"/>
              </w:rPr>
              <w:t xml:space="preserve"> – contemporary art</w:t>
            </w:r>
          </w:p>
          <w:p w:rsidR="00A9329A" w:rsidRPr="0063606C" w:rsidRDefault="00A9329A" w:rsidP="008861AE">
            <w:pPr>
              <w:pStyle w:val="ListParagraph"/>
              <w:numPr>
                <w:ilvl w:val="0"/>
                <w:numId w:val="6"/>
              </w:numPr>
              <w:spacing w:after="160" w:line="259" w:lineRule="auto"/>
              <w:rPr>
                <w:rFonts w:cstheme="minorHAnsi"/>
                <w:sz w:val="20"/>
                <w:szCs w:val="20"/>
              </w:rPr>
            </w:pPr>
            <w:r w:rsidRPr="0063606C">
              <w:rPr>
                <w:rFonts w:cstheme="minorHAnsi"/>
                <w:sz w:val="20"/>
                <w:szCs w:val="20"/>
              </w:rPr>
              <w:t>Simona Gajdoska</w:t>
            </w:r>
            <w:r w:rsidR="0063606C">
              <w:rPr>
                <w:rFonts w:cstheme="minorHAnsi"/>
                <w:sz w:val="20"/>
                <w:szCs w:val="20"/>
              </w:rPr>
              <w:t xml:space="preserve">– Art Festival – Producer </w:t>
            </w:r>
          </w:p>
          <w:p w:rsidR="00A9329A" w:rsidRPr="0063606C" w:rsidRDefault="00A9329A" w:rsidP="008861AE">
            <w:pPr>
              <w:pStyle w:val="ListParagraph"/>
              <w:numPr>
                <w:ilvl w:val="0"/>
                <w:numId w:val="6"/>
              </w:numPr>
              <w:spacing w:after="160" w:line="259" w:lineRule="auto"/>
              <w:rPr>
                <w:rFonts w:cstheme="minorHAnsi"/>
                <w:sz w:val="20"/>
                <w:szCs w:val="20"/>
              </w:rPr>
            </w:pPr>
            <w:r w:rsidRPr="0063606C">
              <w:rPr>
                <w:rFonts w:cstheme="minorHAnsi"/>
                <w:sz w:val="20"/>
                <w:szCs w:val="20"/>
              </w:rPr>
              <w:t>Galaxy J6 na</w:t>
            </w:r>
            <w:r w:rsidR="0063606C">
              <w:rPr>
                <w:rFonts w:cstheme="minorHAnsi"/>
                <w:sz w:val="20"/>
                <w:szCs w:val="20"/>
              </w:rPr>
              <w:t xml:space="preserve"> Iva </w:t>
            </w:r>
            <w:r w:rsidRPr="0063606C">
              <w:rPr>
                <w:rFonts w:cstheme="minorHAnsi"/>
                <w:sz w:val="20"/>
                <w:szCs w:val="20"/>
              </w:rPr>
              <w:t>.</w:t>
            </w:r>
          </w:p>
          <w:p w:rsidR="00A9329A" w:rsidRPr="00943196" w:rsidRDefault="00A9329A" w:rsidP="00A9329A">
            <w:pPr>
              <w:rPr>
                <w:rFonts w:cstheme="minorHAnsi"/>
                <w:b/>
                <w:color w:val="FF0000"/>
                <w:sz w:val="18"/>
                <w:szCs w:val="18"/>
              </w:rPr>
            </w:pPr>
          </w:p>
          <w:p w:rsidR="00843FE0" w:rsidRDefault="00843FE0" w:rsidP="00843FE0">
            <w:pPr>
              <w:rPr>
                <w:rFonts w:ascii="Calibri" w:hAnsi="Calibri" w:cs="Calibri"/>
                <w:b/>
                <w:bCs/>
                <w:sz w:val="24"/>
                <w:szCs w:val="24"/>
              </w:rPr>
            </w:pPr>
          </w:p>
          <w:p w:rsidR="00E124B4" w:rsidRPr="00E124B4" w:rsidRDefault="00A9329A" w:rsidP="00E124B4">
            <w:pPr>
              <w:rPr>
                <w:rFonts w:ascii="Calibri" w:hAnsi="Calibri" w:cs="Calibri"/>
                <w:bCs/>
                <w:i/>
                <w:sz w:val="24"/>
                <w:szCs w:val="24"/>
              </w:rPr>
            </w:pPr>
            <w:r>
              <w:rPr>
                <w:rFonts w:ascii="Calibri" w:hAnsi="Calibri" w:cs="Calibri"/>
                <w:bCs/>
                <w:i/>
                <w:sz w:val="24"/>
                <w:szCs w:val="24"/>
                <w:u w:val="single"/>
              </w:rPr>
              <w:t>I</w:t>
            </w:r>
            <w:r w:rsidR="00E124B4" w:rsidRPr="00E124B4">
              <w:rPr>
                <w:rFonts w:ascii="Calibri" w:hAnsi="Calibri" w:cs="Calibri"/>
                <w:bCs/>
                <w:i/>
                <w:sz w:val="24"/>
                <w:szCs w:val="24"/>
                <w:u w:val="single"/>
              </w:rPr>
              <w:t>ssues discussed</w:t>
            </w:r>
            <w:r w:rsidR="00E124B4" w:rsidRPr="00E124B4">
              <w:rPr>
                <w:rFonts w:ascii="Calibri" w:hAnsi="Calibri" w:cs="Calibri"/>
                <w:bCs/>
                <w:i/>
                <w:sz w:val="24"/>
                <w:szCs w:val="24"/>
              </w:rPr>
              <w:t xml:space="preserve">: Policies related to creative industries. Creative industries in the National Strategies. </w:t>
            </w:r>
            <w:r w:rsidR="008861AE">
              <w:rPr>
                <w:rFonts w:ascii="Calibri" w:hAnsi="Calibri" w:cs="Calibri"/>
                <w:bCs/>
                <w:i/>
                <w:sz w:val="24"/>
                <w:szCs w:val="24"/>
              </w:rPr>
              <w:t xml:space="preserve">Challenges and future prospects. </w:t>
            </w:r>
          </w:p>
          <w:p w:rsidR="00E124B4" w:rsidRPr="00E124B4" w:rsidRDefault="00E124B4" w:rsidP="00E124B4">
            <w:pPr>
              <w:rPr>
                <w:rFonts w:ascii="Calibri" w:hAnsi="Calibri" w:cs="Calibri"/>
                <w:bCs/>
                <w:sz w:val="24"/>
                <w:szCs w:val="24"/>
              </w:rPr>
            </w:pPr>
          </w:p>
        </w:tc>
      </w:tr>
      <w:tr w:rsidR="00E124B4" w:rsidRPr="00E124B4" w:rsidTr="003623BB">
        <w:trPr>
          <w:trHeight w:val="518"/>
        </w:trPr>
        <w:tc>
          <w:tcPr>
            <w:tcW w:w="9884" w:type="dxa"/>
            <w:gridSpan w:val="2"/>
            <w:tcBorders>
              <w:top w:val="single" w:sz="4" w:space="0" w:color="auto"/>
              <w:left w:val="single" w:sz="4" w:space="0" w:color="auto"/>
              <w:bottom w:val="single" w:sz="4" w:space="0" w:color="auto"/>
              <w:right w:val="single" w:sz="4" w:space="0" w:color="auto"/>
            </w:tcBorders>
            <w:hideMark/>
          </w:tcPr>
          <w:p w:rsidR="00E124B4" w:rsidRDefault="00E124B4" w:rsidP="00E124B4">
            <w:pPr>
              <w:rPr>
                <w:rFonts w:ascii="Calibri" w:hAnsi="Calibri" w:cs="Calibri"/>
                <w:b/>
                <w:bCs/>
                <w:sz w:val="24"/>
                <w:szCs w:val="24"/>
              </w:rPr>
            </w:pPr>
          </w:p>
          <w:p w:rsidR="00500792" w:rsidRDefault="00500792" w:rsidP="00E124B4">
            <w:pPr>
              <w:rPr>
                <w:rFonts w:ascii="Calibri" w:hAnsi="Calibri" w:cs="Calibri"/>
                <w:b/>
                <w:bCs/>
                <w:sz w:val="24"/>
                <w:szCs w:val="24"/>
              </w:rPr>
            </w:pPr>
          </w:p>
          <w:p w:rsidR="00500792" w:rsidRDefault="00500792" w:rsidP="00E124B4">
            <w:pPr>
              <w:rPr>
                <w:rFonts w:ascii="Calibri" w:hAnsi="Calibri" w:cs="Calibri"/>
                <w:b/>
                <w:bCs/>
                <w:sz w:val="24"/>
                <w:szCs w:val="24"/>
              </w:rPr>
            </w:pPr>
          </w:p>
          <w:p w:rsidR="00500792" w:rsidRPr="00E124B4" w:rsidRDefault="00500792" w:rsidP="00E124B4">
            <w:pPr>
              <w:rPr>
                <w:rFonts w:ascii="Calibri" w:hAnsi="Calibri" w:cs="Calibri"/>
                <w:b/>
                <w:bCs/>
                <w:sz w:val="24"/>
                <w:szCs w:val="24"/>
              </w:rPr>
            </w:pPr>
          </w:p>
          <w:p w:rsidR="00E124B4" w:rsidRPr="00E124B4" w:rsidRDefault="00A9329A" w:rsidP="00E124B4">
            <w:pPr>
              <w:rPr>
                <w:rFonts w:ascii="Calibri" w:hAnsi="Calibri" w:cs="Calibri"/>
                <w:b/>
                <w:bCs/>
                <w:sz w:val="24"/>
                <w:szCs w:val="24"/>
              </w:rPr>
            </w:pPr>
            <w:r>
              <w:rPr>
                <w:rFonts w:ascii="Calibri" w:hAnsi="Calibri" w:cs="Calibri"/>
                <w:b/>
                <w:bCs/>
                <w:sz w:val="24"/>
                <w:szCs w:val="24"/>
              </w:rPr>
              <w:t xml:space="preserve">17 December </w:t>
            </w:r>
            <w:r w:rsidR="00E124B4" w:rsidRPr="00E124B4">
              <w:rPr>
                <w:rFonts w:ascii="Calibri" w:hAnsi="Calibri" w:cs="Calibri"/>
                <w:b/>
                <w:bCs/>
                <w:sz w:val="24"/>
                <w:szCs w:val="24"/>
              </w:rPr>
              <w:t xml:space="preserve"> 20</w:t>
            </w:r>
            <w:r>
              <w:rPr>
                <w:rFonts w:ascii="Calibri" w:hAnsi="Calibri" w:cs="Calibri"/>
                <w:b/>
                <w:bCs/>
                <w:sz w:val="24"/>
                <w:szCs w:val="24"/>
              </w:rPr>
              <w:t>20</w:t>
            </w:r>
          </w:p>
          <w:p w:rsidR="00E124B4" w:rsidRPr="00E124B4" w:rsidRDefault="00E124B4" w:rsidP="00E124B4">
            <w:pPr>
              <w:rPr>
                <w:rFonts w:ascii="Calibri" w:hAnsi="Calibri" w:cs="Calibri"/>
                <w:bCs/>
                <w:sz w:val="24"/>
                <w:szCs w:val="24"/>
                <w:lang w:eastAsia="uk-UA"/>
              </w:rPr>
            </w:pPr>
          </w:p>
        </w:tc>
      </w:tr>
      <w:tr w:rsidR="00E124B4" w:rsidRPr="0089209D" w:rsidTr="003623BB">
        <w:trPr>
          <w:trHeight w:val="518"/>
        </w:trPr>
        <w:tc>
          <w:tcPr>
            <w:tcW w:w="1991" w:type="dxa"/>
            <w:tcBorders>
              <w:top w:val="single" w:sz="4" w:space="0" w:color="auto"/>
              <w:left w:val="single" w:sz="4" w:space="0" w:color="auto"/>
              <w:bottom w:val="single" w:sz="4" w:space="0" w:color="auto"/>
              <w:right w:val="single" w:sz="4" w:space="0" w:color="auto"/>
            </w:tcBorders>
          </w:tcPr>
          <w:p w:rsidR="00E124B4" w:rsidRPr="00E124B4" w:rsidRDefault="00A9329A" w:rsidP="00E124B4">
            <w:pPr>
              <w:rPr>
                <w:rFonts w:ascii="Calibri" w:hAnsi="Calibri" w:cs="Calibri"/>
                <w:bCs/>
                <w:sz w:val="24"/>
                <w:szCs w:val="24"/>
                <w:lang w:eastAsia="uk-UA"/>
              </w:rPr>
            </w:pPr>
            <w:r>
              <w:rPr>
                <w:rFonts w:ascii="Calibri" w:hAnsi="Calibri" w:cs="Calibri"/>
                <w:bCs/>
                <w:sz w:val="24"/>
                <w:szCs w:val="24"/>
                <w:lang w:eastAsia="uk-UA"/>
              </w:rPr>
              <w:lastRenderedPageBreak/>
              <w:t>9:45 – 11:15</w:t>
            </w:r>
          </w:p>
          <w:p w:rsidR="00E124B4" w:rsidRPr="00E124B4" w:rsidRDefault="00E124B4" w:rsidP="00E124B4">
            <w:pPr>
              <w:rPr>
                <w:rFonts w:ascii="Calibri" w:hAnsi="Calibri" w:cs="Calibri"/>
                <w:bCs/>
                <w:sz w:val="24"/>
                <w:szCs w:val="24"/>
                <w:lang w:eastAsia="uk-UA"/>
              </w:rPr>
            </w:pPr>
          </w:p>
        </w:tc>
        <w:tc>
          <w:tcPr>
            <w:tcW w:w="7893" w:type="dxa"/>
            <w:tcBorders>
              <w:top w:val="single" w:sz="4" w:space="0" w:color="auto"/>
              <w:left w:val="single" w:sz="4" w:space="0" w:color="auto"/>
              <w:bottom w:val="single" w:sz="4" w:space="0" w:color="auto"/>
              <w:right w:val="single" w:sz="4" w:space="0" w:color="auto"/>
            </w:tcBorders>
          </w:tcPr>
          <w:p w:rsidR="00E124B4" w:rsidRPr="00E124B4" w:rsidRDefault="00E124B4" w:rsidP="00E124B4">
            <w:pPr>
              <w:rPr>
                <w:rFonts w:ascii="Calibri" w:hAnsi="Calibri" w:cs="Calibri"/>
                <w:b/>
                <w:bCs/>
                <w:sz w:val="24"/>
                <w:szCs w:val="24"/>
              </w:rPr>
            </w:pPr>
            <w:r w:rsidRPr="00E124B4">
              <w:rPr>
                <w:rFonts w:ascii="Calibri" w:hAnsi="Calibri" w:cs="Calibri"/>
                <w:b/>
                <w:bCs/>
                <w:sz w:val="24"/>
                <w:szCs w:val="24"/>
              </w:rPr>
              <w:t>Meeting with</w:t>
            </w:r>
            <w:r w:rsidR="00F807E3">
              <w:rPr>
                <w:rFonts w:ascii="Calibri" w:hAnsi="Calibri" w:cs="Calibri"/>
                <w:b/>
                <w:bCs/>
                <w:sz w:val="24"/>
                <w:szCs w:val="24"/>
              </w:rPr>
              <w:t xml:space="preserve"> National Cultural Insitutions </w:t>
            </w:r>
          </w:p>
          <w:p w:rsidR="00F807E3" w:rsidRPr="0063606C" w:rsidRDefault="00F807E3" w:rsidP="00E124B4">
            <w:pPr>
              <w:numPr>
                <w:ilvl w:val="0"/>
                <w:numId w:val="3"/>
              </w:numPr>
              <w:rPr>
                <w:rFonts w:ascii="Calibri" w:hAnsi="Calibri" w:cs="Calibri"/>
                <w:bCs/>
              </w:rPr>
            </w:pPr>
            <w:r w:rsidRPr="0063606C">
              <w:rPr>
                <w:rFonts w:ascii="Calibri" w:hAnsi="Calibri" w:cs="Calibri"/>
                <w:bCs/>
              </w:rPr>
              <w:t>Meri Stojanova – National Institute Cultural Heritage – Bitola</w:t>
            </w:r>
          </w:p>
          <w:p w:rsidR="00F807E3" w:rsidRPr="0063606C" w:rsidRDefault="00F807E3" w:rsidP="00E124B4">
            <w:pPr>
              <w:numPr>
                <w:ilvl w:val="0"/>
                <w:numId w:val="3"/>
              </w:numPr>
              <w:rPr>
                <w:rFonts w:ascii="Calibri" w:hAnsi="Calibri" w:cs="Calibri"/>
                <w:bCs/>
              </w:rPr>
            </w:pPr>
            <w:r w:rsidRPr="0063606C">
              <w:rPr>
                <w:rFonts w:ascii="Calibri" w:hAnsi="Calibri" w:cs="Calibri"/>
                <w:bCs/>
              </w:rPr>
              <w:t>Jehona Spahiu – National Conservation Center – Skopje</w:t>
            </w:r>
          </w:p>
          <w:p w:rsidR="00E124B4" w:rsidRPr="0063606C" w:rsidRDefault="00F807E3" w:rsidP="00E124B4">
            <w:pPr>
              <w:numPr>
                <w:ilvl w:val="0"/>
                <w:numId w:val="3"/>
              </w:numPr>
              <w:rPr>
                <w:rFonts w:ascii="Calibri" w:hAnsi="Calibri" w:cs="Calibri"/>
                <w:bCs/>
              </w:rPr>
            </w:pPr>
            <w:r w:rsidRPr="0063606C">
              <w:rPr>
                <w:rFonts w:ascii="Calibri" w:hAnsi="Calibri" w:cs="Calibri"/>
                <w:bCs/>
              </w:rPr>
              <w:t xml:space="preserve">Maja – National Center – Skopje   </w:t>
            </w:r>
          </w:p>
          <w:p w:rsidR="00E124B4" w:rsidRPr="00E124B4" w:rsidRDefault="00E124B4" w:rsidP="008861AE">
            <w:pPr>
              <w:rPr>
                <w:rFonts w:ascii="Calibri" w:hAnsi="Calibri" w:cs="Calibri"/>
                <w:bCs/>
                <w:sz w:val="24"/>
                <w:szCs w:val="24"/>
                <w:lang w:eastAsia="uk-UA"/>
              </w:rPr>
            </w:pPr>
            <w:r w:rsidRPr="00E124B4">
              <w:rPr>
                <w:rFonts w:ascii="Calibri" w:hAnsi="Calibri" w:cs="Calibri"/>
                <w:bCs/>
                <w:i/>
                <w:sz w:val="24"/>
                <w:szCs w:val="24"/>
                <w:u w:val="single"/>
              </w:rPr>
              <w:t>Issues discussed:</w:t>
            </w:r>
            <w:r w:rsidR="008861AE">
              <w:rPr>
                <w:rFonts w:ascii="Calibri" w:hAnsi="Calibri" w:cs="Calibri"/>
                <w:bCs/>
                <w:i/>
                <w:sz w:val="24"/>
                <w:szCs w:val="24"/>
              </w:rPr>
              <w:t xml:space="preserve">Policies </w:t>
            </w:r>
            <w:r w:rsidR="00F807E3">
              <w:rPr>
                <w:rFonts w:ascii="Calibri" w:hAnsi="Calibri" w:cs="Calibri"/>
                <w:bCs/>
                <w:i/>
                <w:sz w:val="24"/>
                <w:szCs w:val="24"/>
              </w:rPr>
              <w:t xml:space="preserve">on </w:t>
            </w:r>
            <w:r w:rsidR="008861AE">
              <w:rPr>
                <w:rFonts w:ascii="Calibri" w:hAnsi="Calibri" w:cs="Calibri"/>
                <w:bCs/>
                <w:i/>
                <w:sz w:val="24"/>
                <w:szCs w:val="24"/>
              </w:rPr>
              <w:t>c</w:t>
            </w:r>
            <w:r w:rsidR="00F807E3">
              <w:rPr>
                <w:rFonts w:ascii="Calibri" w:hAnsi="Calibri" w:cs="Calibri"/>
                <w:bCs/>
                <w:i/>
                <w:sz w:val="24"/>
                <w:szCs w:val="24"/>
              </w:rPr>
              <w:t xml:space="preserve">ultural </w:t>
            </w:r>
            <w:r w:rsidR="008861AE">
              <w:rPr>
                <w:rFonts w:ascii="Calibri" w:hAnsi="Calibri" w:cs="Calibri"/>
                <w:bCs/>
                <w:i/>
                <w:sz w:val="24"/>
                <w:szCs w:val="24"/>
              </w:rPr>
              <w:t xml:space="preserve">institutions. Cultural institutios in the national strategy. Challenges and future prospects. </w:t>
            </w:r>
          </w:p>
        </w:tc>
      </w:tr>
      <w:tr w:rsidR="00E124B4" w:rsidRPr="0089209D" w:rsidTr="003623BB">
        <w:trPr>
          <w:trHeight w:val="518"/>
        </w:trPr>
        <w:tc>
          <w:tcPr>
            <w:tcW w:w="1991" w:type="dxa"/>
            <w:tcBorders>
              <w:top w:val="single" w:sz="4" w:space="0" w:color="auto"/>
              <w:left w:val="single" w:sz="4" w:space="0" w:color="auto"/>
              <w:bottom w:val="single" w:sz="4" w:space="0" w:color="auto"/>
              <w:right w:val="single" w:sz="4" w:space="0" w:color="auto"/>
            </w:tcBorders>
          </w:tcPr>
          <w:p w:rsidR="00E124B4" w:rsidRPr="00E124B4" w:rsidRDefault="00E124B4" w:rsidP="00F807E3">
            <w:pPr>
              <w:rPr>
                <w:rFonts w:ascii="Calibri" w:hAnsi="Calibri" w:cs="Calibri"/>
                <w:bCs/>
                <w:sz w:val="24"/>
                <w:szCs w:val="24"/>
                <w:lang w:eastAsia="uk-UA"/>
              </w:rPr>
            </w:pPr>
            <w:r w:rsidRPr="00E124B4">
              <w:rPr>
                <w:rFonts w:ascii="Calibri" w:hAnsi="Calibri" w:cs="Calibri"/>
                <w:bCs/>
                <w:sz w:val="24"/>
                <w:szCs w:val="24"/>
                <w:lang w:eastAsia="uk-UA"/>
              </w:rPr>
              <w:t>1</w:t>
            </w:r>
            <w:r w:rsidR="00F807E3">
              <w:rPr>
                <w:rFonts w:ascii="Calibri" w:hAnsi="Calibri" w:cs="Calibri"/>
                <w:bCs/>
                <w:sz w:val="24"/>
                <w:szCs w:val="24"/>
                <w:lang w:eastAsia="uk-UA"/>
              </w:rPr>
              <w:t>1:30</w:t>
            </w:r>
            <w:r w:rsidRPr="00E124B4">
              <w:rPr>
                <w:rFonts w:ascii="Calibri" w:hAnsi="Calibri" w:cs="Calibri"/>
                <w:bCs/>
                <w:sz w:val="24"/>
                <w:szCs w:val="24"/>
                <w:lang w:eastAsia="uk-UA"/>
              </w:rPr>
              <w:t xml:space="preserve"> – 1</w:t>
            </w:r>
            <w:r w:rsidR="00F807E3">
              <w:rPr>
                <w:rFonts w:ascii="Calibri" w:hAnsi="Calibri" w:cs="Calibri"/>
                <w:bCs/>
                <w:sz w:val="24"/>
                <w:szCs w:val="24"/>
                <w:lang w:eastAsia="uk-UA"/>
              </w:rPr>
              <w:t xml:space="preserve"> pm</w:t>
            </w:r>
          </w:p>
        </w:tc>
        <w:tc>
          <w:tcPr>
            <w:tcW w:w="7893" w:type="dxa"/>
            <w:tcBorders>
              <w:top w:val="single" w:sz="4" w:space="0" w:color="auto"/>
              <w:left w:val="single" w:sz="4" w:space="0" w:color="auto"/>
              <w:bottom w:val="single" w:sz="4" w:space="0" w:color="auto"/>
              <w:right w:val="single" w:sz="4" w:space="0" w:color="auto"/>
            </w:tcBorders>
          </w:tcPr>
          <w:p w:rsidR="00E124B4" w:rsidRDefault="00E124B4" w:rsidP="00E124B4">
            <w:pPr>
              <w:rPr>
                <w:rFonts w:ascii="Calibri" w:hAnsi="Calibri" w:cs="Calibri"/>
                <w:b/>
                <w:bCs/>
                <w:sz w:val="24"/>
                <w:szCs w:val="24"/>
              </w:rPr>
            </w:pPr>
            <w:r w:rsidRPr="00E124B4">
              <w:rPr>
                <w:rFonts w:ascii="Calibri" w:hAnsi="Calibri" w:cs="Calibri"/>
                <w:b/>
                <w:bCs/>
                <w:sz w:val="24"/>
                <w:szCs w:val="24"/>
              </w:rPr>
              <w:t xml:space="preserve">Meeting with </w:t>
            </w:r>
            <w:r w:rsidR="00F807E3" w:rsidRPr="00E124B4">
              <w:rPr>
                <w:rFonts w:ascii="Calibri" w:hAnsi="Calibri" w:cs="Calibri"/>
                <w:b/>
                <w:bCs/>
                <w:sz w:val="24"/>
                <w:szCs w:val="24"/>
              </w:rPr>
              <w:t>international development partners</w:t>
            </w:r>
            <w:r w:rsidRPr="00E124B4">
              <w:rPr>
                <w:rFonts w:ascii="Calibri" w:hAnsi="Calibri" w:cs="Calibri"/>
                <w:b/>
                <w:bCs/>
                <w:sz w:val="24"/>
                <w:szCs w:val="24"/>
              </w:rPr>
              <w:t>:</w:t>
            </w:r>
          </w:p>
          <w:p w:rsidR="00F807E3" w:rsidRDefault="00F807E3" w:rsidP="00F807E3">
            <w:pPr>
              <w:spacing w:before="100" w:beforeAutospacing="1" w:after="100" w:afterAutospacing="1"/>
              <w:rPr>
                <w:lang w:val="en-US"/>
              </w:rPr>
            </w:pPr>
            <w:r w:rsidRPr="00F807E3">
              <w:rPr>
                <w:lang w:val="en-US"/>
              </w:rPr>
              <w:t>Mrs Tanja Kruger, Director, Goethe Institute Skopje</w:t>
            </w:r>
          </w:p>
          <w:p w:rsidR="00F807E3" w:rsidRDefault="00F807E3" w:rsidP="00F807E3">
            <w:pPr>
              <w:spacing w:before="100" w:beforeAutospacing="1" w:after="100" w:afterAutospacing="1"/>
              <w:rPr>
                <w:lang w:val="en-US"/>
              </w:rPr>
            </w:pPr>
            <w:r>
              <w:rPr>
                <w:lang w:val="en-US"/>
              </w:rPr>
              <w:t>Mrs. Eleonora Z</w:t>
            </w:r>
            <w:r w:rsidRPr="00F807E3">
              <w:rPr>
                <w:lang w:val="en-US"/>
              </w:rPr>
              <w:t xml:space="preserve">aprova, Director, British Council, Skopje </w:t>
            </w:r>
          </w:p>
          <w:p w:rsidR="00F807E3" w:rsidRDefault="00F807E3" w:rsidP="00F807E3">
            <w:pPr>
              <w:spacing w:before="100" w:beforeAutospacing="1" w:after="100" w:afterAutospacing="1"/>
              <w:rPr>
                <w:lang w:val="en-US"/>
              </w:rPr>
            </w:pPr>
            <w:r w:rsidRPr="00F807E3">
              <w:rPr>
                <w:lang w:val="en-US"/>
              </w:rPr>
              <w:t>Mrs. Sanja FrokvicGelevska,Programme Manager Freedom of Media, Information Society and Culture, </w:t>
            </w:r>
            <w:r>
              <w:rPr>
                <w:lang w:val="en-US"/>
              </w:rPr>
              <w:t xml:space="preserve">EU </w:t>
            </w:r>
            <w:r w:rsidRPr="00F807E3">
              <w:rPr>
                <w:lang w:val="en-US"/>
              </w:rPr>
              <w:t xml:space="preserve">Delegation </w:t>
            </w:r>
          </w:p>
          <w:p w:rsidR="00F807E3" w:rsidRDefault="00F807E3" w:rsidP="00F807E3">
            <w:pPr>
              <w:spacing w:before="100" w:beforeAutospacing="1" w:after="100" w:afterAutospacing="1"/>
              <w:rPr>
                <w:lang w:val="en-US"/>
              </w:rPr>
            </w:pPr>
            <w:r w:rsidRPr="00F807E3">
              <w:rPr>
                <w:lang w:val="en-US"/>
              </w:rPr>
              <w:t xml:space="preserve">Mrs. BorkaTaneska, Cultural Affairs Assistant, USA Embassy, Skopje </w:t>
            </w:r>
          </w:p>
          <w:p w:rsidR="00F807E3" w:rsidRPr="00F807E3" w:rsidRDefault="00F807E3" w:rsidP="00F807E3">
            <w:pPr>
              <w:spacing w:before="100" w:beforeAutospacing="1" w:after="100" w:afterAutospacing="1"/>
              <w:rPr>
                <w:lang w:val="en-US"/>
              </w:rPr>
            </w:pPr>
            <w:r w:rsidRPr="00F807E3">
              <w:rPr>
                <w:lang w:val="en-US"/>
              </w:rPr>
              <w:t xml:space="preserve">Mr. Brank Cobanov, Attaché for Culture, French Institute, Skopje </w:t>
            </w:r>
          </w:p>
          <w:p w:rsidR="00E124B4" w:rsidRPr="00E124B4" w:rsidRDefault="00E124B4" w:rsidP="00E124B4">
            <w:pPr>
              <w:ind w:left="720"/>
              <w:rPr>
                <w:rFonts w:ascii="Calibri" w:hAnsi="Calibri" w:cs="Calibri"/>
                <w:bCs/>
                <w:sz w:val="24"/>
                <w:szCs w:val="24"/>
              </w:rPr>
            </w:pPr>
          </w:p>
          <w:p w:rsidR="00E124B4" w:rsidRPr="00E124B4" w:rsidRDefault="00E124B4" w:rsidP="00E124B4">
            <w:pPr>
              <w:rPr>
                <w:rFonts w:ascii="Calibri" w:hAnsi="Calibri" w:cs="Calibri"/>
                <w:bCs/>
                <w:i/>
                <w:sz w:val="24"/>
                <w:szCs w:val="24"/>
              </w:rPr>
            </w:pPr>
            <w:r w:rsidRPr="00E124B4">
              <w:rPr>
                <w:rFonts w:ascii="Calibri" w:hAnsi="Calibri" w:cs="Calibri"/>
                <w:bCs/>
                <w:i/>
                <w:sz w:val="24"/>
                <w:szCs w:val="24"/>
                <w:u w:val="single"/>
              </w:rPr>
              <w:t>Issues discussed:</w:t>
            </w:r>
            <w:r w:rsidR="00F807E3">
              <w:rPr>
                <w:rFonts w:ascii="Calibri" w:hAnsi="Calibri" w:cs="Calibri"/>
                <w:bCs/>
                <w:i/>
                <w:sz w:val="24"/>
                <w:szCs w:val="24"/>
              </w:rPr>
              <w:t xml:space="preserve">Cultural </w:t>
            </w:r>
            <w:r w:rsidR="008861AE">
              <w:rPr>
                <w:rFonts w:ascii="Calibri" w:hAnsi="Calibri" w:cs="Calibri"/>
                <w:bCs/>
                <w:i/>
                <w:sz w:val="24"/>
                <w:szCs w:val="24"/>
              </w:rPr>
              <w:t>p</w:t>
            </w:r>
            <w:r w:rsidR="00F807E3">
              <w:rPr>
                <w:rFonts w:ascii="Calibri" w:hAnsi="Calibri" w:cs="Calibri"/>
                <w:bCs/>
                <w:i/>
                <w:sz w:val="24"/>
                <w:szCs w:val="24"/>
              </w:rPr>
              <w:t>olicy</w:t>
            </w:r>
            <w:r w:rsidR="008861AE">
              <w:rPr>
                <w:rFonts w:ascii="Calibri" w:hAnsi="Calibri" w:cs="Calibri"/>
                <w:bCs/>
                <w:i/>
                <w:sz w:val="24"/>
                <w:szCs w:val="24"/>
              </w:rPr>
              <w:t xml:space="preserve"> in North Macedonia. </w:t>
            </w:r>
            <w:r w:rsidR="00F807E3" w:rsidRPr="00E124B4">
              <w:rPr>
                <w:rFonts w:ascii="Calibri" w:hAnsi="Calibri" w:cs="Calibri"/>
                <w:bCs/>
                <w:i/>
                <w:sz w:val="24"/>
                <w:szCs w:val="24"/>
              </w:rPr>
              <w:t>Foreign support in developing local cultural industries</w:t>
            </w:r>
            <w:r w:rsidRPr="00E124B4">
              <w:rPr>
                <w:rFonts w:ascii="Calibri" w:hAnsi="Calibri" w:cs="Calibri"/>
                <w:bCs/>
                <w:i/>
                <w:sz w:val="24"/>
                <w:szCs w:val="24"/>
              </w:rPr>
              <w:t>.</w:t>
            </w:r>
            <w:r w:rsidR="008861AE">
              <w:rPr>
                <w:rFonts w:ascii="Calibri" w:hAnsi="Calibri" w:cs="Calibri"/>
                <w:bCs/>
                <w:i/>
                <w:sz w:val="24"/>
                <w:szCs w:val="24"/>
              </w:rPr>
              <w:t xml:space="preserve"> Challenges and future prospects. </w:t>
            </w:r>
          </w:p>
          <w:p w:rsidR="00E124B4" w:rsidRPr="00E124B4" w:rsidRDefault="00E124B4" w:rsidP="00E124B4">
            <w:pPr>
              <w:rPr>
                <w:rFonts w:ascii="Calibri" w:hAnsi="Calibri" w:cs="Calibri"/>
                <w:bCs/>
                <w:sz w:val="24"/>
                <w:szCs w:val="24"/>
                <w:lang w:eastAsia="uk-UA"/>
              </w:rPr>
            </w:pPr>
          </w:p>
        </w:tc>
      </w:tr>
    </w:tbl>
    <w:p w:rsidR="00E124B4" w:rsidRPr="0013487B" w:rsidRDefault="00E124B4" w:rsidP="0013487B">
      <w:pPr>
        <w:rPr>
          <w:lang w:val="en-US"/>
        </w:rPr>
      </w:pPr>
    </w:p>
    <w:sectPr w:rsidR="00E124B4" w:rsidRPr="0013487B" w:rsidSect="000E041F">
      <w:foot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CE0" w:rsidRDefault="008D4CE0" w:rsidP="00A933C9">
      <w:pPr>
        <w:spacing w:after="0" w:line="240" w:lineRule="auto"/>
      </w:pPr>
      <w:r>
        <w:separator/>
      </w:r>
    </w:p>
  </w:endnote>
  <w:endnote w:type="continuationSeparator" w:id="1">
    <w:p w:rsidR="008D4CE0" w:rsidRDefault="008D4CE0" w:rsidP="00A933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828896"/>
      <w:docPartObj>
        <w:docPartGallery w:val="Page Numbers (Bottom of Page)"/>
        <w:docPartUnique/>
      </w:docPartObj>
    </w:sdtPr>
    <w:sdtContent>
      <w:p w:rsidR="00B426B1" w:rsidRDefault="000E041F">
        <w:pPr>
          <w:pStyle w:val="Footer"/>
          <w:jc w:val="right"/>
        </w:pPr>
        <w:r>
          <w:fldChar w:fldCharType="begin"/>
        </w:r>
        <w:r w:rsidR="00B426B1">
          <w:instrText>PAGE   \* MERGEFORMAT</w:instrText>
        </w:r>
        <w:r>
          <w:fldChar w:fldCharType="separate"/>
        </w:r>
        <w:r w:rsidR="00E23EDD" w:rsidRPr="00E23EDD">
          <w:rPr>
            <w:noProof/>
            <w:lang w:val="fr-FR"/>
          </w:rPr>
          <w:t>1</w:t>
        </w:r>
        <w:r>
          <w:fldChar w:fldCharType="end"/>
        </w:r>
      </w:p>
    </w:sdtContent>
  </w:sdt>
  <w:p w:rsidR="00B426B1" w:rsidRDefault="00B426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CE0" w:rsidRDefault="008D4CE0" w:rsidP="00A933C9">
      <w:pPr>
        <w:spacing w:after="0" w:line="240" w:lineRule="auto"/>
      </w:pPr>
      <w:r>
        <w:separator/>
      </w:r>
    </w:p>
  </w:footnote>
  <w:footnote w:type="continuationSeparator" w:id="1">
    <w:p w:rsidR="008D4CE0" w:rsidRDefault="008D4CE0" w:rsidP="00A933C9">
      <w:pPr>
        <w:spacing w:after="0" w:line="240" w:lineRule="auto"/>
      </w:pPr>
      <w:r>
        <w:continuationSeparator/>
      </w:r>
    </w:p>
  </w:footnote>
  <w:footnote w:id="2">
    <w:p w:rsidR="00B426B1" w:rsidRPr="008C3A7C" w:rsidRDefault="00B426B1">
      <w:pPr>
        <w:pStyle w:val="FootnoteText"/>
        <w:rPr>
          <w:lang w:val="en-US"/>
        </w:rPr>
      </w:pPr>
      <w:r>
        <w:rPr>
          <w:rStyle w:val="FootnoteReference"/>
        </w:rPr>
        <w:footnoteRef/>
      </w:r>
      <w:r w:rsidRPr="008C3A7C">
        <w:rPr>
          <w:lang w:val="en-US"/>
        </w:rPr>
        <w:t xml:space="preserve"> Source European Commission – Accession Report , Staff wo</w:t>
      </w:r>
      <w:r>
        <w:rPr>
          <w:lang w:val="en-US"/>
        </w:rPr>
        <w:t xml:space="preserve">rking paper </w:t>
      </w:r>
      <w:r w:rsidRPr="008C3A7C">
        <w:rPr>
          <w:lang w:val="en-US"/>
        </w:rPr>
        <w:t xml:space="preserve">– October 2020 </w:t>
      </w:r>
    </w:p>
  </w:footnote>
  <w:footnote w:id="3">
    <w:p w:rsidR="00B426B1" w:rsidRPr="008C3A7C" w:rsidRDefault="00B426B1" w:rsidP="008C3A7C">
      <w:pPr>
        <w:pStyle w:val="FootnoteText"/>
        <w:rPr>
          <w:lang w:val="en-US"/>
        </w:rPr>
      </w:pPr>
      <w:r>
        <w:rPr>
          <w:rStyle w:val="FootnoteReference"/>
        </w:rPr>
        <w:footnoteRef/>
      </w:r>
      <w:r>
        <w:rPr>
          <w:lang w:val="en-US"/>
        </w:rPr>
        <w:t xml:space="preserve">Source: Ministry of Culture North Macedonia. </w:t>
      </w:r>
    </w:p>
  </w:footnote>
  <w:footnote w:id="4">
    <w:p w:rsidR="00B426B1" w:rsidRPr="00B91DA6" w:rsidRDefault="00B426B1" w:rsidP="006D6320">
      <w:pPr>
        <w:pStyle w:val="FootnoteText"/>
        <w:rPr>
          <w:lang w:val="en-US"/>
        </w:rPr>
      </w:pPr>
      <w:r>
        <w:rPr>
          <w:rStyle w:val="FootnoteReference"/>
        </w:rPr>
        <w:footnoteRef/>
      </w:r>
      <w:r w:rsidRPr="00B91DA6">
        <w:rPr>
          <w:lang w:val="en-US"/>
        </w:rPr>
        <w:t xml:space="preserve"> British Council (2010). Creative Industries Mapping in the Republic of Macedonia, page 66. </w:t>
      </w:r>
    </w:p>
  </w:footnote>
  <w:footnote w:id="5">
    <w:p w:rsidR="00B426B1" w:rsidRPr="00B91DA6" w:rsidRDefault="00B426B1" w:rsidP="006D6320">
      <w:pPr>
        <w:pStyle w:val="FootnoteText"/>
        <w:rPr>
          <w:lang w:val="en-US"/>
        </w:rPr>
      </w:pPr>
      <w:r>
        <w:rPr>
          <w:rStyle w:val="FootnoteReference"/>
        </w:rPr>
        <w:footnoteRef/>
      </w:r>
      <w:r w:rsidRPr="00B91DA6">
        <w:rPr>
          <w:lang w:val="en-US"/>
        </w:rPr>
        <w:t xml:space="preserve"> UNESCO Institute for Statistics (2017). </w:t>
      </w:r>
      <w:hyperlink r:id="rId1" w:history="1">
        <w:r w:rsidRPr="00B91DA6">
          <w:rPr>
            <w:rStyle w:val="Hyperlink"/>
            <w:lang w:val="en-US"/>
          </w:rPr>
          <w:t>http://uis.unesco.org/en/country/mk?theme=culture</w:t>
        </w:r>
      </w:hyperlink>
      <w:r w:rsidRPr="00B91DA6">
        <w:rPr>
          <w:lang w:val="en-US"/>
        </w:rPr>
        <w:t xml:space="preserve">. </w:t>
      </w:r>
    </w:p>
  </w:footnote>
  <w:footnote w:id="6">
    <w:p w:rsidR="00B426B1" w:rsidRPr="006D6320" w:rsidRDefault="00B426B1" w:rsidP="006D6320">
      <w:pPr>
        <w:pStyle w:val="FootnoteText"/>
      </w:pPr>
      <w:r>
        <w:rPr>
          <w:rStyle w:val="FootnoteReference"/>
        </w:rPr>
        <w:footnoteRef/>
      </w:r>
      <w:r w:rsidRPr="00B91DA6">
        <w:rPr>
          <w:lang w:val="en-US"/>
        </w:rPr>
        <w:t xml:space="preserve"> Compendium Cultural Policies and Trends (2020). Country Profile North Macedonia, page 30. </w:t>
      </w:r>
      <w:hyperlink r:id="rId2" w:history="1">
        <w:r w:rsidRPr="004672C8">
          <w:rPr>
            <w:rStyle w:val="Hyperlink"/>
          </w:rPr>
          <w:t>https://www.culturalpolicies.net/wp-content/uploads/pdf_full/north_macedonia/macedonia_092018.pdf</w:t>
        </w:r>
      </w:hyperlink>
      <w:r>
        <w:t>.</w:t>
      </w:r>
    </w:p>
  </w:footnote>
  <w:footnote w:id="7">
    <w:p w:rsidR="00B426B1" w:rsidRPr="00B91DA6" w:rsidRDefault="00B426B1" w:rsidP="006D6320">
      <w:pPr>
        <w:pStyle w:val="FootnoteText"/>
        <w:rPr>
          <w:lang w:val="en-US"/>
        </w:rPr>
      </w:pPr>
      <w:r>
        <w:rPr>
          <w:rStyle w:val="FootnoteReference"/>
        </w:rPr>
        <w:footnoteRef/>
      </w:r>
      <w:r w:rsidRPr="00B91DA6">
        <w:rPr>
          <w:lang w:val="en-US"/>
        </w:rPr>
        <w:t xml:space="preserve"> Ibidem, pages 29 and 31.</w:t>
      </w:r>
    </w:p>
  </w:footnote>
  <w:footnote w:id="8">
    <w:p w:rsidR="00B426B1" w:rsidRPr="00B91DA6" w:rsidRDefault="00B426B1">
      <w:pPr>
        <w:pStyle w:val="FootnoteText"/>
        <w:rPr>
          <w:lang w:val="it-IT"/>
        </w:rPr>
      </w:pPr>
      <w:r>
        <w:rPr>
          <w:rStyle w:val="FootnoteReference"/>
        </w:rPr>
        <w:footnoteRef/>
      </w:r>
      <w:r w:rsidRPr="00B91DA6">
        <w:rPr>
          <w:lang w:val="en-US"/>
        </w:rPr>
        <w:t xml:space="preserve"> Council of Europe. </w:t>
      </w:r>
      <w:r w:rsidRPr="00B91DA6">
        <w:rPr>
          <w:lang w:val="it-IT"/>
        </w:rPr>
        <w:t xml:space="preserve">Ljubljana Process. </w:t>
      </w:r>
      <w:hyperlink r:id="rId3" w:history="1">
        <w:r w:rsidRPr="00B91DA6">
          <w:rPr>
            <w:rStyle w:val="Hyperlink"/>
            <w:lang w:val="it-IT"/>
          </w:rPr>
          <w:t>https://www.coe.int/en/web/culture-and-heritage/ljubljana-process</w:t>
        </w:r>
      </w:hyperlink>
      <w:r w:rsidRPr="00B91DA6">
        <w:rPr>
          <w:lang w:val="it-IT"/>
        </w:rPr>
        <w:t>.</w:t>
      </w:r>
    </w:p>
  </w:footnote>
  <w:footnote w:id="9">
    <w:p w:rsidR="00B426B1" w:rsidRPr="008763AA" w:rsidRDefault="00B426B1" w:rsidP="002F4C21">
      <w:pPr>
        <w:pStyle w:val="FootnoteText"/>
        <w:rPr>
          <w:lang w:val="en-US"/>
        </w:rPr>
      </w:pPr>
      <w:r>
        <w:rPr>
          <w:rStyle w:val="FootnoteReference"/>
        </w:rPr>
        <w:footnoteRef/>
      </w:r>
      <w:r w:rsidRPr="006A603D">
        <w:rPr>
          <w:lang w:val="en-US"/>
        </w:rPr>
        <w:t xml:space="preserve"> The Convention was adopted by the Committee of Ministers of the Council of Europe on 13 October 2005, and opened for signature to member States in Faro (Portugal) on 27 October of the same year. It entered into force on 1 June 2011. To date, 19 member States of the Council of Europe have ratified the Convention and 6 have signed it. </w:t>
      </w:r>
      <w:hyperlink r:id="rId4" w:history="1">
        <w:r w:rsidRPr="00F9741C">
          <w:rPr>
            <w:rStyle w:val="Hyperlink"/>
          </w:rPr>
          <w:t>https://www.coe.int/en/web/culture-and-heritage/faro-convention</w:t>
        </w:r>
      </w:hyperlink>
      <w:r w:rsidRPr="00F9741C">
        <w:t xml:space="preserve">.  </w:t>
      </w:r>
      <w:r w:rsidRPr="008763AA">
        <w:rPr>
          <w:lang w:val="en-US"/>
        </w:rPr>
        <w:t>North Macedonia ratified in 2011 the CoE Faro Convention</w:t>
      </w:r>
      <w:r w:rsidRPr="008763AA">
        <w:rPr>
          <w:i/>
          <w:iCs/>
          <w:lang w:val="en-GB"/>
        </w:rPr>
        <w:t>)</w:t>
      </w:r>
      <w:r w:rsidRPr="008763AA">
        <w:rPr>
          <w:lang w:val="en-US"/>
        </w:rPr>
        <w:t>. The </w:t>
      </w:r>
      <w:hyperlink r:id="rId5" w:history="1">
        <w:r w:rsidRPr="008763AA">
          <w:rPr>
            <w:rStyle w:val="Hyperlink"/>
            <w:color w:val="auto"/>
            <w:u w:val="none"/>
            <w:lang w:val="en-US"/>
          </w:rPr>
          <w:t>Faro Convention</w:t>
        </w:r>
      </w:hyperlink>
      <w:r w:rsidRPr="008763AA">
        <w:rPr>
          <w:lang w:val="en-US"/>
        </w:rPr>
        <w:t> emphasizes the important aspects of heritage as they relate to human rights and democracy. It promotes a wider understanding of heritage and its relationship to communities and society</w:t>
      </w:r>
      <w:r>
        <w:rPr>
          <w:lang w:val="en-US"/>
        </w:rPr>
        <w:t>.</w:t>
      </w:r>
    </w:p>
    <w:p w:rsidR="00B426B1" w:rsidRPr="006A603D" w:rsidRDefault="00B426B1" w:rsidP="002F4C21">
      <w:pPr>
        <w:pStyle w:val="FootnoteText"/>
        <w:rPr>
          <w:lang w:val="en-US"/>
        </w:rPr>
      </w:pPr>
    </w:p>
  </w:footnote>
  <w:footnote w:id="10">
    <w:p w:rsidR="001F7EE9" w:rsidRPr="001F7EE9" w:rsidRDefault="001F7EE9">
      <w:pPr>
        <w:pStyle w:val="FootnoteText"/>
        <w:rPr>
          <w:lang w:val="en-US"/>
        </w:rPr>
      </w:pPr>
      <w:r>
        <w:rPr>
          <w:rStyle w:val="FootnoteReference"/>
        </w:rPr>
        <w:footnoteRef/>
      </w:r>
      <w:r>
        <w:rPr>
          <w:lang w:val="en-US"/>
        </w:rPr>
        <w:t>Source: Ministry of Culture.</w:t>
      </w:r>
    </w:p>
  </w:footnote>
  <w:footnote w:id="11">
    <w:p w:rsidR="00B426B1" w:rsidRPr="003623BB" w:rsidRDefault="00B426B1">
      <w:pPr>
        <w:pStyle w:val="FootnoteText"/>
        <w:rPr>
          <w:lang w:val="en-US"/>
        </w:rPr>
      </w:pPr>
      <w:r>
        <w:rPr>
          <w:rStyle w:val="FootnoteReference"/>
        </w:rPr>
        <w:footnoteRef/>
      </w:r>
      <w:r w:rsidRPr="003623BB">
        <w:rPr>
          <w:rFonts w:cstheme="minorHAnsi"/>
          <w:lang w:val="en-US"/>
        </w:rPr>
        <w:t xml:space="preserve">Drustvo Za Izdavanje, Promet I UslugiGotenGrupDooel Skopje; Association for Development of Culture and Ecology Sensus – Skopje; Platform for Civic Engagement Through Artistic and Cultural Practices Sociopatch Skopje; Lokomotiva Centre for New Initiatives in Arts and Culture; Republika Makedonija NacionalnaUstanova-Muzej Na SovrementaUmetnost Skopje; Jadro – Association of the Independent Culture Scene Skopje; Publishing House GavroshDooel Skopje; </w:t>
      </w:r>
      <w:r w:rsidRPr="003623BB">
        <w:rPr>
          <w:rFonts w:cstheme="minorHAnsi"/>
        </w:rPr>
        <w:t>НАЦИОНАЛНАУСТАНОВАЗАУПРАВУВАЊЕСОАРХЕОЛОШКИОТЛОКАЛИТЕТСТОБИ</w:t>
      </w:r>
      <w:r w:rsidRPr="003623BB">
        <w:rPr>
          <w:rFonts w:cstheme="minorHAnsi"/>
          <w:lang w:val="en-US"/>
        </w:rPr>
        <w:t>; Strip Centar Na Makedonija; Association Centre for Social Innovations Blink 42-21; Macedonian National Theatre.</w:t>
      </w:r>
    </w:p>
  </w:footnote>
  <w:footnote w:id="12">
    <w:p w:rsidR="00B426B1" w:rsidRPr="00B91DA6" w:rsidRDefault="00B426B1">
      <w:pPr>
        <w:pStyle w:val="FootnoteText"/>
        <w:rPr>
          <w:lang w:val="en-US"/>
        </w:rPr>
      </w:pPr>
      <w:r>
        <w:rPr>
          <w:rStyle w:val="FootnoteReference"/>
        </w:rPr>
        <w:footnoteRef/>
      </w:r>
      <w:r w:rsidRPr="00B91DA6">
        <w:rPr>
          <w:lang w:val="en-US"/>
        </w:rPr>
        <w:t xml:space="preserve"> European Commission (2014). Instrument for Pre-Accession Assistance (IPA II) 2014-2020, page 6. </w:t>
      </w:r>
      <w:hyperlink r:id="rId6" w:history="1">
        <w:r w:rsidRPr="00B91DA6">
          <w:rPr>
            <w:rStyle w:val="Hyperlink"/>
            <w:lang w:val="en-US"/>
          </w:rPr>
          <w:t>https://ec.europa.eu/neighbourhood-enlargement/sites/near/files/annexes/2020_ad1_eu_for_municipalities.pdf</w:t>
        </w:r>
      </w:hyperlink>
    </w:p>
  </w:footnote>
  <w:footnote w:id="13">
    <w:p w:rsidR="00B426B1" w:rsidRPr="00F9741C" w:rsidRDefault="00B426B1">
      <w:pPr>
        <w:pStyle w:val="FootnoteText"/>
        <w:rPr>
          <w:lang w:val="en-US"/>
        </w:rPr>
      </w:pPr>
      <w:r>
        <w:rPr>
          <w:rStyle w:val="FootnoteReference"/>
        </w:rPr>
        <w:footnoteRef/>
      </w:r>
      <w:r>
        <w:rPr>
          <w:lang w:val="en-US"/>
        </w:rPr>
        <w:t xml:space="preserve">Source: European Commission Staff Working Document – North Macedonia 2020 Report – 6.10.2020 – Communication on EU Enlargement Policy (SWD 2020 – 351 Final). </w:t>
      </w:r>
    </w:p>
  </w:footnote>
  <w:footnote w:id="14">
    <w:p w:rsidR="00B426B1" w:rsidRPr="006F3385" w:rsidRDefault="00B426B1">
      <w:pPr>
        <w:pStyle w:val="FootnoteText"/>
      </w:pPr>
      <w:r w:rsidRPr="004072C7">
        <w:rPr>
          <w:rStyle w:val="FootnoteReference"/>
        </w:rPr>
        <w:footnoteRef/>
      </w:r>
      <w:r w:rsidRPr="00B91DA6">
        <w:rPr>
          <w:lang w:val="en-US"/>
        </w:rPr>
        <w:t xml:space="preserve"> SEE Heritage is a network of non-governmental organizations from South East Europe established in 2006.</w:t>
      </w:r>
      <w:r>
        <w:rPr>
          <w:lang w:val="en-US"/>
        </w:rPr>
        <w:t xml:space="preserve"> Its</w:t>
      </w:r>
      <w:r w:rsidRPr="004072C7">
        <w:rPr>
          <w:lang w:val="en-US"/>
        </w:rPr>
        <w:t> mission is to work towards protecting and promoting the common cultural heritage with the aim of encouraging sustainable development of the region.</w:t>
      </w:r>
      <w:r>
        <w:t xml:space="preserve">Source: </w:t>
      </w:r>
      <w:hyperlink r:id="rId7" w:history="1">
        <w:r w:rsidRPr="004672C8">
          <w:rPr>
            <w:rStyle w:val="Hyperlink"/>
          </w:rPr>
          <w:t>http://www.seeheritage.net/index.php/about-see-heritage-network</w:t>
        </w:r>
      </w:hyperlink>
      <w:r>
        <w:t xml:space="preserve">. </w:t>
      </w:r>
    </w:p>
  </w:footnote>
  <w:footnote w:id="15">
    <w:p w:rsidR="00B426B1" w:rsidRPr="00B96082" w:rsidRDefault="00B426B1">
      <w:pPr>
        <w:pStyle w:val="FootnoteText"/>
        <w:rPr>
          <w:lang w:val="en-GB"/>
        </w:rPr>
      </w:pPr>
      <w:r>
        <w:rPr>
          <w:rStyle w:val="FootnoteReference"/>
        </w:rPr>
        <w:footnoteRef/>
      </w:r>
      <w:r w:rsidRPr="00470D09">
        <w:rPr>
          <w:lang w:val="en-GB"/>
        </w:rPr>
        <w:t>CoMoCoSEE is a unique cooperation platformcreated by the Ministers responsible for culture in South-East Europe</w:t>
      </w:r>
      <w:r w:rsidRPr="00B96082">
        <w:rPr>
          <w:lang w:val="en-GB"/>
        </w:rPr>
        <w:t xml:space="preserve"> (including North Macedonia)</w:t>
      </w:r>
      <w:r w:rsidRPr="00470D09">
        <w:rPr>
          <w:lang w:val="en-GB"/>
        </w:rPr>
        <w:t xml:space="preserve">. </w:t>
      </w:r>
      <w:r w:rsidRPr="00B96082">
        <w:rPr>
          <w:lang w:val="en-GB"/>
        </w:rPr>
        <w:t>Its</w:t>
      </w:r>
      <w:r w:rsidRPr="00470D09">
        <w:rPr>
          <w:lang w:val="en-GB"/>
        </w:rPr>
        <w:t xml:space="preserve"> main purpose is to strengthen regional cooperation and boost cultural heritage and creativity as drivers for sustainable development and regional integration.</w:t>
      </w:r>
      <w:r w:rsidRPr="00B96082">
        <w:rPr>
          <w:lang w:val="en-GB"/>
        </w:rPr>
        <w:t xml:space="preserve"> The Ohrid Regional Strategy for Cultural Cooperation in South-East Europe was approved in 2014. CoMoCoSEE’s commitment to its implementation is confirmed through the adoption of Istanbul (Turkey, 2016) and Tirana (Albania, 2017) declaration.</w:t>
      </w:r>
      <w:r>
        <w:rPr>
          <w:lang w:val="en-GB"/>
        </w:rPr>
        <w:t xml:space="preserve"> Source:</w:t>
      </w:r>
      <w:hyperlink r:id="rId8" w:history="1">
        <w:r w:rsidRPr="00B96082">
          <w:rPr>
            <w:rStyle w:val="Hyperlink"/>
            <w:lang w:val="en-GB"/>
          </w:rPr>
          <w:t>https://comocosee.org/documents/declarations/</w:t>
        </w:r>
      </w:hyperlink>
      <w:r w:rsidRPr="00B91DA6">
        <w:rPr>
          <w:lang w:val="en-US"/>
        </w:rPr>
        <w:t>.</w:t>
      </w:r>
    </w:p>
  </w:footnote>
  <w:footnote w:id="16">
    <w:p w:rsidR="00B426B1" w:rsidRPr="00B91DA6" w:rsidRDefault="00B426B1">
      <w:pPr>
        <w:pStyle w:val="FootnoteText"/>
      </w:pPr>
      <w:r>
        <w:rPr>
          <w:rStyle w:val="FootnoteReference"/>
        </w:rPr>
        <w:footnoteRef/>
      </w:r>
      <w:r w:rsidRPr="00B96082">
        <w:rPr>
          <w:lang w:val="en-US"/>
        </w:rPr>
        <w:t xml:space="preserve">The Berlin Process aims to increase regional cooperation in the Western Balkans and aid the integration of these countries into the EU. In 2019, it published the </w:t>
      </w:r>
      <w:r w:rsidRPr="00B96082">
        <w:rPr>
          <w:bCs/>
          <w:lang w:val="en-US"/>
        </w:rPr>
        <w:t>Civil Society Forum of the Western Balkans Policy Brief</w:t>
      </w:r>
      <w:r w:rsidRPr="00B96082">
        <w:rPr>
          <w:lang w:val="en-US"/>
        </w:rPr>
        <w:t xml:space="preserve">“Against Embellishments: for Long-term Mechanisms of Cultural Cooperation in South-East Europe”.  The report identifies obstacles to regional cultural cooperation in the West Balkan region and make recommendations to foster dialogue and collaboration between cultural operators. </w:t>
      </w:r>
      <w:r w:rsidRPr="00B91DA6">
        <w:t xml:space="preserve">Source: </w:t>
      </w:r>
      <w:hyperlink r:id="rId9" w:history="1">
        <w:r w:rsidRPr="00B91DA6">
          <w:rPr>
            <w:rStyle w:val="Hyperlink"/>
          </w:rPr>
          <w:t>https://berlinprocess.info/wp-content/uploads/2019/07/CSF-PB-06-19-full-4.pdf</w:t>
        </w:r>
      </w:hyperlink>
      <w:r>
        <w:t>.</w:t>
      </w:r>
    </w:p>
  </w:footnote>
  <w:footnote w:id="17">
    <w:p w:rsidR="00B426B1" w:rsidRPr="001508E4" w:rsidRDefault="00B426B1">
      <w:pPr>
        <w:pStyle w:val="FootnoteText"/>
        <w:rPr>
          <w:lang w:val="en-US"/>
        </w:rPr>
      </w:pPr>
      <w:r>
        <w:rPr>
          <w:rStyle w:val="FootnoteReference"/>
        </w:rPr>
        <w:footnoteRef/>
      </w:r>
      <w:r>
        <w:rPr>
          <w:lang w:val="en-US"/>
        </w:rPr>
        <w:t xml:space="preserve">Programme  of the mission is in Annex 4. </w:t>
      </w:r>
    </w:p>
  </w:footnote>
  <w:footnote w:id="18">
    <w:p w:rsidR="00B426B1" w:rsidRPr="00A933C9" w:rsidRDefault="00B426B1" w:rsidP="00F6017E">
      <w:pPr>
        <w:pStyle w:val="FootnoteText"/>
        <w:rPr>
          <w:lang w:val="en-US"/>
        </w:rPr>
      </w:pPr>
      <w:r>
        <w:rPr>
          <w:rStyle w:val="FootnoteReference"/>
        </w:rPr>
        <w:footnoteRef/>
      </w:r>
      <w:r w:rsidRPr="00A933C9">
        <w:rPr>
          <w:lang w:val="en-US"/>
        </w:rPr>
        <w:t xml:space="preserve"> Commission Staff Working Paper </w:t>
      </w:r>
      <w:r>
        <w:rPr>
          <w:lang w:val="en-US"/>
        </w:rPr>
        <w:t xml:space="preserve">on EU enlargement policy – Report on North Macedonia 6 </w:t>
      </w:r>
      <w:r w:rsidRPr="00A933C9">
        <w:rPr>
          <w:lang w:val="en-US"/>
        </w:rPr>
        <w:t>October 2020 https://ec.europa.eu/neighbourhood-enlargement/sites/near/files/north_macedonia_report_2020.pdf</w:t>
      </w:r>
    </w:p>
  </w:footnote>
  <w:footnote w:id="19">
    <w:p w:rsidR="00B426B1" w:rsidRPr="009A0E05" w:rsidRDefault="00B426B1">
      <w:pPr>
        <w:pStyle w:val="FootnoteText"/>
        <w:rPr>
          <w:lang w:val="en-US"/>
        </w:rPr>
      </w:pPr>
      <w:r>
        <w:rPr>
          <w:rStyle w:val="FootnoteReference"/>
        </w:rPr>
        <w:footnoteRef/>
      </w:r>
      <w:r>
        <w:rPr>
          <w:lang w:val="en-US"/>
        </w:rPr>
        <w:t xml:space="preserve">As examples of </w:t>
      </w:r>
      <w:r w:rsidRPr="009A0E05">
        <w:rPr>
          <w:lang w:val="en-US"/>
        </w:rPr>
        <w:t xml:space="preserve">principles for culture to work as a strategic agent of </w:t>
      </w:r>
      <w:r>
        <w:rPr>
          <w:lang w:val="en-US"/>
        </w:rPr>
        <w:t>t</w:t>
      </w:r>
      <w:r w:rsidRPr="009A0E05">
        <w:rPr>
          <w:lang w:val="en-US"/>
        </w:rPr>
        <w:t>ransformation.</w:t>
      </w:r>
      <w:hyperlink r:id="rId10" w:history="1">
        <w:r w:rsidR="00500792" w:rsidRPr="00E45DC0">
          <w:rPr>
            <w:rStyle w:val="Hyperlink"/>
            <w:lang w:val="en-US"/>
          </w:rPr>
          <w:t>https://keanet.eu/manifesto-for-a-modern-cultural-policy/</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7914"/>
    <w:multiLevelType w:val="hybridMultilevel"/>
    <w:tmpl w:val="CCAC82FA"/>
    <w:lvl w:ilvl="0" w:tplc="162CFD58">
      <w:numFmt w:val="bullet"/>
      <w:lvlText w:val="-"/>
      <w:lvlJc w:val="left"/>
      <w:pPr>
        <w:ind w:left="1065" w:hanging="360"/>
      </w:pPr>
      <w:rPr>
        <w:rFonts w:ascii="Calibri" w:eastAsiaTheme="minorHAnsi" w:hAnsi="Calibri" w:cstheme="minorBidi"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
    <w:nsid w:val="148433CA"/>
    <w:multiLevelType w:val="hybridMultilevel"/>
    <w:tmpl w:val="02C20EAC"/>
    <w:lvl w:ilvl="0" w:tplc="4B00A2FA">
      <w:start w:val="2"/>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A860A58"/>
    <w:multiLevelType w:val="hybridMultilevel"/>
    <w:tmpl w:val="C6867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8E4CA9"/>
    <w:multiLevelType w:val="multilevel"/>
    <w:tmpl w:val="46301E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5B51C2B"/>
    <w:multiLevelType w:val="multilevel"/>
    <w:tmpl w:val="9E5C9D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E41627"/>
    <w:multiLevelType w:val="hybridMultilevel"/>
    <w:tmpl w:val="1B5CD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E82C95"/>
    <w:multiLevelType w:val="hybridMultilevel"/>
    <w:tmpl w:val="289EA66E"/>
    <w:lvl w:ilvl="0" w:tplc="EF983F4E">
      <w:start w:val="16"/>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4B8035BB"/>
    <w:multiLevelType w:val="hybridMultilevel"/>
    <w:tmpl w:val="FB7ECD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6344673F"/>
    <w:multiLevelType w:val="hybridMultilevel"/>
    <w:tmpl w:val="5ECACD8E"/>
    <w:lvl w:ilvl="0" w:tplc="EF983F4E">
      <w:start w:val="16"/>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79E762CF"/>
    <w:multiLevelType w:val="hybridMultilevel"/>
    <w:tmpl w:val="08727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6"/>
  </w:num>
  <w:num w:numId="5">
    <w:abstractNumId w:val="7"/>
  </w:num>
  <w:num w:numId="6">
    <w:abstractNumId w:val="1"/>
  </w:num>
  <w:num w:numId="7">
    <w:abstractNumId w:val="9"/>
  </w:num>
  <w:num w:numId="8">
    <w:abstractNumId w:val="3"/>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933C9"/>
    <w:rsid w:val="00007424"/>
    <w:rsid w:val="00020C52"/>
    <w:rsid w:val="00031B3B"/>
    <w:rsid w:val="000326E1"/>
    <w:rsid w:val="00067988"/>
    <w:rsid w:val="00070575"/>
    <w:rsid w:val="000720EF"/>
    <w:rsid w:val="000E041F"/>
    <w:rsid w:val="00111CB1"/>
    <w:rsid w:val="00112562"/>
    <w:rsid w:val="00133109"/>
    <w:rsid w:val="0013487B"/>
    <w:rsid w:val="001508E4"/>
    <w:rsid w:val="00167E9F"/>
    <w:rsid w:val="00170B0F"/>
    <w:rsid w:val="00173A7E"/>
    <w:rsid w:val="001B4D26"/>
    <w:rsid w:val="001E0E7F"/>
    <w:rsid w:val="001F7EE9"/>
    <w:rsid w:val="00203F8B"/>
    <w:rsid w:val="002232A5"/>
    <w:rsid w:val="00230DA9"/>
    <w:rsid w:val="002375E4"/>
    <w:rsid w:val="00266060"/>
    <w:rsid w:val="00292108"/>
    <w:rsid w:val="002952F1"/>
    <w:rsid w:val="002F4C21"/>
    <w:rsid w:val="00317A8B"/>
    <w:rsid w:val="0032402D"/>
    <w:rsid w:val="00331C95"/>
    <w:rsid w:val="003376C7"/>
    <w:rsid w:val="003623BB"/>
    <w:rsid w:val="00365029"/>
    <w:rsid w:val="003806AC"/>
    <w:rsid w:val="00390A62"/>
    <w:rsid w:val="003E3160"/>
    <w:rsid w:val="004072C7"/>
    <w:rsid w:val="00413DCA"/>
    <w:rsid w:val="004438E0"/>
    <w:rsid w:val="00456643"/>
    <w:rsid w:val="0047130C"/>
    <w:rsid w:val="00500792"/>
    <w:rsid w:val="005159BA"/>
    <w:rsid w:val="00562125"/>
    <w:rsid w:val="00562695"/>
    <w:rsid w:val="00595FC9"/>
    <w:rsid w:val="005A7456"/>
    <w:rsid w:val="005B430A"/>
    <w:rsid w:val="005C0F49"/>
    <w:rsid w:val="005F5250"/>
    <w:rsid w:val="006131A7"/>
    <w:rsid w:val="006248F9"/>
    <w:rsid w:val="00626D3E"/>
    <w:rsid w:val="0063606C"/>
    <w:rsid w:val="00637C63"/>
    <w:rsid w:val="00640910"/>
    <w:rsid w:val="0067214C"/>
    <w:rsid w:val="006A603D"/>
    <w:rsid w:val="006B1C85"/>
    <w:rsid w:val="006D6320"/>
    <w:rsid w:val="006E07C5"/>
    <w:rsid w:val="006F3385"/>
    <w:rsid w:val="007101D8"/>
    <w:rsid w:val="0077587A"/>
    <w:rsid w:val="00787A80"/>
    <w:rsid w:val="007C0E3C"/>
    <w:rsid w:val="007C2405"/>
    <w:rsid w:val="007F6CB9"/>
    <w:rsid w:val="00833DEF"/>
    <w:rsid w:val="00843FE0"/>
    <w:rsid w:val="00846FA6"/>
    <w:rsid w:val="00853655"/>
    <w:rsid w:val="008703C3"/>
    <w:rsid w:val="008763AA"/>
    <w:rsid w:val="008861AE"/>
    <w:rsid w:val="008866BE"/>
    <w:rsid w:val="0089209D"/>
    <w:rsid w:val="008960FD"/>
    <w:rsid w:val="008C3A7C"/>
    <w:rsid w:val="008D4CE0"/>
    <w:rsid w:val="008E7657"/>
    <w:rsid w:val="008F4D89"/>
    <w:rsid w:val="00966E59"/>
    <w:rsid w:val="009A0E05"/>
    <w:rsid w:val="009B68E4"/>
    <w:rsid w:val="009E42D9"/>
    <w:rsid w:val="00A14BBE"/>
    <w:rsid w:val="00A20D04"/>
    <w:rsid w:val="00A37176"/>
    <w:rsid w:val="00A76894"/>
    <w:rsid w:val="00A91E43"/>
    <w:rsid w:val="00A9329A"/>
    <w:rsid w:val="00A933C9"/>
    <w:rsid w:val="00AA7C8D"/>
    <w:rsid w:val="00AB2835"/>
    <w:rsid w:val="00AD4B40"/>
    <w:rsid w:val="00B014B9"/>
    <w:rsid w:val="00B209BA"/>
    <w:rsid w:val="00B426B1"/>
    <w:rsid w:val="00B45FEB"/>
    <w:rsid w:val="00B91DA6"/>
    <w:rsid w:val="00B96082"/>
    <w:rsid w:val="00BC5066"/>
    <w:rsid w:val="00BE1AB5"/>
    <w:rsid w:val="00C11451"/>
    <w:rsid w:val="00C377D3"/>
    <w:rsid w:val="00C514B2"/>
    <w:rsid w:val="00C569C4"/>
    <w:rsid w:val="00CE4589"/>
    <w:rsid w:val="00CE4B84"/>
    <w:rsid w:val="00D01B03"/>
    <w:rsid w:val="00D04191"/>
    <w:rsid w:val="00D05013"/>
    <w:rsid w:val="00D14B4B"/>
    <w:rsid w:val="00D35B22"/>
    <w:rsid w:val="00DA4C36"/>
    <w:rsid w:val="00DC4D0C"/>
    <w:rsid w:val="00DC4FD5"/>
    <w:rsid w:val="00DF4F22"/>
    <w:rsid w:val="00E03605"/>
    <w:rsid w:val="00E124B4"/>
    <w:rsid w:val="00E23EDD"/>
    <w:rsid w:val="00E622FC"/>
    <w:rsid w:val="00E66EB3"/>
    <w:rsid w:val="00E80712"/>
    <w:rsid w:val="00F12798"/>
    <w:rsid w:val="00F6017E"/>
    <w:rsid w:val="00F807E3"/>
    <w:rsid w:val="00F9741C"/>
    <w:rsid w:val="00F97CFB"/>
    <w:rsid w:val="00FC6A92"/>
    <w:rsid w:val="00FD62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1F"/>
  </w:style>
  <w:style w:type="paragraph" w:styleId="Heading1">
    <w:name w:val="heading 1"/>
    <w:basedOn w:val="Normal"/>
    <w:next w:val="Normal"/>
    <w:link w:val="Heading1Char"/>
    <w:uiPriority w:val="9"/>
    <w:qFormat/>
    <w:rsid w:val="00E12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6643"/>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933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33C9"/>
    <w:rPr>
      <w:sz w:val="20"/>
      <w:szCs w:val="20"/>
    </w:rPr>
  </w:style>
  <w:style w:type="character" w:styleId="FootnoteReference">
    <w:name w:val="footnote reference"/>
    <w:basedOn w:val="DefaultParagraphFont"/>
    <w:uiPriority w:val="99"/>
    <w:semiHidden/>
    <w:unhideWhenUsed/>
    <w:rsid w:val="00A933C9"/>
    <w:rPr>
      <w:vertAlign w:val="superscript"/>
    </w:rPr>
  </w:style>
  <w:style w:type="character" w:customStyle="1" w:styleId="Heading2Char">
    <w:name w:val="Heading 2 Char"/>
    <w:basedOn w:val="DefaultParagraphFont"/>
    <w:link w:val="Heading2"/>
    <w:uiPriority w:val="9"/>
    <w:rsid w:val="00456643"/>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456643"/>
    <w:rPr>
      <w:color w:val="0000FF" w:themeColor="hyperlink"/>
      <w:u w:val="single"/>
    </w:rPr>
  </w:style>
  <w:style w:type="paragraph" w:styleId="ListParagraph">
    <w:name w:val="List Paragraph"/>
    <w:basedOn w:val="Normal"/>
    <w:uiPriority w:val="34"/>
    <w:qFormat/>
    <w:rsid w:val="00456643"/>
    <w:pPr>
      <w:spacing w:after="0" w:line="240" w:lineRule="auto"/>
      <w:ind w:left="720"/>
      <w:contextualSpacing/>
    </w:pPr>
    <w:rPr>
      <w:sz w:val="24"/>
      <w:szCs w:val="24"/>
      <w:lang w:val="en-GB"/>
    </w:rPr>
  </w:style>
  <w:style w:type="paragraph" w:styleId="Header">
    <w:name w:val="header"/>
    <w:basedOn w:val="Normal"/>
    <w:link w:val="HeaderChar"/>
    <w:uiPriority w:val="99"/>
    <w:unhideWhenUsed/>
    <w:rsid w:val="00D050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5013"/>
  </w:style>
  <w:style w:type="paragraph" w:styleId="Footer">
    <w:name w:val="footer"/>
    <w:basedOn w:val="Normal"/>
    <w:link w:val="FooterChar"/>
    <w:uiPriority w:val="99"/>
    <w:unhideWhenUsed/>
    <w:rsid w:val="00D050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5013"/>
  </w:style>
  <w:style w:type="paragraph" w:customStyle="1" w:styleId="Default">
    <w:name w:val="Default"/>
    <w:rsid w:val="0011256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E124B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E124B4"/>
    <w:pPr>
      <w:spacing w:after="0" w:line="240" w:lineRule="auto"/>
    </w:pPr>
    <w:rPr>
      <w:lang w:val="fi-F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60FD"/>
    <w:rPr>
      <w:sz w:val="16"/>
      <w:szCs w:val="16"/>
    </w:rPr>
  </w:style>
  <w:style w:type="paragraph" w:styleId="CommentText">
    <w:name w:val="annotation text"/>
    <w:basedOn w:val="Normal"/>
    <w:link w:val="CommentTextChar"/>
    <w:uiPriority w:val="99"/>
    <w:semiHidden/>
    <w:unhideWhenUsed/>
    <w:rsid w:val="008960FD"/>
    <w:pPr>
      <w:spacing w:line="240" w:lineRule="auto"/>
    </w:pPr>
    <w:rPr>
      <w:sz w:val="20"/>
      <w:szCs w:val="20"/>
    </w:rPr>
  </w:style>
  <w:style w:type="character" w:customStyle="1" w:styleId="CommentTextChar">
    <w:name w:val="Comment Text Char"/>
    <w:basedOn w:val="DefaultParagraphFont"/>
    <w:link w:val="CommentText"/>
    <w:uiPriority w:val="99"/>
    <w:semiHidden/>
    <w:rsid w:val="008960FD"/>
    <w:rPr>
      <w:sz w:val="20"/>
      <w:szCs w:val="20"/>
    </w:rPr>
  </w:style>
  <w:style w:type="paragraph" w:styleId="CommentSubject">
    <w:name w:val="annotation subject"/>
    <w:basedOn w:val="CommentText"/>
    <w:next w:val="CommentText"/>
    <w:link w:val="CommentSubjectChar"/>
    <w:uiPriority w:val="99"/>
    <w:semiHidden/>
    <w:unhideWhenUsed/>
    <w:rsid w:val="008960FD"/>
    <w:rPr>
      <w:b/>
      <w:bCs/>
    </w:rPr>
  </w:style>
  <w:style w:type="character" w:customStyle="1" w:styleId="CommentSubjectChar">
    <w:name w:val="Comment Subject Char"/>
    <w:basedOn w:val="CommentTextChar"/>
    <w:link w:val="CommentSubject"/>
    <w:uiPriority w:val="99"/>
    <w:semiHidden/>
    <w:rsid w:val="008960FD"/>
    <w:rPr>
      <w:b/>
      <w:bCs/>
      <w:sz w:val="20"/>
      <w:szCs w:val="20"/>
    </w:rPr>
  </w:style>
  <w:style w:type="paragraph" w:styleId="BalloonText">
    <w:name w:val="Balloon Text"/>
    <w:basedOn w:val="Normal"/>
    <w:link w:val="BalloonTextChar"/>
    <w:uiPriority w:val="99"/>
    <w:semiHidden/>
    <w:unhideWhenUsed/>
    <w:rsid w:val="00896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0FD"/>
    <w:rPr>
      <w:rFonts w:ascii="Tahoma" w:hAnsi="Tahoma" w:cs="Tahoma"/>
      <w:sz w:val="16"/>
      <w:szCs w:val="16"/>
    </w:rPr>
  </w:style>
  <w:style w:type="character" w:customStyle="1" w:styleId="UnresolvedMention1">
    <w:name w:val="Unresolved Mention1"/>
    <w:basedOn w:val="DefaultParagraphFont"/>
    <w:uiPriority w:val="99"/>
    <w:semiHidden/>
    <w:unhideWhenUsed/>
    <w:rsid w:val="005159BA"/>
    <w:rPr>
      <w:color w:val="605E5C"/>
      <w:shd w:val="clear" w:color="auto" w:fill="E1DFDD"/>
    </w:rPr>
  </w:style>
  <w:style w:type="character" w:styleId="FollowedHyperlink">
    <w:name w:val="FollowedHyperlink"/>
    <w:basedOn w:val="DefaultParagraphFont"/>
    <w:uiPriority w:val="99"/>
    <w:semiHidden/>
    <w:unhideWhenUsed/>
    <w:rsid w:val="00167E9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31777666">
      <w:bodyDiv w:val="1"/>
      <w:marLeft w:val="0"/>
      <w:marRight w:val="0"/>
      <w:marTop w:val="0"/>
      <w:marBottom w:val="0"/>
      <w:divBdr>
        <w:top w:val="none" w:sz="0" w:space="0" w:color="auto"/>
        <w:left w:val="none" w:sz="0" w:space="0" w:color="auto"/>
        <w:bottom w:val="none" w:sz="0" w:space="0" w:color="auto"/>
        <w:right w:val="none" w:sz="0" w:space="0" w:color="auto"/>
      </w:divBdr>
    </w:div>
    <w:div w:id="586503227">
      <w:bodyDiv w:val="1"/>
      <w:marLeft w:val="0"/>
      <w:marRight w:val="0"/>
      <w:marTop w:val="0"/>
      <w:marBottom w:val="0"/>
      <w:divBdr>
        <w:top w:val="none" w:sz="0" w:space="0" w:color="auto"/>
        <w:left w:val="none" w:sz="0" w:space="0" w:color="auto"/>
        <w:bottom w:val="none" w:sz="0" w:space="0" w:color="auto"/>
        <w:right w:val="none" w:sz="0" w:space="0" w:color="auto"/>
      </w:divBdr>
    </w:div>
    <w:div w:id="1295872777">
      <w:bodyDiv w:val="1"/>
      <w:marLeft w:val="0"/>
      <w:marRight w:val="0"/>
      <w:marTop w:val="0"/>
      <w:marBottom w:val="0"/>
      <w:divBdr>
        <w:top w:val="none" w:sz="0" w:space="0" w:color="auto"/>
        <w:left w:val="none" w:sz="0" w:space="0" w:color="auto"/>
        <w:bottom w:val="none" w:sz="0" w:space="0" w:color="auto"/>
        <w:right w:val="none" w:sz="0" w:space="0" w:color="auto"/>
      </w:divBdr>
    </w:div>
    <w:div w:id="211073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hr.coe.int/Pages/home.aspx?p=court/judges&amp;c=" TargetMode="External"/><Relationship Id="rId18" Type="http://schemas.openxmlformats.org/officeDocument/2006/relationships/hyperlink" Target="http://www.coe.int/en/web/conventions/search-on-states/-/conventions/treaty/country/TFY/NONE?p_auth=Pzf09rn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mantic-pace.net/tools/pdf.aspx?doc=aHR0cDovL2Fzc2VtYmx5LmNvZS5pbnQvbncveG1sL1hSZWYvWDJILURXLWV4dHIuYXNwP2ZpbGVpZD0xMzkzMCZsYW5nPUVO&amp;xsl=aHR0cDovL3NlbWFudGljcGFjZS5uZXQvWHNsdC9QZGYvWFJlZi1XRC1BVC1YTUwyUERGLnhzbA==&amp;xsltparams=ZmlsZWlkPTEzOTMw" TargetMode="External"/><Relationship Id="rId17" Type="http://schemas.openxmlformats.org/officeDocument/2006/relationships/hyperlink" Target="http://www.coe.int/en/web/conventions/search-on-states/-/conventions/treaty/country/TFY/SIGNED?p_auth=Pzf09rnh" TargetMode="External"/><Relationship Id="rId2" Type="http://schemas.openxmlformats.org/officeDocument/2006/relationships/numbering" Target="numbering.xml"/><Relationship Id="rId16" Type="http://schemas.openxmlformats.org/officeDocument/2006/relationships/hyperlink" Target="http://www.coe.int/en/web/conventions/search-on-states/-/conventions/treaty/country/TFY/RATIFIED?p_auth=Pzf09rn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neighbourhood-enlargement/sites/near/files/ipa_ii_2019-near-eac.13_illicit_trafficking.pdf" TargetMode="External"/><Relationship Id="rId5" Type="http://schemas.openxmlformats.org/officeDocument/2006/relationships/webSettings" Target="webSettings.xml"/><Relationship Id="rId15" Type="http://schemas.openxmlformats.org/officeDocument/2006/relationships/hyperlink" Target="https://rm.coe.int/1680709757" TargetMode="External"/><Relationship Id="rId10" Type="http://schemas.openxmlformats.org/officeDocument/2006/relationships/hyperlink" Target="https://en.unesco.org/fighttrafficking/eu-cooper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e.int/en/web/culture-and-heritage/see" TargetMode="External"/><Relationship Id="rId14" Type="http://schemas.openxmlformats.org/officeDocument/2006/relationships/hyperlink" Target="https://www.echr.coe.int/Documents/CP_Republic_of_North_Macedonia_ENG.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ocosee.org/documents/declarations/" TargetMode="External"/><Relationship Id="rId3" Type="http://schemas.openxmlformats.org/officeDocument/2006/relationships/hyperlink" Target="https://www.coe.int/en/web/culture-and-heritage/ljubljana-process" TargetMode="External"/><Relationship Id="rId7" Type="http://schemas.openxmlformats.org/officeDocument/2006/relationships/hyperlink" Target="http://www.seeheritage.net/index.php/about-see-heritage-network" TargetMode="External"/><Relationship Id="rId2" Type="http://schemas.openxmlformats.org/officeDocument/2006/relationships/hyperlink" Target="https://www.culturalpolicies.net/wp-content/uploads/pdf_full/north_macedonia/macedonia_092018.pdf" TargetMode="External"/><Relationship Id="rId1" Type="http://schemas.openxmlformats.org/officeDocument/2006/relationships/hyperlink" Target="http://uis.unesco.org/en/country/mk?theme=culture" TargetMode="External"/><Relationship Id="rId6" Type="http://schemas.openxmlformats.org/officeDocument/2006/relationships/hyperlink" Target="https://ec.europa.eu/neighbourhood-enlargement/sites/near/files/annexes/2020_ad1_eu_for_municipalities.pdf" TargetMode="External"/><Relationship Id="rId5" Type="http://schemas.openxmlformats.org/officeDocument/2006/relationships/hyperlink" Target="http://www.coe.int/en/web/conventions/full-list/-/conventions/treaty/199" TargetMode="External"/><Relationship Id="rId10" Type="http://schemas.openxmlformats.org/officeDocument/2006/relationships/hyperlink" Target="https://keanet.eu/manifesto-for-a-modern-cultural-policy/" TargetMode="External"/><Relationship Id="rId4" Type="http://schemas.openxmlformats.org/officeDocument/2006/relationships/hyperlink" Target="https://www.coe.int/en/web/culture-and-heritage/faro-convention" TargetMode="External"/><Relationship Id="rId9" Type="http://schemas.openxmlformats.org/officeDocument/2006/relationships/hyperlink" Target="https://berlinprocess.info/wp-content/uploads/2019/07/CSF-PB-06-19-full-4.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6811-411E-45FC-B380-FAFC32EC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5652</Words>
  <Characters>32218</Characters>
  <Application>Microsoft Office Word</Application>
  <DocSecurity>0</DocSecurity>
  <Lines>268</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Kern</dc:creator>
  <cp:lastModifiedBy>anita.jovanoska</cp:lastModifiedBy>
  <cp:revision>2</cp:revision>
  <dcterms:created xsi:type="dcterms:W3CDTF">2021-03-17T11:33:00Z</dcterms:created>
  <dcterms:modified xsi:type="dcterms:W3CDTF">2021-03-17T11:33:00Z</dcterms:modified>
</cp:coreProperties>
</file>