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52" w:rsidRPr="00D43A52" w:rsidRDefault="00D43A52" w:rsidP="00D43A52">
      <w:pPr>
        <w:jc w:val="center"/>
        <w:rPr>
          <w:rFonts w:ascii="Arial Narrow" w:hAnsi="Arial Narrow"/>
          <w:lang w:val="mk-MK"/>
        </w:rPr>
      </w:pPr>
      <w:r w:rsidRPr="00D43A52">
        <w:rPr>
          <w:rFonts w:ascii="Arial Narrow" w:hAnsi="Arial Narrow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8"/>
        <w:gridCol w:w="1806"/>
        <w:gridCol w:w="4633"/>
      </w:tblGrid>
      <w:tr w:rsidR="00663E9F" w:rsidRPr="00663E9F" w:rsidTr="00446B77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:rsidR="00663E9F" w:rsidRPr="00663E9F" w:rsidRDefault="00663E9F" w:rsidP="00446B77">
            <w:pPr>
              <w:shd w:val="clear" w:color="auto" w:fill="FFFFFF" w:themeFill="background1"/>
              <w:spacing w:after="0"/>
              <w:jc w:val="center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Формулар за доставување коментари и предлози за Контролната листа на ПУЖССА за </w:t>
            </w:r>
            <w:r w:rsidR="009B7C87" w:rsidRPr="009B7C8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Реконструкција</w:t>
            </w: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 на постоен пат, ул. „532“ во општина Илинден, Скопје</w:t>
            </w:r>
          </w:p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Опис на проектот</w:t>
            </w:r>
          </w:p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bCs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Cs/>
                <w:sz w:val="18"/>
                <w:szCs w:val="18"/>
                <w:lang w:val="mk-MK"/>
              </w:rPr>
              <w:t xml:space="preserve">Проектниот пат (532) се наоѓа во Општина Илинден. Должината на под-проектот е 1.888 </w:t>
            </w:r>
            <w:r w:rsidRPr="00663E9F">
              <w:rPr>
                <w:rFonts w:ascii="Arial Narrow" w:eastAsia="Calibri" w:hAnsi="Arial Narrow" w:cstheme="minorHAnsi"/>
                <w:bCs/>
                <w:sz w:val="18"/>
                <w:szCs w:val="18"/>
              </w:rPr>
              <w:t>m</w:t>
            </w:r>
            <w:r w:rsidRPr="00663E9F">
              <w:rPr>
                <w:rFonts w:ascii="Arial Narrow" w:eastAsia="Calibri" w:hAnsi="Arial Narrow" w:cstheme="minorHAnsi"/>
                <w:bCs/>
                <w:sz w:val="18"/>
                <w:szCs w:val="18"/>
                <w:lang w:val="mk-MK"/>
              </w:rPr>
              <w:t xml:space="preserve"> со ширина на патот од 5-6 </w:t>
            </w:r>
            <w:r w:rsidRPr="00663E9F">
              <w:rPr>
                <w:rFonts w:ascii="Arial Narrow" w:eastAsia="Calibri" w:hAnsi="Arial Narrow" w:cstheme="minorHAnsi"/>
                <w:bCs/>
                <w:sz w:val="18"/>
                <w:szCs w:val="18"/>
              </w:rPr>
              <w:t>m</w:t>
            </w:r>
            <w:r w:rsidRPr="00663E9F">
              <w:rPr>
                <w:rFonts w:ascii="Arial Narrow" w:eastAsia="Calibri" w:hAnsi="Arial Narrow" w:cstheme="minorHAnsi"/>
                <w:bCs/>
                <w:sz w:val="18"/>
                <w:szCs w:val="18"/>
                <w:lang w:val="mk-MK"/>
              </w:rPr>
              <w:t xml:space="preserve">. Главните активности ќе вклучуваат: обележување и обезбедување на трасата на локацијата на проектот, стружење на асфалт, поставување на тампон слој, поставување на тротоари, обложување со битуменска емулзија, поставување на лежиште битуменски слој над постојниот асфалт и набивање на сите слоеви на асфалт, инсталација на дренажи за собирање дождовна вода и поставување на завршни елементи. </w:t>
            </w:r>
          </w:p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Електронската верзија на Контролната листа на ПУЖССА за </w:t>
            </w:r>
            <w:r w:rsidR="009B7C87" w:rsidRPr="009B7C8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Реконструкција</w:t>
            </w:r>
            <w:r w:rsidR="009B7C8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 </w:t>
            </w: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на постоен пат, ул. „532“ во општина Илинден, Скопје е достапна на следниве веб-страни</w:t>
            </w:r>
            <w:r w:rsidRPr="00663E9F"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  <w:t>:</w:t>
            </w:r>
          </w:p>
          <w:p w:rsidR="00663E9F" w:rsidRPr="00663E9F" w:rsidRDefault="00663E9F" w:rsidP="00663E9F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  <w:t>Општина Илинден</w:t>
            </w:r>
            <w:r w:rsidRPr="00663E9F">
              <w:rPr>
                <w:rFonts w:ascii="Arial Narrow" w:eastAsia="Calibri" w:hAnsi="Arial Narrow" w:cstheme="minorHAnsi"/>
                <w:bCs/>
                <w:sz w:val="18"/>
                <w:szCs w:val="18"/>
                <w:lang w:val="mk-MK"/>
              </w:rPr>
              <w:t xml:space="preserve">: </w:t>
            </w:r>
            <w:r w:rsidRPr="00663E9F"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  <w:t>http://www.ilinden.gov.mk/</w:t>
            </w:r>
          </w:p>
          <w:p w:rsidR="00663E9F" w:rsidRPr="00663E9F" w:rsidRDefault="00663E9F" w:rsidP="00663E9F">
            <w:pPr>
              <w:numPr>
                <w:ilvl w:val="0"/>
                <w:numId w:val="1"/>
              </w:numPr>
              <w:spacing w:before="0" w:after="0"/>
              <w:contextualSpacing/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  <w:t>МТВ:</w:t>
            </w:r>
            <w:r w:rsidRPr="00663E9F">
              <w:rPr>
                <w:rFonts w:ascii="Arial Narrow" w:hAnsi="Arial Narrow" w:cstheme="minorHAnsi"/>
                <w:sz w:val="18"/>
                <w:szCs w:val="18"/>
                <w:lang w:val="mk-MK"/>
              </w:rPr>
              <w:t xml:space="preserve"> </w:t>
            </w:r>
            <w:r w:rsidRPr="00663E9F"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  <w:t>http://mtc.gov.mk/</w:t>
            </w:r>
          </w:p>
          <w:p w:rsidR="00663E9F" w:rsidRPr="00663E9F" w:rsidRDefault="00663E9F" w:rsidP="00446B77">
            <w:pPr>
              <w:shd w:val="clear" w:color="auto" w:fill="FFFFFF" w:themeFill="background1"/>
              <w:spacing w:after="0"/>
              <w:jc w:val="center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</w:p>
        </w:tc>
      </w:tr>
      <w:tr w:rsidR="00663E9F" w:rsidRPr="00663E9F" w:rsidTr="00446B77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Име и презиме на лицето кое дава коментар *</w:t>
            </w:r>
          </w:p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</w:pPr>
          </w:p>
        </w:tc>
      </w:tr>
      <w:tr w:rsidR="00663E9F" w:rsidRPr="00663E9F" w:rsidTr="00446B77">
        <w:trPr>
          <w:jc w:val="center"/>
        </w:trPr>
        <w:tc>
          <w:tcPr>
            <w:tcW w:w="2578" w:type="dxa"/>
            <w:shd w:val="clear" w:color="auto" w:fill="F2F2F2"/>
          </w:tcPr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Контакт информации*</w:t>
            </w:r>
          </w:p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</w:pPr>
          </w:p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:rsidR="00663E9F" w:rsidRPr="00663E9F" w:rsidRDefault="00663E9F" w:rsidP="00663E9F">
            <w:pPr>
              <w:spacing w:before="0" w:after="0" w:line="240" w:lineRule="auto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Е-пошта:</w:t>
            </w:r>
          </w:p>
          <w:p w:rsidR="00663E9F" w:rsidRPr="00663E9F" w:rsidRDefault="00663E9F" w:rsidP="00663E9F">
            <w:pPr>
              <w:spacing w:before="0" w:after="0" w:line="240" w:lineRule="auto"/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  <w:t xml:space="preserve">                     ______________________________</w:t>
            </w:r>
          </w:p>
          <w:p w:rsidR="00663E9F" w:rsidRPr="00663E9F" w:rsidRDefault="00663E9F" w:rsidP="00663E9F">
            <w:pPr>
              <w:spacing w:before="0" w:after="0" w:line="240" w:lineRule="auto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</w:p>
          <w:p w:rsidR="00663E9F" w:rsidRPr="00663E9F" w:rsidRDefault="00663E9F" w:rsidP="00663E9F">
            <w:pPr>
              <w:spacing w:before="0" w:after="0" w:line="240" w:lineRule="auto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тел:</w:t>
            </w:r>
          </w:p>
          <w:p w:rsidR="00663E9F" w:rsidRPr="00663E9F" w:rsidRDefault="00663E9F" w:rsidP="00663E9F">
            <w:pPr>
              <w:spacing w:before="0" w:after="0" w:line="240" w:lineRule="auto"/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  <w:t xml:space="preserve">                      ______________________________</w:t>
            </w:r>
          </w:p>
        </w:tc>
      </w:tr>
      <w:tr w:rsidR="00663E9F" w:rsidRPr="00663E9F" w:rsidTr="00446B77">
        <w:trPr>
          <w:trHeight w:val="1120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b/>
                <w:color w:val="000000"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Коментари во врска со Контролната листа на ПУЖССА</w:t>
            </w:r>
            <w:r w:rsidRPr="00663E9F">
              <w:rPr>
                <w:rFonts w:ascii="Arial Narrow" w:eastAsia="Calibri" w:hAnsi="Arial Narrow" w:cstheme="minorHAnsi"/>
                <w:b/>
                <w:color w:val="000000"/>
                <w:sz w:val="18"/>
                <w:szCs w:val="18"/>
                <w:lang w:val="mk-MK"/>
              </w:rPr>
              <w:t>:</w:t>
            </w:r>
          </w:p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color w:val="000000"/>
                <w:sz w:val="18"/>
                <w:szCs w:val="18"/>
                <w:lang w:val="mk-MK"/>
              </w:rPr>
            </w:pPr>
          </w:p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color w:val="000000"/>
                <w:sz w:val="18"/>
                <w:szCs w:val="18"/>
                <w:lang w:val="mk-MK"/>
              </w:rPr>
            </w:pPr>
          </w:p>
        </w:tc>
      </w:tr>
      <w:tr w:rsidR="00663E9F" w:rsidRPr="00663E9F" w:rsidTr="00446B77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Потпис</w:t>
            </w:r>
          </w:p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</w:pPr>
          </w:p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Дата</w:t>
            </w:r>
          </w:p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</w:pPr>
          </w:p>
          <w:p w:rsidR="00663E9F" w:rsidRPr="00663E9F" w:rsidRDefault="00663E9F" w:rsidP="00446B77">
            <w:pPr>
              <w:spacing w:after="0"/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sz w:val="18"/>
                <w:szCs w:val="18"/>
                <w:lang w:val="mk-MK"/>
              </w:rPr>
              <w:t>____________________</w:t>
            </w:r>
          </w:p>
        </w:tc>
      </w:tr>
      <w:tr w:rsidR="00663E9F" w:rsidRPr="00663E9F" w:rsidTr="00446B7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663E9F" w:rsidRPr="00663E9F" w:rsidRDefault="00663E9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ПУЖССА за </w:t>
            </w:r>
            <w:r w:rsidR="009B7C87" w:rsidRPr="009B7C8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Реконструкција</w:t>
            </w: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 на постоен пат, ул. „532“ во општина Илинден, Скопје, ве молиме доставете ги на одговорното лице од следната институција:</w:t>
            </w:r>
          </w:p>
          <w:p w:rsidR="00663E9F" w:rsidRPr="00663E9F" w:rsidRDefault="00663E9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</w:p>
          <w:p w:rsidR="00663E9F" w:rsidRPr="00663E9F" w:rsidRDefault="00663E9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Контакт лице: Ирена Пауновиќ</w:t>
            </w:r>
          </w:p>
          <w:p w:rsidR="00663E9F" w:rsidRPr="00663E9F" w:rsidRDefault="00663E9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Е-пошта: </w:t>
            </w:r>
            <w:hyperlink r:id="rId5" w:history="1">
              <w:r w:rsidRPr="00663E9F">
                <w:rPr>
                  <w:rStyle w:val="Hyperlink"/>
                  <w:rFonts w:ascii="Arial Narrow" w:eastAsia="Calibri" w:hAnsi="Arial Narrow" w:cstheme="minorHAnsi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 </w:t>
            </w:r>
          </w:p>
          <w:p w:rsidR="00663E9F" w:rsidRPr="00663E9F" w:rsidRDefault="00663E9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</w:p>
          <w:p w:rsidR="00663E9F" w:rsidRPr="00663E9F" w:rsidRDefault="00663E9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ПУЖССА за </w:t>
            </w:r>
            <w:r w:rsidR="009B7C87" w:rsidRPr="009B7C87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Реконструкција</w:t>
            </w:r>
            <w:bookmarkStart w:id="0" w:name="_GoBack"/>
            <w:bookmarkEnd w:id="0"/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 на постоен пат, ул. „532“ во општина Илинден, Скопје</w:t>
            </w:r>
          </w:p>
          <w:p w:rsidR="00663E9F" w:rsidRPr="00663E9F" w:rsidRDefault="00663E9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</w:p>
          <w:p w:rsidR="00663E9F" w:rsidRPr="00663E9F" w:rsidRDefault="00663E9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663E9F" w:rsidRPr="00663E9F" w:rsidTr="00446B7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:rsidR="00663E9F" w:rsidRPr="00663E9F" w:rsidRDefault="00663E9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:rsidR="00663E9F" w:rsidRPr="00663E9F" w:rsidRDefault="00663E9F" w:rsidP="00446B77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</w:p>
          <w:p w:rsidR="00663E9F" w:rsidRPr="00663E9F" w:rsidRDefault="00663E9F" w:rsidP="00446B77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  <w:r w:rsidRPr="00663E9F"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:rsidR="00663E9F" w:rsidRPr="00663E9F" w:rsidRDefault="00663E9F" w:rsidP="00446B77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theme="minorHAnsi"/>
                <w:b/>
                <w:sz w:val="18"/>
                <w:szCs w:val="18"/>
                <w:lang w:val="mk-MK"/>
              </w:rPr>
            </w:pPr>
          </w:p>
        </w:tc>
      </w:tr>
    </w:tbl>
    <w:p w:rsidR="00A8786E" w:rsidRDefault="00D43A52">
      <w:r w:rsidRPr="00B92C39">
        <w:rPr>
          <w:rFonts w:ascii="Arial Narrow" w:hAnsi="Arial Narrow"/>
          <w:sz w:val="12"/>
          <w:szCs w:val="12"/>
        </w:rPr>
        <w:t xml:space="preserve">      * </w:t>
      </w:r>
      <w:r w:rsidRPr="00D43A52">
        <w:rPr>
          <w:rFonts w:ascii="Arial Narrow" w:hAnsi="Arial Narrow"/>
          <w:sz w:val="12"/>
          <w:szCs w:val="12"/>
          <w:lang w:val="mk-MK"/>
        </w:rPr>
        <w:t>Пополнување на полињата со лични податоци не е задолжително</w:t>
      </w:r>
    </w:p>
    <w:sectPr w:rsidR="00A8786E" w:rsidSect="0087221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F3257"/>
    <w:multiLevelType w:val="hybridMultilevel"/>
    <w:tmpl w:val="7DD6FBCA"/>
    <w:lvl w:ilvl="0" w:tplc="4EE87A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43A52"/>
    <w:rsid w:val="00064B20"/>
    <w:rsid w:val="00122D74"/>
    <w:rsid w:val="001B0019"/>
    <w:rsid w:val="002E5148"/>
    <w:rsid w:val="003D0DA0"/>
    <w:rsid w:val="003D5EC2"/>
    <w:rsid w:val="00411F1E"/>
    <w:rsid w:val="00492B3F"/>
    <w:rsid w:val="004E0EE3"/>
    <w:rsid w:val="00632CA4"/>
    <w:rsid w:val="00663E9F"/>
    <w:rsid w:val="00872219"/>
    <w:rsid w:val="009B7C87"/>
    <w:rsid w:val="00A0567A"/>
    <w:rsid w:val="00A8786E"/>
    <w:rsid w:val="00AC2157"/>
    <w:rsid w:val="00AD1119"/>
    <w:rsid w:val="00B12356"/>
    <w:rsid w:val="00B65C4B"/>
    <w:rsid w:val="00D31221"/>
    <w:rsid w:val="00D43A52"/>
    <w:rsid w:val="00DB1379"/>
    <w:rsid w:val="00DD4743"/>
    <w:rsid w:val="00E63161"/>
    <w:rsid w:val="00EA2121"/>
    <w:rsid w:val="00EB3150"/>
    <w:rsid w:val="00EF1D44"/>
    <w:rsid w:val="00F7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pPr>
      <w:spacing w:before="120" w:after="120" w:line="276" w:lineRule="auto"/>
      <w:jc w:val="both"/>
    </w:pPr>
    <w:rPr>
      <w:rFonts w:ascii="Trebuchet MS" w:eastAsia="Times New Roman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A52"/>
    <w:rPr>
      <w:color w:val="0563C1" w:themeColor="hyperlink"/>
      <w:u w:val="single"/>
    </w:r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D43A52"/>
    <w:pPr>
      <w:spacing w:before="0" w:after="0" w:line="240" w:lineRule="auto"/>
      <w:ind w:left="720"/>
      <w:contextualSpacing/>
      <w:jc w:val="left"/>
    </w:pPr>
    <w:rPr>
      <w:rFonts w:ascii="Calibri" w:hAnsi="Calibri"/>
      <w:szCs w:val="24"/>
      <w:lang w:val="en-GB" w:eastAsia="es-ES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D43A52"/>
    <w:rPr>
      <w:rFonts w:ascii="Calibri" w:eastAsia="Times New Roman" w:hAnsi="Calibri" w:cs="Times New Roman"/>
      <w:szCs w:val="24"/>
      <w:lang w:val="en-GB" w:eastAsia="es-ES"/>
    </w:rPr>
  </w:style>
  <w:style w:type="character" w:customStyle="1" w:styleId="tlid-translation">
    <w:name w:val="tlid-translation"/>
    <w:basedOn w:val="DefaultParagraphFont"/>
    <w:rsid w:val="00B123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ena.paunovikj.piu@mtc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Slavjanka</dc:creator>
  <cp:lastModifiedBy>John</cp:lastModifiedBy>
  <cp:revision>2</cp:revision>
  <dcterms:created xsi:type="dcterms:W3CDTF">2020-05-14T20:13:00Z</dcterms:created>
  <dcterms:modified xsi:type="dcterms:W3CDTF">2020-05-14T20:13:00Z</dcterms:modified>
</cp:coreProperties>
</file>