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91241"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ReSPA и француските амбасади во Западен Балкан и Источното соседство ги здружуваат силите за да го олеснат аплицирањето на млади државни службеници за кратките меѓународни програми на INSP. За 2026 година, тие ќе ја поддржат учеството на одреден број избрани кандидати, со цел зајакнување на капацитетите и мобилноста на јавните службеници од двата региона. Оваа заедничка иницијатива има за цел да промовира соработка, размена на знаења и градење капацитети во контекст на реформите во јавната администрација, доброто владеење и европската интеграција. Се очекува иницијативата да донесе значајни резултати што ќе ги унапредат способностите и меѓународните мрежи на јавните службеници од Западен Балкан и Источното соседство.</w:t>
      </w:r>
    </w:p>
    <w:p w14:paraId="4F7E2499"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Францускиот Национален институт за јавна служба — Institut national du Service public (INSP) — е водечка француска јавна институција за регрутирање, почетна обука и континуирана едукација на високи раководители и менаџери во државната администрација. INSP е основан во 2022 година, заменувајќи ја Националната школа за администрација (ENA), со пет главни мисии:</w:t>
      </w:r>
    </w:p>
    <w:p w14:paraId="354EEB62" w14:textId="77777777" w:rsidR="00D6023D" w:rsidRPr="00D6023D" w:rsidRDefault="00D6023D" w:rsidP="00D6023D">
      <w:pPr>
        <w:numPr>
          <w:ilvl w:val="0"/>
          <w:numId w:val="1"/>
        </w:numPr>
        <w:jc w:val="both"/>
        <w:rPr>
          <w:rFonts w:ascii="StobiSerif Regular" w:hAnsi="StobiSerif Regular"/>
          <w:lang w:val="mk-MK"/>
        </w:rPr>
      </w:pPr>
      <w:r w:rsidRPr="00D6023D">
        <w:rPr>
          <w:rFonts w:ascii="StobiSerif Regular" w:hAnsi="StobiSerif Regular"/>
          <w:lang w:val="mk-MK"/>
        </w:rPr>
        <w:t xml:space="preserve">Организирање на конкурси за високи државни службеници (преку национален конкурентен испит), </w:t>
      </w:r>
    </w:p>
    <w:p w14:paraId="2FA8D45C" w14:textId="77777777" w:rsidR="00D6023D" w:rsidRPr="00D6023D" w:rsidRDefault="00D6023D" w:rsidP="00D6023D">
      <w:pPr>
        <w:numPr>
          <w:ilvl w:val="0"/>
          <w:numId w:val="1"/>
        </w:numPr>
        <w:jc w:val="both"/>
        <w:rPr>
          <w:rFonts w:ascii="StobiSerif Regular" w:hAnsi="StobiSerif Regular"/>
          <w:lang w:val="mk-MK"/>
        </w:rPr>
      </w:pPr>
      <w:r w:rsidRPr="00D6023D">
        <w:rPr>
          <w:rFonts w:ascii="StobiSerif Regular" w:hAnsi="StobiSerif Regular"/>
          <w:lang w:val="mk-MK"/>
        </w:rPr>
        <w:t xml:space="preserve">Обезбедување почетна обука за кандидатите што успешно ги положиле овие испити, </w:t>
      </w:r>
    </w:p>
    <w:p w14:paraId="7AE7AB61" w14:textId="77777777" w:rsidR="00D6023D" w:rsidRPr="00D6023D" w:rsidRDefault="00D6023D" w:rsidP="00D6023D">
      <w:pPr>
        <w:numPr>
          <w:ilvl w:val="0"/>
          <w:numId w:val="1"/>
        </w:numPr>
        <w:jc w:val="both"/>
        <w:rPr>
          <w:rFonts w:ascii="StobiSerif Regular" w:hAnsi="StobiSerif Regular"/>
          <w:lang w:val="mk-MK"/>
        </w:rPr>
      </w:pPr>
      <w:r w:rsidRPr="00D6023D">
        <w:rPr>
          <w:rFonts w:ascii="StobiSerif Regular" w:hAnsi="StobiSerif Regular"/>
          <w:lang w:val="mk-MK"/>
        </w:rPr>
        <w:t xml:space="preserve">Спроведување програми за професионален развој за сегашни и идни високи раководители, </w:t>
      </w:r>
    </w:p>
    <w:p w14:paraId="24A69FE7" w14:textId="77777777" w:rsidR="00D6023D" w:rsidRPr="00D6023D" w:rsidRDefault="00D6023D" w:rsidP="00D6023D">
      <w:pPr>
        <w:numPr>
          <w:ilvl w:val="0"/>
          <w:numId w:val="1"/>
        </w:numPr>
        <w:jc w:val="both"/>
        <w:rPr>
          <w:rFonts w:ascii="StobiSerif Regular" w:hAnsi="StobiSerif Regular"/>
          <w:lang w:val="mk-MK"/>
        </w:rPr>
      </w:pPr>
      <w:r w:rsidRPr="00D6023D">
        <w:rPr>
          <w:rFonts w:ascii="StobiSerif Regular" w:hAnsi="StobiSerif Regular"/>
          <w:lang w:val="mk-MK"/>
        </w:rPr>
        <w:t xml:space="preserve">Спроведување и финансирање истражувачки активности во областа на јавните политики, </w:t>
      </w:r>
    </w:p>
    <w:p w14:paraId="2751178B" w14:textId="77777777" w:rsidR="00D6023D" w:rsidRPr="00D6023D" w:rsidRDefault="00D6023D" w:rsidP="00D6023D">
      <w:pPr>
        <w:numPr>
          <w:ilvl w:val="0"/>
          <w:numId w:val="1"/>
        </w:numPr>
        <w:jc w:val="both"/>
        <w:rPr>
          <w:rFonts w:ascii="StobiSerif Regular" w:hAnsi="StobiSerif Regular"/>
          <w:lang w:val="mk-MK"/>
        </w:rPr>
      </w:pPr>
      <w:r w:rsidRPr="00D6023D">
        <w:rPr>
          <w:rFonts w:ascii="StobiSerif Regular" w:hAnsi="StobiSerif Regular"/>
          <w:lang w:val="mk-MK"/>
        </w:rPr>
        <w:t xml:space="preserve">Развивање меѓународна соработка за споделување на експертизата на француската администрација, организирање обуки и прием на меѓународни студенти. </w:t>
      </w:r>
    </w:p>
    <w:p w14:paraId="6D00F2EE"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Програмата</w:t>
      </w:r>
    </w:p>
    <w:p w14:paraId="58748095"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Три насочени кратки програми за обука</w:t>
      </w:r>
    </w:p>
    <w:p w14:paraId="0875B22B"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Кратките програми се одржуваат на англиски јазик и вклучуваат тематски и методолошки предавања, дополнети со практични работилници. Пристапот поттикнува размена на искуства меѓу учесниците и предавачите. За 2026 година, иницијативата ќе поддржи апликации за следните три програми:</w:t>
      </w:r>
    </w:p>
    <w:p w14:paraId="2640CD86"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Развивање експертиза за европски фондови (6 – 10 јули)</w:t>
      </w:r>
    </w:p>
    <w:p w14:paraId="1F196679"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lastRenderedPageBreak/>
        <w:t>Пристапот до европски фондови бара многу повеќе од идентификување на достапни можности: потребно е солидно разбирање на проектно ориентираното опкружување во кое функционираат европските програми, како и јасно познавање на стратешките очекувања на Европската Унија, регулаторната рамка и критериумите за евалуација.</w:t>
      </w:r>
    </w:p>
    <w:p w14:paraId="2C7CECCD"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Апликантите мора да умеат да ги усогласат своите проекти со приоритетите на ЕУ, да ги структуираат според строги методолошки стандарди и да ја покажат својата способност за управување, следење и известување за финансираните активности. Оваа обука ќе им помогне на учесниците да стекнат појасно и посеопфатно разбирање на овие барања и пошироките стратешки прашања.</w:t>
      </w:r>
    </w:p>
    <w:p w14:paraId="4F953AD4"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Индикативната програма, општите информации и формуларот за апликација се достапни преку соодветниот линк.</w:t>
      </w:r>
    </w:p>
    <w:p w14:paraId="2AFEC65C"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Преговарање во и со Европската Унија: европска економска дипломатија (29 септември – 3 октомври)</w:t>
      </w:r>
    </w:p>
    <w:p w14:paraId="0B0C8E1E"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Европската Унија е производ на преговори. Нејзиниот повеќеслоен и комплексен систем на носење политики подразбира постојан процес на преговарање на различни нивоа и со различни актери. Специфичноста на системот на управување на ЕУ ја нагласува потребата од постигнување договор за заеднички интерес, и покрај постоењето на спротивставени интереси. Европскиот проект е постојан процес на усогласување на различностите со заедничките стремежи.</w:t>
      </w:r>
    </w:p>
    <w:p w14:paraId="7BB4CE71"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Надворешните, трговските и економските односи на Унијата се управуваат преку преговори. Ефективното преговарање во и со ЕУ бара длабоко разбирање на сложеноста и специфичноста на европските преговарачки процеси, како и способност за балансирање на моќта со политичка и дипломатска умешност.</w:t>
      </w:r>
    </w:p>
    <w:p w14:paraId="6260B212"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Индикативната програма, општите информации и формуларот за апликација се достапни преку соодветниот линк.</w:t>
      </w:r>
    </w:p>
    <w:p w14:paraId="329C4178"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Дипломатија во трансформација: прилагодување кон нови практики и глобални промени (30 ноември – 4 декември)</w:t>
      </w:r>
    </w:p>
    <w:p w14:paraId="2F8865C5"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Современите дипломати мора да ги приспособат своите практики на сè покомплексни околности, комбинирајќи билатерални и мултилатерални преговори, конзуларни активности, координација со повеќе чинители и соработка со недржавни актери. Климатските промени, глобалното здравје, сајбер-безбедноста и родовата еднаквост денес се во сржта на дипломатските агенди.</w:t>
      </w:r>
    </w:p>
    <w:p w14:paraId="1EB513DB"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 xml:space="preserve">Оваа програма ги разгледува новите дипломатски практики преку експертски предавања, тематски дискусии и практични симулации. Целта е да се зајакне </w:t>
      </w:r>
      <w:r w:rsidRPr="00D6023D">
        <w:rPr>
          <w:rFonts w:ascii="StobiSerif Regular" w:hAnsi="StobiSerif Regular"/>
          <w:lang w:val="mk-MK"/>
        </w:rPr>
        <w:lastRenderedPageBreak/>
        <w:t>разбирањето на современите дипломатски предизвици и да се развијат конкретни вештини за преговарање, комуникација и стратешко позиционирање, со што учесниците ќе можат поефикасно да дејствуваат во брзо променливото меѓународно опкружување. Обуката се организира во партнерство со Дипломатско-конзуларната академија на француското Министерство за Европа и надворешни работи.</w:t>
      </w:r>
    </w:p>
    <w:p w14:paraId="23C77182"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Индикативната програма, општите информации и формуларот за апликација се достапни преку соодветниот линк.</w:t>
      </w:r>
    </w:p>
    <w:p w14:paraId="355A3D80"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Профил на учесниците</w:t>
      </w:r>
    </w:p>
    <w:p w14:paraId="61F636F5"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Основни критериуми за подобност</w:t>
      </w:r>
    </w:p>
    <w:p w14:paraId="3DA73E94" w14:textId="77777777" w:rsidR="00D6023D" w:rsidRPr="00D6023D" w:rsidRDefault="00D6023D" w:rsidP="00D6023D">
      <w:pPr>
        <w:numPr>
          <w:ilvl w:val="0"/>
          <w:numId w:val="2"/>
        </w:numPr>
        <w:jc w:val="both"/>
        <w:rPr>
          <w:rFonts w:ascii="StobiSerif Regular" w:hAnsi="StobiSerif Regular"/>
          <w:lang w:val="mk-MK"/>
        </w:rPr>
      </w:pPr>
      <w:r w:rsidRPr="00D6023D">
        <w:rPr>
          <w:rFonts w:ascii="StobiSerif Regular" w:hAnsi="StobiSerif Regular"/>
          <w:lang w:val="mk-MK"/>
        </w:rPr>
        <w:t xml:space="preserve">Да се државни службеници од: Албанија, Ерменија, Босна и Херцеговина, Косово*, Северна Македонија, Молдавија, Црна Гора, Србија или Украина </w:t>
      </w:r>
    </w:p>
    <w:p w14:paraId="54188AFB" w14:textId="77777777" w:rsidR="00D6023D" w:rsidRPr="00D6023D" w:rsidRDefault="00D6023D" w:rsidP="00D6023D">
      <w:pPr>
        <w:numPr>
          <w:ilvl w:val="0"/>
          <w:numId w:val="2"/>
        </w:numPr>
        <w:jc w:val="both"/>
        <w:rPr>
          <w:rFonts w:ascii="StobiSerif Regular" w:hAnsi="StobiSerif Regular"/>
          <w:lang w:val="mk-MK"/>
        </w:rPr>
      </w:pPr>
      <w:r w:rsidRPr="00D6023D">
        <w:rPr>
          <w:rFonts w:ascii="StobiSerif Regular" w:hAnsi="StobiSerif Regular"/>
          <w:lang w:val="mk-MK"/>
        </w:rPr>
        <w:t xml:space="preserve">Да бидат официјално номинирани од својата институција </w:t>
      </w:r>
    </w:p>
    <w:p w14:paraId="4C98A982" w14:textId="77777777" w:rsidR="00D6023D" w:rsidRPr="00D6023D" w:rsidRDefault="00D6023D" w:rsidP="00D6023D">
      <w:pPr>
        <w:numPr>
          <w:ilvl w:val="0"/>
          <w:numId w:val="2"/>
        </w:numPr>
        <w:jc w:val="both"/>
        <w:rPr>
          <w:rFonts w:ascii="StobiSerif Regular" w:hAnsi="StobiSerif Regular"/>
          <w:lang w:val="mk-MK"/>
        </w:rPr>
      </w:pPr>
      <w:r w:rsidRPr="00D6023D">
        <w:rPr>
          <w:rFonts w:ascii="StobiSerif Regular" w:hAnsi="StobiSerif Regular"/>
          <w:lang w:val="mk-MK"/>
        </w:rPr>
        <w:t xml:space="preserve">Да работат во: </w:t>
      </w:r>
    </w:p>
    <w:p w14:paraId="17ABB067" w14:textId="77777777" w:rsidR="00D6023D" w:rsidRPr="00D6023D" w:rsidRDefault="00D6023D" w:rsidP="00D6023D">
      <w:pPr>
        <w:numPr>
          <w:ilvl w:val="1"/>
          <w:numId w:val="2"/>
        </w:numPr>
        <w:jc w:val="both"/>
        <w:rPr>
          <w:rFonts w:ascii="StobiSerif Regular" w:hAnsi="StobiSerif Regular"/>
          <w:lang w:val="mk-MK"/>
        </w:rPr>
      </w:pPr>
      <w:r w:rsidRPr="00D6023D">
        <w:rPr>
          <w:rFonts w:ascii="StobiSerif Regular" w:hAnsi="StobiSerif Regular"/>
          <w:lang w:val="mk-MK"/>
        </w:rPr>
        <w:t xml:space="preserve">Министерство за надворешни работи (за програмата „Дипломатија во трансформација“), или </w:t>
      </w:r>
    </w:p>
    <w:p w14:paraId="309B2088" w14:textId="77777777" w:rsidR="00D6023D" w:rsidRPr="00D6023D" w:rsidRDefault="00D6023D" w:rsidP="00D6023D">
      <w:pPr>
        <w:numPr>
          <w:ilvl w:val="1"/>
          <w:numId w:val="2"/>
        </w:numPr>
        <w:jc w:val="both"/>
        <w:rPr>
          <w:rFonts w:ascii="StobiSerif Regular" w:hAnsi="StobiSerif Regular"/>
          <w:lang w:val="mk-MK"/>
        </w:rPr>
      </w:pPr>
      <w:r w:rsidRPr="00D6023D">
        <w:rPr>
          <w:rFonts w:ascii="StobiSerif Regular" w:hAnsi="StobiSerif Regular"/>
          <w:lang w:val="mk-MK"/>
        </w:rPr>
        <w:t xml:space="preserve">Министерство задолжено за европска интеграција, или </w:t>
      </w:r>
    </w:p>
    <w:p w14:paraId="4A3BD553" w14:textId="77777777" w:rsidR="00D6023D" w:rsidRPr="00D6023D" w:rsidRDefault="00D6023D" w:rsidP="00D6023D">
      <w:pPr>
        <w:numPr>
          <w:ilvl w:val="1"/>
          <w:numId w:val="2"/>
        </w:numPr>
        <w:jc w:val="both"/>
        <w:rPr>
          <w:rFonts w:ascii="StobiSerif Regular" w:hAnsi="StobiSerif Regular"/>
          <w:lang w:val="mk-MK"/>
        </w:rPr>
      </w:pPr>
      <w:r w:rsidRPr="00D6023D">
        <w:rPr>
          <w:rFonts w:ascii="StobiSerif Regular" w:hAnsi="StobiSerif Regular"/>
          <w:lang w:val="mk-MK"/>
        </w:rPr>
        <w:t xml:space="preserve">Друга јавна институција што работи на европски прашања </w:t>
      </w:r>
    </w:p>
    <w:p w14:paraId="7473BBC6" w14:textId="77777777" w:rsidR="00D6023D" w:rsidRPr="00D6023D" w:rsidRDefault="00D6023D" w:rsidP="00D6023D">
      <w:pPr>
        <w:numPr>
          <w:ilvl w:val="0"/>
          <w:numId w:val="2"/>
        </w:numPr>
        <w:jc w:val="both"/>
        <w:rPr>
          <w:rFonts w:ascii="StobiSerif Regular" w:hAnsi="StobiSerif Regular"/>
          <w:lang w:val="mk-MK"/>
        </w:rPr>
      </w:pPr>
      <w:r w:rsidRPr="00D6023D">
        <w:rPr>
          <w:rFonts w:ascii="StobiSerif Regular" w:hAnsi="StobiSerif Regular"/>
          <w:lang w:val="mk-MK"/>
        </w:rPr>
        <w:t xml:space="preserve">Да бидат помлади од 35 години </w:t>
      </w:r>
    </w:p>
    <w:p w14:paraId="16F786FB" w14:textId="77777777" w:rsidR="00D6023D" w:rsidRPr="00D6023D" w:rsidRDefault="00D6023D" w:rsidP="00D6023D">
      <w:pPr>
        <w:numPr>
          <w:ilvl w:val="0"/>
          <w:numId w:val="2"/>
        </w:numPr>
        <w:jc w:val="both"/>
        <w:rPr>
          <w:rFonts w:ascii="StobiSerif Regular" w:hAnsi="StobiSerif Regular"/>
          <w:lang w:val="mk-MK"/>
        </w:rPr>
      </w:pPr>
      <w:r w:rsidRPr="00D6023D">
        <w:rPr>
          <w:rFonts w:ascii="StobiSerif Regular" w:hAnsi="StobiSerif Regular"/>
          <w:lang w:val="mk-MK"/>
        </w:rPr>
        <w:t xml:space="preserve">Да имаат најмалку 2 години професионално искуство поврзано со избраната обука </w:t>
      </w:r>
    </w:p>
    <w:p w14:paraId="3101FBF7" w14:textId="77777777" w:rsidR="00D6023D" w:rsidRPr="00D6023D" w:rsidRDefault="00D6023D" w:rsidP="00D6023D">
      <w:pPr>
        <w:numPr>
          <w:ilvl w:val="0"/>
          <w:numId w:val="2"/>
        </w:numPr>
        <w:jc w:val="both"/>
        <w:rPr>
          <w:rFonts w:ascii="StobiSerif Regular" w:hAnsi="StobiSerif Regular"/>
          <w:lang w:val="mk-MK"/>
        </w:rPr>
      </w:pPr>
      <w:r w:rsidRPr="00D6023D">
        <w:rPr>
          <w:rFonts w:ascii="StobiSerif Regular" w:hAnsi="StobiSerif Regular"/>
          <w:lang w:val="mk-MK"/>
        </w:rPr>
        <w:t xml:space="preserve">Одлично познавање на англиски јазик </w:t>
      </w:r>
    </w:p>
    <w:p w14:paraId="342BEFB9"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Поддршка за избраните кандидати</w:t>
      </w:r>
    </w:p>
    <w:p w14:paraId="14986081"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Избраните кандидати ќе добијат целосна поддршка што вклучува:</w:t>
      </w:r>
    </w:p>
    <w:p w14:paraId="34BAF59A" w14:textId="77777777" w:rsidR="00D6023D" w:rsidRPr="00D6023D" w:rsidRDefault="00D6023D" w:rsidP="00D6023D">
      <w:pPr>
        <w:numPr>
          <w:ilvl w:val="0"/>
          <w:numId w:val="3"/>
        </w:numPr>
        <w:jc w:val="both"/>
        <w:rPr>
          <w:rFonts w:ascii="StobiSerif Regular" w:hAnsi="StobiSerif Regular"/>
          <w:lang w:val="mk-MK"/>
        </w:rPr>
      </w:pPr>
      <w:r w:rsidRPr="00D6023D">
        <w:rPr>
          <w:rFonts w:ascii="StobiSerif Regular" w:hAnsi="StobiSerif Regular"/>
          <w:lang w:val="mk-MK"/>
        </w:rPr>
        <w:t xml:space="preserve">Котизација за INSP </w:t>
      </w:r>
    </w:p>
    <w:p w14:paraId="036CEC64" w14:textId="77777777" w:rsidR="00D6023D" w:rsidRPr="00D6023D" w:rsidRDefault="00D6023D" w:rsidP="00D6023D">
      <w:pPr>
        <w:numPr>
          <w:ilvl w:val="0"/>
          <w:numId w:val="3"/>
        </w:numPr>
        <w:jc w:val="both"/>
        <w:rPr>
          <w:rFonts w:ascii="StobiSerif Regular" w:hAnsi="StobiSerif Regular"/>
          <w:lang w:val="mk-MK"/>
        </w:rPr>
      </w:pPr>
      <w:r w:rsidRPr="00D6023D">
        <w:rPr>
          <w:rFonts w:ascii="StobiSerif Regular" w:hAnsi="StobiSerif Regular"/>
          <w:lang w:val="mk-MK"/>
        </w:rPr>
        <w:t xml:space="preserve">Повратен авионски билет до/од Париз </w:t>
      </w:r>
    </w:p>
    <w:p w14:paraId="04B56AD5" w14:textId="77777777" w:rsidR="00D6023D" w:rsidRPr="00D6023D" w:rsidRDefault="00D6023D" w:rsidP="00D6023D">
      <w:pPr>
        <w:numPr>
          <w:ilvl w:val="0"/>
          <w:numId w:val="3"/>
        </w:numPr>
        <w:jc w:val="both"/>
        <w:rPr>
          <w:rFonts w:ascii="StobiSerif Regular" w:hAnsi="StobiSerif Regular"/>
          <w:lang w:val="mk-MK"/>
        </w:rPr>
      </w:pPr>
      <w:r w:rsidRPr="00D6023D">
        <w:rPr>
          <w:rFonts w:ascii="StobiSerif Regular" w:hAnsi="StobiSerif Regular"/>
          <w:lang w:val="mk-MK"/>
        </w:rPr>
        <w:t xml:space="preserve">Сместување (индивидуални студио-апартмани) </w:t>
      </w:r>
    </w:p>
    <w:p w14:paraId="3ED03130" w14:textId="77777777" w:rsidR="00D6023D" w:rsidRPr="00D6023D" w:rsidRDefault="00D6023D" w:rsidP="00D6023D">
      <w:pPr>
        <w:numPr>
          <w:ilvl w:val="0"/>
          <w:numId w:val="3"/>
        </w:numPr>
        <w:jc w:val="both"/>
        <w:rPr>
          <w:rFonts w:ascii="StobiSerif Regular" w:hAnsi="StobiSerif Regular"/>
          <w:lang w:val="mk-MK"/>
        </w:rPr>
      </w:pPr>
      <w:r w:rsidRPr="00D6023D">
        <w:rPr>
          <w:rFonts w:ascii="StobiSerif Regular" w:hAnsi="StobiSerif Regular"/>
          <w:lang w:val="mk-MK"/>
        </w:rPr>
        <w:t xml:space="preserve">Дневница: 120 евра дневно (покрај сместувањето) </w:t>
      </w:r>
    </w:p>
    <w:p w14:paraId="53FBE709" w14:textId="77777777" w:rsidR="00D6023D" w:rsidRPr="00D6023D" w:rsidRDefault="00D6023D" w:rsidP="00D6023D">
      <w:pPr>
        <w:numPr>
          <w:ilvl w:val="0"/>
          <w:numId w:val="3"/>
        </w:numPr>
        <w:jc w:val="both"/>
        <w:rPr>
          <w:rFonts w:ascii="StobiSerif Regular" w:hAnsi="StobiSerif Regular"/>
          <w:lang w:val="mk-MK"/>
        </w:rPr>
      </w:pPr>
      <w:r w:rsidRPr="00D6023D">
        <w:rPr>
          <w:rFonts w:ascii="StobiSerif Regular" w:hAnsi="StobiSerif Regular"/>
          <w:lang w:val="mk-MK"/>
        </w:rPr>
        <w:t xml:space="preserve">Здравствено и социјално осигурување за времетраењето на престојот во Франција </w:t>
      </w:r>
    </w:p>
    <w:p w14:paraId="01DB33FE"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lastRenderedPageBreak/>
        <w:t>Постапка за аплицирање</w:t>
      </w:r>
    </w:p>
    <w:p w14:paraId="51664414"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Изборот на кандидати се спроведува преку конкурентна постапка:</w:t>
      </w:r>
    </w:p>
    <w:p w14:paraId="5B4EA4EF"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1. ДВОСТЕПЕНА ПОСТАПКА ЗА АПЛИЦИРАЊЕ – КРАЕН РОК: 28 МАЈ 2026</w:t>
      </w:r>
    </w:p>
    <w:p w14:paraId="731A445B"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Секој кандидат треба да изврши онлајн пред-регистрација на порталот на INSP, а потоа да испрати формално барање за апликација до релевантната француска амбасада.</w:t>
      </w:r>
    </w:p>
    <w:p w14:paraId="51BD479A"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2. ФАЗА НА ПРЕДСЕЛЕКЦИЈА – ОД 8 ЈУНИ НАТАМУ</w:t>
      </w:r>
    </w:p>
    <w:p w14:paraId="6570B230"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Секоја француска амбасада врши предселекција на две апликации и ги информира сите кандидати за резултатите од предселекцијата од 8 јуни па натаму. Предселектираните кандидати ќе бидат поканети да ги пополнат формуларите за финансиска поддршка.</w:t>
      </w:r>
    </w:p>
    <w:p w14:paraId="2F70D413" w14:textId="77777777" w:rsidR="00D6023D" w:rsidRPr="00D6023D" w:rsidRDefault="00D6023D" w:rsidP="00D6023D">
      <w:pPr>
        <w:jc w:val="both"/>
        <w:rPr>
          <w:rFonts w:ascii="StobiSerif Regular" w:hAnsi="StobiSerif Regular"/>
          <w:b/>
          <w:bCs/>
          <w:lang w:val="mk-MK"/>
        </w:rPr>
      </w:pPr>
      <w:r w:rsidRPr="00D6023D">
        <w:rPr>
          <w:rFonts w:ascii="StobiSerif Regular" w:hAnsi="StobiSerif Regular"/>
          <w:b/>
          <w:bCs/>
          <w:lang w:val="mk-MK"/>
        </w:rPr>
        <w:t>3. ФИНАЛНА СЕЛЕКЦИЈА</w:t>
      </w:r>
    </w:p>
    <w:p w14:paraId="1684A151" w14:textId="77777777" w:rsidR="00D6023D" w:rsidRPr="00D6023D" w:rsidRDefault="00D6023D" w:rsidP="00D6023D">
      <w:pPr>
        <w:jc w:val="both"/>
        <w:rPr>
          <w:rFonts w:ascii="StobiSerif Regular" w:hAnsi="StobiSerif Regular"/>
          <w:lang w:val="mk-MK"/>
        </w:rPr>
      </w:pPr>
      <w:r w:rsidRPr="00D6023D">
        <w:rPr>
          <w:rFonts w:ascii="StobiSerif Regular" w:hAnsi="StobiSerif Regular"/>
          <w:lang w:val="mk-MK"/>
        </w:rPr>
        <w:t>Финалниот избор го врши исклучиво INSP и резултатите директно им се соопштуваат на предселектираните кандидати.</w:t>
      </w:r>
    </w:p>
    <w:p w14:paraId="6C723DF4" w14:textId="77777777" w:rsidR="00607297" w:rsidRPr="00D6023D" w:rsidRDefault="00607297" w:rsidP="00D6023D">
      <w:pPr>
        <w:jc w:val="both"/>
        <w:rPr>
          <w:rFonts w:ascii="StobiSerif Regular" w:hAnsi="StobiSerif Regular"/>
        </w:rPr>
      </w:pPr>
    </w:p>
    <w:sectPr w:rsidR="00607297" w:rsidRPr="00D602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55E9B"/>
    <w:multiLevelType w:val="multilevel"/>
    <w:tmpl w:val="643A8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E2E71"/>
    <w:multiLevelType w:val="multilevel"/>
    <w:tmpl w:val="A734F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CF5737"/>
    <w:multiLevelType w:val="multilevel"/>
    <w:tmpl w:val="E07E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900748">
    <w:abstractNumId w:val="2"/>
  </w:num>
  <w:num w:numId="2" w16cid:durableId="1363819678">
    <w:abstractNumId w:val="0"/>
  </w:num>
  <w:num w:numId="3" w16cid:durableId="1948269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23D"/>
    <w:rsid w:val="00181D73"/>
    <w:rsid w:val="00394F11"/>
    <w:rsid w:val="00607297"/>
    <w:rsid w:val="008E1FE7"/>
    <w:rsid w:val="00D60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3A85"/>
  <w15:chartTrackingRefBased/>
  <w15:docId w15:val="{E68733B4-3DD2-42F0-A7CD-FF8F5B2B3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2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2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2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2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2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2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2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2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2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2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2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2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23D"/>
    <w:rPr>
      <w:rFonts w:eastAsiaTheme="majorEastAsia" w:cstheme="majorBidi"/>
      <w:color w:val="272727" w:themeColor="text1" w:themeTint="D8"/>
    </w:rPr>
  </w:style>
  <w:style w:type="paragraph" w:styleId="Title">
    <w:name w:val="Title"/>
    <w:basedOn w:val="Normal"/>
    <w:next w:val="Normal"/>
    <w:link w:val="TitleChar"/>
    <w:uiPriority w:val="10"/>
    <w:qFormat/>
    <w:rsid w:val="00D60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2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23D"/>
    <w:pPr>
      <w:spacing w:before="160"/>
      <w:jc w:val="center"/>
    </w:pPr>
    <w:rPr>
      <w:i/>
      <w:iCs/>
      <w:color w:val="404040" w:themeColor="text1" w:themeTint="BF"/>
    </w:rPr>
  </w:style>
  <w:style w:type="character" w:customStyle="1" w:styleId="QuoteChar">
    <w:name w:val="Quote Char"/>
    <w:basedOn w:val="DefaultParagraphFont"/>
    <w:link w:val="Quote"/>
    <w:uiPriority w:val="29"/>
    <w:rsid w:val="00D6023D"/>
    <w:rPr>
      <w:i/>
      <w:iCs/>
      <w:color w:val="404040" w:themeColor="text1" w:themeTint="BF"/>
    </w:rPr>
  </w:style>
  <w:style w:type="paragraph" w:styleId="ListParagraph">
    <w:name w:val="List Paragraph"/>
    <w:basedOn w:val="Normal"/>
    <w:uiPriority w:val="34"/>
    <w:qFormat/>
    <w:rsid w:val="00D6023D"/>
    <w:pPr>
      <w:ind w:left="720"/>
      <w:contextualSpacing/>
    </w:pPr>
  </w:style>
  <w:style w:type="character" w:styleId="IntenseEmphasis">
    <w:name w:val="Intense Emphasis"/>
    <w:basedOn w:val="DefaultParagraphFont"/>
    <w:uiPriority w:val="21"/>
    <w:qFormat/>
    <w:rsid w:val="00D6023D"/>
    <w:rPr>
      <w:i/>
      <w:iCs/>
      <w:color w:val="0F4761" w:themeColor="accent1" w:themeShade="BF"/>
    </w:rPr>
  </w:style>
  <w:style w:type="paragraph" w:styleId="IntenseQuote">
    <w:name w:val="Intense Quote"/>
    <w:basedOn w:val="Normal"/>
    <w:next w:val="Normal"/>
    <w:link w:val="IntenseQuoteChar"/>
    <w:uiPriority w:val="30"/>
    <w:qFormat/>
    <w:rsid w:val="00D60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23D"/>
    <w:rPr>
      <w:i/>
      <w:iCs/>
      <w:color w:val="0F4761" w:themeColor="accent1" w:themeShade="BF"/>
    </w:rPr>
  </w:style>
  <w:style w:type="character" w:styleId="IntenseReference">
    <w:name w:val="Intense Reference"/>
    <w:basedOn w:val="DefaultParagraphFont"/>
    <w:uiPriority w:val="32"/>
    <w:qFormat/>
    <w:rsid w:val="00D602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1178</TotalTime>
  <Pages>4</Pages>
  <Words>961</Words>
  <Characters>5481</Characters>
  <Application>Microsoft Office Word</Application>
  <DocSecurity>0</DocSecurity>
  <Lines>45</Lines>
  <Paragraphs>12</Paragraphs>
  <ScaleCrop>false</ScaleCrop>
  <Company>VRSM</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 Adilovic</dc:creator>
  <cp:keywords/>
  <dc:description/>
  <cp:lastModifiedBy>Esma Adilovic</cp:lastModifiedBy>
  <cp:revision>1</cp:revision>
  <dcterms:created xsi:type="dcterms:W3CDTF">2026-05-12T11:11:00Z</dcterms:created>
  <dcterms:modified xsi:type="dcterms:W3CDTF">2026-05-13T14:33:00Z</dcterms:modified>
</cp:coreProperties>
</file>