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38FF" w14:textId="77777777" w:rsidR="00752EC1" w:rsidRDefault="00752EC1" w:rsidP="0084734F">
      <w:pPr>
        <w:jc w:val="center"/>
        <w:rPr>
          <w:rFonts w:ascii="StobiSerif Regular" w:hAnsi="StobiSerif Regular"/>
          <w:b/>
          <w:sz w:val="20"/>
          <w:szCs w:val="20"/>
          <w:lang w:val="mk-MK"/>
        </w:rPr>
      </w:pPr>
    </w:p>
    <w:p w14:paraId="2D0905CD" w14:textId="1DD56A64" w:rsidR="00604E06" w:rsidRDefault="00604E06" w:rsidP="00817324">
      <w:pPr>
        <w:jc w:val="center"/>
        <w:rPr>
          <w:rFonts w:ascii="StobiSerif Regular" w:hAnsi="StobiSerif Regular"/>
          <w:b/>
          <w:sz w:val="20"/>
          <w:szCs w:val="20"/>
          <w:lang w:val="mk-MK"/>
        </w:rPr>
      </w:pPr>
      <w:r w:rsidRPr="00D96CB0">
        <w:rPr>
          <w:rFonts w:ascii="StobiSerif Regular" w:hAnsi="StobiSerif Regular"/>
          <w:b/>
          <w:sz w:val="20"/>
          <w:szCs w:val="20"/>
          <w:lang w:val="mk-MK"/>
        </w:rPr>
        <w:t>ИЗВЕШТАЈ ЗА ПРОЦЕНКА НА ВЛИЈАНИЕТО НА РЕГУЛАТИВАТА</w:t>
      </w:r>
    </w:p>
    <w:p w14:paraId="4E304F15" w14:textId="77777777" w:rsidR="00752EC1" w:rsidRPr="00D96CB0" w:rsidRDefault="00752EC1" w:rsidP="0084734F">
      <w:pPr>
        <w:jc w:val="center"/>
        <w:rPr>
          <w:rFonts w:ascii="StobiSerif Regular" w:hAnsi="StobiSerif Regular"/>
          <w:b/>
          <w:sz w:val="20"/>
          <w:szCs w:val="20"/>
          <w:lang w:val="mk-MK"/>
        </w:rPr>
      </w:pPr>
    </w:p>
    <w:p w14:paraId="4D90E835" w14:textId="55A8B5A4" w:rsidR="00752EC1" w:rsidRPr="00D96CB0" w:rsidRDefault="00752EC1" w:rsidP="0084734F">
      <w:pPr>
        <w:rPr>
          <w:rFonts w:ascii="StobiSerif Regular" w:hAnsi="StobiSerif Regular"/>
          <w:b/>
          <w:sz w:val="20"/>
          <w:szCs w:val="20"/>
          <w:lang w:val="mk-M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233"/>
      </w:tblGrid>
      <w:tr w:rsidR="00604E06" w:rsidRPr="00D96CB0" w14:paraId="3D9C1554" w14:textId="77777777" w:rsidTr="0055685C">
        <w:trPr>
          <w:trHeight w:val="287"/>
        </w:trPr>
        <w:tc>
          <w:tcPr>
            <w:tcW w:w="3798" w:type="dxa"/>
            <w:shd w:val="clear" w:color="auto" w:fill="FBD4B4"/>
          </w:tcPr>
          <w:p w14:paraId="4B29156A"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Назив на министерство:</w:t>
            </w:r>
          </w:p>
        </w:tc>
        <w:tc>
          <w:tcPr>
            <w:tcW w:w="6233" w:type="dxa"/>
          </w:tcPr>
          <w:p w14:paraId="02276D63" w14:textId="77777777" w:rsidR="00604E06" w:rsidRPr="00D96CB0" w:rsidRDefault="00604E06" w:rsidP="0055685C">
            <w:pPr>
              <w:rPr>
                <w:rFonts w:ascii="StobiSerif Regular" w:hAnsi="StobiSerif Regular"/>
                <w:sz w:val="20"/>
                <w:szCs w:val="20"/>
                <w:lang w:val="mk-MK"/>
              </w:rPr>
            </w:pPr>
            <w:r w:rsidRPr="00D96CB0">
              <w:rPr>
                <w:rFonts w:ascii="StobiSerif Regular" w:hAnsi="StobiSerif Regular"/>
                <w:sz w:val="20"/>
                <w:szCs w:val="20"/>
                <w:lang w:val="mk-MK"/>
              </w:rPr>
              <w:t xml:space="preserve">Министерство за </w:t>
            </w:r>
            <w:r w:rsidR="00752EC1">
              <w:rPr>
                <w:rFonts w:ascii="StobiSerif Regular" w:hAnsi="StobiSerif Regular"/>
                <w:sz w:val="20"/>
                <w:szCs w:val="20"/>
                <w:lang w:val="mk-MK"/>
              </w:rPr>
              <w:t>земјоделство, шумарство и водостопанство</w:t>
            </w:r>
          </w:p>
        </w:tc>
      </w:tr>
      <w:tr w:rsidR="00604E06" w:rsidRPr="00D96CB0" w14:paraId="768CD49E" w14:textId="77777777" w:rsidTr="00752EC1">
        <w:trPr>
          <w:trHeight w:val="439"/>
        </w:trPr>
        <w:tc>
          <w:tcPr>
            <w:tcW w:w="3798" w:type="dxa"/>
            <w:shd w:val="clear" w:color="auto" w:fill="FBD4B4"/>
          </w:tcPr>
          <w:p w14:paraId="27EB115C"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Назив на предлогот на закон:</w:t>
            </w:r>
          </w:p>
        </w:tc>
        <w:tc>
          <w:tcPr>
            <w:tcW w:w="6233" w:type="dxa"/>
          </w:tcPr>
          <w:p w14:paraId="0005B8BD" w14:textId="1DAEDA20" w:rsidR="00604E06" w:rsidRPr="005360A1" w:rsidRDefault="00604E06" w:rsidP="0055685C">
            <w:pPr>
              <w:rPr>
                <w:rFonts w:ascii="StobiSerif Regular" w:hAnsi="StobiSerif Regular"/>
                <w:sz w:val="20"/>
                <w:szCs w:val="20"/>
                <w:lang w:val="mk-MK"/>
              </w:rPr>
            </w:pPr>
            <w:r w:rsidRPr="00D96CB0">
              <w:rPr>
                <w:rFonts w:ascii="StobiSerif Regular" w:hAnsi="StobiSerif Regular"/>
                <w:sz w:val="20"/>
                <w:szCs w:val="20"/>
                <w:lang w:val="mk-MK"/>
              </w:rPr>
              <w:t xml:space="preserve"> </w:t>
            </w:r>
            <w:proofErr w:type="spellStart"/>
            <w:r w:rsidRPr="00D96CB0">
              <w:rPr>
                <w:rFonts w:ascii="StobiSerif Regular" w:hAnsi="StobiSerif Regular" w:cs="Arial"/>
                <w:sz w:val="20"/>
                <w:szCs w:val="20"/>
              </w:rPr>
              <w:t>Закон</w:t>
            </w:r>
            <w:proofErr w:type="spellEnd"/>
            <w:r w:rsidRPr="00D96CB0">
              <w:rPr>
                <w:rFonts w:ascii="StobiSerif Regular" w:hAnsi="StobiSerif Regular" w:cs="Arial"/>
                <w:sz w:val="20"/>
                <w:szCs w:val="20"/>
              </w:rPr>
              <w:t xml:space="preserve"> </w:t>
            </w:r>
            <w:proofErr w:type="spellStart"/>
            <w:r w:rsidRPr="00D96CB0">
              <w:rPr>
                <w:rFonts w:ascii="StobiSerif Regular" w:hAnsi="StobiSerif Regular" w:cs="Arial"/>
                <w:sz w:val="20"/>
                <w:szCs w:val="20"/>
              </w:rPr>
              <w:t>за</w:t>
            </w:r>
            <w:proofErr w:type="spellEnd"/>
            <w:r w:rsidRPr="00D96CB0">
              <w:rPr>
                <w:rFonts w:ascii="StobiSerif Regular" w:hAnsi="StobiSerif Regular" w:cs="Arial"/>
                <w:sz w:val="20"/>
                <w:szCs w:val="20"/>
              </w:rPr>
              <w:t xml:space="preserve"> </w:t>
            </w:r>
            <w:r w:rsidR="005360A1">
              <w:rPr>
                <w:rFonts w:ascii="StobiSerif Regular" w:hAnsi="StobiSerif Regular" w:cs="Arial"/>
                <w:sz w:val="20"/>
                <w:szCs w:val="20"/>
                <w:lang w:val="mk-MK"/>
              </w:rPr>
              <w:t>донирање на вишок храна</w:t>
            </w:r>
          </w:p>
        </w:tc>
      </w:tr>
      <w:tr w:rsidR="00604E06" w:rsidRPr="00D96CB0" w14:paraId="1BAD6C2F" w14:textId="77777777" w:rsidTr="0055685C">
        <w:trPr>
          <w:trHeight w:val="435"/>
        </w:trPr>
        <w:tc>
          <w:tcPr>
            <w:tcW w:w="3798" w:type="dxa"/>
            <w:shd w:val="clear" w:color="auto" w:fill="FBD4B4"/>
          </w:tcPr>
          <w:p w14:paraId="13C5A6D1"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Одговорно лице и контакт информации:</w:t>
            </w:r>
          </w:p>
        </w:tc>
        <w:tc>
          <w:tcPr>
            <w:tcW w:w="6233" w:type="dxa"/>
          </w:tcPr>
          <w:p w14:paraId="3789F4A6" w14:textId="77777777" w:rsidR="009F5521" w:rsidRPr="00AB168E" w:rsidRDefault="009F5521" w:rsidP="009F5521">
            <w:pPr>
              <w:rPr>
                <w:rFonts w:ascii="StobiSerif Regular" w:hAnsi="StobiSerif Regular"/>
                <w:sz w:val="20"/>
                <w:szCs w:val="20"/>
                <w:lang w:val="mk-MK"/>
              </w:rPr>
            </w:pPr>
            <w:r>
              <w:rPr>
                <w:rFonts w:ascii="StobiSerif Regular" w:hAnsi="StobiSerif Regular"/>
                <w:sz w:val="20"/>
                <w:szCs w:val="20"/>
                <w:lang w:val="mk-MK"/>
              </w:rPr>
              <w:t>Николче Бабовски</w:t>
            </w:r>
            <w:r w:rsidRPr="00AB168E">
              <w:rPr>
                <w:rFonts w:ascii="StobiSerif Regular" w:hAnsi="StobiSerif Regular"/>
                <w:sz w:val="20"/>
                <w:szCs w:val="20"/>
                <w:lang w:val="mk-MK"/>
              </w:rPr>
              <w:t xml:space="preserve">, </w:t>
            </w:r>
            <w:r>
              <w:rPr>
                <w:rFonts w:ascii="StobiSerif Regular" w:hAnsi="StobiSerif Regular"/>
                <w:sz w:val="20"/>
                <w:szCs w:val="20"/>
                <w:lang w:val="mk-MK"/>
              </w:rPr>
              <w:t>В.Д. Д</w:t>
            </w:r>
            <w:r w:rsidRPr="00AB168E">
              <w:rPr>
                <w:rFonts w:ascii="StobiSerif Regular" w:hAnsi="StobiSerif Regular"/>
                <w:sz w:val="20"/>
                <w:szCs w:val="20"/>
                <w:lang w:val="mk-MK"/>
              </w:rPr>
              <w:t>иректор на Агенција за храна и ветеринарство</w:t>
            </w:r>
          </w:p>
          <w:p w14:paraId="427B59B9" w14:textId="77777777" w:rsidR="009F5521" w:rsidRPr="00AB168E" w:rsidRDefault="009F5521" w:rsidP="009F5521">
            <w:pPr>
              <w:rPr>
                <w:rFonts w:ascii="StobiSerif Regular" w:hAnsi="StobiSerif Regular"/>
                <w:sz w:val="20"/>
                <w:szCs w:val="20"/>
                <w:lang w:val="mk-MK"/>
              </w:rPr>
            </w:pPr>
            <w:r w:rsidRPr="00AB168E">
              <w:rPr>
                <w:rFonts w:ascii="StobiSerif Regular" w:hAnsi="StobiSerif Regular"/>
                <w:sz w:val="20"/>
                <w:szCs w:val="20"/>
                <w:lang w:val="mk-MK"/>
              </w:rPr>
              <w:t xml:space="preserve">тел.: 02 2457893 </w:t>
            </w:r>
          </w:p>
          <w:p w14:paraId="112DEABF" w14:textId="77777777" w:rsidR="009F5521" w:rsidRPr="00AB168E" w:rsidRDefault="009F5521" w:rsidP="009F5521">
            <w:pPr>
              <w:rPr>
                <w:rFonts w:ascii="StobiSerif Regular" w:hAnsi="StobiSerif Regular"/>
                <w:sz w:val="20"/>
                <w:szCs w:val="20"/>
                <w:lang w:val="mk-MK"/>
              </w:rPr>
            </w:pPr>
            <w:r w:rsidRPr="00AB168E">
              <w:rPr>
                <w:rFonts w:ascii="StobiSerif Regular" w:hAnsi="StobiSerif Regular"/>
                <w:sz w:val="20"/>
                <w:szCs w:val="20"/>
                <w:lang w:val="mk-MK"/>
              </w:rPr>
              <w:t>факс: 0202457895 локал 147</w:t>
            </w:r>
          </w:p>
          <w:p w14:paraId="4E89E89B" w14:textId="29936161" w:rsidR="00604E06" w:rsidRPr="00D96CB0" w:rsidRDefault="009F5521" w:rsidP="009F5521">
            <w:pPr>
              <w:rPr>
                <w:rFonts w:ascii="StobiSerif Regular" w:hAnsi="StobiSerif Regular"/>
                <w:sz w:val="20"/>
                <w:szCs w:val="20"/>
                <w:lang w:val="mk-MK"/>
              </w:rPr>
            </w:pPr>
            <w:r w:rsidRPr="00AB168E">
              <w:rPr>
                <w:rFonts w:ascii="StobiSerif Regular" w:hAnsi="StobiSerif Regular"/>
                <w:sz w:val="20"/>
                <w:szCs w:val="20"/>
                <w:lang w:val="mk-MK"/>
              </w:rPr>
              <w:t xml:space="preserve">е-пошта: </w:t>
            </w:r>
            <w:hyperlink r:id="rId9" w:history="1">
              <w:r w:rsidRPr="000C51A3">
                <w:rPr>
                  <w:rStyle w:val="Hyperlink"/>
                  <w:rFonts w:ascii="StobiSerif Regular" w:hAnsi="StobiSerif Regular"/>
                  <w:sz w:val="20"/>
                  <w:szCs w:val="20"/>
                  <w:lang w:val="en-US"/>
                </w:rPr>
                <w:t>n</w:t>
              </w:r>
              <w:r w:rsidRPr="000C51A3">
                <w:rPr>
                  <w:rStyle w:val="Hyperlink"/>
                </w:rPr>
                <w:t>babovski</w:t>
              </w:r>
              <w:r w:rsidRPr="000C51A3">
                <w:rPr>
                  <w:rStyle w:val="Hyperlink"/>
                  <w:rFonts w:ascii="StobiSerif Regular" w:hAnsi="StobiSerif Regular"/>
                  <w:sz w:val="20"/>
                  <w:szCs w:val="20"/>
                  <w:lang w:val="en-US"/>
                </w:rPr>
                <w:t>@</w:t>
              </w:r>
              <w:r w:rsidRPr="000C51A3">
                <w:rPr>
                  <w:rStyle w:val="Hyperlink"/>
                </w:rPr>
                <w:t>fva.gov.mk</w:t>
              </w:r>
            </w:hyperlink>
          </w:p>
        </w:tc>
      </w:tr>
      <w:tr w:rsidR="00604E06" w:rsidRPr="00D96CB0" w14:paraId="06B30412" w14:textId="77777777" w:rsidTr="0055685C">
        <w:trPr>
          <w:trHeight w:val="458"/>
        </w:trPr>
        <w:tc>
          <w:tcPr>
            <w:tcW w:w="3798" w:type="dxa"/>
            <w:shd w:val="clear" w:color="auto" w:fill="FBD4B4"/>
          </w:tcPr>
          <w:p w14:paraId="671C13CC" w14:textId="77777777" w:rsidR="00604E06" w:rsidRPr="00D96CB0" w:rsidRDefault="00604E06" w:rsidP="0055685C">
            <w:pPr>
              <w:jc w:val="center"/>
              <w:rPr>
                <w:rFonts w:ascii="StobiSerif Regular" w:hAnsi="StobiSerif Regular"/>
                <w:sz w:val="20"/>
                <w:szCs w:val="20"/>
                <w:lang w:val="mk-MK"/>
              </w:rPr>
            </w:pPr>
          </w:p>
          <w:p w14:paraId="3B307950" w14:textId="77777777" w:rsidR="00604E06" w:rsidRPr="00D96CB0" w:rsidRDefault="00604E06" w:rsidP="0055685C">
            <w:pPr>
              <w:jc w:val="center"/>
              <w:rPr>
                <w:rFonts w:ascii="StobiSerif Regular" w:hAnsi="StobiSerif Regular"/>
                <w:sz w:val="20"/>
                <w:szCs w:val="20"/>
                <w:highlight w:val="yellow"/>
                <w:lang w:val="mk-MK"/>
              </w:rPr>
            </w:pPr>
            <w:r w:rsidRPr="00D96CB0">
              <w:rPr>
                <w:rFonts w:ascii="StobiSerif Regular" w:hAnsi="StobiSerif Regular"/>
                <w:sz w:val="20"/>
                <w:szCs w:val="20"/>
                <w:lang w:val="mk-MK"/>
              </w:rPr>
              <w:t>Вид на Извештај:</w:t>
            </w:r>
          </w:p>
        </w:tc>
        <w:tc>
          <w:tcPr>
            <w:tcW w:w="6233" w:type="dxa"/>
            <w:shd w:val="clear" w:color="auto" w:fill="auto"/>
          </w:tcPr>
          <w:p w14:paraId="4DAAC3BC" w14:textId="376F4E74" w:rsidR="00604E06" w:rsidRPr="00D96CB0" w:rsidRDefault="00817324" w:rsidP="0055685C">
            <w:pPr>
              <w:pStyle w:val="ListParagraph"/>
              <w:spacing w:after="0" w:line="240" w:lineRule="auto"/>
              <w:ind w:left="23"/>
              <w:rPr>
                <w:rFonts w:ascii="StobiSerif Regular" w:hAnsi="StobiSerif Regular"/>
                <w:sz w:val="20"/>
                <w:szCs w:val="20"/>
              </w:rPr>
            </w:pPr>
            <w:r>
              <w:rPr>
                <w:rFonts w:ascii="StobiSerif Regular" w:hAnsi="StobiSerif Regular"/>
                <w:sz w:val="20"/>
                <w:szCs w:val="20"/>
              </w:rPr>
              <w:fldChar w:fldCharType="begin">
                <w:ffData>
                  <w:name w:val="Check11"/>
                  <w:enabled/>
                  <w:calcOnExit w:val="0"/>
                  <w:checkBox>
                    <w:sizeAuto/>
                    <w:default w:val="1"/>
                  </w:checkBox>
                </w:ffData>
              </w:fldChar>
            </w:r>
            <w:bookmarkStart w:id="0" w:name="Check11"/>
            <w:r>
              <w:rPr>
                <w:rFonts w:ascii="StobiSerif Regular" w:hAnsi="StobiSerif Regular"/>
                <w:sz w:val="20"/>
                <w:szCs w:val="20"/>
              </w:rPr>
              <w:instrText xml:space="preserve"> FORMCHECKBOX </w:instrText>
            </w:r>
            <w:r>
              <w:rPr>
                <w:rFonts w:ascii="StobiSerif Regular" w:hAnsi="StobiSerif Regular"/>
                <w:sz w:val="20"/>
                <w:szCs w:val="20"/>
              </w:rPr>
            </w:r>
            <w:r>
              <w:rPr>
                <w:rFonts w:ascii="StobiSerif Regular" w:hAnsi="StobiSerif Regular"/>
                <w:sz w:val="20"/>
                <w:szCs w:val="20"/>
              </w:rPr>
              <w:fldChar w:fldCharType="end"/>
            </w:r>
            <w:bookmarkEnd w:id="0"/>
            <w:r w:rsidR="00604E06" w:rsidRPr="00D96CB0">
              <w:rPr>
                <w:rFonts w:ascii="StobiSerif Regular" w:hAnsi="StobiSerif Regular"/>
                <w:sz w:val="20"/>
                <w:szCs w:val="20"/>
              </w:rPr>
              <w:t>Нацрт</w:t>
            </w:r>
          </w:p>
          <w:p w14:paraId="2B23DCB0" w14:textId="77777777" w:rsidR="00604E06" w:rsidRPr="00D96CB0" w:rsidRDefault="00604E06" w:rsidP="0055685C">
            <w:pPr>
              <w:pStyle w:val="ListParagraph"/>
              <w:spacing w:after="0" w:line="240" w:lineRule="auto"/>
              <w:ind w:left="23"/>
              <w:rPr>
                <w:rFonts w:ascii="StobiSerif Regular" w:hAnsi="StobiSerif Regular"/>
                <w:sz w:val="20"/>
                <w:szCs w:val="20"/>
              </w:rPr>
            </w:pPr>
          </w:p>
          <w:p w14:paraId="19D61A2A" w14:textId="6746B4A9" w:rsidR="00604E06" w:rsidRPr="00D96CB0" w:rsidRDefault="00817324" w:rsidP="0055685C">
            <w:pPr>
              <w:pStyle w:val="ListParagraph"/>
              <w:spacing w:after="0" w:line="240" w:lineRule="auto"/>
              <w:ind w:left="23"/>
              <w:rPr>
                <w:rFonts w:ascii="StobiSerif Regular" w:hAnsi="StobiSerif Regular"/>
                <w:sz w:val="20"/>
                <w:szCs w:val="20"/>
              </w:rPr>
            </w:pPr>
            <w:r>
              <w:rPr>
                <w:rFonts w:ascii="StobiSerif Regular" w:hAnsi="StobiSerif Regular"/>
                <w:sz w:val="20"/>
                <w:szCs w:val="20"/>
              </w:rPr>
              <w:fldChar w:fldCharType="begin">
                <w:ffData>
                  <w:name w:val="Check12"/>
                  <w:enabled/>
                  <w:calcOnExit w:val="0"/>
                  <w:checkBox>
                    <w:sizeAuto/>
                    <w:default w:val="0"/>
                  </w:checkBox>
                </w:ffData>
              </w:fldChar>
            </w:r>
            <w:bookmarkStart w:id="1" w:name="Check12"/>
            <w:r>
              <w:rPr>
                <w:rFonts w:ascii="StobiSerif Regular" w:hAnsi="StobiSerif Regular"/>
                <w:sz w:val="20"/>
                <w:szCs w:val="20"/>
              </w:rPr>
              <w:instrText xml:space="preserve"> FORMCHECKBOX </w:instrText>
            </w:r>
            <w:r>
              <w:rPr>
                <w:rFonts w:ascii="StobiSerif Regular" w:hAnsi="StobiSerif Regular"/>
                <w:sz w:val="20"/>
                <w:szCs w:val="20"/>
              </w:rPr>
            </w:r>
            <w:r>
              <w:rPr>
                <w:rFonts w:ascii="StobiSerif Regular" w:hAnsi="StobiSerif Regular"/>
                <w:sz w:val="20"/>
                <w:szCs w:val="20"/>
              </w:rPr>
              <w:fldChar w:fldCharType="end"/>
            </w:r>
            <w:bookmarkEnd w:id="1"/>
            <w:r w:rsidR="00604E06" w:rsidRPr="00D96CB0">
              <w:rPr>
                <w:rFonts w:ascii="StobiSerif Regular" w:hAnsi="StobiSerif Regular"/>
                <w:sz w:val="20"/>
                <w:szCs w:val="20"/>
              </w:rPr>
              <w:t xml:space="preserve">Предлог </w:t>
            </w:r>
          </w:p>
          <w:p w14:paraId="45B68903" w14:textId="77777777" w:rsidR="00604E06" w:rsidRPr="00D96CB0" w:rsidRDefault="00604E06" w:rsidP="0055685C">
            <w:pPr>
              <w:pStyle w:val="ListParagraph"/>
              <w:spacing w:after="0" w:line="240" w:lineRule="auto"/>
              <w:ind w:left="23"/>
              <w:rPr>
                <w:rFonts w:ascii="StobiSerif Regular" w:hAnsi="StobiSerif Regular"/>
                <w:sz w:val="20"/>
                <w:szCs w:val="20"/>
              </w:rPr>
            </w:pPr>
          </w:p>
        </w:tc>
      </w:tr>
      <w:tr w:rsidR="00604E06" w:rsidRPr="00D96CB0" w14:paraId="2E65CA82" w14:textId="77777777" w:rsidTr="0055685C">
        <w:trPr>
          <w:trHeight w:val="1243"/>
        </w:trPr>
        <w:tc>
          <w:tcPr>
            <w:tcW w:w="3798" w:type="dxa"/>
            <w:shd w:val="clear" w:color="auto" w:fill="FBD4B4"/>
          </w:tcPr>
          <w:p w14:paraId="1CAFE10F" w14:textId="77777777" w:rsidR="00604E06" w:rsidRPr="00D96CB0" w:rsidRDefault="00604E06" w:rsidP="0055685C">
            <w:pPr>
              <w:jc w:val="center"/>
              <w:rPr>
                <w:rFonts w:ascii="StobiSerif Regular" w:hAnsi="StobiSerif Regular"/>
                <w:sz w:val="20"/>
                <w:szCs w:val="20"/>
                <w:lang w:val="mk-MK"/>
              </w:rPr>
            </w:pPr>
          </w:p>
          <w:p w14:paraId="2259D0F8" w14:textId="77777777" w:rsidR="00604E06" w:rsidRPr="00D96CB0" w:rsidRDefault="00604E06" w:rsidP="0055685C">
            <w:pPr>
              <w:jc w:val="center"/>
              <w:rPr>
                <w:rFonts w:ascii="StobiSerif Regular" w:hAnsi="StobiSerif Regular"/>
                <w:sz w:val="20"/>
                <w:szCs w:val="20"/>
                <w:lang w:val="mk-MK"/>
              </w:rPr>
            </w:pPr>
          </w:p>
          <w:p w14:paraId="6AB28FBC"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Обврската за подготовка на предлогот на закон произлегува од:</w:t>
            </w:r>
          </w:p>
        </w:tc>
        <w:tc>
          <w:tcPr>
            <w:tcW w:w="6233" w:type="dxa"/>
          </w:tcPr>
          <w:p w14:paraId="5F4110BD" w14:textId="5406459F" w:rsidR="00604E06" w:rsidRPr="00D96CB0" w:rsidRDefault="00BC361C" w:rsidP="0055685C">
            <w:pPr>
              <w:pStyle w:val="ListParagraph"/>
              <w:spacing w:after="0" w:line="240" w:lineRule="auto"/>
              <w:ind w:left="23"/>
              <w:rPr>
                <w:rFonts w:ascii="StobiSerif Regular" w:hAnsi="StobiSerif Regular"/>
                <w:sz w:val="20"/>
                <w:szCs w:val="20"/>
              </w:rPr>
            </w:pPr>
            <w:r>
              <w:rPr>
                <w:rFonts w:ascii="StobiSerif Regular" w:hAnsi="StobiSerif Regular"/>
                <w:sz w:val="20"/>
                <w:szCs w:val="20"/>
                <w:lang w:val="en-US"/>
              </w:rPr>
              <w:fldChar w:fldCharType="begin">
                <w:ffData>
                  <w:name w:val="Check13"/>
                  <w:enabled/>
                  <w:calcOnExit w:val="0"/>
                  <w:checkBox>
                    <w:sizeAuto/>
                    <w:default w:val="1"/>
                  </w:checkBox>
                </w:ffData>
              </w:fldChar>
            </w:r>
            <w:bookmarkStart w:id="2" w:name="Check13"/>
            <w:r>
              <w:rPr>
                <w:rFonts w:ascii="StobiSerif Regular" w:hAnsi="StobiSerif Regular"/>
                <w:sz w:val="20"/>
                <w:szCs w:val="20"/>
                <w:lang w:val="en-US"/>
              </w:rPr>
              <w:instrText xml:space="preserve"> FORMCHECKBOX </w:instrText>
            </w:r>
            <w:r w:rsidR="00817324">
              <w:rPr>
                <w:rFonts w:ascii="StobiSerif Regular" w:hAnsi="StobiSerif Regular"/>
                <w:sz w:val="20"/>
                <w:szCs w:val="20"/>
                <w:lang w:val="en-US"/>
              </w:rPr>
            </w:r>
            <w:r w:rsidR="00817324">
              <w:rPr>
                <w:rFonts w:ascii="StobiSerif Regular" w:hAnsi="StobiSerif Regular"/>
                <w:sz w:val="20"/>
                <w:szCs w:val="20"/>
                <w:lang w:val="en-US"/>
              </w:rPr>
              <w:fldChar w:fldCharType="separate"/>
            </w:r>
            <w:r>
              <w:rPr>
                <w:rFonts w:ascii="StobiSerif Regular" w:hAnsi="StobiSerif Regular"/>
                <w:sz w:val="20"/>
                <w:szCs w:val="20"/>
                <w:lang w:val="en-US"/>
              </w:rPr>
              <w:fldChar w:fldCharType="end"/>
            </w:r>
            <w:bookmarkEnd w:id="2"/>
            <w:r w:rsidR="00604E06" w:rsidRPr="00D96CB0">
              <w:rPr>
                <w:rFonts w:ascii="StobiSerif Regular" w:hAnsi="StobiSerif Regular"/>
                <w:sz w:val="20"/>
                <w:szCs w:val="20"/>
              </w:rPr>
              <w:t xml:space="preserve"> Годишна програма за работа на Владата на Република Северна Македонија</w:t>
            </w:r>
          </w:p>
          <w:p w14:paraId="5E2BFCA6" w14:textId="77777777" w:rsidR="00604E06" w:rsidRPr="00D96CB0" w:rsidRDefault="00604E06" w:rsidP="0055685C">
            <w:pPr>
              <w:pStyle w:val="ListParagraph"/>
              <w:spacing w:after="0" w:line="240" w:lineRule="auto"/>
              <w:ind w:left="23"/>
              <w:rPr>
                <w:rFonts w:ascii="StobiSerif Regular" w:hAnsi="StobiSerif Regular"/>
                <w:sz w:val="20"/>
                <w:szCs w:val="20"/>
              </w:rPr>
            </w:pPr>
            <w:r w:rsidRPr="00D96CB0">
              <w:rPr>
                <w:rFonts w:ascii="StobiSerif Regular" w:hAnsi="StobiSerif Regular"/>
                <w:sz w:val="20"/>
                <w:szCs w:val="20"/>
                <w:lang w:val="en-US"/>
              </w:rPr>
              <w:fldChar w:fldCharType="begin">
                <w:ffData>
                  <w:name w:val="Check14"/>
                  <w:enabled/>
                  <w:calcOnExit w:val="0"/>
                  <w:checkBox>
                    <w:sizeAuto/>
                    <w:default w:val="0"/>
                  </w:checkBox>
                </w:ffData>
              </w:fldChar>
            </w:r>
            <w:bookmarkStart w:id="3" w:name="Check14"/>
            <w:r w:rsidRPr="00D96CB0">
              <w:rPr>
                <w:rFonts w:ascii="StobiSerif Regular" w:hAnsi="StobiSerif Regular"/>
                <w:sz w:val="20"/>
                <w:szCs w:val="20"/>
                <w:lang w:val="ru-RU"/>
              </w:rPr>
              <w:instrText xml:space="preserve"> </w:instrText>
            </w:r>
            <w:r w:rsidRPr="00D96CB0">
              <w:rPr>
                <w:rFonts w:ascii="StobiSerif Regular" w:hAnsi="StobiSerif Regular"/>
                <w:sz w:val="20"/>
                <w:szCs w:val="20"/>
                <w:lang w:val="en-US"/>
              </w:rPr>
              <w:instrText>FORMCHECKBOX</w:instrText>
            </w:r>
            <w:r w:rsidRPr="00D96CB0">
              <w:rPr>
                <w:rFonts w:ascii="StobiSerif Regular" w:hAnsi="StobiSerif Regular"/>
                <w:sz w:val="20"/>
                <w:szCs w:val="20"/>
                <w:lang w:val="ru-RU"/>
              </w:rPr>
              <w:instrText xml:space="preserve"> </w:instrText>
            </w:r>
            <w:r w:rsidR="00817324">
              <w:rPr>
                <w:rFonts w:ascii="StobiSerif Regular" w:hAnsi="StobiSerif Regular"/>
                <w:sz w:val="20"/>
                <w:szCs w:val="20"/>
                <w:lang w:val="en-US"/>
              </w:rPr>
            </w:r>
            <w:r w:rsidR="00817324">
              <w:rPr>
                <w:rFonts w:ascii="StobiSerif Regular" w:hAnsi="StobiSerif Regular"/>
                <w:sz w:val="20"/>
                <w:szCs w:val="20"/>
                <w:lang w:val="en-US"/>
              </w:rPr>
              <w:fldChar w:fldCharType="separate"/>
            </w:r>
            <w:r w:rsidRPr="00D96CB0">
              <w:rPr>
                <w:rFonts w:ascii="StobiSerif Regular" w:hAnsi="StobiSerif Regular"/>
                <w:sz w:val="20"/>
                <w:szCs w:val="20"/>
                <w:lang w:val="en-US"/>
              </w:rPr>
              <w:fldChar w:fldCharType="end"/>
            </w:r>
            <w:bookmarkEnd w:id="3"/>
            <w:r w:rsidRPr="00D96CB0">
              <w:rPr>
                <w:rFonts w:ascii="StobiSerif Regular" w:hAnsi="StobiSerif Regular"/>
                <w:sz w:val="20"/>
                <w:szCs w:val="20"/>
              </w:rPr>
              <w:t xml:space="preserve"> НПАА</w:t>
            </w:r>
          </w:p>
          <w:p w14:paraId="58884BE9" w14:textId="45B26BD1" w:rsidR="00604E06" w:rsidRPr="00D96CB0" w:rsidRDefault="00BC361C" w:rsidP="0055685C">
            <w:pPr>
              <w:pStyle w:val="ListParagraph"/>
              <w:spacing w:after="0" w:line="240" w:lineRule="auto"/>
              <w:ind w:left="23"/>
              <w:rPr>
                <w:rFonts w:ascii="StobiSerif Regular" w:hAnsi="StobiSerif Regular"/>
                <w:sz w:val="20"/>
                <w:szCs w:val="20"/>
              </w:rPr>
            </w:pPr>
            <w:r>
              <w:rPr>
                <w:rFonts w:ascii="StobiSerif Regular" w:hAnsi="StobiSerif Regular"/>
                <w:sz w:val="20"/>
                <w:szCs w:val="20"/>
              </w:rPr>
              <w:fldChar w:fldCharType="begin">
                <w:ffData>
                  <w:name w:val="Check16"/>
                  <w:enabled/>
                  <w:calcOnExit w:val="0"/>
                  <w:checkBox>
                    <w:sizeAuto/>
                    <w:default w:val="1"/>
                  </w:checkBox>
                </w:ffData>
              </w:fldChar>
            </w:r>
            <w:bookmarkStart w:id="4" w:name="Check16"/>
            <w:r>
              <w:rPr>
                <w:rFonts w:ascii="StobiSerif Regular" w:hAnsi="StobiSerif Regular"/>
                <w:sz w:val="20"/>
                <w:szCs w:val="20"/>
              </w:rPr>
              <w:instrText xml:space="preserve"> FORMCHECKBOX </w:instrText>
            </w:r>
            <w:r w:rsidR="00817324">
              <w:rPr>
                <w:rFonts w:ascii="StobiSerif Regular" w:hAnsi="StobiSerif Regular"/>
                <w:sz w:val="20"/>
                <w:szCs w:val="20"/>
              </w:rPr>
            </w:r>
            <w:r w:rsidR="00817324">
              <w:rPr>
                <w:rFonts w:ascii="StobiSerif Regular" w:hAnsi="StobiSerif Regular"/>
                <w:sz w:val="20"/>
                <w:szCs w:val="20"/>
              </w:rPr>
              <w:fldChar w:fldCharType="separate"/>
            </w:r>
            <w:r>
              <w:rPr>
                <w:rFonts w:ascii="StobiSerif Regular" w:hAnsi="StobiSerif Regular"/>
                <w:sz w:val="20"/>
                <w:szCs w:val="20"/>
              </w:rPr>
              <w:fldChar w:fldCharType="end"/>
            </w:r>
            <w:bookmarkEnd w:id="4"/>
            <w:r w:rsidR="00604E06" w:rsidRPr="00D96CB0">
              <w:rPr>
                <w:rFonts w:ascii="StobiSerif Regular" w:hAnsi="StobiSerif Regular"/>
                <w:sz w:val="20"/>
                <w:szCs w:val="20"/>
              </w:rPr>
              <w:t xml:space="preserve"> Заклучок на Владата на Република Северна Македонија</w:t>
            </w:r>
          </w:p>
          <w:p w14:paraId="7FD52127" w14:textId="25487521" w:rsidR="00604E06" w:rsidRPr="00D96CB0" w:rsidRDefault="00BC361C" w:rsidP="0055685C">
            <w:pPr>
              <w:pStyle w:val="ListParagraph"/>
              <w:spacing w:after="0" w:line="240" w:lineRule="auto"/>
              <w:ind w:left="23"/>
              <w:rPr>
                <w:rFonts w:ascii="StobiSerif Regular" w:hAnsi="StobiSerif Regular"/>
                <w:sz w:val="20"/>
                <w:szCs w:val="20"/>
              </w:rPr>
            </w:pPr>
            <w:r>
              <w:rPr>
                <w:rFonts w:ascii="StobiSerif Regular" w:hAnsi="StobiSerif Regular"/>
                <w:sz w:val="20"/>
                <w:szCs w:val="20"/>
                <w:lang w:val="en-US"/>
              </w:rPr>
              <w:fldChar w:fldCharType="begin">
                <w:ffData>
                  <w:name w:val="Check15"/>
                  <w:enabled/>
                  <w:calcOnExit w:val="0"/>
                  <w:checkBox>
                    <w:sizeAuto/>
                    <w:default w:val="0"/>
                  </w:checkBox>
                </w:ffData>
              </w:fldChar>
            </w:r>
            <w:bookmarkStart w:id="5" w:name="Check15"/>
            <w:r>
              <w:rPr>
                <w:rFonts w:ascii="StobiSerif Regular" w:hAnsi="StobiSerif Regular"/>
                <w:sz w:val="20"/>
                <w:szCs w:val="20"/>
                <w:lang w:val="en-US"/>
              </w:rPr>
              <w:instrText xml:space="preserve"> FORMCHECKBOX </w:instrText>
            </w:r>
            <w:r w:rsidR="00817324">
              <w:rPr>
                <w:rFonts w:ascii="StobiSerif Regular" w:hAnsi="StobiSerif Regular"/>
                <w:sz w:val="20"/>
                <w:szCs w:val="20"/>
                <w:lang w:val="en-US"/>
              </w:rPr>
            </w:r>
            <w:r w:rsidR="00817324">
              <w:rPr>
                <w:rFonts w:ascii="StobiSerif Regular" w:hAnsi="StobiSerif Regular"/>
                <w:sz w:val="20"/>
                <w:szCs w:val="20"/>
                <w:lang w:val="en-US"/>
              </w:rPr>
              <w:fldChar w:fldCharType="separate"/>
            </w:r>
            <w:r>
              <w:rPr>
                <w:rFonts w:ascii="StobiSerif Regular" w:hAnsi="StobiSerif Regular"/>
                <w:sz w:val="20"/>
                <w:szCs w:val="20"/>
                <w:lang w:val="en-US"/>
              </w:rPr>
              <w:fldChar w:fldCharType="end"/>
            </w:r>
            <w:bookmarkEnd w:id="5"/>
            <w:r w:rsidR="007329B9">
              <w:rPr>
                <w:rFonts w:ascii="StobiSerif Regular" w:hAnsi="StobiSerif Regular"/>
                <w:sz w:val="20"/>
                <w:szCs w:val="20"/>
              </w:rPr>
              <w:t xml:space="preserve"> </w:t>
            </w:r>
            <w:r w:rsidR="00604E06" w:rsidRPr="00D96CB0">
              <w:rPr>
                <w:rFonts w:ascii="StobiSerif Regular" w:hAnsi="StobiSerif Regular"/>
                <w:sz w:val="20"/>
                <w:szCs w:val="20"/>
              </w:rPr>
              <w:t>Друго</w:t>
            </w:r>
          </w:p>
        </w:tc>
      </w:tr>
      <w:tr w:rsidR="00604E06" w:rsidRPr="00D96CB0" w14:paraId="1C7D04D7" w14:textId="77777777" w:rsidTr="00752EC1">
        <w:trPr>
          <w:trHeight w:val="285"/>
        </w:trPr>
        <w:tc>
          <w:tcPr>
            <w:tcW w:w="3798" w:type="dxa"/>
            <w:shd w:val="clear" w:color="auto" w:fill="FBD4B4"/>
          </w:tcPr>
          <w:p w14:paraId="1216A217"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Поврзаност со Директивите на ЕУ:</w:t>
            </w:r>
          </w:p>
        </w:tc>
        <w:tc>
          <w:tcPr>
            <w:tcW w:w="6233" w:type="dxa"/>
          </w:tcPr>
          <w:p w14:paraId="0954FD10" w14:textId="77777777" w:rsidR="00604E06" w:rsidRPr="00D96CB0" w:rsidRDefault="00604E06" w:rsidP="0055685C">
            <w:pPr>
              <w:pStyle w:val="ListParagraph"/>
              <w:ind w:left="23"/>
              <w:rPr>
                <w:rFonts w:ascii="StobiSerif Regular" w:hAnsi="StobiSerif Regular"/>
                <w:sz w:val="20"/>
                <w:szCs w:val="20"/>
              </w:rPr>
            </w:pPr>
            <w:r w:rsidRPr="00D96CB0">
              <w:rPr>
                <w:rFonts w:ascii="StobiSerif Regular" w:hAnsi="StobiSerif Regular"/>
                <w:sz w:val="20"/>
                <w:szCs w:val="20"/>
              </w:rPr>
              <w:t>Нема</w:t>
            </w:r>
          </w:p>
        </w:tc>
      </w:tr>
      <w:tr w:rsidR="00604E06" w:rsidRPr="00D96CB0" w14:paraId="6DEBA4A9" w14:textId="77777777" w:rsidTr="00752EC1">
        <w:trPr>
          <w:trHeight w:val="944"/>
        </w:trPr>
        <w:tc>
          <w:tcPr>
            <w:tcW w:w="3798" w:type="dxa"/>
            <w:shd w:val="clear" w:color="auto" w:fill="FBD4B4"/>
          </w:tcPr>
          <w:p w14:paraId="032F5E29"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Дали нацрт извештајот содржи информации согласно прописите кои се однесуваат на класифицираните информации:</w:t>
            </w:r>
          </w:p>
        </w:tc>
        <w:tc>
          <w:tcPr>
            <w:tcW w:w="6233" w:type="dxa"/>
          </w:tcPr>
          <w:p w14:paraId="4B3C0B42" w14:textId="77777777" w:rsidR="00604E06" w:rsidRPr="002B0173" w:rsidRDefault="00604E06" w:rsidP="002B0173">
            <w:pPr>
              <w:pStyle w:val="ListParagraph"/>
              <w:spacing w:after="0" w:line="240" w:lineRule="auto"/>
              <w:ind w:left="23"/>
              <w:rPr>
                <w:rFonts w:ascii="StobiSerif Regular" w:hAnsi="StobiSerif Regular"/>
                <w:sz w:val="20"/>
                <w:szCs w:val="20"/>
              </w:rPr>
            </w:pPr>
            <w:r w:rsidRPr="00D96CB0">
              <w:rPr>
                <w:rFonts w:ascii="StobiSerif Regular" w:hAnsi="StobiSerif Regular"/>
                <w:sz w:val="20"/>
                <w:szCs w:val="20"/>
                <w:lang w:val="en-US"/>
              </w:rPr>
              <w:fldChar w:fldCharType="begin">
                <w:ffData>
                  <w:name w:val="Check17"/>
                  <w:enabled/>
                  <w:calcOnExit w:val="0"/>
                  <w:checkBox>
                    <w:sizeAuto/>
                    <w:default w:val="0"/>
                    <w:checked w:val="0"/>
                  </w:checkBox>
                </w:ffData>
              </w:fldChar>
            </w:r>
            <w:bookmarkStart w:id="6" w:name="Check17"/>
            <w:r w:rsidRPr="00D96CB0">
              <w:rPr>
                <w:rFonts w:ascii="StobiSerif Regular" w:hAnsi="StobiSerif Regular"/>
                <w:sz w:val="20"/>
                <w:szCs w:val="20"/>
                <w:lang w:val="en-US"/>
              </w:rPr>
              <w:instrText xml:space="preserve"> FORMCHECKBOX </w:instrText>
            </w:r>
            <w:r w:rsidR="00817324">
              <w:rPr>
                <w:rFonts w:ascii="StobiSerif Regular" w:hAnsi="StobiSerif Regular"/>
                <w:sz w:val="20"/>
                <w:szCs w:val="20"/>
                <w:lang w:val="en-US"/>
              </w:rPr>
            </w:r>
            <w:r w:rsidR="00817324">
              <w:rPr>
                <w:rFonts w:ascii="StobiSerif Regular" w:hAnsi="StobiSerif Regular"/>
                <w:sz w:val="20"/>
                <w:szCs w:val="20"/>
                <w:lang w:val="en-US"/>
              </w:rPr>
              <w:fldChar w:fldCharType="separate"/>
            </w:r>
            <w:r w:rsidRPr="00D96CB0">
              <w:rPr>
                <w:rFonts w:ascii="StobiSerif Regular" w:hAnsi="StobiSerif Regular"/>
                <w:sz w:val="20"/>
                <w:szCs w:val="20"/>
                <w:lang w:val="en-US"/>
              </w:rPr>
              <w:fldChar w:fldCharType="end"/>
            </w:r>
            <w:bookmarkEnd w:id="6"/>
            <w:r w:rsidRPr="00D96CB0">
              <w:rPr>
                <w:rFonts w:ascii="StobiSerif Regular" w:hAnsi="StobiSerif Regular"/>
                <w:sz w:val="20"/>
                <w:szCs w:val="20"/>
              </w:rPr>
              <w:t>Да</w:t>
            </w:r>
          </w:p>
          <w:p w14:paraId="5988BDF1" w14:textId="77777777" w:rsidR="00604E06" w:rsidRPr="00D96CB0" w:rsidRDefault="00604E06" w:rsidP="0055685C">
            <w:pPr>
              <w:pStyle w:val="ListParagraph"/>
              <w:spacing w:after="0" w:line="240" w:lineRule="auto"/>
              <w:ind w:left="23"/>
              <w:rPr>
                <w:rFonts w:ascii="StobiSerif Regular" w:hAnsi="StobiSerif Regular"/>
                <w:sz w:val="20"/>
                <w:szCs w:val="20"/>
              </w:rPr>
            </w:pPr>
            <w:r w:rsidRPr="00D96CB0">
              <w:rPr>
                <w:rFonts w:ascii="StobiSerif Regular" w:hAnsi="StobiSerif Regular"/>
                <w:sz w:val="20"/>
                <w:szCs w:val="20"/>
                <w:lang w:val="en-US"/>
              </w:rPr>
              <w:fldChar w:fldCharType="begin">
                <w:ffData>
                  <w:name w:val="Check18"/>
                  <w:enabled/>
                  <w:calcOnExit w:val="0"/>
                  <w:checkBox>
                    <w:sizeAuto/>
                    <w:default w:val="1"/>
                  </w:checkBox>
                </w:ffData>
              </w:fldChar>
            </w:r>
            <w:bookmarkStart w:id="7" w:name="Check18"/>
            <w:r w:rsidRPr="00D96CB0">
              <w:rPr>
                <w:rFonts w:ascii="StobiSerif Regular" w:hAnsi="StobiSerif Regular"/>
                <w:sz w:val="20"/>
                <w:szCs w:val="20"/>
                <w:lang w:val="en-US"/>
              </w:rPr>
              <w:instrText xml:space="preserve"> FORMCHECKBOX </w:instrText>
            </w:r>
            <w:r w:rsidR="00817324">
              <w:rPr>
                <w:rFonts w:ascii="StobiSerif Regular" w:hAnsi="StobiSerif Regular"/>
                <w:sz w:val="20"/>
                <w:szCs w:val="20"/>
                <w:lang w:val="en-US"/>
              </w:rPr>
            </w:r>
            <w:r w:rsidR="00817324">
              <w:rPr>
                <w:rFonts w:ascii="StobiSerif Regular" w:hAnsi="StobiSerif Regular"/>
                <w:sz w:val="20"/>
                <w:szCs w:val="20"/>
                <w:lang w:val="en-US"/>
              </w:rPr>
              <w:fldChar w:fldCharType="separate"/>
            </w:r>
            <w:r w:rsidRPr="00D96CB0">
              <w:rPr>
                <w:rFonts w:ascii="StobiSerif Regular" w:hAnsi="StobiSerif Regular"/>
                <w:sz w:val="20"/>
                <w:szCs w:val="20"/>
                <w:lang w:val="en-US"/>
              </w:rPr>
              <w:fldChar w:fldCharType="end"/>
            </w:r>
            <w:bookmarkEnd w:id="7"/>
            <w:r w:rsidRPr="00D96CB0">
              <w:rPr>
                <w:rFonts w:ascii="StobiSerif Regular" w:hAnsi="StobiSerif Regular"/>
                <w:sz w:val="20"/>
                <w:szCs w:val="20"/>
              </w:rPr>
              <w:t>Не</w:t>
            </w:r>
          </w:p>
        </w:tc>
      </w:tr>
      <w:tr w:rsidR="00604E06" w:rsidRPr="00D96CB0" w14:paraId="2F8238FC" w14:textId="77777777" w:rsidTr="0055685C">
        <w:trPr>
          <w:trHeight w:val="551"/>
        </w:trPr>
        <w:tc>
          <w:tcPr>
            <w:tcW w:w="3798" w:type="dxa"/>
            <w:shd w:val="clear" w:color="auto" w:fill="FBD4B4"/>
          </w:tcPr>
          <w:p w14:paraId="0418C6A2"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Датум на објавување на нацрт Извештајот на ЕНЕР:</w:t>
            </w:r>
          </w:p>
        </w:tc>
        <w:tc>
          <w:tcPr>
            <w:tcW w:w="6233" w:type="dxa"/>
          </w:tcPr>
          <w:p w14:paraId="4588E33B" w14:textId="0ABD0397" w:rsidR="00604E06" w:rsidRPr="00D96CB0" w:rsidRDefault="00604E06" w:rsidP="0055685C">
            <w:pPr>
              <w:rPr>
                <w:rFonts w:ascii="StobiSerif Regular" w:hAnsi="StobiSerif Regular"/>
                <w:sz w:val="20"/>
                <w:szCs w:val="20"/>
                <w:lang w:val="mk-MK"/>
              </w:rPr>
            </w:pPr>
          </w:p>
        </w:tc>
      </w:tr>
      <w:tr w:rsidR="00604E06" w:rsidRPr="00D96CB0" w14:paraId="4C5A922F" w14:textId="77777777" w:rsidTr="0055685C">
        <w:trPr>
          <w:trHeight w:val="485"/>
        </w:trPr>
        <w:tc>
          <w:tcPr>
            <w:tcW w:w="3798" w:type="dxa"/>
            <w:shd w:val="clear" w:color="auto" w:fill="FBD4B4"/>
          </w:tcPr>
          <w:p w14:paraId="31D0DA43"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 xml:space="preserve">Датум на доставување на нацрт Извештајот до </w:t>
            </w:r>
            <w:r w:rsidRPr="00D96CB0">
              <w:rPr>
                <w:rFonts w:ascii="StobiSerif Regular" w:hAnsi="StobiSerif Regular"/>
                <w:sz w:val="20"/>
                <w:szCs w:val="20"/>
                <w:lang w:val="ru-RU"/>
              </w:rPr>
              <w:t>Министерството за информатичко општество и администрација</w:t>
            </w:r>
            <w:r w:rsidRPr="00D96CB0">
              <w:rPr>
                <w:rFonts w:ascii="StobiSerif Regular" w:hAnsi="StobiSerif Regular"/>
                <w:sz w:val="20"/>
                <w:szCs w:val="20"/>
                <w:lang w:val="mk-MK"/>
              </w:rPr>
              <w:t>:</w:t>
            </w:r>
          </w:p>
        </w:tc>
        <w:tc>
          <w:tcPr>
            <w:tcW w:w="6233" w:type="dxa"/>
          </w:tcPr>
          <w:p w14:paraId="34521774" w14:textId="4DE77EC5" w:rsidR="00604E06" w:rsidRPr="00D96CB0" w:rsidRDefault="00604E06" w:rsidP="0055685C">
            <w:pPr>
              <w:rPr>
                <w:rFonts w:ascii="StobiSerif Regular" w:hAnsi="StobiSerif Regular"/>
                <w:sz w:val="20"/>
                <w:szCs w:val="20"/>
                <w:lang w:val="mk-MK"/>
              </w:rPr>
            </w:pPr>
          </w:p>
        </w:tc>
      </w:tr>
      <w:tr w:rsidR="00604E06" w:rsidRPr="00D96CB0" w14:paraId="7BB33986" w14:textId="77777777" w:rsidTr="0055685C">
        <w:trPr>
          <w:trHeight w:val="622"/>
        </w:trPr>
        <w:tc>
          <w:tcPr>
            <w:tcW w:w="3798" w:type="dxa"/>
            <w:shd w:val="clear" w:color="auto" w:fill="FBD4B4"/>
          </w:tcPr>
          <w:p w14:paraId="49A6F522" w14:textId="77777777" w:rsidR="00604E06" w:rsidRPr="00D96CB0" w:rsidRDefault="00604E06" w:rsidP="0055685C">
            <w:pPr>
              <w:jc w:val="center"/>
              <w:rPr>
                <w:rFonts w:ascii="StobiSerif Regular" w:hAnsi="StobiSerif Regular"/>
                <w:sz w:val="20"/>
                <w:szCs w:val="20"/>
                <w:lang w:val="mk-MK"/>
              </w:rPr>
            </w:pPr>
            <w:r w:rsidRPr="00D96CB0">
              <w:rPr>
                <w:rFonts w:ascii="StobiSerif Regular" w:hAnsi="StobiSerif Regular"/>
                <w:sz w:val="20"/>
                <w:szCs w:val="20"/>
                <w:lang w:val="mk-MK"/>
              </w:rPr>
              <w:t xml:space="preserve">Датум на добивање на мислењето од </w:t>
            </w:r>
            <w:r w:rsidRPr="00D96CB0">
              <w:rPr>
                <w:rFonts w:ascii="StobiSerif Regular" w:hAnsi="StobiSerif Regular"/>
                <w:sz w:val="20"/>
                <w:szCs w:val="20"/>
                <w:lang w:val="ru-RU"/>
              </w:rPr>
              <w:t>Министерството за информатичко општество и администрација</w:t>
            </w:r>
            <w:r w:rsidRPr="00D96CB0">
              <w:rPr>
                <w:rFonts w:ascii="StobiSerif Regular" w:hAnsi="StobiSerif Regular"/>
                <w:sz w:val="20"/>
                <w:szCs w:val="20"/>
                <w:lang w:val="mk-MK"/>
              </w:rPr>
              <w:t>:</w:t>
            </w:r>
          </w:p>
        </w:tc>
        <w:tc>
          <w:tcPr>
            <w:tcW w:w="6233" w:type="dxa"/>
          </w:tcPr>
          <w:p w14:paraId="2516EDF3" w14:textId="77777777" w:rsidR="00604E06" w:rsidRPr="00D96CB0" w:rsidRDefault="00604E06" w:rsidP="0055685C">
            <w:pPr>
              <w:rPr>
                <w:rFonts w:ascii="StobiSerif Regular" w:hAnsi="StobiSerif Regular"/>
                <w:sz w:val="20"/>
                <w:szCs w:val="20"/>
                <w:lang w:val="mk-MK"/>
              </w:rPr>
            </w:pPr>
          </w:p>
        </w:tc>
      </w:tr>
      <w:tr w:rsidR="00604E06" w:rsidRPr="00D96CB0" w14:paraId="6A918CBE" w14:textId="77777777" w:rsidTr="0055685C">
        <w:trPr>
          <w:trHeight w:val="790"/>
        </w:trPr>
        <w:tc>
          <w:tcPr>
            <w:tcW w:w="3798" w:type="dxa"/>
            <w:shd w:val="clear" w:color="auto" w:fill="FBD4B4"/>
          </w:tcPr>
          <w:p w14:paraId="25B2B701" w14:textId="77777777" w:rsidR="00604E06" w:rsidRPr="00D96CB0" w:rsidRDefault="00604E06" w:rsidP="0055685C">
            <w:pPr>
              <w:jc w:val="center"/>
              <w:rPr>
                <w:rFonts w:ascii="StobiSerif Regular" w:hAnsi="StobiSerif Regular"/>
                <w:sz w:val="20"/>
                <w:szCs w:val="20"/>
                <w:highlight w:val="yellow"/>
                <w:lang w:val="mk-MK"/>
              </w:rPr>
            </w:pPr>
            <w:r w:rsidRPr="00D96CB0">
              <w:rPr>
                <w:rFonts w:ascii="StobiSerif Regular" w:hAnsi="StobiSerif Regular"/>
                <w:sz w:val="20"/>
                <w:szCs w:val="20"/>
                <w:lang w:val="mk-MK"/>
              </w:rPr>
              <w:t>Рок за доставување на предлогот на закон до Генералниот секретаријат</w:t>
            </w:r>
          </w:p>
        </w:tc>
        <w:tc>
          <w:tcPr>
            <w:tcW w:w="6233" w:type="dxa"/>
          </w:tcPr>
          <w:p w14:paraId="54235570" w14:textId="77998B09" w:rsidR="00604E06" w:rsidRPr="00D96CB0" w:rsidRDefault="00604E06" w:rsidP="0055685C">
            <w:pPr>
              <w:rPr>
                <w:rFonts w:ascii="StobiSerif Regular" w:hAnsi="StobiSerif Regular"/>
                <w:sz w:val="20"/>
                <w:szCs w:val="20"/>
                <w:lang w:val="mk-MK"/>
              </w:rPr>
            </w:pPr>
          </w:p>
        </w:tc>
      </w:tr>
    </w:tbl>
    <w:p w14:paraId="6CD133CE" w14:textId="77777777" w:rsidR="00604E06" w:rsidRDefault="00604E06" w:rsidP="00604E06">
      <w:pPr>
        <w:spacing w:line="276" w:lineRule="auto"/>
        <w:jc w:val="both"/>
        <w:rPr>
          <w:rFonts w:ascii="StobiSerif Regular" w:hAnsi="StobiSerif Regular"/>
          <w:i/>
          <w:sz w:val="20"/>
          <w:szCs w:val="20"/>
          <w:lang w:val="ru-RU"/>
        </w:rPr>
      </w:pPr>
    </w:p>
    <w:p w14:paraId="582C0114" w14:textId="77777777" w:rsidR="00752EC1" w:rsidRPr="00D96CB0" w:rsidRDefault="00752EC1" w:rsidP="00604E06">
      <w:pPr>
        <w:spacing w:line="276" w:lineRule="auto"/>
        <w:jc w:val="both"/>
        <w:rPr>
          <w:rFonts w:ascii="StobiSerif Regular" w:hAnsi="StobiSerif Regular"/>
          <w:i/>
          <w:sz w:val="20"/>
          <w:szCs w:val="20"/>
          <w:lang w:val="ru-RU"/>
        </w:rPr>
      </w:pPr>
    </w:p>
    <w:p w14:paraId="2B3234E8" w14:textId="77777777" w:rsidR="00604E06" w:rsidRPr="00D96CB0" w:rsidRDefault="00604E06" w:rsidP="00604E06">
      <w:pPr>
        <w:shd w:val="clear" w:color="auto" w:fill="FBD4B4"/>
        <w:tabs>
          <w:tab w:val="left" w:pos="675"/>
        </w:tabs>
        <w:rPr>
          <w:rFonts w:ascii="StobiSerif Regular" w:hAnsi="StobiSerif Regular" w:cs="Calibri"/>
          <w:b/>
          <w:sz w:val="20"/>
          <w:szCs w:val="20"/>
          <w:lang w:val="mk-MK"/>
        </w:rPr>
      </w:pPr>
      <w:r w:rsidRPr="00D96CB0">
        <w:rPr>
          <w:rFonts w:ascii="StobiSerif Regular" w:hAnsi="StobiSerif Regular"/>
          <w:b/>
          <w:sz w:val="20"/>
          <w:szCs w:val="20"/>
          <w:lang w:val="en-US"/>
        </w:rPr>
        <w:t>1</w:t>
      </w:r>
      <w:r w:rsidRPr="00D96CB0">
        <w:rPr>
          <w:rFonts w:ascii="StobiSerif Regular" w:hAnsi="StobiSerif Regular"/>
          <w:b/>
          <w:sz w:val="20"/>
          <w:szCs w:val="20"/>
          <w:lang w:val="mk-MK"/>
        </w:rPr>
        <w:t xml:space="preserve">. </w:t>
      </w:r>
      <w:r w:rsidRPr="00D96CB0">
        <w:rPr>
          <w:rFonts w:ascii="StobiSerif Regular" w:hAnsi="StobiSerif Regular"/>
          <w:b/>
          <w:sz w:val="20"/>
          <w:szCs w:val="20"/>
          <w:lang w:val="mk-MK"/>
        </w:rPr>
        <w:tab/>
        <w:t>Опис на состојбите во областа и дефинирање на проблемот</w:t>
      </w:r>
    </w:p>
    <w:p w14:paraId="40247D8D" w14:textId="77777777" w:rsidR="00604E06" w:rsidRPr="00D96CB0" w:rsidRDefault="00604E06" w:rsidP="00604E06">
      <w:pPr>
        <w:jc w:val="both"/>
        <w:rPr>
          <w:rFonts w:ascii="StobiSerif Regular" w:hAnsi="StobiSerif Regular"/>
          <w:sz w:val="20"/>
          <w:szCs w:val="20"/>
          <w:lang w:val="en-US"/>
        </w:rPr>
      </w:pPr>
    </w:p>
    <w:p w14:paraId="52F158D2" w14:textId="77777777" w:rsidR="00604E06" w:rsidRPr="00D96CB0" w:rsidRDefault="00604E06" w:rsidP="00604E06">
      <w:pPr>
        <w:numPr>
          <w:ilvl w:val="1"/>
          <w:numId w:val="2"/>
        </w:numPr>
        <w:spacing w:line="276" w:lineRule="auto"/>
        <w:jc w:val="both"/>
        <w:rPr>
          <w:rFonts w:ascii="StobiSerif Regular" w:eastAsia="Calibri" w:hAnsi="StobiSerif Regular" w:cs="Calibri"/>
          <w:sz w:val="20"/>
          <w:szCs w:val="20"/>
          <w:lang w:val="mk-MK"/>
        </w:rPr>
      </w:pPr>
      <w:r w:rsidRPr="00D96CB0">
        <w:rPr>
          <w:rFonts w:ascii="StobiSerif Regular" w:eastAsia="Calibri" w:hAnsi="StobiSerif Regular" w:cs="Calibri"/>
          <w:sz w:val="20"/>
          <w:szCs w:val="20"/>
          <w:lang w:val="mk-MK"/>
        </w:rPr>
        <w:t xml:space="preserve">Опис на состојбите </w:t>
      </w:r>
    </w:p>
    <w:p w14:paraId="26438267" w14:textId="77777777" w:rsidR="00736516" w:rsidRPr="00736516" w:rsidRDefault="00736516" w:rsidP="00736516">
      <w:pPr>
        <w:tabs>
          <w:tab w:val="left" w:pos="675"/>
        </w:tabs>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lastRenderedPageBreak/>
        <w:t xml:space="preserve">Во светот, 1/3 од вкупно произведената храна (во вредност од околу 1000млрд$USA) на годишно ниво се фрла, додека истовремено околу 800мил луѓе се со ризик од глад, и 5мил. деца умираат од глад. Милениумската цел на ОН, за намалување 50% на отпад од храна до 2020, покренаа низа земји за преземање акции за намалување на отпад од храна и преусмерување на храната за донација на најзагрозените. Донацијата на храна, има сигнификантно влијание на социјалните и економски импликации во борбата против сиромаштија и глад, и истовремено значително придонесува за одржлив систем на храна, намалување на загадувањето на животната средина и одржлив развој. </w:t>
      </w:r>
    </w:p>
    <w:p w14:paraId="0303DCA2" w14:textId="77777777" w:rsidR="00736516" w:rsidRPr="00736516" w:rsidRDefault="00736516" w:rsidP="00736516">
      <w:pPr>
        <w:tabs>
          <w:tab w:val="left" w:pos="675"/>
        </w:tabs>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 xml:space="preserve">Во Европа, околу 120мил. луѓе се под ризик од глад. Како дел од превенцијата и намалување фрлање храна, донацијата на храна е вградена во клучните приоритети и иницијативи на ЕУ2020: Ефикасни ресурси на ЕУ и циркуларна економија, агроекологија, зелена-био-економија, платформа за сиромаштија, мрежа на банки за храна, иновации, итн.). </w:t>
      </w:r>
    </w:p>
    <w:p w14:paraId="4633E042" w14:textId="77777777" w:rsidR="00736516" w:rsidRPr="00736516" w:rsidRDefault="00736516" w:rsidP="00736516">
      <w:pPr>
        <w:tabs>
          <w:tab w:val="left" w:pos="675"/>
        </w:tabs>
        <w:spacing w:after="120"/>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 xml:space="preserve">Земјите членки, преземаат широки акции за постигнување на милениумската цел на ОН и ЕУ2020: </w:t>
      </w:r>
    </w:p>
    <w:p w14:paraId="4F2F20AA" w14:textId="02C066A1" w:rsidR="00736516" w:rsidRPr="00736516" w:rsidRDefault="00736516" w:rsidP="00736516">
      <w:pPr>
        <w:pStyle w:val="ListParagraph"/>
        <w:numPr>
          <w:ilvl w:val="0"/>
          <w:numId w:val="6"/>
        </w:numPr>
        <w:tabs>
          <w:tab w:val="left" w:pos="675"/>
        </w:tabs>
        <w:spacing w:after="120" w:line="240" w:lineRule="auto"/>
        <w:ind w:left="720" w:hanging="180"/>
        <w:jc w:val="both"/>
        <w:rPr>
          <w:rFonts w:ascii="StobiSerif Regular" w:hAnsi="StobiSerif Regular" w:cs="Calibri"/>
          <w:iCs/>
          <w:sz w:val="20"/>
          <w:szCs w:val="20"/>
        </w:rPr>
      </w:pPr>
      <w:r w:rsidRPr="00736516">
        <w:rPr>
          <w:rFonts w:ascii="StobiSerif Regular" w:hAnsi="StobiSerif Regular" w:cs="Calibri"/>
          <w:iCs/>
          <w:sz w:val="20"/>
          <w:szCs w:val="20"/>
        </w:rPr>
        <w:t xml:space="preserve">Сите земји членки, имаат обврска, да подготват Стратегии за превенција на отпад и отпад од храна, и се во врвот на нивните политички агенди (Франција, Италија, Британија, Португалија). </w:t>
      </w:r>
    </w:p>
    <w:p w14:paraId="5E04FEAF" w14:textId="55EEB546" w:rsidR="00736516" w:rsidRPr="00736516" w:rsidRDefault="00736516" w:rsidP="00736516">
      <w:pPr>
        <w:pStyle w:val="ListParagraph"/>
        <w:numPr>
          <w:ilvl w:val="0"/>
          <w:numId w:val="6"/>
        </w:numPr>
        <w:tabs>
          <w:tab w:val="left" w:pos="675"/>
        </w:tabs>
        <w:spacing w:after="120" w:line="240" w:lineRule="auto"/>
        <w:ind w:left="720" w:hanging="180"/>
        <w:jc w:val="both"/>
        <w:rPr>
          <w:rFonts w:ascii="StobiSerif Regular" w:hAnsi="StobiSerif Regular" w:cs="Calibri"/>
          <w:iCs/>
          <w:sz w:val="20"/>
          <w:szCs w:val="20"/>
        </w:rPr>
      </w:pPr>
      <w:r w:rsidRPr="00736516">
        <w:rPr>
          <w:rFonts w:ascii="StobiSerif Regular" w:hAnsi="StobiSerif Regular" w:cs="Calibri"/>
          <w:iCs/>
          <w:sz w:val="20"/>
          <w:szCs w:val="20"/>
        </w:rPr>
        <w:t>Во сите земји членки, постои систем за донација на храна (преку различни облици на организација на НВО, банки за храна, хуманитарни организации итн.), со голем придонес во борбата против сиромаштија и помош на најзагрозените (нарочно во економската криза).</w:t>
      </w:r>
    </w:p>
    <w:p w14:paraId="00AB731E" w14:textId="4B71981A" w:rsidR="00736516" w:rsidRPr="00736516" w:rsidRDefault="00736516" w:rsidP="00736516">
      <w:pPr>
        <w:pStyle w:val="ListParagraph"/>
        <w:numPr>
          <w:ilvl w:val="0"/>
          <w:numId w:val="6"/>
        </w:numPr>
        <w:tabs>
          <w:tab w:val="left" w:pos="675"/>
        </w:tabs>
        <w:spacing w:after="120" w:line="240" w:lineRule="auto"/>
        <w:ind w:left="720" w:hanging="180"/>
        <w:jc w:val="both"/>
        <w:rPr>
          <w:rFonts w:ascii="StobiSerif Regular" w:hAnsi="StobiSerif Regular" w:cs="Calibri"/>
          <w:iCs/>
          <w:sz w:val="20"/>
          <w:szCs w:val="20"/>
        </w:rPr>
      </w:pPr>
      <w:r w:rsidRPr="00736516">
        <w:rPr>
          <w:rFonts w:ascii="StobiSerif Regular" w:hAnsi="StobiSerif Regular" w:cs="Calibri"/>
          <w:iCs/>
          <w:sz w:val="20"/>
          <w:szCs w:val="20"/>
        </w:rPr>
        <w:t>Постојат голем број истражувања, студии, проекти и анализи за различни аспекти на вишокот на храна низ целиот ланец на исхрана, во сите три димензии на политиките (економски, социјални и еколошки), кои укажуваат на големата важност на одржлив систем на храна.</w:t>
      </w:r>
    </w:p>
    <w:p w14:paraId="4C6BFCD2" w14:textId="3A892CD3" w:rsidR="00736516" w:rsidRPr="00736516" w:rsidRDefault="00736516" w:rsidP="00736516">
      <w:pPr>
        <w:pStyle w:val="ListParagraph"/>
        <w:numPr>
          <w:ilvl w:val="0"/>
          <w:numId w:val="6"/>
        </w:numPr>
        <w:tabs>
          <w:tab w:val="left" w:pos="675"/>
        </w:tabs>
        <w:spacing w:after="120" w:line="240" w:lineRule="auto"/>
        <w:ind w:left="720" w:hanging="180"/>
        <w:jc w:val="both"/>
        <w:rPr>
          <w:rFonts w:ascii="StobiSerif Regular" w:hAnsi="StobiSerif Regular" w:cs="Calibri"/>
          <w:iCs/>
          <w:sz w:val="20"/>
          <w:szCs w:val="20"/>
        </w:rPr>
      </w:pPr>
      <w:r w:rsidRPr="00736516">
        <w:rPr>
          <w:rFonts w:ascii="StobiSerif Regular" w:hAnsi="StobiSerif Regular" w:cs="Calibri"/>
          <w:iCs/>
          <w:sz w:val="20"/>
          <w:szCs w:val="20"/>
        </w:rPr>
        <w:t>Постојат различни законодавни решенија со различна интерпретација на релевантното европско законодавство (пакетот за управување со отпад, политики на земјоделство и рурален развој, безбедност на храна, даночните политики, социјалните политики, развој на системот за донација и борба против сиромаштија), со различен степен на опфат во своите национални законодавства.</w:t>
      </w:r>
    </w:p>
    <w:p w14:paraId="134623DB" w14:textId="06D0BA85" w:rsidR="00604E06" w:rsidRDefault="00736516" w:rsidP="007B4688">
      <w:pPr>
        <w:tabs>
          <w:tab w:val="left" w:pos="675"/>
        </w:tabs>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Состојбата во нашата земја е  многу загрижувачка. Ние сме рангирани на осмо место во светот по количина фрлен отпад, по жител, а истовремено, спаѓаме во групата на пет најралниви земји во ЕУ од климатски промени. Исто така, ние сме меѓу најсиромашните земји во ЕУ. Податоците за околу 450,000 граѓани кои се под ризик на сиромаштија и глад, со апсолутна сиромаштија на околу 120,000 лица, од кои околу 65,000 деца, и истовремено, фрлање на околу 10,000 тони на храна на годишно ниво, во вредност од 12милЕУР, што може да се преусмери за донација, јасно укажуваат на важноста на проблемот, и потребата од кредибилни и усогласени политики, преземање одговорност и акција на сите нивоа и целото општество.</w:t>
      </w:r>
    </w:p>
    <w:p w14:paraId="10902D80" w14:textId="77777777" w:rsidR="00736516" w:rsidRPr="00D96CB0" w:rsidRDefault="00736516" w:rsidP="00736516">
      <w:pPr>
        <w:tabs>
          <w:tab w:val="left" w:pos="675"/>
        </w:tabs>
        <w:rPr>
          <w:rFonts w:ascii="StobiSerif Regular" w:hAnsi="StobiSerif Regular"/>
          <w:sz w:val="20"/>
          <w:szCs w:val="20"/>
          <w:lang w:val="mk-MK"/>
        </w:rPr>
      </w:pPr>
    </w:p>
    <w:p w14:paraId="04DA36A5" w14:textId="77777777" w:rsidR="00604E06" w:rsidRPr="00D96CB0" w:rsidRDefault="00604E06" w:rsidP="00604E06">
      <w:pPr>
        <w:numPr>
          <w:ilvl w:val="1"/>
          <w:numId w:val="2"/>
        </w:numPr>
        <w:spacing w:line="276" w:lineRule="auto"/>
        <w:jc w:val="both"/>
        <w:rPr>
          <w:rFonts w:ascii="StobiSerif Regular" w:eastAsia="Calibri" w:hAnsi="StobiSerif Regular" w:cs="Calibri"/>
          <w:sz w:val="20"/>
          <w:szCs w:val="20"/>
          <w:lang w:val="mk-MK"/>
        </w:rPr>
      </w:pPr>
      <w:r w:rsidRPr="00D96CB0">
        <w:rPr>
          <w:rFonts w:ascii="StobiSerif Regular" w:eastAsia="Calibri" w:hAnsi="StobiSerif Regular" w:cs="Calibri"/>
          <w:sz w:val="20"/>
          <w:szCs w:val="20"/>
          <w:lang w:val="mk-MK"/>
        </w:rPr>
        <w:t xml:space="preserve">Причини за проблемите кои се предмет на разгледување </w:t>
      </w:r>
    </w:p>
    <w:p w14:paraId="426F0041" w14:textId="77777777" w:rsidR="00604E06" w:rsidRPr="00D96CB0" w:rsidRDefault="00604E06" w:rsidP="00604E06">
      <w:pPr>
        <w:spacing w:line="276" w:lineRule="auto"/>
        <w:jc w:val="both"/>
        <w:rPr>
          <w:rFonts w:ascii="StobiSerif Regular" w:eastAsia="Calibri" w:hAnsi="StobiSerif Regular" w:cs="Calibri"/>
          <w:sz w:val="20"/>
          <w:szCs w:val="20"/>
          <w:lang w:val="mk-MK"/>
        </w:rPr>
      </w:pPr>
    </w:p>
    <w:p w14:paraId="113C16C6" w14:textId="77777777" w:rsidR="00736516" w:rsidRPr="00736516" w:rsidRDefault="00736516" w:rsidP="00736516">
      <w:pPr>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 xml:space="preserve">Високиот процент на релативна сиромаштија и ризикот од глад на голем број граѓани и деца, и истовремено фрлањето на голема количина сосема здрава храна (што е и етички проблем), како и значителниет негативни ефекти врз животната средина, се загрижувачи и долгорочен проблем во нашата земја. Можноста за извлекување на вишокот на храна и редистибуција на оние на кои им треба од страна на ГО, ќе има многу позитивно влијание на економските, социјалните и еколошките аспекти на политиките. Вклучувањето и поддршката на ГО и хуманитарните организации, </w:t>
      </w:r>
      <w:r w:rsidRPr="00736516">
        <w:rPr>
          <w:rFonts w:ascii="StobiSerif Regular" w:eastAsia="Calibri" w:hAnsi="StobiSerif Regular" w:cs="Calibri"/>
          <w:iCs/>
          <w:sz w:val="20"/>
          <w:szCs w:val="20"/>
          <w:lang w:val="mk-MK"/>
        </w:rPr>
        <w:lastRenderedPageBreak/>
        <w:t>економските оператори, и државните институции, и граѓаните, може да биде голем исчекор во креирањето на инклузивни политики и градење на одржливо општество.</w:t>
      </w:r>
    </w:p>
    <w:p w14:paraId="158FA7B8" w14:textId="77777777" w:rsidR="00736516" w:rsidRPr="00736516" w:rsidRDefault="00736516" w:rsidP="00736516">
      <w:pPr>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Во изминатиот период, поднесена е иницијатива од асоцијацијата Ајде Македонија и група ГО, за законско овозможување на донирањето на вишокот на храна, која опфаќа:</w:t>
      </w:r>
    </w:p>
    <w:p w14:paraId="4321F717" w14:textId="5BC5BE62" w:rsidR="00736516" w:rsidRPr="00736516" w:rsidRDefault="00736516" w:rsidP="00736516">
      <w:pPr>
        <w:pStyle w:val="ListParagraph"/>
        <w:numPr>
          <w:ilvl w:val="0"/>
          <w:numId w:val="8"/>
        </w:numPr>
        <w:spacing w:after="120"/>
        <w:ind w:left="720"/>
        <w:jc w:val="both"/>
        <w:rPr>
          <w:rFonts w:ascii="StobiSerif Regular" w:hAnsi="StobiSerif Regular" w:cs="Calibri"/>
          <w:iCs/>
          <w:sz w:val="20"/>
          <w:szCs w:val="20"/>
        </w:rPr>
      </w:pPr>
      <w:r w:rsidRPr="00736516">
        <w:rPr>
          <w:rFonts w:ascii="StobiSerif Regular" w:hAnsi="StobiSerif Regular" w:cs="Calibri"/>
          <w:iCs/>
          <w:sz w:val="20"/>
          <w:szCs w:val="20"/>
        </w:rPr>
        <w:t xml:space="preserve">Предлог за овозможување законодавна рамка, која ќе го уреди донирањето на храна од страна на ГО, на начин кој ќе обезбеди олеснети процедури и брза прераспределба од местото на донација до крајниот корисник - загрозени лица; </w:t>
      </w:r>
    </w:p>
    <w:p w14:paraId="0910FE82" w14:textId="3059E537" w:rsidR="00736516" w:rsidRPr="00736516" w:rsidRDefault="00736516" w:rsidP="00736516">
      <w:pPr>
        <w:pStyle w:val="ListParagraph"/>
        <w:numPr>
          <w:ilvl w:val="0"/>
          <w:numId w:val="8"/>
        </w:numPr>
        <w:spacing w:after="120"/>
        <w:ind w:left="720"/>
        <w:jc w:val="both"/>
        <w:rPr>
          <w:rFonts w:ascii="StobiSerif Regular" w:hAnsi="StobiSerif Regular" w:cs="Calibri"/>
          <w:iCs/>
          <w:sz w:val="20"/>
          <w:szCs w:val="20"/>
        </w:rPr>
      </w:pPr>
      <w:r w:rsidRPr="00736516">
        <w:rPr>
          <w:rFonts w:ascii="StobiSerif Regular" w:hAnsi="StobiSerif Regular" w:cs="Calibri"/>
          <w:iCs/>
          <w:sz w:val="20"/>
          <w:szCs w:val="20"/>
        </w:rPr>
        <w:t>Предлог за формирање на Координативно тело за координација и развој на системот на донирање на храна, низ целата територија на земјата, вклопено во законодавната рамка.</w:t>
      </w:r>
    </w:p>
    <w:p w14:paraId="66E921D0" w14:textId="77777777" w:rsidR="00736516" w:rsidRPr="00736516" w:rsidRDefault="00736516" w:rsidP="00736516">
      <w:pPr>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Поднесените материјали обезбедуваат темелна анализа на контекстот на политиките, проблемот, основните економски, социјални и еколошки показатели, тековната состојба со донацијата, релевантното законодавство, актерите во процесот, дадени се примери на студии на случај, компаративна анализа на искуствата од разни земји, бариерите и можностите, и заклучни согледувања и препораки. (Пакет документи на НВО, Анализа на политики);</w:t>
      </w:r>
    </w:p>
    <w:p w14:paraId="674BE12D" w14:textId="79546F09" w:rsidR="00604E06" w:rsidRDefault="00736516" w:rsidP="00736516">
      <w:pPr>
        <w:spacing w:after="120"/>
        <w:jc w:val="both"/>
        <w:rPr>
          <w:rFonts w:ascii="StobiSerif Regular" w:eastAsia="Calibri" w:hAnsi="StobiSerif Regular" w:cs="Calibri"/>
          <w:iCs/>
          <w:sz w:val="20"/>
          <w:szCs w:val="20"/>
          <w:lang w:val="mk-MK"/>
        </w:rPr>
      </w:pPr>
      <w:r w:rsidRPr="00736516">
        <w:rPr>
          <w:rFonts w:ascii="StobiSerif Regular" w:eastAsia="Calibri" w:hAnsi="StobiSerif Regular" w:cs="Calibri"/>
          <w:iCs/>
          <w:sz w:val="20"/>
          <w:szCs w:val="20"/>
          <w:lang w:val="mk-MK"/>
        </w:rPr>
        <w:t>Во компаративната анализа на политиките и законодавните решенија  претставени се студии на случај,  за разни земји: Франција, Италија, Хрватска, Бугарија, и споредени се некои позитивини и негативни аспекти врз системот на донација. Земјите членки, имаат различни интерпретации  на пакетот на европското законодавство, и различни законодавни решенија во своите национални системи.</w:t>
      </w:r>
    </w:p>
    <w:p w14:paraId="37349A6A" w14:textId="77777777" w:rsidR="00736516" w:rsidRPr="00D96CB0" w:rsidRDefault="00736516" w:rsidP="00736516">
      <w:pPr>
        <w:jc w:val="both"/>
        <w:rPr>
          <w:rFonts w:ascii="StobiSerif Regular" w:hAnsi="StobiSerif Regular"/>
          <w:sz w:val="20"/>
          <w:szCs w:val="20"/>
          <w:lang w:val="ru-RU"/>
        </w:rPr>
      </w:pPr>
    </w:p>
    <w:p w14:paraId="650A5E7A" w14:textId="77777777" w:rsidR="00604E06" w:rsidRPr="00D96CB0" w:rsidRDefault="00604E06" w:rsidP="00604E06">
      <w:pPr>
        <w:shd w:val="clear" w:color="auto" w:fill="FBD4B4"/>
        <w:tabs>
          <w:tab w:val="left" w:pos="675"/>
        </w:tabs>
        <w:rPr>
          <w:rFonts w:ascii="StobiSerif Regular" w:hAnsi="StobiSerif Regular" w:cs="Calibri"/>
          <w:b/>
          <w:sz w:val="20"/>
          <w:szCs w:val="20"/>
          <w:lang w:val="mk-MK"/>
        </w:rPr>
      </w:pPr>
      <w:r w:rsidRPr="00D96CB0">
        <w:rPr>
          <w:rFonts w:ascii="StobiSerif Regular" w:hAnsi="StobiSerif Regular"/>
          <w:b/>
          <w:sz w:val="20"/>
          <w:szCs w:val="20"/>
          <w:lang w:val="mk-MK"/>
        </w:rPr>
        <w:t xml:space="preserve">2. </w:t>
      </w:r>
      <w:r w:rsidRPr="00D96CB0">
        <w:rPr>
          <w:rFonts w:ascii="StobiSerif Regular" w:hAnsi="StobiSerif Regular"/>
          <w:b/>
          <w:sz w:val="20"/>
          <w:szCs w:val="20"/>
          <w:lang w:val="mk-MK"/>
        </w:rPr>
        <w:tab/>
        <w:t>Цели на предлог регулативата</w:t>
      </w:r>
    </w:p>
    <w:p w14:paraId="59D75412" w14:textId="77777777" w:rsidR="00604E06" w:rsidRPr="00D96CB0" w:rsidRDefault="00604E06" w:rsidP="00604E06">
      <w:pPr>
        <w:jc w:val="both"/>
        <w:rPr>
          <w:rFonts w:ascii="StobiSerif Regular" w:hAnsi="StobiSerif Regular"/>
          <w:sz w:val="20"/>
          <w:szCs w:val="20"/>
          <w:lang w:val="ru-RU"/>
        </w:rPr>
      </w:pPr>
    </w:p>
    <w:p w14:paraId="189BF0DD" w14:textId="77777777" w:rsidR="007B4688" w:rsidRPr="007B4688" w:rsidRDefault="007B4688" w:rsidP="007B4688">
      <w:pPr>
        <w:tabs>
          <w:tab w:val="left" w:pos="675"/>
        </w:tabs>
        <w:spacing w:after="120"/>
        <w:rPr>
          <w:rFonts w:ascii="StobiSerif Regular" w:hAnsi="StobiSerif Regular"/>
          <w:sz w:val="20"/>
          <w:szCs w:val="20"/>
          <w:lang w:val="ru-RU"/>
        </w:rPr>
      </w:pPr>
      <w:r w:rsidRPr="007B4688">
        <w:rPr>
          <w:rFonts w:ascii="StobiSerif Regular" w:hAnsi="StobiSerif Regular"/>
          <w:sz w:val="20"/>
          <w:szCs w:val="20"/>
          <w:lang w:val="ru-RU"/>
        </w:rPr>
        <w:t xml:space="preserve">Целта на предлогот е донација на вишок на храна извлечен од целиот ланец на исхрана, за сиромашните и на тие на кои им треба, заради општествена солидарност и социјална правда. </w:t>
      </w:r>
    </w:p>
    <w:p w14:paraId="4D264879" w14:textId="77777777" w:rsidR="007B4688" w:rsidRPr="007B4688" w:rsidRDefault="007B4688" w:rsidP="007B4688">
      <w:pPr>
        <w:tabs>
          <w:tab w:val="left" w:pos="675"/>
        </w:tabs>
        <w:spacing w:after="120"/>
        <w:rPr>
          <w:rFonts w:ascii="StobiSerif Regular" w:hAnsi="StobiSerif Regular"/>
          <w:sz w:val="20"/>
          <w:szCs w:val="20"/>
          <w:lang w:val="ru-RU"/>
        </w:rPr>
      </w:pPr>
      <w:r w:rsidRPr="007B4688">
        <w:rPr>
          <w:rFonts w:ascii="StobiSerif Regular" w:hAnsi="StobiSerif Regular"/>
          <w:sz w:val="20"/>
          <w:szCs w:val="20"/>
          <w:lang w:val="ru-RU"/>
        </w:rPr>
        <w:t>Огромната количина на сосема здрава храна која се фрла (и големиот економски губиток, како и значителното загадување на животната средина), и истовремено, огромниот број на сиромашни граѓани и деца со ризик од глад, се причина и основа за вака поставената цел. Двата аспекта: извлекување на вишок на храна од целиот ланец на исхрана, и редистрибуцијата на храната од страна на ГО до сиромашните граѓани, се поврзани и имаат подеднаква важност.</w:t>
      </w:r>
    </w:p>
    <w:p w14:paraId="1E15CD13" w14:textId="77777777" w:rsidR="007B4688" w:rsidRPr="007B4688" w:rsidRDefault="007B4688" w:rsidP="007B4688">
      <w:pPr>
        <w:tabs>
          <w:tab w:val="left" w:pos="675"/>
        </w:tabs>
        <w:spacing w:after="120"/>
        <w:rPr>
          <w:rFonts w:ascii="StobiSerif Regular" w:hAnsi="StobiSerif Regular"/>
          <w:sz w:val="20"/>
          <w:szCs w:val="20"/>
          <w:lang w:val="ru-RU"/>
        </w:rPr>
      </w:pPr>
      <w:r w:rsidRPr="007B4688">
        <w:rPr>
          <w:rFonts w:ascii="StobiSerif Regular" w:hAnsi="StobiSerif Regular"/>
          <w:sz w:val="20"/>
          <w:szCs w:val="20"/>
          <w:lang w:val="ru-RU"/>
        </w:rPr>
        <w:t xml:space="preserve">Специфичните цели опфаќаат: </w:t>
      </w:r>
    </w:p>
    <w:p w14:paraId="45691C75" w14:textId="6E0E310E" w:rsidR="007B4688" w:rsidRPr="007B4688" w:rsidRDefault="007B4688" w:rsidP="007B4688">
      <w:pPr>
        <w:pStyle w:val="ListParagraph"/>
        <w:numPr>
          <w:ilvl w:val="1"/>
          <w:numId w:val="11"/>
        </w:numPr>
        <w:tabs>
          <w:tab w:val="left" w:pos="810"/>
        </w:tabs>
        <w:spacing w:after="120" w:line="240" w:lineRule="auto"/>
        <w:ind w:left="810"/>
        <w:rPr>
          <w:rFonts w:ascii="StobiSerif Regular" w:hAnsi="StobiSerif Regular"/>
          <w:sz w:val="20"/>
          <w:szCs w:val="20"/>
          <w:lang w:val="ru-RU"/>
        </w:rPr>
      </w:pPr>
      <w:r w:rsidRPr="007B4688">
        <w:rPr>
          <w:rFonts w:ascii="StobiSerif Regular" w:hAnsi="StobiSerif Regular"/>
          <w:sz w:val="20"/>
          <w:szCs w:val="20"/>
          <w:lang w:val="ru-RU"/>
        </w:rPr>
        <w:t xml:space="preserve">Институцинализирање на систем на донација на храна низ целата земја, односно, формирање на координативно тело вградено во законодавото решение. </w:t>
      </w:r>
    </w:p>
    <w:p w14:paraId="6C758413" w14:textId="594E3D08" w:rsidR="007B4688" w:rsidRPr="007B4688" w:rsidRDefault="007B4688" w:rsidP="007B4688">
      <w:pPr>
        <w:pStyle w:val="ListParagraph"/>
        <w:numPr>
          <w:ilvl w:val="1"/>
          <w:numId w:val="11"/>
        </w:numPr>
        <w:tabs>
          <w:tab w:val="left" w:pos="810"/>
        </w:tabs>
        <w:spacing w:after="120" w:line="240" w:lineRule="auto"/>
        <w:ind w:left="810"/>
        <w:rPr>
          <w:rFonts w:ascii="StobiSerif Regular" w:hAnsi="StobiSerif Regular"/>
          <w:sz w:val="20"/>
          <w:szCs w:val="20"/>
          <w:lang w:val="ru-RU"/>
        </w:rPr>
      </w:pPr>
      <w:r w:rsidRPr="007B4688">
        <w:rPr>
          <w:rFonts w:ascii="StobiSerif Regular" w:hAnsi="StobiSerif Regular"/>
          <w:sz w:val="20"/>
          <w:szCs w:val="20"/>
          <w:lang w:val="ru-RU"/>
        </w:rPr>
        <w:t>Извлекувањето на вишокот на храна од целиот ланец на исхрана (земјоделец, преработувач, снабдувач, продавач, ресторани), и преусмерување кон донација, со што ќе се помогне на сиромашните за задоволување на основното човеково право - пристап до храна.</w:t>
      </w:r>
    </w:p>
    <w:p w14:paraId="71753EAE" w14:textId="493369A0" w:rsidR="00604E06" w:rsidRPr="007B4688" w:rsidRDefault="007B4688" w:rsidP="007B4688">
      <w:pPr>
        <w:pStyle w:val="ListParagraph"/>
        <w:numPr>
          <w:ilvl w:val="1"/>
          <w:numId w:val="11"/>
        </w:numPr>
        <w:tabs>
          <w:tab w:val="left" w:pos="810"/>
        </w:tabs>
        <w:spacing w:after="120" w:line="240" w:lineRule="auto"/>
        <w:ind w:left="810"/>
        <w:rPr>
          <w:rFonts w:ascii="StobiSerif Regular" w:hAnsi="StobiSerif Regular"/>
          <w:sz w:val="20"/>
          <w:szCs w:val="20"/>
          <w:lang w:val="ru-RU"/>
        </w:rPr>
      </w:pPr>
      <w:r w:rsidRPr="007B4688">
        <w:rPr>
          <w:rFonts w:ascii="StobiSerif Regular" w:hAnsi="StobiSerif Regular"/>
          <w:sz w:val="20"/>
          <w:szCs w:val="20"/>
          <w:lang w:val="ru-RU"/>
        </w:rPr>
        <w:t>Превенција на отпад и фрлање храна, со што ќе се намалат негативните ефекти врз животната средина.</w:t>
      </w:r>
    </w:p>
    <w:p w14:paraId="7A61B77B" w14:textId="77777777" w:rsidR="007B4688" w:rsidRPr="00D96CB0" w:rsidRDefault="007B4688" w:rsidP="007B4688">
      <w:pPr>
        <w:tabs>
          <w:tab w:val="left" w:pos="675"/>
        </w:tabs>
        <w:rPr>
          <w:rFonts w:ascii="StobiSerif Regular" w:hAnsi="StobiSerif Regular"/>
          <w:sz w:val="20"/>
          <w:szCs w:val="20"/>
          <w:lang w:val="mk-MK"/>
        </w:rPr>
      </w:pPr>
    </w:p>
    <w:p w14:paraId="39F27CA4" w14:textId="77777777" w:rsidR="00604E06" w:rsidRPr="00D96CB0" w:rsidRDefault="00604E06" w:rsidP="00604E06">
      <w:pPr>
        <w:shd w:val="clear" w:color="auto" w:fill="FBD4B4"/>
        <w:tabs>
          <w:tab w:val="left" w:pos="675"/>
        </w:tabs>
        <w:rPr>
          <w:rFonts w:ascii="StobiSerif Regular" w:hAnsi="StobiSerif Regular"/>
          <w:b/>
          <w:sz w:val="20"/>
          <w:szCs w:val="20"/>
          <w:lang w:val="mk-MK"/>
        </w:rPr>
      </w:pPr>
      <w:r w:rsidRPr="00D96CB0">
        <w:rPr>
          <w:rFonts w:ascii="StobiSerif Regular" w:hAnsi="StobiSerif Regular"/>
          <w:b/>
          <w:sz w:val="20"/>
          <w:szCs w:val="20"/>
          <w:lang w:val="mk-MK"/>
        </w:rPr>
        <w:t>3.</w:t>
      </w:r>
      <w:r w:rsidRPr="00D96CB0">
        <w:rPr>
          <w:rFonts w:ascii="StobiSerif Regular" w:hAnsi="StobiSerif Regular"/>
          <w:b/>
          <w:sz w:val="20"/>
          <w:szCs w:val="20"/>
          <w:lang w:val="mk-MK"/>
        </w:rPr>
        <w:tab/>
        <w:t>Можни решенија (опции)</w:t>
      </w:r>
    </w:p>
    <w:p w14:paraId="26A47AEB" w14:textId="77777777" w:rsidR="00604E06" w:rsidRDefault="00604E06" w:rsidP="00604E06">
      <w:pPr>
        <w:spacing w:line="276" w:lineRule="auto"/>
        <w:ind w:firstLine="720"/>
        <w:jc w:val="both"/>
        <w:rPr>
          <w:rFonts w:ascii="StobiSerif Regular" w:hAnsi="StobiSerif Regular"/>
          <w:sz w:val="20"/>
          <w:szCs w:val="20"/>
          <w:lang w:val="mk-MK"/>
        </w:rPr>
      </w:pPr>
    </w:p>
    <w:p w14:paraId="0F0C4CF6" w14:textId="77777777" w:rsidR="00604E06" w:rsidRPr="00D96CB0" w:rsidRDefault="00604E06" w:rsidP="00604E06">
      <w:pPr>
        <w:spacing w:line="276" w:lineRule="auto"/>
        <w:ind w:firstLine="720"/>
        <w:jc w:val="both"/>
        <w:rPr>
          <w:rFonts w:ascii="StobiSerif Regular" w:eastAsia="Calibri" w:hAnsi="StobiSerif Regular" w:cs="Calibri"/>
          <w:sz w:val="20"/>
          <w:szCs w:val="20"/>
          <w:lang w:val="mk-MK"/>
        </w:rPr>
      </w:pPr>
      <w:r w:rsidRPr="00D96CB0">
        <w:rPr>
          <w:rFonts w:ascii="StobiSerif Regular" w:hAnsi="StobiSerif Regular"/>
          <w:sz w:val="20"/>
          <w:szCs w:val="20"/>
          <w:lang w:val="mk-MK"/>
        </w:rPr>
        <w:t>3.1</w:t>
      </w:r>
      <w:r w:rsidRPr="00D96CB0">
        <w:rPr>
          <w:rFonts w:ascii="StobiSerif Regular" w:hAnsi="StobiSerif Regular"/>
          <w:sz w:val="20"/>
          <w:szCs w:val="20"/>
          <w:lang w:val="mk-MK"/>
        </w:rPr>
        <w:tab/>
      </w:r>
      <w:r w:rsidRPr="00D96CB0">
        <w:rPr>
          <w:rFonts w:ascii="StobiSerif Regular" w:eastAsia="Calibri" w:hAnsi="StobiSerif Regular" w:cs="Calibri"/>
          <w:sz w:val="20"/>
          <w:szCs w:val="20"/>
          <w:lang w:val="mk-MK"/>
        </w:rPr>
        <w:t xml:space="preserve">Опис на решението </w:t>
      </w:r>
      <w:r w:rsidRPr="00D96CB0">
        <w:rPr>
          <w:rFonts w:ascii="StobiSerif Regular" w:hAnsi="StobiSerif Regular" w:cs="Calibri"/>
          <w:sz w:val="20"/>
          <w:szCs w:val="20"/>
          <w:lang w:val="mk-MK"/>
        </w:rPr>
        <w:t>„не прави ништо“</w:t>
      </w:r>
      <w:r w:rsidRPr="00D96CB0">
        <w:rPr>
          <w:rFonts w:ascii="StobiSerif Regular" w:eastAsia="Calibri" w:hAnsi="StobiSerif Regular" w:cs="Calibri"/>
          <w:sz w:val="20"/>
          <w:szCs w:val="20"/>
          <w:lang w:val="mk-MK"/>
        </w:rPr>
        <w:t xml:space="preserve">  </w:t>
      </w:r>
    </w:p>
    <w:p w14:paraId="53F0B8C2" w14:textId="77777777" w:rsidR="00DD08A2" w:rsidRDefault="00DD08A2" w:rsidP="00DD08A2">
      <w:pPr>
        <w:tabs>
          <w:tab w:val="left" w:pos="675"/>
        </w:tabs>
        <w:spacing w:line="276" w:lineRule="auto"/>
        <w:jc w:val="both"/>
        <w:rPr>
          <w:rFonts w:ascii="StobiSerif Regular" w:eastAsia="Calibri" w:hAnsi="StobiSerif Regular" w:cs="Calibri"/>
          <w:sz w:val="20"/>
          <w:szCs w:val="20"/>
          <w:lang w:val="mk-MK"/>
        </w:rPr>
      </w:pPr>
    </w:p>
    <w:p w14:paraId="11010BA5" w14:textId="3D35CC70"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Оваа опција претпоставува дека во постојната законодавна рамка (ЗДС, ЗБХ, ЗУО, ЗЗРР, ЗДДВ) има простор за делумно уредување на донирањето на храна. Законите опфаќаат делумно (секој во областа) само некои аспекти од проблемот, со различен степен на флексибилност и можности за развој на системот на донација. Во сите закони транспонирани се релевантните пакети на европското законодавство. Начинот и степенот на транспозиција, како и интерпретацијата на одредени одредби, се критични фактори за утврдување можности за олеснети процедури за донирање храна, а истовремено да се постигнат целите.</w:t>
      </w:r>
    </w:p>
    <w:p w14:paraId="59D6F66A"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Генерално, правната рамка на оваа опција е рестриктивна, и претставува повеќе пречка отколку што овозможува простор за делумно уредување на донирањето храна. Имајќи ги во предвид реалните капацитети и неефикасноста на постоечкото законодавство (процедурите за даночно ослободување, одговорност, улогата на актерите во редистрибуцијата на храна, долги и бирократски процедури, трошоци, стандарди за безбедност на храна, следливост, управување со отпад, и неуреденост на низа елементи), оваа опција претставува голем ризик за донирањето на храна, во постигнувањето на целите, како и во креирањето на одржливи политики на државата. </w:t>
      </w:r>
    </w:p>
    <w:p w14:paraId="7F2B21C3" w14:textId="2D52B2CB"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Опцијата има негативни социјални импликации: Нема да се постигне примарната намера: зголемен опфат на лица на кои им потребна храна, која иако сосема безбедна, се фрла. МТСП има проект народни кујни (1.7мил</w:t>
      </w:r>
      <w:r w:rsidR="00AB5878">
        <w:rPr>
          <w:rFonts w:ascii="StobiSerif Regular" w:eastAsia="Calibri" w:hAnsi="StobiSerif Regular" w:cs="Calibri"/>
          <w:sz w:val="20"/>
          <w:szCs w:val="20"/>
          <w:lang w:val="en-US"/>
        </w:rPr>
        <w:t xml:space="preserve"> </w:t>
      </w:r>
      <w:r w:rsidRPr="00DD08A2">
        <w:rPr>
          <w:rFonts w:ascii="StobiSerif Regular" w:eastAsia="Calibri" w:hAnsi="StobiSerif Regular" w:cs="Calibri"/>
          <w:sz w:val="20"/>
          <w:szCs w:val="20"/>
          <w:lang w:val="mk-MK"/>
        </w:rPr>
        <w:t xml:space="preserve">ЕУР), кој овозможува донација на храна за околу 4000 лица, што е многу малку, во однос на потребата (од страна на НВО идентификувани се околу 12,000 директно загрозени лица), додека реалната потреба е далеку поголема (околу 450,000 лица со ризик од сиромаштија и глад, со околу 120,000 во апсолутна сиромаштија, од кои околу 65,000 деца). </w:t>
      </w:r>
    </w:p>
    <w:p w14:paraId="09D37B40"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Импликациите по вклучувањето на ГО во поддршка на социјалните политики, социјалната иновација и претприемаштво и нивно умрежување во платформата на сиромаштија  се негативни: парцијални иницијативи, без законодавно уредување на донирањето на храна, нема ги дадат очекуваните ефекти на долгорочна основа. </w:t>
      </w:r>
    </w:p>
    <w:p w14:paraId="60F270E7"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Опцијата има негативни економски импликации: не само што недоволно ќе се помогне на сиромашните со храна (олеснување за и така малите финансиски средства, како и трошоци за лекување поради неухранетост и лоши услови за живеење), туку и економските оператори и земјоделците нема да се поттикнати за донација (поради пречките и одговорноста, вишоците на храна и понатаму ќе ги фрлаат на депонија со економски губитоци). </w:t>
      </w:r>
    </w:p>
    <w:p w14:paraId="4FE231DF"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Самото фрлање на храна на депонија е голем економски губиток (за 10,000 тони/ година, околу 12милЕУР), додека вкупните економски губитоци на произведена и фрлена храна во целиот ланец на исхрана се многу поголеми. Според груби проценки, претпоставка е дека во ланецот на исхрана, се генерира отпад (околу 30% земјоделско производство, 10-20% преработувачи, 20% продавачи и ресторани, и околу 30% потрошувачи). Самиот факт дека уделот на земјоделството и прехрамбениот сектор, е околу 20% БДП, укажува на важноста на овој проблем и потребата за усогласени акции на национално ниво за намалување отпад и одржлив систем на храна.</w:t>
      </w:r>
    </w:p>
    <w:p w14:paraId="33A01DB1"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Количината на околу 700,000 тони/година комунален отпад, во кој голем дел е храна која може да се извлече, е огромен економски губиток за целата држава. Непрепознавањето и неискористувањето на потенцијалот на ресурсите од отпадот, и отпад од храна, има вкупни негативни импликации по одржлив економски развој.</w:t>
      </w:r>
    </w:p>
    <w:p w14:paraId="2ECBDDC4"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lastRenderedPageBreak/>
        <w:t>Опцијата има негативни импликации по животната средина: фрлањето храна (околу 30% од произведената храна се фрла), има многу негативни последици по животната средина (пресметано е дека 1 тон храна генерира емисии околу 4 тона еквивелент на CО2). Истовремено, фрлањето храна во целиот ланец на исхрана претставува огромен губиток на храна не само како вредност (и изгубена можност за донација на храна за сиромашните), туку и на ресурси, вода, енергија употребена за нејзино производство, загадување и деградација на водите и земјиштето, што во целост е голем притисок (околу 30% од ГХГ се од земјоделството) на природните ресурси (и биодиверзитет) и значително придонесува кон неодрлжлив систем на храна. Фактот дека нашата земја е во групата од пет најранливи земји во ЕУ од климатските промени, уште повеќе укажува на потребата од акции на национално ниво.</w:t>
      </w:r>
    </w:p>
    <w:p w14:paraId="5CB683F9"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Влијанието на оваа опција во креирањето на конзистетни политики е негативно. Непреземањето на акции, претставува ризик од непрепознавање на мултидисциплинарните социјални, економски и еколошки импликации. Оставањето на овој проблем без законодавни интервенции за олеснување на донацијата на храна со парцијални акции и без усогласен пристап, имплицира на капацитетот на државата и политичката одговорност за креирање и имплементација на одржливи политики. </w:t>
      </w:r>
    </w:p>
    <w:p w14:paraId="3A067EF1"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Затоа, се препорачува, владата сериозно да ја разгледа можноста за подготовка на План за превенција на отпад и фрлање храна, како сеопфатна, национална акција, во врвот на политичката агенда. Планот треба да опфаќа (покрај законодавно уредување на донирањето храна) и нерегулаторни инструменти на политиките (програми за поддршка на координација на системот на донација низа целата земја и развој на мрежите на ГО, кампањи, едукативни и медиумски програми, саморегулација (и ко-регулација), доброволни партнерства, примена на добри пракси и стандарди, економски и фискални инструменти и даночни политики, проекти за поддршка на ГО за социјална иновација и претприемаштво, истражувања и технолошки платформи, поддршка на јавни услуги итн.). </w:t>
      </w:r>
    </w:p>
    <w:p w14:paraId="18E5C296"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Како придонес кон Планот, се предлага иницирање заедничка агенда на Отворена Платформа за Дијалог (ОПД) (дијалог на владата, економијата, ГО, универзитети итн.). Предлогот опфаќа низа идеи за поддршка на постојните напори и развивање акции (врз основа на акциите на многу земји членки на ЕУ), кои ги опфаќаат следните теми:</w:t>
      </w:r>
    </w:p>
    <w:p w14:paraId="1B5D7A39"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Развој на системот за донација на храна: координацијата и развојот на системот на донација низ целата територија на земјата (со законодавни интервенции),  со поддршка и финансирање на низа усогласени, долгорочни проекти и програми: поддршка на мрежата на ГО (финансиска, техничка, логистичка, стручна) за развој на организационен модел низ целата територија на земјата, поврзување на групи ГО на централно и локално ниво, социјалната иновативност, претприемаштво и поврзување во платформата за сиромаштија (и искористување на потенцијалот за вработување), соработка со економските оператори и заеднички акции, кампањи за јакнење на свеста на потрошувачите, едукативни и медиумски програми, поддршка на иновации во низа области, поддршка преку разни фискални инструменти итн.</w:t>
      </w:r>
    </w:p>
    <w:p w14:paraId="21BAA71D" w14:textId="77777777" w:rsidR="00DD08A2" w:rsidRPr="00DD08A2"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 xml:space="preserve">Одржлив систем на храна: извлекувањето на вишок на храна, кој може да се донира, низ целиот ланец на храна (земјоделство, преработувачи, снабдувачи, продавачи, ресторани, потрошувачи). Како дел од одржливи земјоделски политики, планот треба да вклучи поттикнување на извлекување на вишок на храна, со низа мерки и фискални инструменти во програмите за поддршка на рурален развој, обезбедување услови за чување на вишокот земјоделски производи (ладилници за зеленчук и овошје), поддршка со низа проекти за поврзување на земјоделците, преработувачите на храна и </w:t>
      </w:r>
      <w:r w:rsidRPr="00DD08A2">
        <w:rPr>
          <w:rFonts w:ascii="StobiSerif Regular" w:eastAsia="Calibri" w:hAnsi="StobiSerif Regular" w:cs="Calibri"/>
          <w:sz w:val="20"/>
          <w:szCs w:val="20"/>
          <w:lang w:val="mk-MK"/>
        </w:rPr>
        <w:lastRenderedPageBreak/>
        <w:t xml:space="preserve">системот на донација. Посебно внимание треба да се посвети на значително зголемување на органско производство, пчеларство и шумарство (не создава отпад, значително придонесува кон одржлив систем на храна и има голем потенцијал за вработување, нарочно во сиромашните рурални средини), иновации, истражувања и едукација итн. (земјите членки планираат зголемување на органско производство од околу 20% од вкупното производство). </w:t>
      </w:r>
    </w:p>
    <w:p w14:paraId="6F6676BE" w14:textId="6C4E2856" w:rsidR="00604E06" w:rsidRDefault="00DD08A2" w:rsidP="00DD08A2">
      <w:pPr>
        <w:tabs>
          <w:tab w:val="left" w:pos="675"/>
        </w:tabs>
        <w:spacing w:after="120"/>
        <w:jc w:val="both"/>
        <w:rPr>
          <w:rFonts w:ascii="StobiSerif Regular" w:eastAsia="Calibri" w:hAnsi="StobiSerif Regular" w:cs="Calibri"/>
          <w:sz w:val="20"/>
          <w:szCs w:val="20"/>
          <w:lang w:val="mk-MK"/>
        </w:rPr>
      </w:pPr>
      <w:r w:rsidRPr="00DD08A2">
        <w:rPr>
          <w:rFonts w:ascii="StobiSerif Regular" w:eastAsia="Calibri" w:hAnsi="StobiSerif Regular" w:cs="Calibri"/>
          <w:sz w:val="20"/>
          <w:szCs w:val="20"/>
          <w:lang w:val="mk-MK"/>
        </w:rPr>
        <w:t>Одржлив економски развој: мерки за превенција и намалување на фрлање отпад и отпад од храна: значително подобрување на управувањето со отпад (одвоени текови на отпад, вклучително и отпад од храна и био-отпад), со јасно утврдување на хиерархијата (превенција, повторна употреба за човечка исхрана, за животни, за компостирање и/или енергија), воведување на еколошка такса за фрлање храна на депонија. Потенцијалот на ресурси од отпадот и можностите за економски развој и вработување во низа области е голем (земјите членки, во нивните планови за одржлив развој, вложуваат огромни средства и очекуваат удел од околу 20%БДП, со голем потенцијал за вработување, преку програми за ефикасност на ресурси, циркуларна економија, зелена економија, енергија, агро-екологија, еко-индустрија и дизајн, технолошки иновации, заштита на животната средина, биодиверзитет итн.).</w:t>
      </w:r>
    </w:p>
    <w:p w14:paraId="0D6E527F" w14:textId="77777777" w:rsidR="00DD08A2" w:rsidRPr="00D96CB0" w:rsidRDefault="00DD08A2" w:rsidP="00DD08A2">
      <w:pPr>
        <w:tabs>
          <w:tab w:val="left" w:pos="675"/>
        </w:tabs>
        <w:spacing w:line="276" w:lineRule="auto"/>
        <w:rPr>
          <w:rFonts w:ascii="StobiSerif Regular" w:hAnsi="StobiSerif Regular" w:cs="Calibri"/>
          <w:sz w:val="20"/>
          <w:szCs w:val="20"/>
          <w:lang w:val="mk-MK"/>
        </w:rPr>
      </w:pPr>
    </w:p>
    <w:p w14:paraId="48E64F6F" w14:textId="77777777" w:rsidR="00604E06" w:rsidRPr="00D96CB0" w:rsidRDefault="00604E06" w:rsidP="00604E06">
      <w:pPr>
        <w:ind w:firstLine="720"/>
        <w:jc w:val="both"/>
        <w:rPr>
          <w:rFonts w:ascii="StobiSerif Regular" w:hAnsi="StobiSerif Regular"/>
          <w:sz w:val="20"/>
          <w:szCs w:val="20"/>
          <w:lang w:val="mk-MK"/>
        </w:rPr>
      </w:pPr>
      <w:r w:rsidRPr="00D96CB0">
        <w:rPr>
          <w:rFonts w:ascii="StobiSerif Regular" w:hAnsi="StobiSerif Regular"/>
          <w:sz w:val="20"/>
          <w:szCs w:val="20"/>
          <w:lang w:val="mk-MK"/>
        </w:rPr>
        <w:t>3.2</w:t>
      </w:r>
      <w:r w:rsidRPr="00D96CB0">
        <w:rPr>
          <w:rFonts w:ascii="StobiSerif Regular" w:hAnsi="StobiSerif Regular"/>
          <w:sz w:val="20"/>
          <w:szCs w:val="20"/>
          <w:lang w:val="mk-MK"/>
        </w:rPr>
        <w:tab/>
        <w:t>Опис на можните решенија (опции) за решавање на проблемот</w:t>
      </w:r>
    </w:p>
    <w:p w14:paraId="46822B44" w14:textId="77777777" w:rsidR="00604E06" w:rsidRPr="00D96CB0" w:rsidRDefault="00604E06" w:rsidP="00604E06">
      <w:pPr>
        <w:tabs>
          <w:tab w:val="left" w:pos="675"/>
        </w:tabs>
        <w:rPr>
          <w:rFonts w:ascii="StobiSerif Regular" w:hAnsi="StobiSerif Regular"/>
          <w:sz w:val="20"/>
          <w:szCs w:val="20"/>
          <w:lang w:val="mk-MK"/>
        </w:rPr>
      </w:pPr>
    </w:p>
    <w:p w14:paraId="0AC2B6A8" w14:textId="77C33E6E" w:rsidR="00604E06" w:rsidRPr="00DD08A2" w:rsidRDefault="00604E06" w:rsidP="00604E06">
      <w:pPr>
        <w:jc w:val="both"/>
        <w:rPr>
          <w:rFonts w:ascii="StobiSerif Regular" w:hAnsi="StobiSerif Regular" w:cs="Arial"/>
          <w:b/>
          <w:i/>
          <w:sz w:val="20"/>
          <w:szCs w:val="20"/>
          <w:lang w:val="mk-MK"/>
        </w:rPr>
      </w:pPr>
      <w:bookmarkStart w:id="8" w:name="_Hlk22615029"/>
      <w:r w:rsidRPr="00D96CB0">
        <w:rPr>
          <w:rFonts w:ascii="StobiSerif Regular" w:hAnsi="StobiSerif Regular" w:cs="Arial"/>
          <w:b/>
          <w:i/>
          <w:sz w:val="20"/>
          <w:szCs w:val="20"/>
          <w:lang w:val="ru-RU"/>
        </w:rPr>
        <w:t xml:space="preserve">Опција 1: </w:t>
      </w:r>
      <w:r w:rsidR="00DD08A2">
        <w:rPr>
          <w:rFonts w:ascii="StobiSerif Regular" w:hAnsi="StobiSerif Regular" w:cs="Arial"/>
          <w:b/>
          <w:i/>
          <w:sz w:val="20"/>
          <w:szCs w:val="20"/>
          <w:lang w:val="mk-MK"/>
        </w:rPr>
        <w:t>Да се изменат постојаните законски решенија</w:t>
      </w:r>
      <w:bookmarkEnd w:id="8"/>
    </w:p>
    <w:p w14:paraId="6AE61489" w14:textId="77777777" w:rsidR="00604E06" w:rsidRPr="00D96CB0" w:rsidRDefault="00604E06" w:rsidP="00604E06">
      <w:pPr>
        <w:ind w:firstLine="720"/>
        <w:jc w:val="both"/>
        <w:rPr>
          <w:rFonts w:ascii="StobiSerif Regular" w:hAnsi="StobiSerif Regular"/>
          <w:sz w:val="20"/>
          <w:szCs w:val="20"/>
          <w:lang w:val="mk-MK"/>
        </w:rPr>
      </w:pPr>
    </w:p>
    <w:p w14:paraId="4D76BB51" w14:textId="5AA3CE73" w:rsidR="00604E06" w:rsidRDefault="00D47463" w:rsidP="00604E06">
      <w:pPr>
        <w:tabs>
          <w:tab w:val="left" w:pos="675"/>
        </w:tabs>
        <w:rPr>
          <w:rFonts w:ascii="StobiSerif Regular" w:hAnsi="StobiSerif Regular"/>
          <w:sz w:val="20"/>
          <w:szCs w:val="20"/>
          <w:lang w:val="mk-MK"/>
        </w:rPr>
      </w:pPr>
      <w:r>
        <w:rPr>
          <w:rFonts w:ascii="StobiSerif Regular" w:hAnsi="StobiSerif Regular"/>
          <w:sz w:val="20"/>
          <w:szCs w:val="20"/>
          <w:lang w:val="mk-MK"/>
        </w:rPr>
        <w:t xml:space="preserve">Што регулираа постоечките законски решенија: </w:t>
      </w:r>
    </w:p>
    <w:p w14:paraId="4C22F3AA" w14:textId="77777777" w:rsidR="00BA732A" w:rsidRDefault="00BA732A" w:rsidP="00604E06">
      <w:pPr>
        <w:tabs>
          <w:tab w:val="left" w:pos="675"/>
        </w:tabs>
        <w:rPr>
          <w:rFonts w:ascii="StobiSerif Regular" w:hAnsi="StobiSerif Regular"/>
          <w:sz w:val="20"/>
          <w:szCs w:val="20"/>
          <w:lang w:val="mk-MK"/>
        </w:rPr>
      </w:pPr>
    </w:p>
    <w:p w14:paraId="5933E59F" w14:textId="654E1E41" w:rsidR="00BA732A" w:rsidRPr="00BA732A" w:rsidRDefault="00BA732A" w:rsidP="00FC72EF">
      <w:pPr>
        <w:tabs>
          <w:tab w:val="left" w:pos="675"/>
        </w:tabs>
        <w:spacing w:after="120"/>
        <w:rPr>
          <w:rFonts w:ascii="StobiSerif Regular" w:hAnsi="StobiSerif Regular"/>
          <w:b/>
          <w:bCs/>
          <w:sz w:val="20"/>
          <w:szCs w:val="20"/>
          <w:lang w:val="mk-MK"/>
        </w:rPr>
      </w:pPr>
      <w:r w:rsidRPr="00BA732A">
        <w:rPr>
          <w:rFonts w:ascii="StobiSerif Regular" w:hAnsi="StobiSerif Regular"/>
          <w:b/>
          <w:bCs/>
          <w:sz w:val="20"/>
          <w:szCs w:val="20"/>
          <w:lang w:val="mk-MK"/>
        </w:rPr>
        <w:t>Закон за донации и спонзорства (ЗДС)</w:t>
      </w:r>
    </w:p>
    <w:p w14:paraId="7FA00FF1" w14:textId="059DED2B" w:rsidR="00BA732A" w:rsidRDefault="00BA732A" w:rsidP="00FC72EF">
      <w:pPr>
        <w:tabs>
          <w:tab w:val="left" w:pos="675"/>
        </w:tabs>
        <w:spacing w:after="120"/>
        <w:rPr>
          <w:rFonts w:ascii="StobiSerif Regular" w:hAnsi="StobiSerif Regular"/>
          <w:b/>
          <w:bCs/>
          <w:sz w:val="20"/>
          <w:szCs w:val="20"/>
          <w:lang w:val="mk-MK"/>
        </w:rPr>
      </w:pPr>
      <w:r w:rsidRPr="00BA732A">
        <w:rPr>
          <w:rFonts w:ascii="StobiSerif Regular" w:hAnsi="StobiSerif Regular"/>
          <w:b/>
          <w:bCs/>
          <w:sz w:val="20"/>
          <w:szCs w:val="20"/>
          <w:lang w:val="mk-MK"/>
        </w:rPr>
        <w:t>Закон за даноци (ЗДДВ)</w:t>
      </w:r>
    </w:p>
    <w:p w14:paraId="235AF1E5" w14:textId="77777777" w:rsidR="006114BD" w:rsidRPr="006114BD" w:rsidRDefault="006114BD" w:rsidP="006114BD">
      <w:pPr>
        <w:tabs>
          <w:tab w:val="left" w:pos="675"/>
        </w:tabs>
        <w:spacing w:after="120"/>
        <w:rPr>
          <w:rFonts w:ascii="StobiSerif Regular" w:hAnsi="StobiSerif Regular"/>
          <w:b/>
          <w:bCs/>
          <w:sz w:val="20"/>
          <w:szCs w:val="20"/>
          <w:lang w:val="en-US"/>
        </w:rPr>
      </w:pPr>
      <w:proofErr w:type="spellStart"/>
      <w:r w:rsidRPr="006114BD">
        <w:rPr>
          <w:rFonts w:ascii="StobiSerif Regular" w:hAnsi="StobiSerif Regular"/>
          <w:b/>
          <w:bCs/>
          <w:sz w:val="20"/>
          <w:szCs w:val="20"/>
          <w:lang w:val="en-US"/>
        </w:rPr>
        <w:t>Во</w:t>
      </w:r>
      <w:proofErr w:type="spellEnd"/>
      <w:r w:rsidRPr="006114BD">
        <w:rPr>
          <w:rFonts w:ascii="StobiSerif Regular" w:hAnsi="StobiSerif Regular"/>
          <w:b/>
          <w:bCs/>
          <w:sz w:val="20"/>
          <w:szCs w:val="20"/>
          <w:lang w:val="en-US"/>
        </w:rPr>
        <w:t xml:space="preserve"> ЗДС </w:t>
      </w:r>
      <w:proofErr w:type="spellStart"/>
      <w:r w:rsidRPr="006114BD">
        <w:rPr>
          <w:rFonts w:ascii="StobiSerif Regular" w:hAnsi="StobiSerif Regular"/>
          <w:b/>
          <w:bCs/>
          <w:sz w:val="20"/>
          <w:szCs w:val="20"/>
          <w:lang w:val="en-US"/>
        </w:rPr>
        <w:t>не</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прецизирана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донација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храна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само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општа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дефиниција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материјални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средства</w:t>
      </w:r>
      <w:proofErr w:type="spellEnd"/>
      <w:r w:rsidRPr="006114BD">
        <w:rPr>
          <w:rFonts w:ascii="StobiSerif Regular" w:hAnsi="StobiSerif Regular"/>
          <w:b/>
          <w:bCs/>
          <w:sz w:val="20"/>
          <w:szCs w:val="20"/>
          <w:lang w:val="en-US"/>
        </w:rPr>
        <w:t xml:space="preserve"> и </w:t>
      </w:r>
      <w:proofErr w:type="spellStart"/>
      <w:r w:rsidRPr="006114BD">
        <w:rPr>
          <w:rFonts w:ascii="StobiSerif Regular" w:hAnsi="StobiSerif Regular"/>
          <w:b/>
          <w:bCs/>
          <w:sz w:val="20"/>
          <w:szCs w:val="20"/>
          <w:lang w:val="en-US"/>
        </w:rPr>
        <w:t>добра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Донација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добра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однесува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само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правни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лица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што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потпишува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договор</w:t>
      </w:r>
      <w:proofErr w:type="spellEnd"/>
      <w:r w:rsidRPr="006114BD">
        <w:rPr>
          <w:rFonts w:ascii="StobiSerif Regular" w:hAnsi="StobiSerif Regular"/>
          <w:b/>
          <w:bCs/>
          <w:sz w:val="20"/>
          <w:szCs w:val="20"/>
          <w:lang w:val="en-US"/>
        </w:rPr>
        <w:t xml:space="preserve">, а </w:t>
      </w:r>
      <w:proofErr w:type="spellStart"/>
      <w:r w:rsidRPr="006114BD">
        <w:rPr>
          <w:rFonts w:ascii="StobiSerif Regular" w:hAnsi="StobiSerif Regular"/>
          <w:b/>
          <w:bCs/>
          <w:sz w:val="20"/>
          <w:szCs w:val="20"/>
          <w:lang w:val="en-US"/>
        </w:rPr>
        <w:t>за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донорите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кои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сакаат</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даночно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олеснување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нема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потреба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следат</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процедури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Законот</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општ</w:t>
      </w:r>
      <w:proofErr w:type="spellEnd"/>
      <w:r w:rsidRPr="006114BD">
        <w:rPr>
          <w:rFonts w:ascii="StobiSerif Regular" w:hAnsi="StobiSerif Regular"/>
          <w:b/>
          <w:bCs/>
          <w:sz w:val="20"/>
          <w:szCs w:val="20"/>
          <w:lang w:val="en-US"/>
        </w:rPr>
        <w:t xml:space="preserve"> и </w:t>
      </w:r>
      <w:proofErr w:type="spellStart"/>
      <w:r w:rsidRPr="006114BD">
        <w:rPr>
          <w:rFonts w:ascii="StobiSerif Regular" w:hAnsi="StobiSerif Regular"/>
          <w:b/>
          <w:bCs/>
          <w:sz w:val="20"/>
          <w:szCs w:val="20"/>
          <w:lang w:val="en-US"/>
        </w:rPr>
        <w:t>опфаќа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дел</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целта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за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донацијата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храна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но</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повеќе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теоретски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отколку</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практичен</w:t>
      </w:r>
      <w:proofErr w:type="spellEnd"/>
      <w:r w:rsidRPr="006114BD">
        <w:rPr>
          <w:rFonts w:ascii="StobiSerif Regular" w:hAnsi="StobiSerif Regular"/>
          <w:b/>
          <w:bCs/>
          <w:sz w:val="20"/>
          <w:szCs w:val="20"/>
          <w:lang w:val="en-US"/>
        </w:rPr>
        <w:t xml:space="preserve">. </w:t>
      </w:r>
    </w:p>
    <w:p w14:paraId="72FEA05A" w14:textId="77777777" w:rsidR="006114BD" w:rsidRPr="006114BD" w:rsidRDefault="006114BD" w:rsidP="006114BD">
      <w:pPr>
        <w:tabs>
          <w:tab w:val="left" w:pos="675"/>
        </w:tabs>
        <w:spacing w:after="120"/>
        <w:rPr>
          <w:rFonts w:ascii="StobiSerif Regular" w:hAnsi="StobiSerif Regular"/>
          <w:b/>
          <w:bCs/>
          <w:sz w:val="20"/>
          <w:szCs w:val="20"/>
          <w:lang w:val="en-US"/>
        </w:rPr>
      </w:pPr>
      <w:proofErr w:type="spellStart"/>
      <w:r w:rsidRPr="006114BD">
        <w:rPr>
          <w:rFonts w:ascii="StobiSerif Regular" w:hAnsi="StobiSerif Regular"/>
          <w:b/>
          <w:bCs/>
          <w:sz w:val="20"/>
          <w:szCs w:val="20"/>
          <w:lang w:val="en-US"/>
        </w:rPr>
        <w:t>Проблемот</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во</w:t>
      </w:r>
      <w:proofErr w:type="spellEnd"/>
      <w:r w:rsidRPr="006114BD">
        <w:rPr>
          <w:rFonts w:ascii="StobiSerif Regular" w:hAnsi="StobiSerif Regular"/>
          <w:b/>
          <w:bCs/>
          <w:sz w:val="20"/>
          <w:szCs w:val="20"/>
          <w:lang w:val="en-US"/>
        </w:rPr>
        <w:t xml:space="preserve"> ЗДС (</w:t>
      </w:r>
      <w:proofErr w:type="spellStart"/>
      <w:r w:rsidRPr="006114BD">
        <w:rPr>
          <w:rFonts w:ascii="StobiSerif Regular" w:hAnsi="StobiSerif Regular"/>
          <w:b/>
          <w:bCs/>
          <w:sz w:val="20"/>
          <w:szCs w:val="20"/>
          <w:lang w:val="en-US"/>
        </w:rPr>
        <w:t>ако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како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добро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смета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храна</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во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процедурата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за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обезбедување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даночно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поттикнување</w:t>
      </w:r>
      <w:proofErr w:type="spellEnd"/>
      <w:r w:rsidRPr="006114BD">
        <w:rPr>
          <w:rFonts w:ascii="StobiSerif Regular" w:hAnsi="StobiSerif Regular"/>
          <w:b/>
          <w:bCs/>
          <w:sz w:val="20"/>
          <w:szCs w:val="20"/>
          <w:lang w:val="en-US"/>
        </w:rPr>
        <w:t xml:space="preserve">, и </w:t>
      </w:r>
      <w:proofErr w:type="spellStart"/>
      <w:r w:rsidRPr="006114BD">
        <w:rPr>
          <w:rFonts w:ascii="StobiSerif Regular" w:hAnsi="StobiSerif Regular"/>
          <w:b/>
          <w:bCs/>
          <w:sz w:val="20"/>
          <w:szCs w:val="20"/>
          <w:lang w:val="en-US"/>
        </w:rPr>
        <w:t>рокови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за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потврда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дека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донацијата</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во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јавен</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интерес</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оглед</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тоа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дека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вишокот</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храна</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специфичен</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вид</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материјално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добро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за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општествена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солидарност</w:t>
      </w:r>
      <w:proofErr w:type="spellEnd"/>
      <w:r w:rsidRPr="006114BD">
        <w:rPr>
          <w:rFonts w:ascii="StobiSerif Regular" w:hAnsi="StobiSerif Regular"/>
          <w:b/>
          <w:bCs/>
          <w:sz w:val="20"/>
          <w:szCs w:val="20"/>
          <w:lang w:val="en-US"/>
        </w:rPr>
        <w:t xml:space="preserve"> и </w:t>
      </w:r>
      <w:proofErr w:type="spellStart"/>
      <w:r w:rsidRPr="006114BD">
        <w:rPr>
          <w:rFonts w:ascii="StobiSerif Regular" w:hAnsi="StobiSerif Regular"/>
          <w:b/>
          <w:bCs/>
          <w:sz w:val="20"/>
          <w:szCs w:val="20"/>
          <w:lang w:val="en-US"/>
        </w:rPr>
        <w:t>социјална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правда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што</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јавен</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интерес</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кое</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стриктно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поврзано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со</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рокови</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потребна</w:t>
      </w:r>
      <w:proofErr w:type="spellEnd"/>
      <w:r w:rsidRPr="006114BD">
        <w:rPr>
          <w:rFonts w:ascii="StobiSerif Regular" w:hAnsi="StobiSerif Regular"/>
          <w:b/>
          <w:bCs/>
          <w:sz w:val="20"/>
          <w:szCs w:val="20"/>
          <w:lang w:val="en-US"/>
        </w:rPr>
        <w:t xml:space="preserve"> е </w:t>
      </w:r>
      <w:proofErr w:type="spellStart"/>
      <w:r w:rsidRPr="006114BD">
        <w:rPr>
          <w:rFonts w:ascii="StobiSerif Regular" w:hAnsi="StobiSerif Regular"/>
          <w:b/>
          <w:bCs/>
          <w:sz w:val="20"/>
          <w:szCs w:val="20"/>
          <w:lang w:val="en-US"/>
        </w:rPr>
        <w:t>процедура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која</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ќе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биде</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поедноставна</w:t>
      </w:r>
      <w:proofErr w:type="spellEnd"/>
      <w:r w:rsidRPr="006114BD">
        <w:rPr>
          <w:rFonts w:ascii="StobiSerif Regular" w:hAnsi="StobiSerif Regular"/>
          <w:b/>
          <w:bCs/>
          <w:sz w:val="20"/>
          <w:szCs w:val="20"/>
          <w:lang w:val="en-US"/>
        </w:rPr>
        <w:t xml:space="preserve"> и </w:t>
      </w:r>
      <w:proofErr w:type="spellStart"/>
      <w:r w:rsidRPr="006114BD">
        <w:rPr>
          <w:rFonts w:ascii="StobiSerif Regular" w:hAnsi="StobiSerif Regular"/>
          <w:b/>
          <w:bCs/>
          <w:sz w:val="20"/>
          <w:szCs w:val="20"/>
          <w:lang w:val="en-US"/>
        </w:rPr>
        <w:t>далеку</w:t>
      </w:r>
      <w:proofErr w:type="spellEnd"/>
      <w:r w:rsidRPr="006114BD">
        <w:rPr>
          <w:rFonts w:ascii="StobiSerif Regular" w:hAnsi="StobiSerif Regular"/>
          <w:b/>
          <w:bCs/>
          <w:sz w:val="20"/>
          <w:szCs w:val="20"/>
          <w:lang w:val="en-US"/>
        </w:rPr>
        <w:t xml:space="preserve"> </w:t>
      </w:r>
      <w:proofErr w:type="spellStart"/>
      <w:r w:rsidRPr="006114BD">
        <w:rPr>
          <w:rFonts w:ascii="StobiSerif Regular" w:hAnsi="StobiSerif Regular"/>
          <w:b/>
          <w:bCs/>
          <w:sz w:val="20"/>
          <w:szCs w:val="20"/>
          <w:lang w:val="en-US"/>
        </w:rPr>
        <w:t>побрза</w:t>
      </w:r>
      <w:proofErr w:type="spellEnd"/>
      <w:r w:rsidRPr="006114BD">
        <w:rPr>
          <w:rFonts w:ascii="StobiSerif Regular" w:hAnsi="StobiSerif Regular"/>
          <w:b/>
          <w:bCs/>
          <w:sz w:val="20"/>
          <w:szCs w:val="20"/>
          <w:lang w:val="en-US"/>
        </w:rPr>
        <w:t>.</w:t>
      </w:r>
    </w:p>
    <w:p w14:paraId="7CF54136"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 xml:space="preserve">Со тековниот закон, потенцијалните донори не се поттикнуваат, и повеќе им се исплати храната да ја фрлат на депонија, и да бидат ослободени од ДДВ. </w:t>
      </w:r>
    </w:p>
    <w:p w14:paraId="67D3A9BA"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 xml:space="preserve">Даночната политика треба внимателно да се усмери, за да овозможи поттикнување на донацијата (а не поттикнување на фрлање на храна). Во законот за ДДВ ќе треба да се дефинираат даночните поттикнувања кои се бараат, односно, ослободување од ДДВ, и за донорите и за ГО. </w:t>
      </w:r>
    </w:p>
    <w:p w14:paraId="3E23412D"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Исто така, треба да се разгледа можноста за дополнителни даночни поттикнувања (по примерот на Франција, Белгија, Италија, Португалија) (данок на доход/ промет?). Вакви поттикнувања овозможиле зголемен интерес на операторите на храна за донација и развој на мрежите на ГО и целиот систем на донација.</w:t>
      </w:r>
    </w:p>
    <w:p w14:paraId="698837CF"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lastRenderedPageBreak/>
        <w:t xml:space="preserve">Мерки за спречување фрлање храна: треба да се воведе еколошка такса за фрлање храна на депонија.  Исто така, тарифите за фрлање отпад од храна на депонија, треба да се прилагодат, за да поттикнуваат донирање храна. </w:t>
      </w:r>
    </w:p>
    <w:p w14:paraId="25D99BB2" w14:textId="3AE18771" w:rsid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(Во многу земји, зависно од интерпретацијата на директивата за ДДВ, се применуваат различни мерки. Во некои земји, донорите на храна се ослободуваат од ДДВ, или кога во моментот на донацијата вредноста на храната е блиску до нула. Земјите членки применуваат низа фискални поттикнувања. Во Франција 60%, и во Шпанија 35% од вредноста на донираната храна, донорите можат да го намалат корпоративниот данок на нивниот приход (Франција 0.5% од промет). Во други земји (Португалија) има проширено намалување на данокот (донорите можат да намалат 140% од вредноста на донираната храна за социјални цели, и   0.8% од прометот, што довело до значителен развој на донацијата.</w:t>
      </w:r>
    </w:p>
    <w:p w14:paraId="7915C713" w14:textId="77777777" w:rsidR="00FC72EF" w:rsidRDefault="00FC72EF" w:rsidP="00BA732A">
      <w:pPr>
        <w:tabs>
          <w:tab w:val="left" w:pos="675"/>
        </w:tabs>
        <w:spacing w:after="120"/>
        <w:jc w:val="both"/>
        <w:rPr>
          <w:rFonts w:ascii="StobiSerif Regular" w:hAnsi="StobiSerif Regular"/>
          <w:sz w:val="20"/>
          <w:szCs w:val="20"/>
          <w:lang w:val="mk-MK"/>
        </w:rPr>
      </w:pPr>
    </w:p>
    <w:p w14:paraId="18F74EDC" w14:textId="688E9A47" w:rsidR="00BA732A" w:rsidRPr="00BA732A" w:rsidRDefault="00BA732A" w:rsidP="00BA732A">
      <w:pPr>
        <w:tabs>
          <w:tab w:val="left" w:pos="675"/>
        </w:tabs>
        <w:spacing w:after="120"/>
        <w:jc w:val="both"/>
        <w:rPr>
          <w:rFonts w:ascii="StobiSerif Regular" w:hAnsi="StobiSerif Regular"/>
          <w:b/>
          <w:bCs/>
          <w:sz w:val="20"/>
          <w:szCs w:val="20"/>
          <w:lang w:val="mk-MK"/>
        </w:rPr>
      </w:pPr>
      <w:r w:rsidRPr="00BA732A">
        <w:rPr>
          <w:rFonts w:ascii="StobiSerif Regular" w:hAnsi="StobiSerif Regular"/>
          <w:b/>
          <w:bCs/>
          <w:sz w:val="20"/>
          <w:szCs w:val="20"/>
          <w:lang w:val="mk-MK"/>
        </w:rPr>
        <w:t>Закон за безбедност на храна (ЗБХ)</w:t>
      </w:r>
    </w:p>
    <w:p w14:paraId="517A3485"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Со ЗБХ се регулира контролата на безбедноста на храна во сите фази (производство, преработка, складирање, транспорт, дистрибуција, малопродажба и достава). Со законот се регулираат општите и специфичните услови и обврски за операторите за храна, нивната регистрација и одобрение, условите за увоз и извоз на храна од животинско и неживотинско потекло.</w:t>
      </w:r>
    </w:p>
    <w:p w14:paraId="583DBA77"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Законот под „бизнис со храна“ ги смета сите активности, профитни и непрофитни, јавни или приватни, кои се поврзани со било која фаза од производството, преработката и дистрибуцијата на храна. Тоа значи дека и НВО се оператори на храна.  Сепак има голема разлика помеѓу класични оператори на храна и НВО (немаат постојан организционен облик, ниту континуирани активности, ниту бизнис со храна, во некоја мера се еквивалентни на крајни корисници), туку дистрибуираат храна за сиромашните, како итна социјална помош. Ќе биде потребна посебна дефиниција за НВО како редистрибутори, флексибилна интерпретација, и големо поедноставување на процедурите и податоците за регистрација, без никаква финансиска давачка, затоа што вишокот на храна се дава на најсиромашните, за општествена солидарност и социјална правда и е од јавен интерес.</w:t>
      </w:r>
    </w:p>
    <w:p w14:paraId="53275380"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 xml:space="preserve">Може да се донира само безбедна храна. Законот има барања за употреба на производи со рок на трајност. Сепак, голем број производи се сосема безбедени и со поминат рок, под услов да им е зачуван интегритетот, секако со верификација на безбедноста. Исто така, има производи со грешки, а се сосема безбедни. Законот, во овој поглед поттикнува фрлање на храна (високи стандарди), што е спротивно на барањата и постигнување на целта на превенција на отпад од храна.  </w:t>
      </w:r>
    </w:p>
    <w:p w14:paraId="26BB4166"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Во функција на превенција и намалување фрлање храна, и безбедност на храната, ќе биде потребно дефинирање рок на употреба,  Листи на производи кои можат да се користат и по истекот на рокот на употреба (Франција, Италија, Британија, Норвешка, Финска, Бугарија,), Упатства за безбедност на храна и хигиенско-технички услови за донорите и НВО при донација и редистрибуција. (Британија, Франција, Италија, Финска, итн.);</w:t>
      </w:r>
    </w:p>
    <w:p w14:paraId="78C8AF1B" w14:textId="77777777" w:rsidR="00BA732A" w:rsidRP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t xml:space="preserve">Законот не им дава заштита ниту на донорите ниту на ГО, во случај на несакани последици. Ова е голема пречка и кај донорите и кај ГО, и предмет за загриженост. Донорите и НВО, кои ја донираат и редистрибуираат храната во добра волја и за социјални цели, безбедна според барањата, треба да бидат ослободени кривична одговорност. </w:t>
      </w:r>
    </w:p>
    <w:p w14:paraId="41C18F8D" w14:textId="085DA152" w:rsidR="00BA732A" w:rsidRDefault="00BA732A" w:rsidP="00BA732A">
      <w:pPr>
        <w:tabs>
          <w:tab w:val="left" w:pos="675"/>
        </w:tabs>
        <w:spacing w:after="120"/>
        <w:jc w:val="both"/>
        <w:rPr>
          <w:rFonts w:ascii="StobiSerif Regular" w:hAnsi="StobiSerif Regular"/>
          <w:sz w:val="20"/>
          <w:szCs w:val="20"/>
          <w:lang w:val="mk-MK"/>
        </w:rPr>
      </w:pPr>
      <w:r w:rsidRPr="00BA732A">
        <w:rPr>
          <w:rFonts w:ascii="StobiSerif Regular" w:hAnsi="StobiSerif Regular"/>
          <w:sz w:val="20"/>
          <w:szCs w:val="20"/>
          <w:lang w:val="mk-MK"/>
        </w:rPr>
        <w:lastRenderedPageBreak/>
        <w:t>(Во некои земји (САД, Италија, Норвешка, Финска итн.), во моментот на донација, улогата на НВО е иста како на краен корисник, односно, се ослободуваат од кривична одговорност, освен во случаи на намера или голема небрежност, за што важат кривични закони).</w:t>
      </w:r>
    </w:p>
    <w:p w14:paraId="0B027566" w14:textId="2E2CCC0F" w:rsidR="00BA732A" w:rsidRDefault="00BA732A" w:rsidP="00BA732A">
      <w:pPr>
        <w:tabs>
          <w:tab w:val="left" w:pos="675"/>
        </w:tabs>
        <w:spacing w:after="120"/>
        <w:jc w:val="both"/>
        <w:rPr>
          <w:rFonts w:ascii="StobiSerif Regular" w:hAnsi="StobiSerif Regular"/>
          <w:sz w:val="20"/>
          <w:szCs w:val="20"/>
          <w:lang w:val="mk-MK"/>
        </w:rPr>
      </w:pPr>
    </w:p>
    <w:p w14:paraId="079D161F" w14:textId="55230506" w:rsidR="003833DF" w:rsidRPr="003833DF" w:rsidRDefault="003833DF" w:rsidP="00BA732A">
      <w:pPr>
        <w:tabs>
          <w:tab w:val="left" w:pos="675"/>
        </w:tabs>
        <w:spacing w:after="120"/>
        <w:jc w:val="both"/>
        <w:rPr>
          <w:rFonts w:ascii="StobiSerif Regular" w:hAnsi="StobiSerif Regular"/>
          <w:b/>
          <w:bCs/>
          <w:sz w:val="20"/>
          <w:szCs w:val="20"/>
          <w:lang w:val="mk-MK"/>
        </w:rPr>
      </w:pPr>
      <w:r w:rsidRPr="003833DF">
        <w:rPr>
          <w:rFonts w:ascii="StobiSerif Regular" w:hAnsi="StobiSerif Regular"/>
          <w:b/>
          <w:bCs/>
          <w:sz w:val="20"/>
          <w:szCs w:val="20"/>
          <w:lang w:val="mk-MK"/>
        </w:rPr>
        <w:t>Закон за управување со отпад (ЗУО)</w:t>
      </w:r>
    </w:p>
    <w:p w14:paraId="7034CCD6"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Во Плановите за превенција од отпад на земјите членки, барањето за воведување на хиерархија на вишок на храна: превенција, редистрибуција за човечка употреба, животни, компостирање/ енергија, депонија, е обврска, и е основа за извлекување на храната,  за човечка употреба, наместо да се фрла.</w:t>
      </w:r>
    </w:p>
    <w:p w14:paraId="34A3143F"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 xml:space="preserve">Во ЗУО нема посебни одредби во кои е дефиниран отпад од храна како посебен тек, освен како биоразградлив отпад, уреден со правилник. Со други зборови, институционално нема посебна стратегија и план како да се намали отпадот од храна . </w:t>
      </w:r>
    </w:p>
    <w:p w14:paraId="6F4C7AF1"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Нашето законодавство, за разлика од тоа на развиените држави членки на ЕУ, не предвидува оданочување на депонирањето на отпадот за да истото го дестимулира, а единствен трошок кој фрлачите на храната го имаат е таксата која ја плаќаат на депониите и тој изнесува околу 3100 денари по тон . Затоа, сметаме дека државата треба да воведе еколошка  такса за фрлачите на вишоци на храна за да се поттикнат подобро и поодговорно да го планираат управувањето со храната.</w:t>
      </w:r>
    </w:p>
    <w:p w14:paraId="64156962"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Истовремено, управувањето и воведеувањето на посебни текови за извлекување на храната и био-отпад, значително ќе придонесе во намалувањето на отпад од храна. Економскиот потенцијал на отпадот, како извор на вредни ресурси, и можност за вработување е голем.</w:t>
      </w:r>
    </w:p>
    <w:p w14:paraId="4E70B753" w14:textId="5383199D" w:rsid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(Земјите членки, со низа програми и иницијативи (ефиксаност на ресурси, циркуларна економија, индустрија за рециклирање, зелена економија, био-економија, агро-екологија, истражувања, иновативност, итн.) го препознаваат потренцијалот, и вложуваат големи средства за одржлив економски развој).</w:t>
      </w:r>
    </w:p>
    <w:p w14:paraId="677A83A9" w14:textId="77777777" w:rsidR="00FC72EF" w:rsidRDefault="00FC72EF" w:rsidP="003833DF">
      <w:pPr>
        <w:tabs>
          <w:tab w:val="left" w:pos="675"/>
        </w:tabs>
        <w:spacing w:after="120"/>
        <w:jc w:val="both"/>
        <w:rPr>
          <w:rFonts w:ascii="StobiSerif Regular" w:hAnsi="StobiSerif Regular"/>
          <w:sz w:val="20"/>
          <w:szCs w:val="20"/>
          <w:lang w:val="mk-MK"/>
        </w:rPr>
      </w:pPr>
    </w:p>
    <w:p w14:paraId="685D373E" w14:textId="0D340D1F" w:rsidR="003833DF" w:rsidRPr="003833DF" w:rsidRDefault="003833DF" w:rsidP="00BA732A">
      <w:pPr>
        <w:tabs>
          <w:tab w:val="left" w:pos="675"/>
        </w:tabs>
        <w:spacing w:after="120"/>
        <w:jc w:val="both"/>
        <w:rPr>
          <w:rFonts w:ascii="StobiSerif Regular" w:hAnsi="StobiSerif Regular"/>
          <w:b/>
          <w:bCs/>
          <w:sz w:val="20"/>
          <w:szCs w:val="20"/>
          <w:lang w:val="mk-MK"/>
        </w:rPr>
      </w:pPr>
      <w:r w:rsidRPr="003833DF">
        <w:rPr>
          <w:rFonts w:ascii="StobiSerif Regular" w:hAnsi="StobiSerif Regular"/>
          <w:b/>
          <w:bCs/>
          <w:sz w:val="20"/>
          <w:szCs w:val="20"/>
          <w:lang w:val="mk-MK"/>
        </w:rPr>
        <w:t>Закон за земјоделство и рурален развој (ЗЗРР)</w:t>
      </w:r>
    </w:p>
    <w:p w14:paraId="6639FCCB"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 xml:space="preserve">Зо законот за земјоделство и рурален закон (ЗЗРР), (чл. 45), се предвидува имплементациа на годишна програма за поттикнување на потрошувачката на зеленчук и овошје. Треба да се овозможи плаќање 100% (наместо 50%), од трошоците на производителите (една од мерките на реформите за рурален развој), кога храната се донира за социјални цели, болници, домови за стари лица итн. </w:t>
      </w:r>
    </w:p>
    <w:p w14:paraId="59A3EF41"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 xml:space="preserve">Во плановите за намалување на отпад од храна, слободната редистрибуција на земјоделски производи, може исто така да се поттикне со други мерки. </w:t>
      </w:r>
    </w:p>
    <w:p w14:paraId="011E85F5" w14:textId="77777777" w:rsidR="003833DF" w:rsidRPr="003833DF"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 xml:space="preserve">Како важна мерка за намалување отпад на храна, треба да се поттикнува органското производство (не произведува отпад, има позитивни еколошки влијанија, и има голем потенцијал за вработување нарочно во сиромашните рурални средини, како и потенцијал за извоз). </w:t>
      </w:r>
    </w:p>
    <w:p w14:paraId="7482A672" w14:textId="72CB93D3" w:rsidR="00BA732A" w:rsidRDefault="003833DF" w:rsidP="003833DF">
      <w:pPr>
        <w:tabs>
          <w:tab w:val="left" w:pos="675"/>
        </w:tabs>
        <w:spacing w:after="120"/>
        <w:jc w:val="both"/>
        <w:rPr>
          <w:rFonts w:ascii="StobiSerif Regular" w:hAnsi="StobiSerif Regular"/>
          <w:sz w:val="20"/>
          <w:szCs w:val="20"/>
          <w:lang w:val="mk-MK"/>
        </w:rPr>
      </w:pPr>
      <w:r w:rsidRPr="003833DF">
        <w:rPr>
          <w:rFonts w:ascii="StobiSerif Regular" w:hAnsi="StobiSerif Regular"/>
          <w:sz w:val="20"/>
          <w:szCs w:val="20"/>
          <w:lang w:val="mk-MK"/>
        </w:rPr>
        <w:t>(Земјите членки, во функција на одржлив систем на храна, планираат зголемување на органско производство од 20% во однос на вкупното производство, и традиционално земјоделство.</w:t>
      </w:r>
    </w:p>
    <w:p w14:paraId="06F2F5C9" w14:textId="58A1EA90" w:rsidR="003833DF" w:rsidRDefault="003833DF" w:rsidP="003833DF">
      <w:pPr>
        <w:tabs>
          <w:tab w:val="left" w:pos="675"/>
        </w:tabs>
        <w:rPr>
          <w:rFonts w:ascii="StobiSerif Regular" w:hAnsi="StobiSerif Regular"/>
          <w:sz w:val="20"/>
          <w:szCs w:val="20"/>
          <w:lang w:val="mk-MK"/>
        </w:rPr>
      </w:pPr>
    </w:p>
    <w:p w14:paraId="56B087D4" w14:textId="770B146D" w:rsidR="00AB5878" w:rsidRPr="00AB5878" w:rsidRDefault="00AB5878" w:rsidP="00AB5878">
      <w:pPr>
        <w:jc w:val="both"/>
        <w:rPr>
          <w:rFonts w:ascii="StobiSerif Regular" w:hAnsi="StobiSerif Regular" w:cs="Arial"/>
          <w:b/>
          <w:i/>
          <w:sz w:val="20"/>
          <w:szCs w:val="20"/>
          <w:lang w:val="mk-MK"/>
        </w:rPr>
      </w:pPr>
      <w:bookmarkStart w:id="9" w:name="_Hlk22615098"/>
      <w:r w:rsidRPr="00AB5878">
        <w:rPr>
          <w:rFonts w:ascii="StobiSerif Regular" w:hAnsi="StobiSerif Regular" w:cs="Arial"/>
          <w:b/>
          <w:i/>
          <w:sz w:val="20"/>
          <w:szCs w:val="20"/>
          <w:lang w:val="mk-MK"/>
        </w:rPr>
        <w:t>Опција 2. Ново законско решение</w:t>
      </w:r>
    </w:p>
    <w:bookmarkEnd w:id="9"/>
    <w:p w14:paraId="7F1B9620" w14:textId="605B45A1" w:rsidR="00AB5878" w:rsidRDefault="00AB5878" w:rsidP="003833DF">
      <w:pPr>
        <w:tabs>
          <w:tab w:val="left" w:pos="675"/>
        </w:tabs>
        <w:rPr>
          <w:rFonts w:ascii="StobiSerif Regular" w:hAnsi="StobiSerif Regular"/>
          <w:sz w:val="20"/>
          <w:szCs w:val="20"/>
          <w:lang w:val="mk-MK"/>
        </w:rPr>
      </w:pPr>
    </w:p>
    <w:p w14:paraId="288B2302" w14:textId="49AE997D" w:rsidR="00AB5878" w:rsidRDefault="00AB5878" w:rsidP="003833DF">
      <w:pPr>
        <w:tabs>
          <w:tab w:val="left" w:pos="675"/>
        </w:tabs>
        <w:rPr>
          <w:rFonts w:ascii="StobiSerif Regular" w:hAnsi="StobiSerif Regular"/>
          <w:sz w:val="20"/>
          <w:szCs w:val="20"/>
          <w:lang w:val="mk-MK"/>
        </w:rPr>
      </w:pPr>
      <w:r>
        <w:rPr>
          <w:rFonts w:ascii="StobiSerif Regular" w:hAnsi="StobiSerif Regular"/>
          <w:sz w:val="20"/>
          <w:szCs w:val="20"/>
          <w:lang w:val="mk-MK"/>
        </w:rPr>
        <w:lastRenderedPageBreak/>
        <w:t xml:space="preserve">Со ново законско решение ќе се овозможи интегрално решение во областана донирањето на храна. Ваквата опција ќе даде можност унапредување на областа од интегрален аспект. </w:t>
      </w:r>
    </w:p>
    <w:p w14:paraId="4A432155" w14:textId="77777777" w:rsidR="00AB5878" w:rsidRPr="00AB5878" w:rsidRDefault="00AB5878" w:rsidP="003833DF">
      <w:pPr>
        <w:tabs>
          <w:tab w:val="left" w:pos="675"/>
        </w:tabs>
        <w:rPr>
          <w:rFonts w:ascii="StobiSerif Regular" w:hAnsi="StobiSerif Regular"/>
          <w:sz w:val="20"/>
          <w:szCs w:val="20"/>
          <w:lang w:val="mk-MK"/>
        </w:rPr>
      </w:pPr>
    </w:p>
    <w:p w14:paraId="5EFCE1D9" w14:textId="77777777" w:rsidR="00604E06" w:rsidRPr="00D96CB0" w:rsidRDefault="00604E06" w:rsidP="00604E06">
      <w:pPr>
        <w:numPr>
          <w:ilvl w:val="0"/>
          <w:numId w:val="1"/>
        </w:numPr>
        <w:shd w:val="clear" w:color="auto" w:fill="FBD4B4"/>
        <w:tabs>
          <w:tab w:val="left" w:pos="675"/>
        </w:tabs>
        <w:rPr>
          <w:rFonts w:ascii="StobiSerif Regular" w:hAnsi="StobiSerif Regular"/>
          <w:b/>
          <w:sz w:val="20"/>
          <w:szCs w:val="20"/>
          <w:lang w:val="en-US"/>
        </w:rPr>
      </w:pPr>
      <w:r w:rsidRPr="00D96CB0">
        <w:rPr>
          <w:rFonts w:ascii="StobiSerif Regular" w:hAnsi="StobiSerif Regular"/>
          <w:b/>
          <w:sz w:val="20"/>
          <w:szCs w:val="20"/>
          <w:lang w:val="mk-MK"/>
        </w:rPr>
        <w:t>Проценка на влијанијата на регулативата</w:t>
      </w:r>
    </w:p>
    <w:p w14:paraId="2671305A" w14:textId="77777777" w:rsidR="00604E06" w:rsidRPr="00D96CB0" w:rsidRDefault="00604E06" w:rsidP="00604E06">
      <w:pPr>
        <w:tabs>
          <w:tab w:val="left" w:pos="675"/>
        </w:tabs>
        <w:ind w:left="360"/>
        <w:rPr>
          <w:rFonts w:ascii="StobiSerif Regular" w:hAnsi="StobiSerif Regular"/>
          <w:b/>
          <w:sz w:val="20"/>
          <w:szCs w:val="20"/>
          <w:lang w:val="en-US"/>
        </w:rPr>
      </w:pPr>
    </w:p>
    <w:p w14:paraId="5F58C376" w14:textId="77777777" w:rsidR="00604E06" w:rsidRPr="00D96CB0" w:rsidRDefault="00604E06" w:rsidP="00604E06">
      <w:pPr>
        <w:jc w:val="both"/>
        <w:rPr>
          <w:rFonts w:ascii="StobiSerif Regular" w:hAnsi="StobiSerif Regular"/>
          <w:sz w:val="20"/>
          <w:szCs w:val="20"/>
          <w:lang w:val="mk-MK"/>
        </w:rPr>
      </w:pPr>
      <w:r w:rsidRPr="00D96CB0">
        <w:rPr>
          <w:rFonts w:ascii="StobiSerif Regular" w:hAnsi="StobiSerif Regular"/>
          <w:sz w:val="20"/>
          <w:szCs w:val="20"/>
          <w:lang w:val="mk-MK"/>
        </w:rPr>
        <w:tab/>
        <w:t>Можни позитивни и негативни влијанија од секоја од опциите:</w:t>
      </w:r>
    </w:p>
    <w:p w14:paraId="6B4F6CBE" w14:textId="77777777" w:rsidR="00604E06" w:rsidRPr="00D96CB0" w:rsidRDefault="00604E06" w:rsidP="00604E06">
      <w:pPr>
        <w:tabs>
          <w:tab w:val="left" w:pos="675"/>
        </w:tabs>
        <w:rPr>
          <w:rFonts w:ascii="StobiSerif Regular" w:hAnsi="StobiSerif Regular"/>
          <w:sz w:val="20"/>
          <w:szCs w:val="20"/>
          <w:lang w:val="mk-MK"/>
        </w:rPr>
      </w:pPr>
    </w:p>
    <w:p w14:paraId="15B64BF7" w14:textId="77777777" w:rsidR="00604E06" w:rsidRPr="00D96CB0" w:rsidRDefault="00604E06" w:rsidP="00604E06">
      <w:pPr>
        <w:tabs>
          <w:tab w:val="left" w:pos="675"/>
        </w:tabs>
        <w:rPr>
          <w:rFonts w:ascii="StobiSerif Regular" w:hAnsi="StobiSerif Regular"/>
          <w:i/>
          <w:sz w:val="20"/>
          <w:szCs w:val="20"/>
          <w:lang w:val="mk-MK"/>
        </w:rPr>
      </w:pPr>
    </w:p>
    <w:p w14:paraId="0D8D056C" w14:textId="21B19446" w:rsidR="00604E06" w:rsidRPr="009F5521" w:rsidRDefault="00604E06" w:rsidP="009F5521">
      <w:pPr>
        <w:pStyle w:val="ListParagraph"/>
        <w:numPr>
          <w:ilvl w:val="1"/>
          <w:numId w:val="1"/>
        </w:numPr>
        <w:jc w:val="both"/>
        <w:rPr>
          <w:rFonts w:ascii="StobiSerif Regular" w:hAnsi="StobiSerif Regular"/>
          <w:i/>
          <w:sz w:val="20"/>
          <w:szCs w:val="20"/>
        </w:rPr>
      </w:pPr>
      <w:bookmarkStart w:id="10" w:name="_Hlk22614903"/>
      <w:r w:rsidRPr="009F5521">
        <w:rPr>
          <w:rFonts w:ascii="StobiSerif Regular" w:hAnsi="StobiSerif Regular"/>
          <w:i/>
          <w:sz w:val="20"/>
          <w:szCs w:val="20"/>
        </w:rPr>
        <w:t xml:space="preserve">Економски влијанија </w:t>
      </w:r>
    </w:p>
    <w:p w14:paraId="37A7F54B" w14:textId="309DB86B" w:rsidR="003A6EAC" w:rsidRPr="00F127BA" w:rsidRDefault="00F127BA" w:rsidP="00F127BA">
      <w:pPr>
        <w:ind w:left="675"/>
        <w:jc w:val="both"/>
        <w:rPr>
          <w:rFonts w:ascii="StobiSerif Regular" w:hAnsi="StobiSerif Regular"/>
          <w:sz w:val="20"/>
          <w:szCs w:val="20"/>
        </w:rPr>
      </w:pPr>
      <w:r w:rsidRPr="00F127BA">
        <w:rPr>
          <w:rFonts w:ascii="StobiSerif Regular" w:hAnsi="StobiSerif Regular"/>
          <w:sz w:val="20"/>
          <w:szCs w:val="20"/>
        </w:rPr>
        <w:t xml:space="preserve"> </w:t>
      </w:r>
      <w:r w:rsidRPr="00F127BA">
        <w:rPr>
          <w:rFonts w:ascii="StobiSerif Regular" w:hAnsi="StobiSerif Regular"/>
          <w:sz w:val="20"/>
          <w:szCs w:val="20"/>
          <w:lang w:val="mk-MK"/>
        </w:rPr>
        <w:t>Доколку се избере опцијата не прави ништо вишоците на храна ќе продолжат да завршуваат на депонии со огромни економски губитоци или ќе заврши кај не регистрирани физички и правни лица кои ќе донираат храна за која нема да може да се утврди следливост и да се гарантира дека ќе стигне кај крајниот корисник како безбедна и квалитетна. Нема да има можност за поттикнување на донаторите. Самото фрлање на храна на депонија е голем економски губиток (за 10,000 тони/ година, околу 12милЕУР), додека вкупните економски губитоци на произведена и фрлена храна во целиот ланец на исхрана се многу поголеми. Според груби проценки, претпоставка е дека во ланецот на исхрана, се генерира отпад (околу 30% земјоделско производство, 10-20% преработувачи, 20% продавачи и ресторани, и околу 30% потрошувачи).</w:t>
      </w:r>
      <w:r w:rsidR="003C6ADB">
        <w:rPr>
          <w:rFonts w:ascii="StobiSerif Regular" w:hAnsi="StobiSerif Regular"/>
          <w:sz w:val="20"/>
          <w:szCs w:val="20"/>
          <w:lang w:val="mk-MK"/>
        </w:rPr>
        <w:t xml:space="preserve"> </w:t>
      </w:r>
    </w:p>
    <w:p w14:paraId="635F7390" w14:textId="77777777" w:rsidR="00F127BA" w:rsidRPr="00F127BA" w:rsidRDefault="00F127BA" w:rsidP="00F127BA">
      <w:pPr>
        <w:ind w:left="675"/>
        <w:jc w:val="both"/>
        <w:rPr>
          <w:rFonts w:ascii="StobiSerif Regular" w:hAnsi="StobiSerif Regular"/>
          <w:sz w:val="20"/>
          <w:szCs w:val="20"/>
          <w:lang w:val="mk-MK"/>
        </w:rPr>
      </w:pPr>
    </w:p>
    <w:p w14:paraId="417A0BCC" w14:textId="5E7322D2" w:rsidR="00604E06" w:rsidRPr="00F127BA" w:rsidRDefault="00604E06" w:rsidP="00F127BA">
      <w:pPr>
        <w:pStyle w:val="ListParagraph"/>
        <w:numPr>
          <w:ilvl w:val="1"/>
          <w:numId w:val="1"/>
        </w:numPr>
        <w:jc w:val="both"/>
        <w:rPr>
          <w:rFonts w:ascii="StobiSerif Regular" w:hAnsi="StobiSerif Regular"/>
          <w:i/>
          <w:sz w:val="20"/>
          <w:szCs w:val="20"/>
        </w:rPr>
      </w:pPr>
      <w:r w:rsidRPr="00F127BA">
        <w:rPr>
          <w:rFonts w:ascii="StobiSerif Regular" w:hAnsi="StobiSerif Regular"/>
          <w:i/>
          <w:sz w:val="20"/>
          <w:szCs w:val="20"/>
        </w:rPr>
        <w:t xml:space="preserve">Фискални влијанија </w:t>
      </w:r>
    </w:p>
    <w:p w14:paraId="715A3EAE" w14:textId="4B8C320F" w:rsidR="00F127BA" w:rsidRPr="00F127BA" w:rsidRDefault="00F127BA" w:rsidP="00F127BA">
      <w:pPr>
        <w:pStyle w:val="ListParagraph"/>
        <w:ind w:left="675"/>
        <w:jc w:val="both"/>
        <w:rPr>
          <w:rFonts w:ascii="StobiSerif Regular" w:hAnsi="StobiSerif Regular"/>
          <w:sz w:val="20"/>
          <w:szCs w:val="20"/>
        </w:rPr>
      </w:pPr>
      <w:r w:rsidRPr="00F127BA">
        <w:rPr>
          <w:rFonts w:ascii="StobiSerif Regular" w:hAnsi="StobiSerif Regular" w:cs="Cambria"/>
          <w:sz w:val="20"/>
          <w:szCs w:val="20"/>
        </w:rPr>
        <w:t>Самиот</w:t>
      </w:r>
      <w:r w:rsidRPr="00F127BA">
        <w:rPr>
          <w:rFonts w:ascii="StobiSerif Regular" w:hAnsi="StobiSerif Regular"/>
          <w:sz w:val="20"/>
          <w:szCs w:val="20"/>
        </w:rPr>
        <w:t xml:space="preserve"> </w:t>
      </w:r>
      <w:r w:rsidRPr="00F127BA">
        <w:rPr>
          <w:rFonts w:ascii="StobiSerif Regular" w:hAnsi="StobiSerif Regular" w:cs="Cambria"/>
          <w:sz w:val="20"/>
          <w:szCs w:val="20"/>
        </w:rPr>
        <w:t>факт</w:t>
      </w:r>
      <w:r w:rsidRPr="00F127BA">
        <w:rPr>
          <w:rFonts w:ascii="StobiSerif Regular" w:hAnsi="StobiSerif Regular"/>
          <w:sz w:val="20"/>
          <w:szCs w:val="20"/>
        </w:rPr>
        <w:t xml:space="preserve"> </w:t>
      </w:r>
      <w:r w:rsidRPr="00F127BA">
        <w:rPr>
          <w:rFonts w:ascii="StobiSerif Regular" w:hAnsi="StobiSerif Regular" w:cs="Cambria"/>
          <w:sz w:val="20"/>
          <w:szCs w:val="20"/>
        </w:rPr>
        <w:t>дека</w:t>
      </w:r>
      <w:r w:rsidRPr="00F127BA">
        <w:rPr>
          <w:rFonts w:ascii="StobiSerif Regular" w:hAnsi="StobiSerif Regular"/>
          <w:sz w:val="20"/>
          <w:szCs w:val="20"/>
        </w:rPr>
        <w:t xml:space="preserve"> </w:t>
      </w:r>
      <w:r w:rsidRPr="00F127BA">
        <w:rPr>
          <w:rFonts w:ascii="StobiSerif Regular" w:hAnsi="StobiSerif Regular" w:cs="Cambria"/>
          <w:sz w:val="20"/>
          <w:szCs w:val="20"/>
        </w:rPr>
        <w:t>уделот</w:t>
      </w:r>
      <w:r w:rsidRPr="00F127BA">
        <w:rPr>
          <w:rFonts w:ascii="StobiSerif Regular" w:hAnsi="StobiSerif Regular"/>
          <w:sz w:val="20"/>
          <w:szCs w:val="20"/>
        </w:rPr>
        <w:t xml:space="preserve"> </w:t>
      </w:r>
      <w:r w:rsidRPr="00F127BA">
        <w:rPr>
          <w:rFonts w:ascii="StobiSerif Regular" w:hAnsi="StobiSerif Regular" w:cs="Cambria"/>
          <w:sz w:val="20"/>
          <w:szCs w:val="20"/>
        </w:rPr>
        <w:t>на</w:t>
      </w:r>
      <w:r w:rsidRPr="00F127BA">
        <w:rPr>
          <w:rFonts w:ascii="StobiSerif Regular" w:hAnsi="StobiSerif Regular"/>
          <w:sz w:val="20"/>
          <w:szCs w:val="20"/>
        </w:rPr>
        <w:t xml:space="preserve"> </w:t>
      </w:r>
      <w:r w:rsidRPr="00F127BA">
        <w:rPr>
          <w:rFonts w:ascii="StobiSerif Regular" w:hAnsi="StobiSerif Regular" w:cs="Cambria"/>
          <w:sz w:val="20"/>
          <w:szCs w:val="20"/>
        </w:rPr>
        <w:t>земјоделството</w:t>
      </w:r>
      <w:r w:rsidRPr="00F127BA">
        <w:rPr>
          <w:rFonts w:ascii="StobiSerif Regular" w:hAnsi="StobiSerif Regular"/>
          <w:sz w:val="20"/>
          <w:szCs w:val="20"/>
        </w:rPr>
        <w:t xml:space="preserve"> </w:t>
      </w:r>
      <w:r w:rsidRPr="00F127BA">
        <w:rPr>
          <w:rFonts w:ascii="StobiSerif Regular" w:hAnsi="StobiSerif Regular" w:cs="Cambria"/>
          <w:sz w:val="20"/>
          <w:szCs w:val="20"/>
        </w:rPr>
        <w:t>и</w:t>
      </w:r>
      <w:r w:rsidRPr="00F127BA">
        <w:rPr>
          <w:rFonts w:ascii="StobiSerif Regular" w:hAnsi="StobiSerif Regular"/>
          <w:sz w:val="20"/>
          <w:szCs w:val="20"/>
        </w:rPr>
        <w:t xml:space="preserve"> </w:t>
      </w:r>
      <w:r w:rsidRPr="00F127BA">
        <w:rPr>
          <w:rFonts w:ascii="StobiSerif Regular" w:hAnsi="StobiSerif Regular" w:cs="Cambria"/>
          <w:sz w:val="20"/>
          <w:szCs w:val="20"/>
        </w:rPr>
        <w:t>прехрамбениот</w:t>
      </w:r>
      <w:r w:rsidRPr="00F127BA">
        <w:rPr>
          <w:rFonts w:ascii="StobiSerif Regular" w:hAnsi="StobiSerif Regular"/>
          <w:sz w:val="20"/>
          <w:szCs w:val="20"/>
        </w:rPr>
        <w:t xml:space="preserve"> </w:t>
      </w:r>
      <w:r w:rsidRPr="00F127BA">
        <w:rPr>
          <w:rFonts w:ascii="StobiSerif Regular" w:hAnsi="StobiSerif Regular" w:cs="Cambria"/>
          <w:sz w:val="20"/>
          <w:szCs w:val="20"/>
        </w:rPr>
        <w:t>сектор</w:t>
      </w:r>
      <w:r w:rsidRPr="00F127BA">
        <w:rPr>
          <w:rFonts w:ascii="StobiSerif Regular" w:hAnsi="StobiSerif Regular"/>
          <w:sz w:val="20"/>
          <w:szCs w:val="20"/>
        </w:rPr>
        <w:t xml:space="preserve">, </w:t>
      </w:r>
      <w:r w:rsidRPr="00F127BA">
        <w:rPr>
          <w:rFonts w:ascii="StobiSerif Regular" w:hAnsi="StobiSerif Regular" w:cs="Cambria"/>
          <w:sz w:val="20"/>
          <w:szCs w:val="20"/>
        </w:rPr>
        <w:t>е</w:t>
      </w:r>
      <w:r w:rsidRPr="00F127BA">
        <w:rPr>
          <w:rFonts w:ascii="StobiSerif Regular" w:hAnsi="StobiSerif Regular"/>
          <w:sz w:val="20"/>
          <w:szCs w:val="20"/>
        </w:rPr>
        <w:t xml:space="preserve"> </w:t>
      </w:r>
      <w:r w:rsidRPr="00F127BA">
        <w:rPr>
          <w:rFonts w:ascii="StobiSerif Regular" w:hAnsi="StobiSerif Regular" w:cs="Cambria"/>
          <w:sz w:val="20"/>
          <w:szCs w:val="20"/>
        </w:rPr>
        <w:t>околу</w:t>
      </w:r>
      <w:r w:rsidRPr="00F127BA">
        <w:rPr>
          <w:rFonts w:ascii="StobiSerif Regular" w:hAnsi="StobiSerif Regular"/>
          <w:sz w:val="20"/>
          <w:szCs w:val="20"/>
        </w:rPr>
        <w:t xml:space="preserve"> 20% </w:t>
      </w:r>
      <w:r w:rsidRPr="00F127BA">
        <w:rPr>
          <w:rFonts w:ascii="StobiSerif Regular" w:hAnsi="StobiSerif Regular" w:cs="Cambria"/>
          <w:sz w:val="20"/>
          <w:szCs w:val="20"/>
        </w:rPr>
        <w:t>БДП</w:t>
      </w:r>
      <w:r w:rsidRPr="00F127BA">
        <w:rPr>
          <w:rFonts w:ascii="StobiSerif Regular" w:hAnsi="StobiSerif Regular"/>
          <w:sz w:val="20"/>
          <w:szCs w:val="20"/>
        </w:rPr>
        <w:t xml:space="preserve">, </w:t>
      </w:r>
      <w:r w:rsidRPr="00F127BA">
        <w:rPr>
          <w:rFonts w:ascii="StobiSerif Regular" w:hAnsi="StobiSerif Regular" w:cs="Cambria"/>
          <w:sz w:val="20"/>
          <w:szCs w:val="20"/>
        </w:rPr>
        <w:t>укажува</w:t>
      </w:r>
      <w:r w:rsidRPr="00F127BA">
        <w:rPr>
          <w:rFonts w:ascii="StobiSerif Regular" w:hAnsi="StobiSerif Regular"/>
          <w:sz w:val="20"/>
          <w:szCs w:val="20"/>
        </w:rPr>
        <w:t xml:space="preserve"> </w:t>
      </w:r>
      <w:r w:rsidRPr="00F127BA">
        <w:rPr>
          <w:rFonts w:ascii="StobiSerif Regular" w:hAnsi="StobiSerif Regular" w:cs="Cambria"/>
          <w:sz w:val="20"/>
          <w:szCs w:val="20"/>
        </w:rPr>
        <w:t>на</w:t>
      </w:r>
      <w:r w:rsidRPr="00F127BA">
        <w:rPr>
          <w:rFonts w:ascii="StobiSerif Regular" w:hAnsi="StobiSerif Regular"/>
          <w:sz w:val="20"/>
          <w:szCs w:val="20"/>
        </w:rPr>
        <w:t xml:space="preserve"> </w:t>
      </w:r>
      <w:r w:rsidRPr="00F127BA">
        <w:rPr>
          <w:rFonts w:ascii="StobiSerif Regular" w:hAnsi="StobiSerif Regular" w:cs="Cambria"/>
          <w:sz w:val="20"/>
          <w:szCs w:val="20"/>
        </w:rPr>
        <w:t>важноста</w:t>
      </w:r>
      <w:r w:rsidRPr="00F127BA">
        <w:rPr>
          <w:rFonts w:ascii="StobiSerif Regular" w:hAnsi="StobiSerif Regular"/>
          <w:sz w:val="20"/>
          <w:szCs w:val="20"/>
        </w:rPr>
        <w:t xml:space="preserve"> </w:t>
      </w:r>
      <w:r w:rsidRPr="00F127BA">
        <w:rPr>
          <w:rFonts w:ascii="StobiSerif Regular" w:hAnsi="StobiSerif Regular" w:cs="Cambria"/>
          <w:sz w:val="20"/>
          <w:szCs w:val="20"/>
        </w:rPr>
        <w:t>на</w:t>
      </w:r>
      <w:r w:rsidRPr="00F127BA">
        <w:rPr>
          <w:rFonts w:ascii="StobiSerif Regular" w:hAnsi="StobiSerif Regular"/>
          <w:sz w:val="20"/>
          <w:szCs w:val="20"/>
        </w:rPr>
        <w:t xml:space="preserve"> </w:t>
      </w:r>
      <w:r w:rsidRPr="00F127BA">
        <w:rPr>
          <w:rFonts w:ascii="StobiSerif Regular" w:hAnsi="StobiSerif Regular" w:cs="Cambria"/>
          <w:sz w:val="20"/>
          <w:szCs w:val="20"/>
        </w:rPr>
        <w:t>овој</w:t>
      </w:r>
      <w:r w:rsidRPr="00F127BA">
        <w:rPr>
          <w:rFonts w:ascii="StobiSerif Regular" w:hAnsi="StobiSerif Regular"/>
          <w:sz w:val="20"/>
          <w:szCs w:val="20"/>
        </w:rPr>
        <w:t xml:space="preserve"> </w:t>
      </w:r>
      <w:r w:rsidRPr="00F127BA">
        <w:rPr>
          <w:rFonts w:ascii="StobiSerif Regular" w:hAnsi="StobiSerif Regular" w:cs="Cambria"/>
          <w:sz w:val="20"/>
          <w:szCs w:val="20"/>
        </w:rPr>
        <w:t>проблем</w:t>
      </w:r>
      <w:r w:rsidRPr="00F127BA">
        <w:rPr>
          <w:rFonts w:ascii="StobiSerif Regular" w:hAnsi="StobiSerif Regular"/>
          <w:sz w:val="20"/>
          <w:szCs w:val="20"/>
        </w:rPr>
        <w:t xml:space="preserve"> </w:t>
      </w:r>
      <w:r w:rsidRPr="00F127BA">
        <w:rPr>
          <w:rFonts w:ascii="StobiSerif Regular" w:hAnsi="StobiSerif Regular" w:cs="Cambria"/>
          <w:sz w:val="20"/>
          <w:szCs w:val="20"/>
        </w:rPr>
        <w:t>и</w:t>
      </w:r>
      <w:r w:rsidRPr="00F127BA">
        <w:rPr>
          <w:rFonts w:ascii="StobiSerif Regular" w:hAnsi="StobiSerif Regular"/>
          <w:sz w:val="20"/>
          <w:szCs w:val="20"/>
        </w:rPr>
        <w:t xml:space="preserve"> </w:t>
      </w:r>
      <w:r w:rsidRPr="00F127BA">
        <w:rPr>
          <w:rFonts w:ascii="StobiSerif Regular" w:hAnsi="StobiSerif Regular" w:cs="Cambria"/>
          <w:sz w:val="20"/>
          <w:szCs w:val="20"/>
        </w:rPr>
        <w:t>потребата</w:t>
      </w:r>
      <w:r w:rsidRPr="00F127BA">
        <w:rPr>
          <w:rFonts w:ascii="StobiSerif Regular" w:hAnsi="StobiSerif Regular"/>
          <w:sz w:val="20"/>
          <w:szCs w:val="20"/>
        </w:rPr>
        <w:t xml:space="preserve"> </w:t>
      </w:r>
      <w:r w:rsidRPr="00F127BA">
        <w:rPr>
          <w:rFonts w:ascii="StobiSerif Regular" w:hAnsi="StobiSerif Regular" w:cs="Cambria"/>
          <w:sz w:val="20"/>
          <w:szCs w:val="20"/>
        </w:rPr>
        <w:t>за</w:t>
      </w:r>
      <w:r w:rsidRPr="00F127BA">
        <w:rPr>
          <w:rFonts w:ascii="StobiSerif Regular" w:hAnsi="StobiSerif Regular"/>
          <w:sz w:val="20"/>
          <w:szCs w:val="20"/>
        </w:rPr>
        <w:t xml:space="preserve"> </w:t>
      </w:r>
      <w:r w:rsidR="003C6ADB">
        <w:rPr>
          <w:rFonts w:ascii="StobiSerif Regular" w:hAnsi="StobiSerif Regular" w:cs="Cambria"/>
          <w:sz w:val="20"/>
          <w:szCs w:val="20"/>
        </w:rPr>
        <w:t>национално законодавство кое ќе изврши влијание врз операторите со храна</w:t>
      </w:r>
      <w:r w:rsidRPr="00F127BA">
        <w:rPr>
          <w:rFonts w:ascii="StobiSerif Regular" w:hAnsi="StobiSerif Regular"/>
          <w:sz w:val="20"/>
          <w:szCs w:val="20"/>
        </w:rPr>
        <w:t xml:space="preserve"> </w:t>
      </w:r>
      <w:r w:rsidRPr="00F127BA">
        <w:rPr>
          <w:rFonts w:ascii="StobiSerif Regular" w:hAnsi="StobiSerif Regular" w:cs="Cambria"/>
          <w:sz w:val="20"/>
          <w:szCs w:val="20"/>
        </w:rPr>
        <w:t>за</w:t>
      </w:r>
      <w:r w:rsidRPr="00F127BA">
        <w:rPr>
          <w:rFonts w:ascii="StobiSerif Regular" w:hAnsi="StobiSerif Regular"/>
          <w:sz w:val="20"/>
          <w:szCs w:val="20"/>
        </w:rPr>
        <w:t xml:space="preserve"> </w:t>
      </w:r>
      <w:r w:rsidRPr="00F127BA">
        <w:rPr>
          <w:rFonts w:ascii="StobiSerif Regular" w:hAnsi="StobiSerif Regular" w:cs="Cambria"/>
          <w:sz w:val="20"/>
          <w:szCs w:val="20"/>
        </w:rPr>
        <w:t>намалување</w:t>
      </w:r>
      <w:r w:rsidR="003C6ADB">
        <w:rPr>
          <w:rFonts w:ascii="StobiSerif Regular" w:hAnsi="StobiSerif Regular" w:cs="Cambria"/>
          <w:sz w:val="20"/>
          <w:szCs w:val="20"/>
        </w:rPr>
        <w:t xml:space="preserve"> на генерирање</w:t>
      </w:r>
      <w:r w:rsidRPr="00F127BA">
        <w:rPr>
          <w:rFonts w:ascii="StobiSerif Regular" w:hAnsi="StobiSerif Regular"/>
          <w:sz w:val="20"/>
          <w:szCs w:val="20"/>
        </w:rPr>
        <w:t xml:space="preserve"> </w:t>
      </w:r>
      <w:r w:rsidRPr="00F127BA">
        <w:rPr>
          <w:rFonts w:ascii="StobiSerif Regular" w:hAnsi="StobiSerif Regular" w:cs="Cambria"/>
          <w:sz w:val="20"/>
          <w:szCs w:val="20"/>
        </w:rPr>
        <w:t>отпад</w:t>
      </w:r>
      <w:r w:rsidRPr="00F127BA">
        <w:rPr>
          <w:rFonts w:ascii="StobiSerif Regular" w:hAnsi="StobiSerif Regular"/>
          <w:sz w:val="20"/>
          <w:szCs w:val="20"/>
        </w:rPr>
        <w:t xml:space="preserve"> </w:t>
      </w:r>
      <w:r w:rsidRPr="00F127BA">
        <w:rPr>
          <w:rFonts w:ascii="StobiSerif Regular" w:hAnsi="StobiSerif Regular" w:cs="Cambria"/>
          <w:sz w:val="20"/>
          <w:szCs w:val="20"/>
        </w:rPr>
        <w:t>и</w:t>
      </w:r>
      <w:r w:rsidRPr="00F127BA">
        <w:rPr>
          <w:rFonts w:ascii="StobiSerif Regular" w:hAnsi="StobiSerif Regular"/>
          <w:sz w:val="20"/>
          <w:szCs w:val="20"/>
        </w:rPr>
        <w:t xml:space="preserve"> </w:t>
      </w:r>
      <w:r w:rsidRPr="00F127BA">
        <w:rPr>
          <w:rFonts w:ascii="StobiSerif Regular" w:hAnsi="StobiSerif Regular" w:cs="Cambria"/>
          <w:sz w:val="20"/>
          <w:szCs w:val="20"/>
        </w:rPr>
        <w:t>одржлив</w:t>
      </w:r>
      <w:r w:rsidRPr="00F127BA">
        <w:rPr>
          <w:rFonts w:ascii="StobiSerif Regular" w:hAnsi="StobiSerif Regular"/>
          <w:sz w:val="20"/>
          <w:szCs w:val="20"/>
        </w:rPr>
        <w:t xml:space="preserve"> </w:t>
      </w:r>
      <w:r w:rsidRPr="00F127BA">
        <w:rPr>
          <w:rFonts w:ascii="StobiSerif Regular" w:hAnsi="StobiSerif Regular" w:cs="Cambria"/>
          <w:sz w:val="20"/>
          <w:szCs w:val="20"/>
        </w:rPr>
        <w:t>систем</w:t>
      </w:r>
      <w:r w:rsidRPr="00F127BA">
        <w:rPr>
          <w:rFonts w:ascii="StobiSerif Regular" w:hAnsi="StobiSerif Regular"/>
          <w:sz w:val="20"/>
          <w:szCs w:val="20"/>
        </w:rPr>
        <w:t xml:space="preserve"> </w:t>
      </w:r>
      <w:r w:rsidRPr="00F127BA">
        <w:rPr>
          <w:rFonts w:ascii="StobiSerif Regular" w:hAnsi="StobiSerif Regular" w:cs="Cambria"/>
          <w:sz w:val="20"/>
          <w:szCs w:val="20"/>
        </w:rPr>
        <w:t>на</w:t>
      </w:r>
      <w:r w:rsidRPr="00F127BA">
        <w:rPr>
          <w:rFonts w:ascii="StobiSerif Regular" w:hAnsi="StobiSerif Regular"/>
          <w:sz w:val="20"/>
          <w:szCs w:val="20"/>
        </w:rPr>
        <w:t xml:space="preserve"> </w:t>
      </w:r>
      <w:r w:rsidRPr="00F127BA">
        <w:rPr>
          <w:rFonts w:ascii="StobiSerif Regular" w:hAnsi="StobiSerif Regular" w:cs="Cambria"/>
          <w:sz w:val="20"/>
          <w:szCs w:val="20"/>
        </w:rPr>
        <w:t>храна</w:t>
      </w:r>
      <w:r w:rsidRPr="00F127BA">
        <w:rPr>
          <w:rFonts w:ascii="StobiSerif Regular" w:hAnsi="StobiSerif Regular"/>
          <w:sz w:val="20"/>
          <w:szCs w:val="20"/>
        </w:rPr>
        <w:t xml:space="preserve">. </w:t>
      </w:r>
      <w:r w:rsidRPr="00F127BA">
        <w:rPr>
          <w:rFonts w:ascii="StobiSerif Regular" w:hAnsi="StobiSerif Regular" w:cs="Cambria"/>
          <w:sz w:val="20"/>
          <w:szCs w:val="20"/>
        </w:rPr>
        <w:t>Количината</w:t>
      </w:r>
      <w:r w:rsidRPr="00F127BA">
        <w:rPr>
          <w:rFonts w:ascii="StobiSerif Regular" w:hAnsi="StobiSerif Regular"/>
          <w:sz w:val="20"/>
          <w:szCs w:val="20"/>
        </w:rPr>
        <w:t xml:space="preserve"> </w:t>
      </w:r>
      <w:r w:rsidRPr="00F127BA">
        <w:rPr>
          <w:rFonts w:ascii="StobiSerif Regular" w:hAnsi="StobiSerif Regular" w:cs="Cambria"/>
          <w:sz w:val="20"/>
          <w:szCs w:val="20"/>
        </w:rPr>
        <w:t>на</w:t>
      </w:r>
      <w:r w:rsidRPr="00F127BA">
        <w:rPr>
          <w:rFonts w:ascii="StobiSerif Regular" w:hAnsi="StobiSerif Regular"/>
          <w:sz w:val="20"/>
          <w:szCs w:val="20"/>
        </w:rPr>
        <w:t xml:space="preserve"> </w:t>
      </w:r>
      <w:r w:rsidRPr="00F127BA">
        <w:rPr>
          <w:rFonts w:ascii="StobiSerif Regular" w:hAnsi="StobiSerif Regular" w:cs="Cambria"/>
          <w:sz w:val="20"/>
          <w:szCs w:val="20"/>
        </w:rPr>
        <w:t>околу</w:t>
      </w:r>
      <w:r w:rsidRPr="00F127BA">
        <w:rPr>
          <w:rFonts w:ascii="StobiSerif Regular" w:hAnsi="StobiSerif Regular"/>
          <w:sz w:val="20"/>
          <w:szCs w:val="20"/>
        </w:rPr>
        <w:t xml:space="preserve"> 700,000 </w:t>
      </w:r>
      <w:r w:rsidRPr="00F127BA">
        <w:rPr>
          <w:rFonts w:ascii="StobiSerif Regular" w:hAnsi="StobiSerif Regular" w:cs="Cambria"/>
          <w:sz w:val="20"/>
          <w:szCs w:val="20"/>
        </w:rPr>
        <w:t>тони</w:t>
      </w:r>
      <w:r w:rsidRPr="00F127BA">
        <w:rPr>
          <w:rFonts w:ascii="StobiSerif Regular" w:hAnsi="StobiSerif Regular"/>
          <w:sz w:val="20"/>
          <w:szCs w:val="20"/>
        </w:rPr>
        <w:t>/</w:t>
      </w:r>
      <w:r w:rsidRPr="00F127BA">
        <w:rPr>
          <w:rFonts w:ascii="StobiSerif Regular" w:hAnsi="StobiSerif Regular" w:cs="Cambria"/>
          <w:sz w:val="20"/>
          <w:szCs w:val="20"/>
        </w:rPr>
        <w:t>година</w:t>
      </w:r>
      <w:r w:rsidRPr="00F127BA">
        <w:rPr>
          <w:rFonts w:ascii="StobiSerif Regular" w:hAnsi="StobiSerif Regular"/>
          <w:sz w:val="20"/>
          <w:szCs w:val="20"/>
        </w:rPr>
        <w:t xml:space="preserve"> </w:t>
      </w:r>
      <w:r w:rsidRPr="00F127BA">
        <w:rPr>
          <w:rFonts w:ascii="StobiSerif Regular" w:hAnsi="StobiSerif Regular" w:cs="Cambria"/>
          <w:sz w:val="20"/>
          <w:szCs w:val="20"/>
        </w:rPr>
        <w:t>комунален</w:t>
      </w:r>
      <w:r w:rsidRPr="00F127BA">
        <w:rPr>
          <w:rFonts w:ascii="StobiSerif Regular" w:hAnsi="StobiSerif Regular"/>
          <w:sz w:val="20"/>
          <w:szCs w:val="20"/>
        </w:rPr>
        <w:t xml:space="preserve"> </w:t>
      </w:r>
      <w:r w:rsidRPr="00F127BA">
        <w:rPr>
          <w:rFonts w:ascii="StobiSerif Regular" w:hAnsi="StobiSerif Regular" w:cs="Cambria"/>
          <w:sz w:val="20"/>
          <w:szCs w:val="20"/>
        </w:rPr>
        <w:t>отпад</w:t>
      </w:r>
      <w:r w:rsidRPr="00F127BA">
        <w:rPr>
          <w:rFonts w:ascii="StobiSerif Regular" w:hAnsi="StobiSerif Regular"/>
          <w:sz w:val="20"/>
          <w:szCs w:val="20"/>
        </w:rPr>
        <w:t xml:space="preserve">, </w:t>
      </w:r>
      <w:r w:rsidRPr="00F127BA">
        <w:rPr>
          <w:rFonts w:ascii="StobiSerif Regular" w:hAnsi="StobiSerif Regular" w:cs="Cambria"/>
          <w:sz w:val="20"/>
          <w:szCs w:val="20"/>
        </w:rPr>
        <w:t>во</w:t>
      </w:r>
      <w:r w:rsidRPr="00F127BA">
        <w:rPr>
          <w:rFonts w:ascii="StobiSerif Regular" w:hAnsi="StobiSerif Regular"/>
          <w:sz w:val="20"/>
          <w:szCs w:val="20"/>
        </w:rPr>
        <w:t xml:space="preserve"> </w:t>
      </w:r>
      <w:r w:rsidRPr="00F127BA">
        <w:rPr>
          <w:rFonts w:ascii="StobiSerif Regular" w:hAnsi="StobiSerif Regular" w:cs="Cambria"/>
          <w:sz w:val="20"/>
          <w:szCs w:val="20"/>
        </w:rPr>
        <w:t>кој</w:t>
      </w:r>
      <w:r w:rsidRPr="00F127BA">
        <w:rPr>
          <w:rFonts w:ascii="StobiSerif Regular" w:hAnsi="StobiSerif Regular"/>
          <w:sz w:val="20"/>
          <w:szCs w:val="20"/>
        </w:rPr>
        <w:t xml:space="preserve"> </w:t>
      </w:r>
      <w:r w:rsidRPr="00F127BA">
        <w:rPr>
          <w:rFonts w:ascii="StobiSerif Regular" w:hAnsi="StobiSerif Regular" w:cs="Cambria"/>
          <w:sz w:val="20"/>
          <w:szCs w:val="20"/>
        </w:rPr>
        <w:t>голем</w:t>
      </w:r>
      <w:r w:rsidRPr="00F127BA">
        <w:rPr>
          <w:rFonts w:ascii="StobiSerif Regular" w:hAnsi="StobiSerif Regular"/>
          <w:sz w:val="20"/>
          <w:szCs w:val="20"/>
        </w:rPr>
        <w:t xml:space="preserve"> </w:t>
      </w:r>
      <w:r w:rsidRPr="00F127BA">
        <w:rPr>
          <w:rFonts w:ascii="StobiSerif Regular" w:hAnsi="StobiSerif Regular" w:cs="Cambria"/>
          <w:sz w:val="20"/>
          <w:szCs w:val="20"/>
        </w:rPr>
        <w:t>дел</w:t>
      </w:r>
      <w:r w:rsidRPr="00F127BA">
        <w:rPr>
          <w:rFonts w:ascii="StobiSerif Regular" w:hAnsi="StobiSerif Regular"/>
          <w:sz w:val="20"/>
          <w:szCs w:val="20"/>
        </w:rPr>
        <w:t xml:space="preserve"> </w:t>
      </w:r>
      <w:r w:rsidRPr="00F127BA">
        <w:rPr>
          <w:rFonts w:ascii="StobiSerif Regular" w:hAnsi="StobiSerif Regular" w:cs="Cambria"/>
          <w:sz w:val="20"/>
          <w:szCs w:val="20"/>
        </w:rPr>
        <w:t>е</w:t>
      </w:r>
      <w:r w:rsidRPr="00F127BA">
        <w:rPr>
          <w:rFonts w:ascii="StobiSerif Regular" w:hAnsi="StobiSerif Regular"/>
          <w:sz w:val="20"/>
          <w:szCs w:val="20"/>
        </w:rPr>
        <w:t xml:space="preserve"> </w:t>
      </w:r>
      <w:r w:rsidRPr="00F127BA">
        <w:rPr>
          <w:rFonts w:ascii="StobiSerif Regular" w:hAnsi="StobiSerif Regular" w:cs="Cambria"/>
          <w:sz w:val="20"/>
          <w:szCs w:val="20"/>
        </w:rPr>
        <w:t>храна</w:t>
      </w:r>
      <w:r w:rsidRPr="00F127BA">
        <w:rPr>
          <w:rFonts w:ascii="StobiSerif Regular" w:hAnsi="StobiSerif Regular"/>
          <w:sz w:val="20"/>
          <w:szCs w:val="20"/>
        </w:rPr>
        <w:t xml:space="preserve"> </w:t>
      </w:r>
      <w:r w:rsidRPr="00F127BA">
        <w:rPr>
          <w:rFonts w:ascii="StobiSerif Regular" w:hAnsi="StobiSerif Regular" w:cs="Cambria"/>
          <w:sz w:val="20"/>
          <w:szCs w:val="20"/>
        </w:rPr>
        <w:t>која</w:t>
      </w:r>
      <w:r w:rsidRPr="00F127BA">
        <w:rPr>
          <w:rFonts w:ascii="StobiSerif Regular" w:hAnsi="StobiSerif Regular"/>
          <w:sz w:val="20"/>
          <w:szCs w:val="20"/>
        </w:rPr>
        <w:t xml:space="preserve"> </w:t>
      </w:r>
      <w:r w:rsidRPr="00F127BA">
        <w:rPr>
          <w:rFonts w:ascii="StobiSerif Regular" w:hAnsi="StobiSerif Regular" w:cs="Cambria"/>
          <w:sz w:val="20"/>
          <w:szCs w:val="20"/>
        </w:rPr>
        <w:t>може</w:t>
      </w:r>
      <w:r w:rsidRPr="00F127BA">
        <w:rPr>
          <w:rFonts w:ascii="StobiSerif Regular" w:hAnsi="StobiSerif Regular"/>
          <w:sz w:val="20"/>
          <w:szCs w:val="20"/>
        </w:rPr>
        <w:t xml:space="preserve"> </w:t>
      </w:r>
      <w:r w:rsidRPr="00F127BA">
        <w:rPr>
          <w:rFonts w:ascii="StobiSerif Regular" w:hAnsi="StobiSerif Regular" w:cs="Cambria"/>
          <w:sz w:val="20"/>
          <w:szCs w:val="20"/>
        </w:rPr>
        <w:t>да</w:t>
      </w:r>
      <w:r w:rsidRPr="00F127BA">
        <w:rPr>
          <w:rFonts w:ascii="StobiSerif Regular" w:hAnsi="StobiSerif Regular"/>
          <w:sz w:val="20"/>
          <w:szCs w:val="20"/>
        </w:rPr>
        <w:t xml:space="preserve"> </w:t>
      </w:r>
      <w:r w:rsidRPr="00F127BA">
        <w:rPr>
          <w:rFonts w:ascii="StobiSerif Regular" w:hAnsi="StobiSerif Regular" w:cs="Cambria"/>
          <w:sz w:val="20"/>
          <w:szCs w:val="20"/>
        </w:rPr>
        <w:t>се</w:t>
      </w:r>
      <w:r w:rsidRPr="00F127BA">
        <w:rPr>
          <w:rFonts w:ascii="StobiSerif Regular" w:hAnsi="StobiSerif Regular"/>
          <w:sz w:val="20"/>
          <w:szCs w:val="20"/>
        </w:rPr>
        <w:t xml:space="preserve"> </w:t>
      </w:r>
      <w:r w:rsidRPr="00F127BA">
        <w:rPr>
          <w:rFonts w:ascii="StobiSerif Regular" w:hAnsi="StobiSerif Regular" w:cs="Cambria"/>
          <w:sz w:val="20"/>
          <w:szCs w:val="20"/>
        </w:rPr>
        <w:t>извлече</w:t>
      </w:r>
      <w:r w:rsidRPr="00F127BA">
        <w:rPr>
          <w:rFonts w:ascii="StobiSerif Regular" w:hAnsi="StobiSerif Regular"/>
          <w:sz w:val="20"/>
          <w:szCs w:val="20"/>
        </w:rPr>
        <w:t xml:space="preserve"> </w:t>
      </w:r>
      <w:r w:rsidR="006114BD">
        <w:rPr>
          <w:rFonts w:ascii="StobiSerif Regular" w:hAnsi="StobiSerif Regular" w:cs="Cambria"/>
          <w:sz w:val="20"/>
          <w:szCs w:val="20"/>
        </w:rPr>
        <w:t>а во моментот е</w:t>
      </w:r>
      <w:r w:rsidRPr="00F127BA">
        <w:rPr>
          <w:rFonts w:ascii="StobiSerif Regular" w:hAnsi="StobiSerif Regular"/>
          <w:sz w:val="20"/>
          <w:szCs w:val="20"/>
        </w:rPr>
        <w:t xml:space="preserve"> </w:t>
      </w:r>
      <w:r w:rsidRPr="00F127BA">
        <w:rPr>
          <w:rFonts w:ascii="StobiSerif Regular" w:hAnsi="StobiSerif Regular" w:cs="Cambria"/>
          <w:sz w:val="20"/>
          <w:szCs w:val="20"/>
        </w:rPr>
        <w:t>огромен</w:t>
      </w:r>
      <w:r w:rsidRPr="00F127BA">
        <w:rPr>
          <w:rFonts w:ascii="StobiSerif Regular" w:hAnsi="StobiSerif Regular"/>
          <w:sz w:val="20"/>
          <w:szCs w:val="20"/>
        </w:rPr>
        <w:t xml:space="preserve"> </w:t>
      </w:r>
      <w:r w:rsidRPr="00F127BA">
        <w:rPr>
          <w:rFonts w:ascii="StobiSerif Regular" w:hAnsi="StobiSerif Regular" w:cs="Cambria"/>
          <w:sz w:val="20"/>
          <w:szCs w:val="20"/>
        </w:rPr>
        <w:t>економски</w:t>
      </w:r>
      <w:r w:rsidRPr="00F127BA">
        <w:rPr>
          <w:rFonts w:ascii="StobiSerif Regular" w:hAnsi="StobiSerif Regular"/>
          <w:sz w:val="20"/>
          <w:szCs w:val="20"/>
        </w:rPr>
        <w:t xml:space="preserve"> </w:t>
      </w:r>
      <w:r w:rsidRPr="00F127BA">
        <w:rPr>
          <w:rFonts w:ascii="StobiSerif Regular" w:hAnsi="StobiSerif Regular" w:cs="Cambria"/>
          <w:sz w:val="20"/>
          <w:szCs w:val="20"/>
        </w:rPr>
        <w:t>губиток</w:t>
      </w:r>
      <w:r w:rsidRPr="00F127BA">
        <w:rPr>
          <w:rFonts w:ascii="StobiSerif Regular" w:hAnsi="StobiSerif Regular"/>
          <w:sz w:val="20"/>
          <w:szCs w:val="20"/>
        </w:rPr>
        <w:t xml:space="preserve"> </w:t>
      </w:r>
      <w:r w:rsidRPr="00F127BA">
        <w:rPr>
          <w:rFonts w:ascii="StobiSerif Regular" w:hAnsi="StobiSerif Regular" w:cs="Cambria"/>
          <w:sz w:val="20"/>
          <w:szCs w:val="20"/>
        </w:rPr>
        <w:t>за</w:t>
      </w:r>
      <w:r w:rsidRPr="00F127BA">
        <w:rPr>
          <w:rFonts w:ascii="StobiSerif Regular" w:hAnsi="StobiSerif Regular"/>
          <w:sz w:val="20"/>
          <w:szCs w:val="20"/>
        </w:rPr>
        <w:t xml:space="preserve"> </w:t>
      </w:r>
      <w:r w:rsidRPr="00F127BA">
        <w:rPr>
          <w:rFonts w:ascii="StobiSerif Regular" w:hAnsi="StobiSerif Regular" w:cs="Cambria"/>
          <w:sz w:val="20"/>
          <w:szCs w:val="20"/>
        </w:rPr>
        <w:t>целата</w:t>
      </w:r>
      <w:r w:rsidRPr="00F127BA">
        <w:rPr>
          <w:rFonts w:ascii="StobiSerif Regular" w:hAnsi="StobiSerif Regular"/>
          <w:sz w:val="20"/>
          <w:szCs w:val="20"/>
        </w:rPr>
        <w:t xml:space="preserve"> </w:t>
      </w:r>
      <w:r w:rsidR="006114BD">
        <w:rPr>
          <w:rFonts w:ascii="StobiSerif Regular" w:hAnsi="StobiSerif Regular" w:cs="Cambria"/>
          <w:sz w:val="20"/>
          <w:szCs w:val="20"/>
        </w:rPr>
        <w:t>држав. Но со</w:t>
      </w:r>
      <w:r w:rsidR="003C6ADB">
        <w:rPr>
          <w:rFonts w:ascii="StobiSerif Regular" w:hAnsi="StobiSerif Regular" w:cs="Cambria"/>
          <w:sz w:val="20"/>
          <w:szCs w:val="20"/>
        </w:rPr>
        <w:t xml:space="preserve"> носењето на овој закон ќе се намали</w:t>
      </w:r>
      <w:r w:rsidR="003C6ADB">
        <w:rPr>
          <w:rFonts w:ascii="StobiSerif Regular" w:hAnsi="StobiSerif Regular"/>
          <w:sz w:val="20"/>
          <w:szCs w:val="20"/>
        </w:rPr>
        <w:t xml:space="preserve"> и ќе превенира</w:t>
      </w:r>
      <w:r w:rsidR="006114BD">
        <w:rPr>
          <w:rFonts w:ascii="StobiSerif Regular" w:hAnsi="StobiSerif Regular"/>
          <w:sz w:val="20"/>
          <w:szCs w:val="20"/>
        </w:rPr>
        <w:t>ат</w:t>
      </w:r>
      <w:r w:rsidRPr="00F127BA">
        <w:rPr>
          <w:rFonts w:ascii="StobiSerif Regular" w:hAnsi="StobiSerif Regular"/>
          <w:sz w:val="20"/>
          <w:szCs w:val="20"/>
        </w:rPr>
        <w:t xml:space="preserve">  </w:t>
      </w:r>
      <w:r w:rsidRPr="00F127BA">
        <w:rPr>
          <w:rFonts w:ascii="StobiSerif Regular" w:hAnsi="StobiSerif Regular" w:cs="Cambria"/>
          <w:sz w:val="20"/>
          <w:szCs w:val="20"/>
        </w:rPr>
        <w:t>вкупни</w:t>
      </w:r>
      <w:r w:rsidRPr="00F127BA">
        <w:rPr>
          <w:rFonts w:ascii="StobiSerif Regular" w:hAnsi="StobiSerif Regular"/>
          <w:sz w:val="20"/>
          <w:szCs w:val="20"/>
        </w:rPr>
        <w:t xml:space="preserve"> </w:t>
      </w:r>
      <w:r w:rsidRPr="00F127BA">
        <w:rPr>
          <w:rFonts w:ascii="StobiSerif Regular" w:hAnsi="StobiSerif Regular" w:cs="Cambria"/>
          <w:sz w:val="20"/>
          <w:szCs w:val="20"/>
        </w:rPr>
        <w:t>негативни</w:t>
      </w:r>
      <w:r w:rsidRPr="00F127BA">
        <w:rPr>
          <w:rFonts w:ascii="StobiSerif Regular" w:hAnsi="StobiSerif Regular"/>
          <w:sz w:val="20"/>
          <w:szCs w:val="20"/>
        </w:rPr>
        <w:t xml:space="preserve"> </w:t>
      </w:r>
      <w:r w:rsidRPr="00F127BA">
        <w:rPr>
          <w:rFonts w:ascii="StobiSerif Regular" w:hAnsi="StobiSerif Regular" w:cs="Cambria"/>
          <w:sz w:val="20"/>
          <w:szCs w:val="20"/>
        </w:rPr>
        <w:t>импликации</w:t>
      </w:r>
      <w:r w:rsidRPr="00F127BA">
        <w:rPr>
          <w:rFonts w:ascii="StobiSerif Regular" w:hAnsi="StobiSerif Regular"/>
          <w:sz w:val="20"/>
          <w:szCs w:val="20"/>
        </w:rPr>
        <w:t xml:space="preserve"> </w:t>
      </w:r>
      <w:r w:rsidRPr="00F127BA">
        <w:rPr>
          <w:rFonts w:ascii="StobiSerif Regular" w:hAnsi="StobiSerif Regular" w:cs="Cambria"/>
          <w:sz w:val="20"/>
          <w:szCs w:val="20"/>
        </w:rPr>
        <w:t>по</w:t>
      </w:r>
      <w:r w:rsidRPr="00F127BA">
        <w:rPr>
          <w:rFonts w:ascii="StobiSerif Regular" w:hAnsi="StobiSerif Regular"/>
          <w:sz w:val="20"/>
          <w:szCs w:val="20"/>
        </w:rPr>
        <w:t xml:space="preserve"> </w:t>
      </w:r>
      <w:r w:rsidRPr="00F127BA">
        <w:rPr>
          <w:rFonts w:ascii="StobiSerif Regular" w:hAnsi="StobiSerif Regular" w:cs="Cambria"/>
          <w:sz w:val="20"/>
          <w:szCs w:val="20"/>
        </w:rPr>
        <w:t>одржлив</w:t>
      </w:r>
      <w:r w:rsidRPr="00F127BA">
        <w:rPr>
          <w:rFonts w:ascii="StobiSerif Regular" w:hAnsi="StobiSerif Regular"/>
          <w:sz w:val="20"/>
          <w:szCs w:val="20"/>
        </w:rPr>
        <w:t xml:space="preserve"> </w:t>
      </w:r>
      <w:r w:rsidRPr="00F127BA">
        <w:rPr>
          <w:rFonts w:ascii="StobiSerif Regular" w:hAnsi="StobiSerif Regular" w:cs="Cambria"/>
          <w:sz w:val="20"/>
          <w:szCs w:val="20"/>
        </w:rPr>
        <w:t>економски</w:t>
      </w:r>
      <w:r w:rsidRPr="00F127BA">
        <w:rPr>
          <w:rFonts w:ascii="StobiSerif Regular" w:hAnsi="StobiSerif Regular"/>
          <w:sz w:val="20"/>
          <w:szCs w:val="20"/>
        </w:rPr>
        <w:t xml:space="preserve"> </w:t>
      </w:r>
      <w:r w:rsidRPr="00F127BA">
        <w:rPr>
          <w:rFonts w:ascii="StobiSerif Regular" w:hAnsi="StobiSerif Regular" w:cs="Cambria"/>
          <w:sz w:val="20"/>
          <w:szCs w:val="20"/>
        </w:rPr>
        <w:t>развој</w:t>
      </w:r>
      <w:r w:rsidRPr="00F127BA">
        <w:rPr>
          <w:rFonts w:ascii="StobiSerif Regular" w:hAnsi="StobiSerif Regular"/>
          <w:sz w:val="20"/>
          <w:szCs w:val="20"/>
        </w:rPr>
        <w:t>.</w:t>
      </w:r>
    </w:p>
    <w:p w14:paraId="23C7DE15" w14:textId="77777777" w:rsidR="003A6EAC" w:rsidRPr="00E13234" w:rsidRDefault="003A6EAC" w:rsidP="00604E06">
      <w:pPr>
        <w:tabs>
          <w:tab w:val="left" w:pos="675"/>
        </w:tabs>
        <w:rPr>
          <w:rFonts w:ascii="StobiSerif Regular" w:hAnsi="StobiSerif Regular"/>
          <w:sz w:val="20"/>
          <w:szCs w:val="20"/>
          <w:lang w:val="mk-MK"/>
        </w:rPr>
      </w:pPr>
    </w:p>
    <w:p w14:paraId="459F82C7" w14:textId="18F3923B" w:rsidR="00604E06" w:rsidRDefault="00604E06" w:rsidP="00F0285B">
      <w:pPr>
        <w:pStyle w:val="ListParagraph"/>
        <w:numPr>
          <w:ilvl w:val="1"/>
          <w:numId w:val="1"/>
        </w:numPr>
        <w:jc w:val="both"/>
        <w:rPr>
          <w:rFonts w:ascii="StobiSerif Regular" w:hAnsi="StobiSerif Regular"/>
          <w:i/>
          <w:sz w:val="20"/>
          <w:szCs w:val="20"/>
        </w:rPr>
      </w:pPr>
      <w:r w:rsidRPr="00F0285B">
        <w:rPr>
          <w:rFonts w:ascii="StobiSerif Regular" w:hAnsi="StobiSerif Regular"/>
          <w:i/>
          <w:sz w:val="20"/>
          <w:szCs w:val="20"/>
        </w:rPr>
        <w:t xml:space="preserve">Социјални влијанија </w:t>
      </w:r>
    </w:p>
    <w:p w14:paraId="63E86852" w14:textId="5C69501A" w:rsidR="00F127BA" w:rsidRPr="00F127BA" w:rsidRDefault="00F127BA" w:rsidP="00F127BA">
      <w:pPr>
        <w:pStyle w:val="ListParagraph"/>
        <w:numPr>
          <w:ilvl w:val="0"/>
          <w:numId w:val="1"/>
        </w:numPr>
        <w:jc w:val="both"/>
        <w:rPr>
          <w:rFonts w:ascii="StobiSerif Regular" w:hAnsi="StobiSerif Regular"/>
          <w:sz w:val="20"/>
          <w:szCs w:val="20"/>
        </w:rPr>
      </w:pPr>
      <w:r w:rsidRPr="00F127BA">
        <w:rPr>
          <w:rFonts w:ascii="StobiSerif Regular" w:hAnsi="StobiSerif Regular"/>
          <w:sz w:val="20"/>
          <w:szCs w:val="20"/>
        </w:rPr>
        <w:t xml:space="preserve"> МТСП има проект народни кујни (1.7мил ЕУР), кој овозможува донација на храна за околу 4000 лица, што е многу малку, во однос на потребата (од страна на НВО идентификувани се околу 12,000 директно загрозени лица), додека реалната потреба е далеку поголема (околу 450,000 лица со ризик од сиромаштија и глад, со околу 120,000 во апсолутна сиромаштија, од кои околу 65,000 деца).</w:t>
      </w:r>
      <w:r w:rsidR="006114BD">
        <w:rPr>
          <w:rFonts w:ascii="StobiSerif Regular" w:hAnsi="StobiSerif Regular"/>
          <w:sz w:val="20"/>
          <w:szCs w:val="20"/>
        </w:rPr>
        <w:t xml:space="preserve"> Со носење на овој закон ќе се овозможи рамномерен и транспарентен начин на редистрибуција на храна која ќе ги опфати сите ранливи социјални категории на граѓани.</w:t>
      </w:r>
    </w:p>
    <w:p w14:paraId="4129B388" w14:textId="77777777" w:rsidR="00F127BA" w:rsidRPr="00F127BA" w:rsidRDefault="00F127BA" w:rsidP="00F127BA">
      <w:pPr>
        <w:ind w:left="675"/>
        <w:jc w:val="both"/>
        <w:rPr>
          <w:rFonts w:ascii="StobiSerif Regular" w:hAnsi="StobiSerif Regular"/>
          <w:sz w:val="20"/>
          <w:szCs w:val="20"/>
        </w:rPr>
      </w:pPr>
    </w:p>
    <w:p w14:paraId="3BF80503" w14:textId="77777777" w:rsidR="003A6EAC" w:rsidRPr="00E13234" w:rsidRDefault="003A6EAC" w:rsidP="00604E06">
      <w:pPr>
        <w:jc w:val="both"/>
        <w:rPr>
          <w:rFonts w:ascii="StobiSerif Regular" w:hAnsi="StobiSerif Regular"/>
          <w:sz w:val="20"/>
          <w:szCs w:val="20"/>
          <w:lang w:val="mk-MK"/>
        </w:rPr>
      </w:pPr>
    </w:p>
    <w:p w14:paraId="34E5257F" w14:textId="77777777" w:rsidR="00604E06" w:rsidRDefault="00604E06" w:rsidP="00604E06">
      <w:pPr>
        <w:ind w:firstLine="720"/>
        <w:jc w:val="both"/>
        <w:rPr>
          <w:rFonts w:ascii="StobiSerif Regular" w:hAnsi="StobiSerif Regular"/>
          <w:i/>
          <w:sz w:val="20"/>
          <w:szCs w:val="20"/>
          <w:lang w:val="mk-MK"/>
        </w:rPr>
      </w:pPr>
      <w:r w:rsidRPr="00D96CB0">
        <w:rPr>
          <w:rFonts w:ascii="StobiSerif Regular" w:hAnsi="StobiSerif Regular"/>
          <w:i/>
          <w:sz w:val="20"/>
          <w:szCs w:val="20"/>
          <w:lang w:val="mk-MK"/>
        </w:rPr>
        <w:t>4.4</w:t>
      </w:r>
      <w:r w:rsidRPr="00D96CB0">
        <w:rPr>
          <w:rFonts w:ascii="StobiSerif Regular" w:hAnsi="StobiSerif Regular"/>
          <w:i/>
          <w:sz w:val="20"/>
          <w:szCs w:val="20"/>
          <w:lang w:val="mk-MK"/>
        </w:rPr>
        <w:tab/>
        <w:t xml:space="preserve">Влијанија врз животната средина </w:t>
      </w:r>
    </w:p>
    <w:p w14:paraId="4E6875AA" w14:textId="77777777" w:rsidR="00F0285B" w:rsidRDefault="00F0285B" w:rsidP="00604E06">
      <w:pPr>
        <w:ind w:firstLine="720"/>
        <w:jc w:val="both"/>
        <w:rPr>
          <w:rFonts w:ascii="StobiSerif Regular" w:hAnsi="StobiSerif Regular"/>
          <w:i/>
          <w:sz w:val="20"/>
          <w:szCs w:val="20"/>
          <w:lang w:val="mk-MK"/>
        </w:rPr>
      </w:pPr>
    </w:p>
    <w:p w14:paraId="21200AC2" w14:textId="4F32D7D3" w:rsidR="00F0285B" w:rsidRPr="00DD08A2" w:rsidRDefault="00F0285B" w:rsidP="00F0285B">
      <w:pPr>
        <w:tabs>
          <w:tab w:val="left" w:pos="675"/>
        </w:tabs>
        <w:spacing w:after="120"/>
        <w:jc w:val="both"/>
        <w:rPr>
          <w:rFonts w:ascii="StobiSerif Regular" w:eastAsia="Calibri" w:hAnsi="StobiSerif Regular" w:cs="Calibri"/>
          <w:sz w:val="20"/>
          <w:szCs w:val="20"/>
          <w:lang w:val="mk-MK"/>
        </w:rPr>
      </w:pPr>
      <w:r>
        <w:rPr>
          <w:rFonts w:ascii="StobiSerif Regular" w:eastAsia="Calibri" w:hAnsi="StobiSerif Regular" w:cs="Calibri"/>
          <w:sz w:val="20"/>
          <w:szCs w:val="20"/>
          <w:lang w:val="mk-MK"/>
        </w:rPr>
        <w:lastRenderedPageBreak/>
        <w:t>Ф</w:t>
      </w:r>
      <w:r w:rsidRPr="00DD08A2">
        <w:rPr>
          <w:rFonts w:ascii="StobiSerif Regular" w:eastAsia="Calibri" w:hAnsi="StobiSerif Regular" w:cs="Calibri"/>
          <w:sz w:val="20"/>
          <w:szCs w:val="20"/>
          <w:lang w:val="mk-MK"/>
        </w:rPr>
        <w:t>рлањето храна (околу 30% од произведената храна се фрла), има многу негативни последици по животната средина (пресметано е дека 1 тон храна генерира емисии околу 4 тона еквивелент на CО2). Истовремено, фрлањето храна во целиот ланец на исхрана претставува огромен губиток на храна не само како вредност (и изгубена можност за донација на храна за сиромашните), туку и на ресурси, вода, енергија употребена за нејзино производство, загадување и деградација на водите и земјиштето, што во целост е голем притисок (околу 30% од ГХГ се од земјоделството) на природните ресурси (и биодиверзитет) и значително придонесува кон неодрлжлив систем на храна. Фактот дека нашата земја е во групата од пет најранливи земји во ЕУ од климатските промени, уште повеќе укажува на потребата од акции на национално ниво.</w:t>
      </w:r>
      <w:r w:rsidR="006114BD">
        <w:rPr>
          <w:rFonts w:ascii="StobiSerif Regular" w:eastAsia="Calibri" w:hAnsi="StobiSerif Regular" w:cs="Calibri"/>
          <w:sz w:val="20"/>
          <w:szCs w:val="20"/>
          <w:lang w:val="mk-MK"/>
        </w:rPr>
        <w:t xml:space="preserve"> Со носење на законот ќе се натераат операторите со храна наместо да ја депонираат како отпад таа да заврши како безбедна и квалитетна кај граѓаните на кои им е потребна а исто така ќе се забрани враќање на храна од малопродажба назад кон дистрибутивните центри со што ќе се оневозможат и други незаконити манипулации.</w:t>
      </w:r>
    </w:p>
    <w:p w14:paraId="1876D041" w14:textId="77777777" w:rsidR="00F0285B" w:rsidRDefault="00F0285B" w:rsidP="00604E06">
      <w:pPr>
        <w:ind w:firstLine="720"/>
        <w:jc w:val="both"/>
        <w:rPr>
          <w:rFonts w:ascii="StobiSerif Regular" w:hAnsi="StobiSerif Regular"/>
          <w:i/>
          <w:sz w:val="20"/>
          <w:szCs w:val="20"/>
          <w:lang w:val="mk-MK"/>
        </w:rPr>
      </w:pPr>
    </w:p>
    <w:p w14:paraId="1A1A4243" w14:textId="77777777" w:rsidR="00FC72EF" w:rsidRDefault="00FC72EF" w:rsidP="00604E06">
      <w:pPr>
        <w:ind w:firstLine="720"/>
        <w:jc w:val="both"/>
        <w:rPr>
          <w:rFonts w:ascii="StobiSerif Regular" w:hAnsi="StobiSerif Regular"/>
          <w:i/>
          <w:sz w:val="20"/>
          <w:szCs w:val="20"/>
          <w:lang w:val="mk-MK"/>
        </w:rPr>
      </w:pPr>
    </w:p>
    <w:p w14:paraId="7E4E65B9" w14:textId="7D21F0A7" w:rsidR="00604E06" w:rsidRPr="00D96CB0" w:rsidRDefault="00604E06" w:rsidP="00604E06">
      <w:pPr>
        <w:ind w:firstLine="720"/>
        <w:jc w:val="both"/>
        <w:rPr>
          <w:rFonts w:ascii="StobiSerif Regular" w:hAnsi="StobiSerif Regular"/>
          <w:i/>
          <w:sz w:val="20"/>
          <w:szCs w:val="20"/>
          <w:lang w:val="mk-MK"/>
        </w:rPr>
      </w:pPr>
      <w:r w:rsidRPr="00D96CB0">
        <w:rPr>
          <w:rFonts w:ascii="StobiSerif Regular" w:hAnsi="StobiSerif Regular"/>
          <w:i/>
          <w:sz w:val="20"/>
          <w:szCs w:val="20"/>
          <w:lang w:val="mk-MK"/>
        </w:rPr>
        <w:t>4.5</w:t>
      </w:r>
      <w:r w:rsidRPr="00D96CB0">
        <w:rPr>
          <w:rFonts w:ascii="StobiSerif Regular" w:hAnsi="StobiSerif Regular"/>
          <w:i/>
          <w:sz w:val="20"/>
          <w:szCs w:val="20"/>
          <w:lang w:val="mk-MK"/>
        </w:rPr>
        <w:tab/>
        <w:t xml:space="preserve">Административни влијанија и трошоци </w:t>
      </w:r>
    </w:p>
    <w:p w14:paraId="6D8FE36D" w14:textId="77777777" w:rsidR="003A6EAC" w:rsidRPr="00E13234" w:rsidRDefault="003A6EAC" w:rsidP="00604E06">
      <w:pPr>
        <w:jc w:val="both"/>
        <w:rPr>
          <w:rFonts w:ascii="StobiSerif Regular" w:hAnsi="StobiSerif Regular"/>
          <w:sz w:val="20"/>
          <w:szCs w:val="20"/>
          <w:lang w:val="mk-MK"/>
        </w:rPr>
      </w:pPr>
    </w:p>
    <w:p w14:paraId="0233BBD8" w14:textId="246AEF2C" w:rsidR="003C6ADB" w:rsidRPr="00AB168E" w:rsidRDefault="00604E06" w:rsidP="003C6ADB">
      <w:pPr>
        <w:jc w:val="both"/>
        <w:rPr>
          <w:rFonts w:ascii="StobiSerif Regular" w:hAnsi="StobiSerif Regular"/>
          <w:sz w:val="20"/>
          <w:szCs w:val="20"/>
          <w:lang w:val="mk-MK"/>
        </w:rPr>
      </w:pPr>
      <w:r w:rsidRPr="00D96CB0">
        <w:rPr>
          <w:rFonts w:ascii="StobiSerif Regular" w:hAnsi="StobiSerif Regular"/>
          <w:i/>
          <w:sz w:val="20"/>
          <w:szCs w:val="20"/>
          <w:lang w:val="mk-MK"/>
        </w:rPr>
        <w:t>а) трошоци за спроведување</w:t>
      </w:r>
      <w:r w:rsidR="003C6ADB">
        <w:rPr>
          <w:rFonts w:ascii="StobiSerif Regular" w:hAnsi="StobiSerif Regular"/>
          <w:sz w:val="20"/>
          <w:szCs w:val="20"/>
          <w:lang w:val="en-US"/>
        </w:rPr>
        <w:t xml:space="preserve">  </w:t>
      </w:r>
      <w:r w:rsidR="003C6ADB" w:rsidRPr="00AB168E">
        <w:rPr>
          <w:rFonts w:ascii="StobiSerif Regular" w:hAnsi="StobiSerif Regular"/>
          <w:sz w:val="20"/>
          <w:szCs w:val="20"/>
          <w:lang w:val="mk-MK"/>
        </w:rPr>
        <w:t xml:space="preserve"> </w:t>
      </w:r>
    </w:p>
    <w:p w14:paraId="15B9F782" w14:textId="77777777" w:rsidR="003C6ADB" w:rsidRPr="00AB168E" w:rsidRDefault="003C6ADB" w:rsidP="003C6ADB">
      <w:pPr>
        <w:jc w:val="both"/>
        <w:rPr>
          <w:rFonts w:ascii="StobiSerif Regular" w:hAnsi="StobiSerif Regular"/>
          <w:sz w:val="20"/>
          <w:szCs w:val="20"/>
          <w:lang w:val="mk-MK"/>
        </w:rPr>
      </w:pPr>
      <w:r w:rsidRPr="00AB168E">
        <w:rPr>
          <w:rFonts w:ascii="StobiSerif Regular" w:hAnsi="StobiSerif Regular"/>
          <w:sz w:val="20"/>
          <w:szCs w:val="20"/>
          <w:lang w:val="mk-MK"/>
        </w:rPr>
        <w:t>Не се потребни дополнителни трошоци за спроведување на законот.</w:t>
      </w:r>
      <w:r w:rsidRPr="00AB168E">
        <w:rPr>
          <w:rFonts w:ascii="StobiSerif Regular" w:hAnsi="StobiSerif Regular"/>
          <w:sz w:val="20"/>
          <w:szCs w:val="20"/>
          <w:lang w:val="en-US"/>
        </w:rPr>
        <w:t xml:space="preserve"> </w:t>
      </w:r>
    </w:p>
    <w:p w14:paraId="1A58E5E3" w14:textId="77777777" w:rsidR="003C6ADB" w:rsidRPr="00AB168E" w:rsidRDefault="003C6ADB" w:rsidP="003C6ADB">
      <w:pPr>
        <w:ind w:left="720" w:firstLine="720"/>
        <w:jc w:val="both"/>
        <w:rPr>
          <w:rFonts w:ascii="StobiSerif Regular" w:hAnsi="StobiSerif Regular"/>
          <w:sz w:val="20"/>
          <w:szCs w:val="20"/>
          <w:lang w:val="mk-MK"/>
        </w:rPr>
      </w:pPr>
    </w:p>
    <w:p w14:paraId="67F67CE0" w14:textId="589250D3" w:rsidR="00604E06" w:rsidRDefault="003C6ADB" w:rsidP="003C6ADB">
      <w:pPr>
        <w:jc w:val="both"/>
        <w:rPr>
          <w:rFonts w:ascii="StobiSerif Regular" w:hAnsi="StobiSerif Regular"/>
          <w:i/>
          <w:sz w:val="20"/>
          <w:szCs w:val="20"/>
          <w:lang w:val="mk-MK"/>
        </w:rPr>
      </w:pPr>
      <w:r>
        <w:rPr>
          <w:rFonts w:ascii="StobiSerif Regular" w:hAnsi="StobiSerif Regular"/>
          <w:sz w:val="20"/>
          <w:szCs w:val="20"/>
          <w:lang w:val="mk-MK"/>
        </w:rPr>
        <w:t xml:space="preserve"> </w:t>
      </w:r>
      <w:r w:rsidR="00604E06" w:rsidRPr="00D96CB0">
        <w:rPr>
          <w:rFonts w:ascii="StobiSerif Regular" w:hAnsi="StobiSerif Regular"/>
          <w:i/>
          <w:sz w:val="20"/>
          <w:szCs w:val="20"/>
          <w:lang w:val="mk-MK"/>
        </w:rPr>
        <w:t>б) трошоци за почитување на регулативата.</w:t>
      </w:r>
    </w:p>
    <w:p w14:paraId="55D7E89A" w14:textId="77777777" w:rsidR="003C6ADB" w:rsidRPr="00AB168E" w:rsidRDefault="003C6ADB" w:rsidP="003C6ADB">
      <w:pPr>
        <w:jc w:val="both"/>
        <w:rPr>
          <w:rFonts w:ascii="StobiSerif Regular" w:hAnsi="StobiSerif Regular" w:cs="Calibri"/>
          <w:iCs/>
          <w:sz w:val="20"/>
          <w:szCs w:val="20"/>
          <w:lang w:val="mk-MK"/>
        </w:rPr>
      </w:pPr>
      <w:r w:rsidRPr="00AB168E">
        <w:rPr>
          <w:rFonts w:ascii="StobiSerif Regular" w:hAnsi="StobiSerif Regular"/>
          <w:sz w:val="20"/>
          <w:szCs w:val="20"/>
          <w:lang w:val="mk-MK"/>
        </w:rPr>
        <w:t>Не се потребни дополнителни трошоци за почитување на регулативата</w:t>
      </w:r>
    </w:p>
    <w:p w14:paraId="6DB64A91" w14:textId="77777777" w:rsidR="003C6ADB" w:rsidRPr="003C6ADB" w:rsidRDefault="003C6ADB" w:rsidP="003C6ADB">
      <w:pPr>
        <w:jc w:val="both"/>
        <w:rPr>
          <w:rFonts w:ascii="StobiSerif Regular" w:hAnsi="StobiSerif Regular"/>
          <w:sz w:val="20"/>
          <w:szCs w:val="20"/>
          <w:lang w:val="mk-MK"/>
        </w:rPr>
      </w:pPr>
    </w:p>
    <w:bookmarkEnd w:id="10"/>
    <w:p w14:paraId="01E0B15D" w14:textId="77777777" w:rsidR="00604E06" w:rsidRPr="00D96CB0" w:rsidRDefault="00604E06" w:rsidP="00604E06">
      <w:pPr>
        <w:tabs>
          <w:tab w:val="left" w:pos="675"/>
        </w:tabs>
        <w:rPr>
          <w:rFonts w:ascii="StobiSerif Regular" w:hAnsi="StobiSerif Regular"/>
          <w:sz w:val="20"/>
          <w:szCs w:val="20"/>
          <w:u w:val="single"/>
          <w:lang w:val="mk-MK"/>
        </w:rPr>
      </w:pPr>
    </w:p>
    <w:p w14:paraId="37B2B81A" w14:textId="77777777" w:rsidR="00604E06" w:rsidRPr="00D96CB0" w:rsidRDefault="00604E06" w:rsidP="00604E06">
      <w:pPr>
        <w:shd w:val="clear" w:color="auto" w:fill="FBD4B4"/>
        <w:tabs>
          <w:tab w:val="left" w:pos="675"/>
        </w:tabs>
        <w:rPr>
          <w:rFonts w:ascii="StobiSerif Regular" w:hAnsi="StobiSerif Regular"/>
          <w:b/>
          <w:sz w:val="20"/>
          <w:szCs w:val="20"/>
          <w:lang w:val="mk-MK"/>
        </w:rPr>
      </w:pPr>
      <w:r w:rsidRPr="00D96CB0">
        <w:rPr>
          <w:rFonts w:ascii="StobiSerif Regular" w:hAnsi="StobiSerif Regular"/>
          <w:b/>
          <w:sz w:val="20"/>
          <w:szCs w:val="20"/>
          <w:lang w:val="mk-MK"/>
        </w:rPr>
        <w:t>5.</w:t>
      </w:r>
      <w:r w:rsidRPr="00D96CB0">
        <w:rPr>
          <w:rFonts w:ascii="StobiSerif Regular" w:hAnsi="StobiSerif Regular"/>
          <w:b/>
          <w:sz w:val="20"/>
          <w:szCs w:val="20"/>
          <w:lang w:val="mk-MK"/>
        </w:rPr>
        <w:tab/>
        <w:t>Консултации</w:t>
      </w:r>
    </w:p>
    <w:p w14:paraId="5E4D829A" w14:textId="77777777" w:rsidR="00604E06" w:rsidRPr="00D96CB0" w:rsidRDefault="00604E06" w:rsidP="00604E06">
      <w:pPr>
        <w:ind w:firstLine="720"/>
        <w:jc w:val="both"/>
        <w:rPr>
          <w:rFonts w:ascii="StobiSerif Regular" w:hAnsi="StobiSerif Regular"/>
          <w:sz w:val="20"/>
          <w:szCs w:val="20"/>
          <w:lang w:val="ru-RU"/>
        </w:rPr>
      </w:pPr>
    </w:p>
    <w:p w14:paraId="5E9840E2" w14:textId="77777777" w:rsidR="00604E06" w:rsidRDefault="00604E06" w:rsidP="002B0173">
      <w:pPr>
        <w:ind w:firstLine="720"/>
        <w:jc w:val="both"/>
        <w:rPr>
          <w:rFonts w:ascii="StobiSerif Regular" w:hAnsi="StobiSerif Regular"/>
          <w:sz w:val="20"/>
          <w:szCs w:val="20"/>
          <w:lang w:val="mk-MK"/>
        </w:rPr>
      </w:pPr>
      <w:r w:rsidRPr="00D96CB0">
        <w:rPr>
          <w:rFonts w:ascii="StobiSerif Regular" w:hAnsi="StobiSerif Regular"/>
          <w:sz w:val="20"/>
          <w:szCs w:val="20"/>
          <w:lang w:val="mk-MK"/>
        </w:rPr>
        <w:t>5.1</w:t>
      </w:r>
      <w:r w:rsidRPr="00D96CB0">
        <w:rPr>
          <w:rFonts w:ascii="StobiSerif Regular" w:hAnsi="StobiSerif Regular"/>
          <w:sz w:val="20"/>
          <w:szCs w:val="20"/>
          <w:lang w:val="mk-MK"/>
        </w:rPr>
        <w:tab/>
        <w:t>Засегнати страни и начин на вклучување</w:t>
      </w:r>
    </w:p>
    <w:p w14:paraId="11FE105F" w14:textId="77777777" w:rsidR="003A6EAC" w:rsidRPr="00D96CB0" w:rsidRDefault="003A6EAC" w:rsidP="002B0173">
      <w:pPr>
        <w:ind w:firstLine="720"/>
        <w:jc w:val="both"/>
        <w:rPr>
          <w:rFonts w:ascii="StobiSerif Regular" w:hAnsi="StobiSerif Regular"/>
          <w:sz w:val="20"/>
          <w:szCs w:val="20"/>
          <w:lang w:val="mk-MK"/>
        </w:rPr>
      </w:pPr>
    </w:p>
    <w:p w14:paraId="5AC6C010" w14:textId="57AC35FC" w:rsidR="00604E06" w:rsidRDefault="00604E06" w:rsidP="00604E06">
      <w:pPr>
        <w:numPr>
          <w:ilvl w:val="0"/>
          <w:numId w:val="3"/>
        </w:numPr>
        <w:shd w:val="clear" w:color="auto" w:fill="FFFFFF"/>
        <w:ind w:left="540"/>
        <w:jc w:val="both"/>
        <w:textAlignment w:val="baseline"/>
        <w:rPr>
          <w:rFonts w:ascii="StobiSerif Regular" w:hAnsi="StobiSerif Regular"/>
          <w:sz w:val="20"/>
          <w:szCs w:val="20"/>
          <w:lang w:val="mk-MK"/>
        </w:rPr>
      </w:pPr>
      <w:r w:rsidRPr="00D96CB0">
        <w:rPr>
          <w:rFonts w:ascii="StobiSerif Regular" w:hAnsi="StobiSerif Regular"/>
          <w:sz w:val="20"/>
          <w:szCs w:val="20"/>
          <w:lang w:val="mk-MK"/>
        </w:rPr>
        <w:t>Органи на државна управа</w:t>
      </w:r>
      <w:r w:rsidR="004053DD">
        <w:rPr>
          <w:rFonts w:ascii="StobiSerif Regular" w:hAnsi="StobiSerif Regular"/>
          <w:sz w:val="20"/>
          <w:szCs w:val="20"/>
          <w:lang w:val="mk-MK"/>
        </w:rPr>
        <w:t>:</w:t>
      </w:r>
    </w:p>
    <w:p w14:paraId="049FE3C9" w14:textId="77777777" w:rsidR="004053DD" w:rsidRPr="002B0173" w:rsidRDefault="004053DD" w:rsidP="004053DD">
      <w:pPr>
        <w:shd w:val="clear" w:color="auto" w:fill="FFFFFF"/>
        <w:ind w:left="540"/>
        <w:jc w:val="both"/>
        <w:textAlignment w:val="baseline"/>
        <w:rPr>
          <w:rFonts w:ascii="StobiSerif Regular" w:hAnsi="StobiSerif Regular"/>
          <w:sz w:val="20"/>
          <w:szCs w:val="20"/>
          <w:lang w:val="mk-MK"/>
        </w:rPr>
      </w:pPr>
    </w:p>
    <w:p w14:paraId="215F41B5" w14:textId="1A333E22" w:rsidR="008F6C18" w:rsidRPr="008F6C18" w:rsidRDefault="008F6C18" w:rsidP="008F6C18">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Министерство за труд и социјална политика;</w:t>
      </w:r>
    </w:p>
    <w:p w14:paraId="3AE36C81" w14:textId="75F28447" w:rsidR="008F6C18" w:rsidRPr="008F6C18" w:rsidRDefault="008F6C18" w:rsidP="008F6C18">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Министерство за земјоделство, шумарство и водостопанство;</w:t>
      </w:r>
    </w:p>
    <w:p w14:paraId="73C999A4" w14:textId="791E0FF0" w:rsidR="008F6C18" w:rsidRPr="008F6C18" w:rsidRDefault="008F6C18" w:rsidP="008F6C18">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Министерство за финансии;</w:t>
      </w:r>
    </w:p>
    <w:p w14:paraId="20E61C56" w14:textId="7D51ADC9" w:rsidR="008F6C18" w:rsidRPr="00413542" w:rsidRDefault="008F6C18" w:rsidP="00413542">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Министерство за животна средина и просторно планирање;</w:t>
      </w:r>
    </w:p>
    <w:p w14:paraId="2BA9D5F7" w14:textId="66D3B17C" w:rsidR="008F6C18" w:rsidRPr="008F6C18" w:rsidRDefault="008F6C18" w:rsidP="008F6C18">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Министерство за правда;</w:t>
      </w:r>
    </w:p>
    <w:p w14:paraId="624CDE47" w14:textId="4E01CEAE" w:rsidR="008F6C18" w:rsidRDefault="008F6C18" w:rsidP="008F6C18">
      <w:pPr>
        <w:pStyle w:val="ListParagraph"/>
        <w:numPr>
          <w:ilvl w:val="0"/>
          <w:numId w:val="12"/>
        </w:numPr>
        <w:shd w:val="clear" w:color="auto" w:fill="FFFFFF"/>
        <w:jc w:val="both"/>
        <w:textAlignment w:val="baseline"/>
        <w:rPr>
          <w:rFonts w:ascii="StobiSerif Regular" w:hAnsi="StobiSerif Regular"/>
          <w:sz w:val="20"/>
          <w:szCs w:val="20"/>
        </w:rPr>
      </w:pPr>
      <w:r w:rsidRPr="008F6C18">
        <w:rPr>
          <w:rFonts w:ascii="StobiSerif Regular" w:hAnsi="StobiSerif Regular"/>
          <w:sz w:val="20"/>
          <w:szCs w:val="20"/>
        </w:rPr>
        <w:t>Агенција за храна и ветеринарство</w:t>
      </w:r>
    </w:p>
    <w:p w14:paraId="4184EE2F" w14:textId="23B245C9" w:rsidR="00413542" w:rsidRPr="008F6C18" w:rsidRDefault="00413542" w:rsidP="008F6C18">
      <w:pPr>
        <w:pStyle w:val="ListParagraph"/>
        <w:numPr>
          <w:ilvl w:val="0"/>
          <w:numId w:val="12"/>
        </w:numPr>
        <w:shd w:val="clear" w:color="auto" w:fill="FFFFFF"/>
        <w:jc w:val="both"/>
        <w:textAlignment w:val="baseline"/>
        <w:rPr>
          <w:rFonts w:ascii="StobiSerif Regular" w:hAnsi="StobiSerif Regular"/>
          <w:sz w:val="20"/>
          <w:szCs w:val="20"/>
        </w:rPr>
      </w:pPr>
      <w:r>
        <w:rPr>
          <w:rFonts w:ascii="StobiSerif Regular" w:hAnsi="StobiSerif Regular"/>
          <w:sz w:val="20"/>
          <w:szCs w:val="20"/>
        </w:rPr>
        <w:t>УЈП</w:t>
      </w:r>
    </w:p>
    <w:p w14:paraId="61A2470C" w14:textId="77777777" w:rsidR="00604E06" w:rsidRDefault="00604E06" w:rsidP="00604E06">
      <w:pPr>
        <w:shd w:val="clear" w:color="auto" w:fill="FFFFFF"/>
        <w:spacing w:after="150" w:line="273" w:lineRule="atLeast"/>
        <w:jc w:val="both"/>
        <w:textAlignment w:val="baseline"/>
        <w:rPr>
          <w:rFonts w:ascii="StobiSerif Regular" w:hAnsi="StobiSerif Regular"/>
          <w:sz w:val="20"/>
          <w:szCs w:val="20"/>
          <w:lang w:val="mk-MK"/>
        </w:rPr>
      </w:pPr>
      <w:r>
        <w:rPr>
          <w:rFonts w:ascii="StobiSerif Regular" w:hAnsi="StobiSerif Regular"/>
          <w:sz w:val="20"/>
          <w:szCs w:val="20"/>
          <w:lang w:val="mk-MK"/>
        </w:rPr>
        <w:t xml:space="preserve">   2. </w:t>
      </w:r>
      <w:r w:rsidR="002B0173">
        <w:rPr>
          <w:rFonts w:ascii="StobiSerif Regular" w:hAnsi="StobiSerif Regular"/>
          <w:sz w:val="20"/>
          <w:szCs w:val="20"/>
          <w:lang w:val="mk-MK"/>
        </w:rPr>
        <w:t xml:space="preserve"> </w:t>
      </w:r>
      <w:r>
        <w:rPr>
          <w:rFonts w:ascii="StobiSerif Regular" w:hAnsi="StobiSerif Regular"/>
          <w:sz w:val="20"/>
          <w:szCs w:val="20"/>
          <w:lang w:val="mk-MK"/>
        </w:rPr>
        <w:t>Засегнати страни</w:t>
      </w:r>
    </w:p>
    <w:p w14:paraId="5025A366" w14:textId="77777777" w:rsidR="008F6C18" w:rsidRPr="008F6C18" w:rsidRDefault="008F6C18" w:rsidP="008F6C18">
      <w:pPr>
        <w:pStyle w:val="ListParagraph"/>
        <w:numPr>
          <w:ilvl w:val="0"/>
          <w:numId w:val="5"/>
        </w:numPr>
        <w:shd w:val="clear" w:color="auto" w:fill="FFFFFF"/>
        <w:ind w:left="540"/>
        <w:jc w:val="both"/>
        <w:textAlignment w:val="baseline"/>
        <w:rPr>
          <w:rFonts w:ascii="StobiSerif Regular" w:hAnsi="StobiSerif Regular"/>
          <w:sz w:val="20"/>
          <w:szCs w:val="20"/>
        </w:rPr>
      </w:pPr>
      <w:r w:rsidRPr="008F6C18">
        <w:rPr>
          <w:rFonts w:ascii="StobiSerif Regular" w:hAnsi="StobiSerif Regular"/>
          <w:sz w:val="20"/>
          <w:szCs w:val="20"/>
        </w:rPr>
        <w:t>Граѓански организации кои распределуваат донација на храна на граѓаните на кои им треба;</w:t>
      </w:r>
    </w:p>
    <w:p w14:paraId="4EFA6475" w14:textId="77777777" w:rsidR="008F6C18" w:rsidRPr="008F6C18" w:rsidRDefault="008F6C18" w:rsidP="008F6C18">
      <w:pPr>
        <w:pStyle w:val="ListParagraph"/>
        <w:numPr>
          <w:ilvl w:val="0"/>
          <w:numId w:val="5"/>
        </w:numPr>
        <w:shd w:val="clear" w:color="auto" w:fill="FFFFFF"/>
        <w:ind w:left="540"/>
        <w:jc w:val="both"/>
        <w:textAlignment w:val="baseline"/>
        <w:rPr>
          <w:rFonts w:ascii="StobiSerif Regular" w:hAnsi="StobiSerif Regular"/>
          <w:sz w:val="20"/>
          <w:szCs w:val="20"/>
        </w:rPr>
      </w:pPr>
      <w:r w:rsidRPr="008F6C18">
        <w:rPr>
          <w:rFonts w:ascii="StobiSerif Regular" w:hAnsi="StobiSerif Regular"/>
          <w:sz w:val="20"/>
          <w:szCs w:val="20"/>
        </w:rPr>
        <w:t>Големи ланци за снабдување (супермаркети), снабдувачи, производен прехрамбен сектор, земјоделци, ресторани, како потенцијални донори.</w:t>
      </w:r>
    </w:p>
    <w:p w14:paraId="4A6EF949" w14:textId="77777777" w:rsidR="00604E06" w:rsidRPr="00D96CB0" w:rsidRDefault="00604E06" w:rsidP="00604E06">
      <w:pPr>
        <w:ind w:firstLine="720"/>
        <w:jc w:val="both"/>
        <w:rPr>
          <w:rFonts w:ascii="StobiSerif Regular" w:hAnsi="StobiSerif Regular"/>
          <w:sz w:val="20"/>
          <w:szCs w:val="20"/>
          <w:lang w:val="mk-MK"/>
        </w:rPr>
      </w:pPr>
      <w:r w:rsidRPr="00D96CB0">
        <w:rPr>
          <w:rFonts w:ascii="StobiSerif Regular" w:hAnsi="StobiSerif Regular"/>
          <w:sz w:val="20"/>
          <w:szCs w:val="20"/>
          <w:lang w:val="mk-MK"/>
        </w:rPr>
        <w:t>5.2</w:t>
      </w:r>
      <w:r w:rsidRPr="00D96CB0">
        <w:rPr>
          <w:rFonts w:ascii="StobiSerif Regular" w:hAnsi="StobiSerif Regular"/>
          <w:sz w:val="20"/>
          <w:szCs w:val="20"/>
          <w:lang w:val="mk-MK"/>
        </w:rPr>
        <w:tab/>
        <w:t xml:space="preserve">Преглед на добиените и вградените мислења </w:t>
      </w:r>
    </w:p>
    <w:p w14:paraId="1E5E4C79" w14:textId="77777777" w:rsidR="00604E06" w:rsidRPr="00D96CB0" w:rsidRDefault="00604E06" w:rsidP="00604E06">
      <w:pPr>
        <w:jc w:val="both"/>
        <w:rPr>
          <w:rFonts w:ascii="StobiSerif Regular" w:hAnsi="StobiSerif Regular"/>
          <w:sz w:val="20"/>
          <w:szCs w:val="20"/>
          <w:lang w:val="mk-MK"/>
        </w:rPr>
      </w:pPr>
    </w:p>
    <w:p w14:paraId="22A88777" w14:textId="77777777" w:rsidR="00604E06" w:rsidRDefault="00604E06" w:rsidP="00604E06">
      <w:pPr>
        <w:pStyle w:val="ListParagraph"/>
        <w:numPr>
          <w:ilvl w:val="1"/>
          <w:numId w:val="4"/>
        </w:numPr>
        <w:jc w:val="both"/>
        <w:rPr>
          <w:rFonts w:ascii="StobiSerif Regular" w:hAnsi="StobiSerif Regular"/>
          <w:i/>
          <w:sz w:val="20"/>
          <w:szCs w:val="20"/>
        </w:rPr>
      </w:pPr>
      <w:r w:rsidRPr="00D96CB0">
        <w:rPr>
          <w:rFonts w:ascii="StobiSerif Regular" w:hAnsi="StobiSerif Regular"/>
          <w:i/>
          <w:sz w:val="20"/>
          <w:szCs w:val="20"/>
        </w:rPr>
        <w:t>Мислењата кои не биле земени предвид и зошто</w:t>
      </w:r>
    </w:p>
    <w:p w14:paraId="59832BE1" w14:textId="1C3B8D26" w:rsidR="003A6EAC" w:rsidRPr="006114BD" w:rsidRDefault="006114BD" w:rsidP="006114BD">
      <w:pPr>
        <w:ind w:left="426"/>
        <w:jc w:val="both"/>
        <w:rPr>
          <w:rFonts w:ascii="StobiSerif Regular" w:hAnsi="StobiSerif Regular"/>
          <w:sz w:val="20"/>
          <w:szCs w:val="20"/>
          <w:lang w:val="mk-MK"/>
        </w:rPr>
      </w:pPr>
      <w:r w:rsidRPr="006114BD">
        <w:rPr>
          <w:rFonts w:ascii="StobiSerif Regular" w:hAnsi="StobiSerif Regular"/>
          <w:i/>
          <w:sz w:val="20"/>
          <w:szCs w:val="20"/>
          <w:lang w:val="mk-MK"/>
        </w:rPr>
        <w:t xml:space="preserve">  </w:t>
      </w:r>
      <w:proofErr w:type="spellStart"/>
      <w:r w:rsidRPr="006114BD">
        <w:rPr>
          <w:rFonts w:ascii="StobiSerif Regular" w:hAnsi="StobiSerif Regular"/>
          <w:sz w:val="20"/>
          <w:szCs w:val="20"/>
        </w:rPr>
        <w:t>Мислењата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на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засегнати</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страни</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се</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земени</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во</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предвид</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при</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подготовка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на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предлог</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законот</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доколку</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дополнително</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се</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пројави</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ново</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мислење</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од</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засегната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страна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ќе</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биде</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разгледано</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од</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страна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на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работната</w:t>
      </w:r>
      <w:proofErr w:type="spellEnd"/>
      <w:r w:rsidRPr="006114BD">
        <w:rPr>
          <w:rFonts w:ascii="StobiSerif Regular" w:hAnsi="StobiSerif Regular"/>
          <w:sz w:val="20"/>
          <w:szCs w:val="20"/>
        </w:rPr>
        <w:t xml:space="preserve"> </w:t>
      </w:r>
      <w:proofErr w:type="spellStart"/>
      <w:r w:rsidRPr="006114BD">
        <w:rPr>
          <w:rFonts w:ascii="StobiSerif Regular" w:hAnsi="StobiSerif Regular"/>
          <w:sz w:val="20"/>
          <w:szCs w:val="20"/>
        </w:rPr>
        <w:t>група</w:t>
      </w:r>
      <w:proofErr w:type="spellEnd"/>
      <w:r w:rsidRPr="006114BD">
        <w:rPr>
          <w:rFonts w:ascii="StobiSerif Regular" w:hAnsi="StobiSerif Regular"/>
          <w:sz w:val="20"/>
          <w:szCs w:val="20"/>
        </w:rPr>
        <w:t>.</w:t>
      </w:r>
    </w:p>
    <w:p w14:paraId="18374662" w14:textId="77777777" w:rsidR="00604E06" w:rsidRPr="00D96CB0" w:rsidRDefault="00604E06" w:rsidP="00604E06">
      <w:pPr>
        <w:shd w:val="clear" w:color="auto" w:fill="FBD4B4"/>
        <w:tabs>
          <w:tab w:val="left" w:pos="675"/>
        </w:tabs>
        <w:rPr>
          <w:rFonts w:ascii="StobiSerif Regular" w:hAnsi="StobiSerif Regular"/>
          <w:b/>
          <w:sz w:val="20"/>
          <w:szCs w:val="20"/>
          <w:lang w:val="mk-MK"/>
        </w:rPr>
      </w:pPr>
      <w:r w:rsidRPr="006114BD">
        <w:rPr>
          <w:rFonts w:ascii="StobiSerif Regular" w:hAnsi="StobiSerif Regular"/>
          <w:b/>
          <w:sz w:val="20"/>
          <w:szCs w:val="20"/>
          <w:lang w:val="mk-MK"/>
        </w:rPr>
        <w:t xml:space="preserve">6. </w:t>
      </w:r>
      <w:r w:rsidRPr="006114BD">
        <w:rPr>
          <w:rFonts w:ascii="StobiSerif Regular" w:hAnsi="StobiSerif Regular"/>
          <w:b/>
          <w:sz w:val="20"/>
          <w:szCs w:val="20"/>
          <w:lang w:val="mk-MK"/>
        </w:rPr>
        <w:tab/>
        <w:t>Заклучоци и препорачано</w:t>
      </w:r>
      <w:r w:rsidRPr="00D96CB0">
        <w:rPr>
          <w:rFonts w:ascii="StobiSerif Regular" w:hAnsi="StobiSerif Regular"/>
          <w:b/>
          <w:sz w:val="20"/>
          <w:szCs w:val="20"/>
          <w:lang w:val="mk-MK"/>
        </w:rPr>
        <w:t xml:space="preserve"> решение</w:t>
      </w:r>
    </w:p>
    <w:p w14:paraId="1B93E9CE" w14:textId="77777777" w:rsidR="00604E06" w:rsidRPr="00D96CB0" w:rsidRDefault="00604E06" w:rsidP="00604E06">
      <w:pPr>
        <w:jc w:val="both"/>
        <w:rPr>
          <w:rFonts w:ascii="StobiSerif Regular" w:hAnsi="StobiSerif Regular"/>
          <w:sz w:val="20"/>
          <w:szCs w:val="20"/>
          <w:lang w:val="ru-RU"/>
        </w:rPr>
      </w:pPr>
    </w:p>
    <w:p w14:paraId="147D5343" w14:textId="77777777" w:rsidR="00604E06" w:rsidRPr="00D96CB0" w:rsidRDefault="00604E06" w:rsidP="002B0173">
      <w:pPr>
        <w:ind w:left="720"/>
        <w:jc w:val="both"/>
        <w:rPr>
          <w:rFonts w:ascii="StobiSerif Regular" w:hAnsi="StobiSerif Regular"/>
          <w:sz w:val="20"/>
          <w:szCs w:val="20"/>
          <w:lang w:val="mk-MK"/>
        </w:rPr>
      </w:pPr>
      <w:r w:rsidRPr="00D96CB0">
        <w:rPr>
          <w:rFonts w:ascii="StobiSerif Regular" w:hAnsi="StobiSerif Regular"/>
          <w:sz w:val="20"/>
          <w:szCs w:val="20"/>
          <w:lang w:val="mk-MK"/>
        </w:rPr>
        <w:t>6.1</w:t>
      </w:r>
      <w:r w:rsidRPr="00D96CB0">
        <w:rPr>
          <w:rFonts w:ascii="StobiSerif Regular" w:hAnsi="StobiSerif Regular"/>
          <w:sz w:val="20"/>
          <w:szCs w:val="20"/>
          <w:lang w:val="mk-MK"/>
        </w:rPr>
        <w:tab/>
        <w:t>Споредбен преглед на позитивните и негативните влијанија на можните</w:t>
      </w:r>
      <w:r w:rsidR="003A6EAC">
        <w:rPr>
          <w:rFonts w:ascii="StobiSerif Regular" w:hAnsi="StobiSerif Regular"/>
          <w:sz w:val="20"/>
          <w:szCs w:val="20"/>
          <w:lang w:val="mk-MK"/>
        </w:rPr>
        <w:t xml:space="preserve"> </w:t>
      </w:r>
      <w:r w:rsidRPr="00D96CB0">
        <w:rPr>
          <w:rFonts w:ascii="StobiSerif Regular" w:hAnsi="StobiSerif Regular"/>
          <w:sz w:val="20"/>
          <w:szCs w:val="20"/>
          <w:lang w:val="mk-MK"/>
        </w:rPr>
        <w:t>решенија (опции)</w:t>
      </w:r>
    </w:p>
    <w:p w14:paraId="26EFF97F" w14:textId="64328B17" w:rsidR="00604E06" w:rsidRDefault="00604E06" w:rsidP="00604E06">
      <w:pPr>
        <w:tabs>
          <w:tab w:val="left" w:pos="675"/>
        </w:tabs>
        <w:jc w:val="both"/>
        <w:rPr>
          <w:rFonts w:ascii="StobiSerif Regular" w:hAnsi="StobiSerif Regular"/>
          <w:sz w:val="20"/>
          <w:szCs w:val="20"/>
          <w:lang w:val="mk-MK"/>
        </w:rPr>
      </w:pPr>
      <w:r w:rsidRPr="00D96CB0">
        <w:rPr>
          <w:rFonts w:ascii="StobiSerif Regular" w:hAnsi="StobiSerif Regular"/>
          <w:b/>
          <w:sz w:val="20"/>
          <w:szCs w:val="20"/>
          <w:lang w:val="mk-MK"/>
        </w:rPr>
        <w:t>Опција – „не прави ништо“</w:t>
      </w:r>
      <w:r w:rsidRPr="00D96CB0">
        <w:rPr>
          <w:rFonts w:ascii="StobiSerif Regular" w:hAnsi="StobiSerif Regular"/>
          <w:sz w:val="20"/>
          <w:szCs w:val="20"/>
          <w:lang w:val="mk-MK"/>
        </w:rPr>
        <w:t xml:space="preserve"> има </w:t>
      </w:r>
      <w:r>
        <w:rPr>
          <w:rFonts w:ascii="StobiSerif Regular" w:hAnsi="StobiSerif Regular"/>
          <w:sz w:val="20"/>
          <w:szCs w:val="20"/>
          <w:lang w:val="mk-MK"/>
        </w:rPr>
        <w:t>негативно влијание бидејќи</w:t>
      </w:r>
      <w:r w:rsidR="00413542">
        <w:rPr>
          <w:rFonts w:ascii="StobiSerif Regular" w:hAnsi="StobiSerif Regular"/>
          <w:sz w:val="20"/>
          <w:szCs w:val="20"/>
          <w:lang w:val="mk-MK"/>
        </w:rPr>
        <w:t xml:space="preserve"> нема да се направи позитивен ис</w:t>
      </w:r>
      <w:r w:rsidR="008073D0">
        <w:rPr>
          <w:rFonts w:ascii="StobiSerif Regular" w:hAnsi="StobiSerif Regular"/>
          <w:sz w:val="20"/>
          <w:szCs w:val="20"/>
          <w:lang w:val="mk-MK"/>
        </w:rPr>
        <w:t>чекор во унапредување на областа</w:t>
      </w:r>
      <w:r>
        <w:rPr>
          <w:rFonts w:ascii="StobiSerif Regular" w:hAnsi="StobiSerif Regular"/>
          <w:sz w:val="20"/>
          <w:szCs w:val="20"/>
          <w:lang w:val="mk-MK"/>
        </w:rPr>
        <w:t>.</w:t>
      </w:r>
    </w:p>
    <w:p w14:paraId="737BF555" w14:textId="77777777" w:rsidR="008073D0" w:rsidRPr="00D96CB0" w:rsidRDefault="008073D0" w:rsidP="00604E06">
      <w:pPr>
        <w:tabs>
          <w:tab w:val="left" w:pos="675"/>
        </w:tabs>
        <w:jc w:val="both"/>
        <w:rPr>
          <w:rFonts w:ascii="StobiSerif Regular" w:hAnsi="StobiSerif Regular"/>
          <w:sz w:val="20"/>
          <w:szCs w:val="20"/>
          <w:lang w:val="mk-MK"/>
        </w:rPr>
      </w:pPr>
    </w:p>
    <w:p w14:paraId="5F4353E7" w14:textId="325B4B76" w:rsidR="00604E06" w:rsidRDefault="00604E06" w:rsidP="002B0173">
      <w:pPr>
        <w:jc w:val="both"/>
        <w:rPr>
          <w:rFonts w:ascii="StobiSerif Regular" w:hAnsi="StobiSerif Regular"/>
          <w:sz w:val="20"/>
          <w:szCs w:val="20"/>
          <w:lang w:val="mk-MK"/>
        </w:rPr>
      </w:pPr>
      <w:r w:rsidRPr="00D96CB0">
        <w:rPr>
          <w:rFonts w:ascii="StobiSerif Regular" w:hAnsi="StobiSerif Regular"/>
          <w:b/>
          <w:sz w:val="20"/>
          <w:szCs w:val="20"/>
          <w:lang w:val="mk-MK"/>
        </w:rPr>
        <w:t>Опција 1</w:t>
      </w:r>
      <w:r w:rsidRPr="00D96CB0">
        <w:rPr>
          <w:rFonts w:ascii="StobiSerif Regular" w:hAnsi="StobiSerif Regular"/>
          <w:sz w:val="20"/>
          <w:szCs w:val="20"/>
          <w:lang w:val="mk-MK"/>
        </w:rPr>
        <w:t xml:space="preserve"> –</w:t>
      </w:r>
      <w:r w:rsidR="008073D0">
        <w:rPr>
          <w:rFonts w:ascii="StobiSerif Regular" w:hAnsi="StobiSerif Regular"/>
          <w:sz w:val="20"/>
          <w:szCs w:val="20"/>
          <w:lang w:val="mk-MK"/>
        </w:rPr>
        <w:t>има негативно решение затоа што нема да се има компримирано законско решение на регулирање на областа.</w:t>
      </w:r>
    </w:p>
    <w:p w14:paraId="736AB173" w14:textId="0C98EEB6" w:rsidR="008073D0" w:rsidRDefault="008073D0" w:rsidP="002B0173">
      <w:pPr>
        <w:jc w:val="both"/>
        <w:rPr>
          <w:rFonts w:ascii="StobiSerif Regular" w:hAnsi="StobiSerif Regular"/>
          <w:sz w:val="20"/>
          <w:szCs w:val="20"/>
          <w:lang w:val="ru-RU"/>
        </w:rPr>
      </w:pPr>
      <w:r w:rsidRPr="008073D0">
        <w:rPr>
          <w:rFonts w:ascii="StobiSerif Regular" w:hAnsi="StobiSerif Regular"/>
          <w:b/>
          <w:bCs/>
          <w:sz w:val="20"/>
          <w:szCs w:val="20"/>
          <w:lang w:val="mk-MK"/>
        </w:rPr>
        <w:t>Опција 2</w:t>
      </w:r>
      <w:r>
        <w:rPr>
          <w:rFonts w:ascii="StobiSerif Regular" w:hAnsi="StobiSerif Regular"/>
          <w:sz w:val="20"/>
          <w:szCs w:val="20"/>
          <w:lang w:val="mk-MK"/>
        </w:rPr>
        <w:t xml:space="preserve"> – има позитивно р</w:t>
      </w:r>
      <w:r w:rsidR="00413542">
        <w:rPr>
          <w:rFonts w:ascii="StobiSerif Regular" w:hAnsi="StobiSerif Regular"/>
          <w:sz w:val="20"/>
          <w:szCs w:val="20"/>
          <w:lang w:val="mk-MK"/>
        </w:rPr>
        <w:t>ешение на едно место ќе се има с</w:t>
      </w:r>
      <w:r>
        <w:rPr>
          <w:rFonts w:ascii="StobiSerif Regular" w:hAnsi="StobiSerif Regular"/>
          <w:sz w:val="20"/>
          <w:szCs w:val="20"/>
          <w:lang w:val="mk-MK"/>
        </w:rPr>
        <w:t>ублимирано решение на регулирање на областа, а со тоа и можност за унапредување на областа и нејзино надградување.</w:t>
      </w:r>
    </w:p>
    <w:p w14:paraId="34F6ABCC" w14:textId="77777777" w:rsidR="003A6EAC" w:rsidRPr="002B0173" w:rsidRDefault="003A6EAC" w:rsidP="002B0173">
      <w:pPr>
        <w:jc w:val="both"/>
        <w:rPr>
          <w:rFonts w:ascii="StobiSerif Regular" w:hAnsi="StobiSerif Regular" w:cs="Arial"/>
          <w:sz w:val="20"/>
          <w:szCs w:val="20"/>
        </w:rPr>
      </w:pPr>
    </w:p>
    <w:p w14:paraId="762973A5" w14:textId="77777777" w:rsidR="00604E06"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6.2</w:t>
      </w:r>
      <w:r w:rsidRPr="00D96CB0">
        <w:rPr>
          <w:rFonts w:ascii="StobiSerif Regular" w:hAnsi="StobiSerif Regular"/>
          <w:sz w:val="20"/>
          <w:szCs w:val="20"/>
          <w:lang w:val="mk-MK"/>
        </w:rPr>
        <w:tab/>
        <w:t>Ризици во спроведувањето и примената на секое од можните решенија</w:t>
      </w:r>
      <w:r w:rsidR="003A6EAC">
        <w:rPr>
          <w:rFonts w:ascii="StobiSerif Regular" w:hAnsi="StobiSerif Regular"/>
          <w:sz w:val="20"/>
          <w:szCs w:val="20"/>
          <w:lang w:val="mk-MK"/>
        </w:rPr>
        <w:t xml:space="preserve"> </w:t>
      </w:r>
      <w:r w:rsidRPr="00D96CB0">
        <w:rPr>
          <w:rFonts w:ascii="StobiSerif Regular" w:hAnsi="StobiSerif Regular"/>
          <w:sz w:val="20"/>
          <w:szCs w:val="20"/>
          <w:lang w:val="mk-MK"/>
        </w:rPr>
        <w:t>(опции)</w:t>
      </w:r>
    </w:p>
    <w:p w14:paraId="2F46662C" w14:textId="6758C529" w:rsidR="00604E06" w:rsidRDefault="00604E06" w:rsidP="00604E06">
      <w:pPr>
        <w:jc w:val="both"/>
        <w:rPr>
          <w:rFonts w:ascii="StobiSerif Regular" w:eastAsia="Calibri" w:hAnsi="StobiSerif Regular" w:cs="Calibri"/>
          <w:iCs/>
          <w:sz w:val="20"/>
          <w:szCs w:val="20"/>
          <w:lang w:val="mk-MK"/>
        </w:rPr>
      </w:pPr>
      <w:r w:rsidRPr="00BB1364">
        <w:rPr>
          <w:rFonts w:ascii="StobiSerif Regular" w:hAnsi="StobiSerif Regular"/>
          <w:b/>
          <w:sz w:val="20"/>
          <w:szCs w:val="20"/>
          <w:lang w:val="mk-MK"/>
        </w:rPr>
        <w:t xml:space="preserve">Опција – „не прави ништо“ – </w:t>
      </w:r>
      <w:r w:rsidR="00686515" w:rsidRPr="00686515">
        <w:rPr>
          <w:rFonts w:ascii="StobiSerif Regular" w:hAnsi="StobiSerif Regular"/>
          <w:bCs/>
          <w:sz w:val="20"/>
          <w:szCs w:val="20"/>
          <w:lang w:val="mk-MK"/>
        </w:rPr>
        <w:t>областа нема да се унапреди</w:t>
      </w:r>
      <w:r w:rsidR="00686515">
        <w:rPr>
          <w:rFonts w:ascii="StobiSerif Regular" w:hAnsi="StobiSerif Regular"/>
          <w:b/>
          <w:sz w:val="20"/>
          <w:szCs w:val="20"/>
          <w:lang w:val="mk-MK"/>
        </w:rPr>
        <w:t>.</w:t>
      </w:r>
    </w:p>
    <w:p w14:paraId="02213B29" w14:textId="62C97BAC" w:rsidR="00604E06" w:rsidRDefault="00604E06" w:rsidP="00604E06">
      <w:pPr>
        <w:jc w:val="both"/>
        <w:rPr>
          <w:rFonts w:ascii="StobiSerif Regular" w:hAnsi="StobiSerif Regular"/>
          <w:sz w:val="20"/>
          <w:szCs w:val="20"/>
          <w:lang w:val="mk-MK"/>
        </w:rPr>
      </w:pPr>
      <w:r w:rsidRPr="00603810">
        <w:rPr>
          <w:rFonts w:ascii="StobiSerif Regular" w:hAnsi="StobiSerif Regular"/>
          <w:b/>
          <w:sz w:val="20"/>
          <w:szCs w:val="20"/>
          <w:lang w:val="mk-MK"/>
        </w:rPr>
        <w:t>Опција 1</w:t>
      </w:r>
      <w:r w:rsidRPr="00603810">
        <w:rPr>
          <w:rFonts w:ascii="StobiSerif Regular" w:hAnsi="StobiSerif Regular"/>
          <w:sz w:val="20"/>
          <w:szCs w:val="20"/>
          <w:lang w:val="mk-MK"/>
        </w:rPr>
        <w:t xml:space="preserve"> – </w:t>
      </w:r>
      <w:r w:rsidR="00686515">
        <w:rPr>
          <w:rFonts w:ascii="StobiSerif Regular" w:hAnsi="StobiSerif Regular"/>
          <w:sz w:val="20"/>
          <w:szCs w:val="20"/>
          <w:lang w:val="mk-MK"/>
        </w:rPr>
        <w:t>нема системско решение на законско регулирање</w:t>
      </w:r>
      <w:r w:rsidR="00603810">
        <w:rPr>
          <w:rFonts w:ascii="StobiSerif Regular" w:hAnsi="StobiSerif Regular"/>
          <w:sz w:val="20"/>
          <w:szCs w:val="20"/>
          <w:lang w:val="mk-MK"/>
        </w:rPr>
        <w:t>.</w:t>
      </w:r>
    </w:p>
    <w:p w14:paraId="669A4F65" w14:textId="29136213" w:rsidR="00686515" w:rsidRDefault="00686515" w:rsidP="00604E06">
      <w:pPr>
        <w:jc w:val="both"/>
        <w:rPr>
          <w:rFonts w:ascii="StobiSerif Regular" w:hAnsi="StobiSerif Regular"/>
          <w:sz w:val="20"/>
          <w:szCs w:val="20"/>
          <w:lang w:val="mk-MK"/>
        </w:rPr>
      </w:pPr>
      <w:r w:rsidRPr="00686515">
        <w:rPr>
          <w:rFonts w:ascii="StobiSerif Regular" w:hAnsi="StobiSerif Regular"/>
          <w:b/>
          <w:bCs/>
          <w:sz w:val="20"/>
          <w:szCs w:val="20"/>
          <w:lang w:val="mk-MK"/>
        </w:rPr>
        <w:t>Опција 2</w:t>
      </w:r>
      <w:r>
        <w:rPr>
          <w:rFonts w:ascii="StobiSerif Regular" w:hAnsi="StobiSerif Regular"/>
          <w:sz w:val="20"/>
          <w:szCs w:val="20"/>
          <w:lang w:val="mk-MK"/>
        </w:rPr>
        <w:t xml:space="preserve"> – добра координација на органите на државна управа</w:t>
      </w:r>
    </w:p>
    <w:p w14:paraId="4FE74A38" w14:textId="77777777" w:rsidR="00D3637C" w:rsidRPr="00603810" w:rsidRDefault="00D3637C" w:rsidP="00604E06">
      <w:pPr>
        <w:jc w:val="both"/>
        <w:rPr>
          <w:rFonts w:ascii="StobiSerif Regular" w:hAnsi="StobiSerif Regular"/>
          <w:sz w:val="20"/>
          <w:szCs w:val="20"/>
          <w:lang w:val="mk-MK"/>
        </w:rPr>
      </w:pPr>
    </w:p>
    <w:p w14:paraId="77171445" w14:textId="77777777" w:rsidR="00604E06" w:rsidRPr="00D96CB0" w:rsidRDefault="00604E06" w:rsidP="00604E06">
      <w:pPr>
        <w:ind w:firstLine="720"/>
        <w:jc w:val="both"/>
        <w:rPr>
          <w:rFonts w:ascii="StobiSerif Regular" w:hAnsi="StobiSerif Regular"/>
          <w:sz w:val="20"/>
          <w:szCs w:val="20"/>
          <w:lang w:val="mk-MK"/>
        </w:rPr>
      </w:pPr>
      <w:r w:rsidRPr="00D96CB0">
        <w:rPr>
          <w:rFonts w:ascii="StobiSerif Regular" w:hAnsi="StobiSerif Regular"/>
          <w:sz w:val="20"/>
          <w:szCs w:val="20"/>
          <w:lang w:val="mk-MK"/>
        </w:rPr>
        <w:t>6.3</w:t>
      </w:r>
      <w:r w:rsidRPr="00D96CB0">
        <w:rPr>
          <w:rFonts w:ascii="StobiSerif Regular" w:hAnsi="StobiSerif Regular"/>
          <w:sz w:val="20"/>
          <w:szCs w:val="20"/>
          <w:lang w:val="mk-MK"/>
        </w:rPr>
        <w:tab/>
        <w:t>Препорачано решение со образложение</w:t>
      </w:r>
    </w:p>
    <w:p w14:paraId="4B718850" w14:textId="2C71CD39" w:rsidR="00604E06" w:rsidRDefault="00604E06" w:rsidP="00604E06">
      <w:pPr>
        <w:ind w:firstLine="720"/>
        <w:jc w:val="both"/>
        <w:rPr>
          <w:rFonts w:ascii="StobiSerif Regular" w:hAnsi="StobiSerif Regular" w:cs="Arial"/>
          <w:b/>
          <w:sz w:val="20"/>
          <w:szCs w:val="20"/>
          <w:lang w:val="ru-RU"/>
        </w:rPr>
      </w:pPr>
      <w:r w:rsidRPr="00D96CB0">
        <w:rPr>
          <w:rFonts w:ascii="StobiSerif Regular" w:hAnsi="StobiSerif Regular" w:cs="Arial"/>
          <w:b/>
          <w:sz w:val="20"/>
          <w:szCs w:val="20"/>
          <w:lang w:val="ru-RU"/>
        </w:rPr>
        <w:t>Да се донесе предлог Закон</w:t>
      </w:r>
      <w:r w:rsidR="00E76850">
        <w:rPr>
          <w:rFonts w:ascii="StobiSerif Regular" w:hAnsi="StobiSerif Regular" w:cs="Arial"/>
          <w:b/>
          <w:sz w:val="20"/>
          <w:szCs w:val="20"/>
          <w:lang w:val="ru-RU"/>
        </w:rPr>
        <w:t>от</w:t>
      </w:r>
      <w:r w:rsidRPr="00D96CB0">
        <w:rPr>
          <w:rFonts w:ascii="StobiSerif Regular" w:hAnsi="StobiSerif Regular" w:cs="Arial"/>
          <w:b/>
          <w:sz w:val="20"/>
          <w:szCs w:val="20"/>
          <w:lang w:val="en-US"/>
        </w:rPr>
        <w:t xml:space="preserve"> </w:t>
      </w:r>
      <w:r w:rsidRPr="00D96CB0">
        <w:rPr>
          <w:rFonts w:ascii="StobiSerif Regular" w:hAnsi="StobiSerif Regular" w:cs="Arial"/>
          <w:b/>
          <w:sz w:val="20"/>
          <w:szCs w:val="20"/>
          <w:lang w:val="ru-RU"/>
        </w:rPr>
        <w:t xml:space="preserve">за </w:t>
      </w:r>
      <w:r w:rsidR="00686515">
        <w:rPr>
          <w:rFonts w:ascii="StobiSerif Regular" w:hAnsi="StobiSerif Regular" w:cs="Arial"/>
          <w:b/>
          <w:sz w:val="20"/>
          <w:szCs w:val="20"/>
          <w:lang w:val="ru-RU"/>
        </w:rPr>
        <w:t>донирање на вишок на храна со цел да се регулира областа и да се овозможи системско решение за унапедување на мерките и активностите за</w:t>
      </w:r>
      <w:r w:rsidR="00D438DA">
        <w:rPr>
          <w:rFonts w:ascii="StobiSerif Regular" w:hAnsi="StobiSerif Regular" w:cs="Arial"/>
          <w:b/>
          <w:sz w:val="20"/>
          <w:szCs w:val="20"/>
          <w:lang w:val="ru-RU"/>
        </w:rPr>
        <w:t xml:space="preserve"> дејноста донирање на вишок храна.</w:t>
      </w:r>
    </w:p>
    <w:p w14:paraId="15501C5C" w14:textId="77777777" w:rsidR="00686515" w:rsidRPr="00E13234" w:rsidRDefault="00686515" w:rsidP="00604E06">
      <w:pPr>
        <w:ind w:firstLine="720"/>
        <w:jc w:val="both"/>
        <w:rPr>
          <w:rFonts w:ascii="StobiSerif Regular" w:hAnsi="StobiSerif Regular" w:cs="Arial"/>
          <w:sz w:val="20"/>
          <w:szCs w:val="20"/>
        </w:rPr>
      </w:pPr>
    </w:p>
    <w:p w14:paraId="5D87389B" w14:textId="77777777" w:rsidR="00604E06" w:rsidRPr="00D96CB0" w:rsidRDefault="00604E06" w:rsidP="00604E06">
      <w:pPr>
        <w:shd w:val="clear" w:color="auto" w:fill="FBD4B4"/>
        <w:tabs>
          <w:tab w:val="left" w:pos="675"/>
        </w:tabs>
        <w:rPr>
          <w:rFonts w:ascii="StobiSerif Regular" w:hAnsi="StobiSerif Regular"/>
          <w:b/>
          <w:sz w:val="20"/>
          <w:szCs w:val="20"/>
          <w:lang w:val="mk-MK"/>
        </w:rPr>
      </w:pPr>
      <w:r w:rsidRPr="00D96CB0">
        <w:rPr>
          <w:rFonts w:ascii="StobiSerif Regular" w:hAnsi="StobiSerif Regular"/>
          <w:b/>
          <w:sz w:val="20"/>
          <w:szCs w:val="20"/>
          <w:lang w:val="mk-MK"/>
        </w:rPr>
        <w:t>7.</w:t>
      </w:r>
      <w:r w:rsidRPr="00D96CB0">
        <w:rPr>
          <w:rFonts w:ascii="StobiSerif Regular" w:hAnsi="StobiSerif Regular"/>
          <w:b/>
          <w:sz w:val="20"/>
          <w:szCs w:val="20"/>
          <w:lang w:val="mk-MK"/>
        </w:rPr>
        <w:tab/>
        <w:t>Спроведување на препорачаното решение</w:t>
      </w:r>
    </w:p>
    <w:p w14:paraId="27938074" w14:textId="77777777" w:rsidR="00604E06" w:rsidRPr="00D96CB0" w:rsidRDefault="00604E06" w:rsidP="00604E06">
      <w:pPr>
        <w:jc w:val="both"/>
        <w:rPr>
          <w:rFonts w:ascii="StobiSerif Regular" w:hAnsi="StobiSerif Regular"/>
          <w:sz w:val="20"/>
          <w:szCs w:val="20"/>
          <w:lang w:val="ru-RU"/>
        </w:rPr>
      </w:pPr>
    </w:p>
    <w:p w14:paraId="60B3BC6D" w14:textId="77777777" w:rsidR="00604E06"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7.1</w:t>
      </w:r>
      <w:r w:rsidRPr="00D96CB0">
        <w:rPr>
          <w:rFonts w:ascii="StobiSerif Regular" w:hAnsi="StobiSerif Regular"/>
          <w:sz w:val="20"/>
          <w:szCs w:val="20"/>
          <w:lang w:val="mk-MK"/>
        </w:rPr>
        <w:tab/>
        <w:t>Потреба од менување на закони и подзаконска регулатива во областа или</w:t>
      </w:r>
      <w:r w:rsidR="00D3637C">
        <w:rPr>
          <w:rFonts w:ascii="StobiSerif Regular" w:hAnsi="StobiSerif Regular"/>
          <w:sz w:val="20"/>
          <w:szCs w:val="20"/>
          <w:lang w:val="mk-MK"/>
        </w:rPr>
        <w:t xml:space="preserve"> </w:t>
      </w:r>
      <w:r w:rsidRPr="00D96CB0">
        <w:rPr>
          <w:rFonts w:ascii="StobiSerif Regular" w:hAnsi="StobiSerif Regular"/>
          <w:sz w:val="20"/>
          <w:szCs w:val="20"/>
          <w:lang w:val="mk-MK"/>
        </w:rPr>
        <w:t>други сродни области</w:t>
      </w:r>
    </w:p>
    <w:p w14:paraId="6A509D14" w14:textId="77777777" w:rsidR="00D3637C" w:rsidRPr="00D96CB0" w:rsidRDefault="00D3637C" w:rsidP="00604E06">
      <w:pPr>
        <w:ind w:left="720"/>
        <w:jc w:val="both"/>
        <w:rPr>
          <w:rFonts w:ascii="StobiSerif Regular" w:hAnsi="StobiSerif Regular"/>
          <w:sz w:val="20"/>
          <w:szCs w:val="20"/>
          <w:lang w:val="mk-MK"/>
        </w:rPr>
      </w:pPr>
    </w:p>
    <w:p w14:paraId="31A6EF4B" w14:textId="6BF588D8" w:rsidR="00897BA2" w:rsidRDefault="00D438DA" w:rsidP="00897BA2">
      <w:pPr>
        <w:jc w:val="both"/>
        <w:rPr>
          <w:rFonts w:ascii="StobiSerif Regular" w:hAnsi="StobiSerif Regular"/>
          <w:sz w:val="20"/>
          <w:szCs w:val="20"/>
          <w:lang w:val="mk-MK"/>
        </w:rPr>
      </w:pPr>
      <w:r>
        <w:rPr>
          <w:rFonts w:ascii="StobiSerif Regular" w:hAnsi="StobiSerif Regular"/>
          <w:sz w:val="20"/>
          <w:szCs w:val="20"/>
          <w:lang w:val="mk-MK"/>
        </w:rPr>
        <w:t>Нема</w:t>
      </w:r>
    </w:p>
    <w:p w14:paraId="6C36E0B7" w14:textId="77777777" w:rsidR="00D3637C" w:rsidRPr="00D96CB0" w:rsidRDefault="00D3637C" w:rsidP="00897BA2">
      <w:pPr>
        <w:jc w:val="both"/>
        <w:rPr>
          <w:rFonts w:ascii="StobiSerif Regular" w:hAnsi="StobiSerif Regular"/>
          <w:sz w:val="20"/>
          <w:szCs w:val="20"/>
          <w:lang w:val="mk-MK"/>
        </w:rPr>
      </w:pPr>
    </w:p>
    <w:p w14:paraId="1057CFD5" w14:textId="77777777" w:rsidR="00604E06"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7.2</w:t>
      </w:r>
      <w:r w:rsidRPr="00D96CB0">
        <w:rPr>
          <w:rFonts w:ascii="StobiSerif Regular" w:hAnsi="StobiSerif Regular"/>
          <w:sz w:val="20"/>
          <w:szCs w:val="20"/>
          <w:lang w:val="mk-MK"/>
        </w:rPr>
        <w:tab/>
        <w:t>Потребни подзаконски акти и рок за нивно донесување</w:t>
      </w:r>
    </w:p>
    <w:p w14:paraId="13CCE1E4" w14:textId="77777777" w:rsidR="00D3637C" w:rsidRPr="00D96CB0" w:rsidRDefault="00D3637C" w:rsidP="00604E06">
      <w:pPr>
        <w:ind w:left="720"/>
        <w:jc w:val="both"/>
        <w:rPr>
          <w:rFonts w:ascii="StobiSerif Regular" w:hAnsi="StobiSerif Regular"/>
          <w:sz w:val="20"/>
          <w:szCs w:val="20"/>
          <w:lang w:val="mk-MK"/>
        </w:rPr>
      </w:pPr>
    </w:p>
    <w:p w14:paraId="3602B48E" w14:textId="0034A69E" w:rsidR="00604E06" w:rsidRDefault="00D438DA" w:rsidP="002B0173">
      <w:pPr>
        <w:jc w:val="both"/>
        <w:rPr>
          <w:rFonts w:ascii="StobiSerif Regular" w:hAnsi="StobiSerif Regular"/>
          <w:sz w:val="20"/>
          <w:szCs w:val="20"/>
          <w:lang w:val="mk-MK"/>
        </w:rPr>
      </w:pPr>
      <w:r>
        <w:rPr>
          <w:rFonts w:ascii="StobiSerif Regular" w:hAnsi="StobiSerif Regular"/>
          <w:sz w:val="20"/>
          <w:szCs w:val="20"/>
          <w:lang w:val="mk-MK"/>
        </w:rPr>
        <w:t xml:space="preserve">Правилник за </w:t>
      </w:r>
      <w:r w:rsidRPr="00D438DA">
        <w:rPr>
          <w:rFonts w:ascii="StobiSerif Regular" w:hAnsi="StobiSerif Regular"/>
          <w:sz w:val="20"/>
          <w:szCs w:val="20"/>
          <w:lang w:val="mk-MK"/>
        </w:rPr>
        <w:t>мерки  и давачки за фрлањето на храна</w:t>
      </w:r>
      <w:bookmarkStart w:id="11" w:name="_GoBack"/>
      <w:bookmarkEnd w:id="11"/>
      <w:r w:rsidRPr="00D438DA">
        <w:rPr>
          <w:rFonts w:ascii="StobiSerif Regular" w:hAnsi="StobiSerif Regular"/>
          <w:sz w:val="20"/>
          <w:szCs w:val="20"/>
          <w:lang w:val="mk-MK"/>
        </w:rPr>
        <w:t>та како отпад</w:t>
      </w:r>
      <w:r w:rsidR="006114BD">
        <w:rPr>
          <w:rFonts w:ascii="StobiSerif Regular" w:hAnsi="StobiSerif Regular"/>
          <w:sz w:val="20"/>
          <w:szCs w:val="20"/>
          <w:lang w:val="mk-MK"/>
        </w:rPr>
        <w:t xml:space="preserve"> – 6</w:t>
      </w:r>
      <w:r w:rsidR="001B70D7">
        <w:rPr>
          <w:rFonts w:ascii="StobiSerif Regular" w:hAnsi="StobiSerif Regular"/>
          <w:sz w:val="20"/>
          <w:szCs w:val="20"/>
          <w:lang w:val="mk-MK"/>
        </w:rPr>
        <w:t xml:space="preserve"> месеци</w:t>
      </w:r>
    </w:p>
    <w:p w14:paraId="57CA6A45" w14:textId="3F52FB82" w:rsidR="00D438DA" w:rsidRDefault="00D438DA" w:rsidP="002B0173">
      <w:pPr>
        <w:jc w:val="both"/>
        <w:rPr>
          <w:rFonts w:ascii="StobiSerif Regular" w:hAnsi="StobiSerif Regular"/>
          <w:sz w:val="20"/>
          <w:szCs w:val="20"/>
          <w:lang w:val="mk-MK"/>
        </w:rPr>
      </w:pPr>
      <w:r>
        <w:rPr>
          <w:rFonts w:ascii="StobiSerif Regular" w:hAnsi="StobiSerif Regular"/>
          <w:sz w:val="20"/>
          <w:szCs w:val="20"/>
          <w:lang w:val="mk-MK"/>
        </w:rPr>
        <w:t>Правилник за ф</w:t>
      </w:r>
      <w:r w:rsidRPr="00D438DA">
        <w:rPr>
          <w:rFonts w:ascii="StobiSerif Regular" w:hAnsi="StobiSerif Regular"/>
          <w:sz w:val="20"/>
          <w:szCs w:val="20"/>
          <w:lang w:val="mk-MK"/>
        </w:rPr>
        <w:t>ормата и содржината на регистарот и начинот на водење на евиденцијата</w:t>
      </w:r>
      <w:r w:rsidR="006114BD">
        <w:rPr>
          <w:rFonts w:ascii="StobiSerif Regular" w:hAnsi="StobiSerif Regular"/>
          <w:sz w:val="20"/>
          <w:szCs w:val="20"/>
          <w:lang w:val="mk-MK"/>
        </w:rPr>
        <w:t xml:space="preserve"> – 6</w:t>
      </w:r>
      <w:r w:rsidR="001B70D7">
        <w:rPr>
          <w:rFonts w:ascii="StobiSerif Regular" w:hAnsi="StobiSerif Regular"/>
          <w:sz w:val="20"/>
          <w:szCs w:val="20"/>
          <w:lang w:val="mk-MK"/>
        </w:rPr>
        <w:t xml:space="preserve"> месеци</w:t>
      </w:r>
    </w:p>
    <w:p w14:paraId="14B41768" w14:textId="7F787929" w:rsidR="00D34277" w:rsidRDefault="00D34277" w:rsidP="002B0173">
      <w:pPr>
        <w:jc w:val="both"/>
        <w:rPr>
          <w:rFonts w:ascii="StobiSerif Regular" w:hAnsi="StobiSerif Regular"/>
          <w:sz w:val="20"/>
          <w:szCs w:val="20"/>
          <w:lang w:val="mk-MK"/>
        </w:rPr>
      </w:pPr>
      <w:r>
        <w:rPr>
          <w:rFonts w:ascii="StobiSerif Regular" w:hAnsi="StobiSerif Regular"/>
          <w:sz w:val="20"/>
          <w:szCs w:val="20"/>
          <w:lang w:val="mk-MK"/>
        </w:rPr>
        <w:t>Правилник за ф</w:t>
      </w:r>
      <w:r w:rsidRPr="00D34277">
        <w:rPr>
          <w:rFonts w:ascii="StobiSerif Regular" w:hAnsi="StobiSerif Regular"/>
          <w:sz w:val="20"/>
          <w:szCs w:val="20"/>
          <w:lang w:val="mk-MK"/>
        </w:rPr>
        <w:t>ормата, содржината и начинот на водење на евиденцијата за донираната вишок храна</w:t>
      </w:r>
      <w:r w:rsidR="006114BD">
        <w:rPr>
          <w:rFonts w:ascii="StobiSerif Regular" w:hAnsi="StobiSerif Regular"/>
          <w:sz w:val="20"/>
          <w:szCs w:val="20"/>
          <w:lang w:val="mk-MK"/>
        </w:rPr>
        <w:t xml:space="preserve"> – 6</w:t>
      </w:r>
      <w:r w:rsidR="001B70D7">
        <w:rPr>
          <w:rFonts w:ascii="StobiSerif Regular" w:hAnsi="StobiSerif Regular"/>
          <w:sz w:val="20"/>
          <w:szCs w:val="20"/>
          <w:lang w:val="mk-MK"/>
        </w:rPr>
        <w:t xml:space="preserve"> месеци</w:t>
      </w:r>
    </w:p>
    <w:p w14:paraId="20D5856D" w14:textId="77777777" w:rsidR="00D3637C" w:rsidRPr="00D96CB0" w:rsidRDefault="00D3637C" w:rsidP="002B0173">
      <w:pPr>
        <w:jc w:val="both"/>
        <w:rPr>
          <w:rFonts w:ascii="StobiSerif Regular" w:hAnsi="StobiSerif Regular"/>
          <w:sz w:val="20"/>
          <w:szCs w:val="20"/>
          <w:lang w:val="mk-MK"/>
        </w:rPr>
      </w:pPr>
    </w:p>
    <w:p w14:paraId="3A6C7845" w14:textId="77777777" w:rsidR="00604E06"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7.3</w:t>
      </w:r>
      <w:r w:rsidRPr="00D96CB0">
        <w:rPr>
          <w:rFonts w:ascii="StobiSerif Regular" w:hAnsi="StobiSerif Regular"/>
          <w:sz w:val="20"/>
          <w:szCs w:val="20"/>
          <w:lang w:val="mk-MK"/>
        </w:rPr>
        <w:tab/>
        <w:t>Органи на државната управа, државни органи и други органи надлежни за спроведување</w:t>
      </w:r>
    </w:p>
    <w:p w14:paraId="6E4EC874" w14:textId="77777777" w:rsidR="00D3637C" w:rsidRPr="00D96CB0" w:rsidRDefault="00D3637C" w:rsidP="00604E06">
      <w:pPr>
        <w:ind w:left="720"/>
        <w:jc w:val="both"/>
        <w:rPr>
          <w:rFonts w:ascii="StobiSerif Regular" w:hAnsi="StobiSerif Regular"/>
          <w:sz w:val="20"/>
          <w:szCs w:val="20"/>
          <w:lang w:val="mk-MK"/>
        </w:rPr>
      </w:pPr>
    </w:p>
    <w:p w14:paraId="5F6CFEBA" w14:textId="6008100B" w:rsidR="00604E06" w:rsidRDefault="00604E06" w:rsidP="002B0173">
      <w:pPr>
        <w:jc w:val="both"/>
        <w:rPr>
          <w:rFonts w:ascii="StobiSerif Regular" w:hAnsi="StobiSerif Regular"/>
          <w:sz w:val="20"/>
          <w:szCs w:val="20"/>
          <w:lang w:val="mk-MK"/>
        </w:rPr>
      </w:pPr>
      <w:r w:rsidRPr="0091213C">
        <w:rPr>
          <w:rFonts w:ascii="StobiSerif Regular" w:hAnsi="StobiSerif Regular"/>
          <w:sz w:val="20"/>
          <w:szCs w:val="20"/>
          <w:lang w:val="mk-MK"/>
        </w:rPr>
        <w:lastRenderedPageBreak/>
        <w:t xml:space="preserve">Надлежен орган за спроведување на Законот е Министерството за </w:t>
      </w:r>
      <w:r w:rsidR="00D3637C">
        <w:rPr>
          <w:rFonts w:ascii="StobiSerif Regular" w:hAnsi="StobiSerif Regular"/>
          <w:sz w:val="20"/>
          <w:szCs w:val="20"/>
          <w:lang w:val="mk-MK"/>
        </w:rPr>
        <w:t>земјоделство, шумарство и водостопанство</w:t>
      </w:r>
      <w:r>
        <w:rPr>
          <w:rFonts w:ascii="StobiSerif Regular" w:hAnsi="StobiSerif Regular"/>
          <w:sz w:val="20"/>
          <w:szCs w:val="20"/>
          <w:lang w:val="mk-MK"/>
        </w:rPr>
        <w:t>,</w:t>
      </w:r>
      <w:r w:rsidR="00413542">
        <w:rPr>
          <w:rFonts w:ascii="StobiSerif Regular" w:hAnsi="StobiSerif Regular"/>
          <w:sz w:val="20"/>
          <w:szCs w:val="20"/>
          <w:lang w:val="mk-MK"/>
        </w:rPr>
        <w:t xml:space="preserve"> Министерство за животна средина и просторно планирање, </w:t>
      </w:r>
      <w:r>
        <w:rPr>
          <w:rFonts w:ascii="StobiSerif Regular" w:hAnsi="StobiSerif Regular"/>
          <w:sz w:val="20"/>
          <w:szCs w:val="20"/>
          <w:lang w:val="mk-MK"/>
        </w:rPr>
        <w:t xml:space="preserve"> </w:t>
      </w:r>
      <w:r w:rsidR="001B70D7">
        <w:rPr>
          <w:rFonts w:ascii="StobiSerif Regular" w:hAnsi="StobiSerif Regular"/>
          <w:sz w:val="20"/>
          <w:szCs w:val="20"/>
          <w:lang w:val="mk-MK"/>
        </w:rPr>
        <w:t>Министерство за труд и социјална политика, Министерство за финансии,</w:t>
      </w:r>
      <w:r w:rsidR="00413542">
        <w:rPr>
          <w:rFonts w:ascii="StobiSerif Regular" w:hAnsi="StobiSerif Regular"/>
          <w:sz w:val="20"/>
          <w:szCs w:val="20"/>
          <w:lang w:val="mk-MK"/>
        </w:rPr>
        <w:t xml:space="preserve"> Министерство за правда,</w:t>
      </w:r>
      <w:r w:rsidR="001B70D7">
        <w:rPr>
          <w:rFonts w:ascii="StobiSerif Regular" w:hAnsi="StobiSerif Regular"/>
          <w:sz w:val="20"/>
          <w:szCs w:val="20"/>
          <w:lang w:val="mk-MK"/>
        </w:rPr>
        <w:t xml:space="preserve"> Агенција за храна и ветеринарство</w:t>
      </w:r>
      <w:r w:rsidR="0059116B">
        <w:rPr>
          <w:rFonts w:ascii="StobiSerif Regular" w:hAnsi="StobiSerif Regular"/>
          <w:sz w:val="20"/>
          <w:szCs w:val="20"/>
          <w:lang w:val="mk-MK"/>
        </w:rPr>
        <w:t>.</w:t>
      </w:r>
    </w:p>
    <w:p w14:paraId="737517AF" w14:textId="77777777" w:rsidR="00D3637C" w:rsidRPr="00D96CB0" w:rsidRDefault="00D3637C" w:rsidP="002B0173">
      <w:pPr>
        <w:jc w:val="both"/>
        <w:rPr>
          <w:rFonts w:ascii="StobiSerif Regular" w:hAnsi="StobiSerif Regular"/>
          <w:sz w:val="20"/>
          <w:szCs w:val="20"/>
          <w:lang w:val="mk-MK"/>
        </w:rPr>
      </w:pPr>
    </w:p>
    <w:p w14:paraId="6E1A86EA" w14:textId="77777777" w:rsidR="00604E06"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7.4</w:t>
      </w:r>
      <w:r w:rsidRPr="00D96CB0">
        <w:rPr>
          <w:rFonts w:ascii="StobiSerif Regular" w:hAnsi="StobiSerif Regular"/>
          <w:sz w:val="20"/>
          <w:szCs w:val="20"/>
          <w:lang w:val="mk-MK"/>
        </w:rPr>
        <w:tab/>
        <w:t>Активности за обезбедување на ефикасно спроведување на предлогот на закон</w:t>
      </w:r>
    </w:p>
    <w:p w14:paraId="0AB6A00B" w14:textId="77777777" w:rsidR="00D3637C" w:rsidRPr="00D96CB0" w:rsidRDefault="00D3637C" w:rsidP="00604E06">
      <w:pPr>
        <w:ind w:left="720"/>
        <w:jc w:val="both"/>
        <w:rPr>
          <w:rFonts w:ascii="StobiSerif Regular" w:hAnsi="StobiSerif Regular"/>
          <w:sz w:val="20"/>
          <w:szCs w:val="20"/>
          <w:lang w:val="mk-MK"/>
        </w:rPr>
      </w:pPr>
    </w:p>
    <w:p w14:paraId="1B26822B" w14:textId="77777777" w:rsidR="009D6CFA" w:rsidRPr="00D96CB0" w:rsidRDefault="00E76850" w:rsidP="0082249E">
      <w:pPr>
        <w:jc w:val="both"/>
        <w:rPr>
          <w:rFonts w:ascii="StobiSerif Regular" w:hAnsi="StobiSerif Regular"/>
          <w:sz w:val="20"/>
          <w:szCs w:val="20"/>
          <w:lang w:val="mk-MK"/>
        </w:rPr>
      </w:pPr>
      <w:r>
        <w:rPr>
          <w:rFonts w:ascii="StobiSerif Regular" w:hAnsi="StobiSerif Regular"/>
          <w:sz w:val="20"/>
          <w:szCs w:val="20"/>
          <w:lang w:val="mk-MK"/>
        </w:rPr>
        <w:t xml:space="preserve">Надлежните органи за спроведување на законот ќе ги преземат потребните активности за целосна имплементација на предметните решенија. </w:t>
      </w:r>
    </w:p>
    <w:p w14:paraId="2F5C59A1" w14:textId="77777777" w:rsidR="000E4C6D" w:rsidRPr="00D96CB0" w:rsidRDefault="000E4C6D" w:rsidP="00604E06">
      <w:pPr>
        <w:tabs>
          <w:tab w:val="left" w:pos="675"/>
        </w:tabs>
        <w:rPr>
          <w:rFonts w:ascii="StobiSerif Regular" w:hAnsi="StobiSerif Regular"/>
          <w:sz w:val="20"/>
          <w:szCs w:val="20"/>
          <w:lang w:val="mk-MK"/>
        </w:rPr>
      </w:pPr>
    </w:p>
    <w:p w14:paraId="04E73D33" w14:textId="77777777" w:rsidR="00604E06" w:rsidRPr="00D96CB0" w:rsidRDefault="00604E06" w:rsidP="00604E06">
      <w:pPr>
        <w:shd w:val="clear" w:color="auto" w:fill="FBD4B4"/>
        <w:tabs>
          <w:tab w:val="left" w:pos="675"/>
        </w:tabs>
        <w:rPr>
          <w:rFonts w:ascii="StobiSerif Regular" w:hAnsi="StobiSerif Regular"/>
          <w:b/>
          <w:sz w:val="20"/>
          <w:szCs w:val="20"/>
          <w:lang w:val="mk-MK"/>
        </w:rPr>
      </w:pPr>
      <w:r w:rsidRPr="00D96CB0">
        <w:rPr>
          <w:rFonts w:ascii="StobiSerif Regular" w:hAnsi="StobiSerif Regular"/>
          <w:b/>
          <w:sz w:val="20"/>
          <w:szCs w:val="20"/>
          <w:lang w:val="mk-MK"/>
        </w:rPr>
        <w:t>8.</w:t>
      </w:r>
      <w:r w:rsidRPr="00D96CB0">
        <w:rPr>
          <w:rFonts w:ascii="StobiSerif Regular" w:hAnsi="StobiSerif Regular"/>
          <w:b/>
          <w:sz w:val="20"/>
          <w:szCs w:val="20"/>
          <w:lang w:val="mk-MK"/>
        </w:rPr>
        <w:tab/>
        <w:t>Следење и евалуација</w:t>
      </w:r>
    </w:p>
    <w:p w14:paraId="36237A7C" w14:textId="77777777" w:rsidR="00604E06" w:rsidRPr="00D96CB0" w:rsidRDefault="00604E06" w:rsidP="00604E06">
      <w:pPr>
        <w:jc w:val="both"/>
        <w:rPr>
          <w:rFonts w:ascii="StobiSerif Regular" w:hAnsi="StobiSerif Regular"/>
          <w:sz w:val="20"/>
          <w:szCs w:val="20"/>
          <w:lang w:val="ru-RU"/>
        </w:rPr>
      </w:pPr>
    </w:p>
    <w:p w14:paraId="0A1EC04A" w14:textId="77777777" w:rsidR="00604E06" w:rsidRPr="00D96CB0"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 xml:space="preserve">8.1 </w:t>
      </w:r>
      <w:r w:rsidRPr="00D96CB0">
        <w:rPr>
          <w:rFonts w:ascii="StobiSerif Regular" w:hAnsi="StobiSerif Regular"/>
          <w:sz w:val="20"/>
          <w:szCs w:val="20"/>
          <w:lang w:val="mk-MK"/>
        </w:rPr>
        <w:tab/>
        <w:t xml:space="preserve">Начин на следење на спроведувањето </w:t>
      </w:r>
    </w:p>
    <w:p w14:paraId="58C3972C" w14:textId="14699A1C" w:rsidR="00604E06" w:rsidRPr="00D96CB0" w:rsidRDefault="006114BD" w:rsidP="00604E06">
      <w:pPr>
        <w:jc w:val="both"/>
        <w:rPr>
          <w:rFonts w:ascii="StobiSerif Regular" w:hAnsi="StobiSerif Regular"/>
          <w:sz w:val="20"/>
          <w:szCs w:val="20"/>
          <w:lang w:val="mk-MK"/>
        </w:rPr>
      </w:pPr>
      <w:r>
        <w:rPr>
          <w:rFonts w:ascii="StobiSerif Regular" w:hAnsi="StobiSerif Regular"/>
          <w:sz w:val="20"/>
          <w:szCs w:val="20"/>
          <w:lang w:val="mk-MK"/>
        </w:rPr>
        <w:t>МЗШВ, М</w:t>
      </w:r>
      <w:r w:rsidR="00413542">
        <w:rPr>
          <w:rFonts w:ascii="StobiSerif Regular" w:hAnsi="StobiSerif Regular"/>
          <w:sz w:val="20"/>
          <w:szCs w:val="20"/>
          <w:lang w:val="mk-MK"/>
        </w:rPr>
        <w:t>ЖСПП, МТСП, МП и АХВ ќе го следат имплементирање на законот</w:t>
      </w:r>
    </w:p>
    <w:p w14:paraId="628B46FA" w14:textId="77777777" w:rsidR="00604E06" w:rsidRPr="00D96CB0" w:rsidRDefault="00604E06" w:rsidP="00604E06">
      <w:pPr>
        <w:tabs>
          <w:tab w:val="left" w:pos="675"/>
        </w:tabs>
        <w:rPr>
          <w:rFonts w:ascii="StobiSerif Regular" w:hAnsi="StobiSerif Regular"/>
          <w:sz w:val="20"/>
          <w:szCs w:val="20"/>
          <w:lang w:val="mk-MK"/>
        </w:rPr>
      </w:pPr>
    </w:p>
    <w:p w14:paraId="142ED66A" w14:textId="77777777" w:rsidR="00604E06" w:rsidRPr="00D96CB0" w:rsidRDefault="00604E06" w:rsidP="00604E06">
      <w:pPr>
        <w:ind w:left="720"/>
        <w:jc w:val="both"/>
        <w:rPr>
          <w:rFonts w:ascii="StobiSerif Regular" w:hAnsi="StobiSerif Regular"/>
          <w:sz w:val="20"/>
          <w:szCs w:val="20"/>
          <w:lang w:val="mk-MK"/>
        </w:rPr>
      </w:pPr>
      <w:r w:rsidRPr="00D96CB0">
        <w:rPr>
          <w:rFonts w:ascii="StobiSerif Regular" w:hAnsi="StobiSerif Regular"/>
          <w:sz w:val="20"/>
          <w:szCs w:val="20"/>
          <w:lang w:val="mk-MK"/>
        </w:rPr>
        <w:t>8.2</w:t>
      </w:r>
      <w:r w:rsidRPr="00D96CB0">
        <w:rPr>
          <w:rFonts w:ascii="StobiSerif Regular" w:hAnsi="StobiSerif Regular"/>
          <w:sz w:val="20"/>
          <w:szCs w:val="20"/>
          <w:lang w:val="mk-MK"/>
        </w:rPr>
        <w:tab/>
        <w:t xml:space="preserve">Евалуација на ефектите од предлогот на закон и рокови </w:t>
      </w:r>
    </w:p>
    <w:p w14:paraId="07256CCF" w14:textId="7C72AE70" w:rsidR="00604E06" w:rsidRDefault="00604E06" w:rsidP="00604E06">
      <w:pPr>
        <w:rPr>
          <w:rFonts w:ascii="StobiSerif Regular" w:hAnsi="StobiSerif Regular"/>
          <w:sz w:val="20"/>
          <w:szCs w:val="20"/>
          <w:lang w:val="mk-MK"/>
        </w:rPr>
      </w:pPr>
    </w:p>
    <w:p w14:paraId="569AEFE7" w14:textId="77777777" w:rsidR="00FD1B65" w:rsidRDefault="00FD1B65" w:rsidP="00604E06">
      <w:pPr>
        <w:rPr>
          <w:rFonts w:ascii="StobiSerif Regular" w:hAnsi="StobiSerif Regular"/>
          <w:sz w:val="20"/>
          <w:szCs w:val="20"/>
          <w:lang w:val="mk-MK"/>
        </w:rPr>
      </w:pPr>
    </w:p>
    <w:p w14:paraId="1271B3BD" w14:textId="56BD612F" w:rsidR="00E9570A" w:rsidRDefault="00E9570A" w:rsidP="00604E06">
      <w:pPr>
        <w:rPr>
          <w:rFonts w:ascii="StobiSerif Regular" w:hAnsi="StobiSerif Regular"/>
          <w:sz w:val="20"/>
          <w:szCs w:val="20"/>
          <w:lang w:val="mk-MK"/>
        </w:rPr>
      </w:pPr>
    </w:p>
    <w:p w14:paraId="2F091814" w14:textId="77777777" w:rsidR="00E9570A" w:rsidRDefault="00E9570A" w:rsidP="00604E06">
      <w:pPr>
        <w:rPr>
          <w:rFonts w:ascii="StobiSerif Regular" w:hAnsi="StobiSerif Regular"/>
          <w:sz w:val="20"/>
          <w:szCs w:val="20"/>
          <w:lang w:val="mk-MK"/>
        </w:rPr>
      </w:pPr>
    </w:p>
    <w:p w14:paraId="0AED7682" w14:textId="77777777" w:rsidR="00E9570A" w:rsidRPr="00D96CB0" w:rsidRDefault="00E9570A" w:rsidP="00604E06">
      <w:pPr>
        <w:rPr>
          <w:rFonts w:ascii="StobiSerif Regular" w:hAnsi="StobiSerif Regular"/>
          <w:sz w:val="20"/>
          <w:szCs w:val="20"/>
          <w:lang w:val="mk-MK"/>
        </w:rPr>
      </w:pPr>
    </w:p>
    <w:p w14:paraId="41CBE7B6" w14:textId="77777777" w:rsidR="00604E06" w:rsidRPr="00D96CB0" w:rsidRDefault="00604E06" w:rsidP="00604E06">
      <w:pPr>
        <w:shd w:val="clear" w:color="auto" w:fill="FBD4B4"/>
        <w:spacing w:line="276" w:lineRule="auto"/>
        <w:jc w:val="center"/>
        <w:rPr>
          <w:rFonts w:ascii="StobiSerif Regular" w:hAnsi="StobiSerif Regular"/>
          <w:b/>
          <w:sz w:val="18"/>
          <w:szCs w:val="18"/>
          <w:lang w:val="mk-MK"/>
        </w:rPr>
      </w:pPr>
      <w:r w:rsidRPr="00D96CB0">
        <w:rPr>
          <w:rFonts w:ascii="StobiSerif Regular" w:hAnsi="StobiSerif Regular"/>
          <w:b/>
          <w:sz w:val="18"/>
          <w:szCs w:val="18"/>
          <w:lang w:val="mk-MK"/>
        </w:rPr>
        <w:t>Изјава од државниот секретар</w:t>
      </w:r>
    </w:p>
    <w:p w14:paraId="468518E5" w14:textId="77777777" w:rsidR="00604E06" w:rsidRPr="00D96CB0" w:rsidRDefault="00604E06" w:rsidP="00604E06">
      <w:pPr>
        <w:spacing w:line="276" w:lineRule="auto"/>
        <w:jc w:val="both"/>
        <w:rPr>
          <w:rFonts w:ascii="StobiSerif Regular" w:hAnsi="StobiSerif Regular"/>
          <w:b/>
          <w:sz w:val="18"/>
          <w:szCs w:val="18"/>
          <w:lang w:val="mk-MK"/>
        </w:rPr>
      </w:pPr>
      <w:r w:rsidRPr="00D96CB0">
        <w:rPr>
          <w:rFonts w:ascii="StobiSerif Regular" w:hAnsi="StobiSerif Regular"/>
          <w:b/>
          <w:sz w:val="18"/>
          <w:szCs w:val="18"/>
          <w:lang w:val="ru-RU"/>
        </w:rPr>
        <w:t xml:space="preserve">Нацрт </w:t>
      </w:r>
      <w:r w:rsidRPr="00D96CB0">
        <w:rPr>
          <w:rFonts w:ascii="StobiSerif Regular" w:hAnsi="StobiSerif Regular"/>
          <w:b/>
          <w:sz w:val="18"/>
          <w:szCs w:val="18"/>
          <w:lang w:val="mk-MK"/>
        </w:rPr>
        <w:t>Извештајот за проценка на влијанието на регулативата е изготвен во согласност со Методологијата за проценка на влијанието на регулативата. Тој дава реална проценка на можните влијанија и очекуваните ефекти, како и трошоците кои се однесуваат на секоја од утврдените можни решенија (опции) за решавање на проблемот</w:t>
      </w:r>
      <w:r w:rsidRPr="00D96CB0">
        <w:rPr>
          <w:rFonts w:ascii="StobiSerif Regular" w:hAnsi="StobiSerif Regular"/>
          <w:b/>
          <w:sz w:val="18"/>
          <w:szCs w:val="18"/>
          <w:lang w:val="ru-RU"/>
        </w:rPr>
        <w:t>.</w:t>
      </w:r>
    </w:p>
    <w:p w14:paraId="7B18D29E" w14:textId="77777777" w:rsidR="00604E06" w:rsidRPr="00D96CB0" w:rsidRDefault="00604E06" w:rsidP="00604E06">
      <w:pPr>
        <w:spacing w:line="276" w:lineRule="auto"/>
        <w:jc w:val="both"/>
        <w:rPr>
          <w:rFonts w:ascii="StobiSerif Regular" w:hAnsi="StobiSerif Regular"/>
          <w:sz w:val="18"/>
          <w:szCs w:val="18"/>
          <w:lang w:val="mk-MK"/>
        </w:rPr>
      </w:pPr>
    </w:p>
    <w:p w14:paraId="0254F7E8" w14:textId="77777777" w:rsidR="00604E06" w:rsidRPr="00D96CB0" w:rsidRDefault="00604E06" w:rsidP="00604E06">
      <w:pPr>
        <w:spacing w:line="276" w:lineRule="auto"/>
        <w:jc w:val="both"/>
        <w:rPr>
          <w:rFonts w:ascii="StobiSerif Regular" w:hAnsi="StobiSerif Regular"/>
          <w:b/>
          <w:sz w:val="18"/>
          <w:szCs w:val="18"/>
          <w:lang w:val="mk-MK"/>
        </w:rPr>
      </w:pPr>
      <w:r w:rsidRPr="00D96CB0">
        <w:rPr>
          <w:rFonts w:ascii="StobiSerif Regular" w:hAnsi="StobiSerif Regular"/>
          <w:b/>
          <w:sz w:val="18"/>
          <w:szCs w:val="18"/>
          <w:lang w:val="mk-MK"/>
        </w:rPr>
        <w:t>Датум</w:t>
      </w:r>
      <w:r w:rsidRPr="00D96CB0">
        <w:rPr>
          <w:rFonts w:ascii="StobiSerif Regular" w:hAnsi="StobiSerif Regular"/>
          <w:b/>
          <w:sz w:val="18"/>
          <w:szCs w:val="18"/>
          <w:lang w:val="ru-RU"/>
        </w:rPr>
        <w:t>:</w:t>
      </w:r>
      <w:r w:rsidRPr="00D96CB0">
        <w:rPr>
          <w:rFonts w:ascii="StobiSerif Regular" w:hAnsi="StobiSerif Regular"/>
          <w:b/>
          <w:sz w:val="18"/>
          <w:szCs w:val="18"/>
          <w:lang w:val="mk-MK"/>
        </w:rPr>
        <w:t xml:space="preserve">_____________                                                                      </w:t>
      </w:r>
      <w:r w:rsidRPr="00D96CB0">
        <w:rPr>
          <w:rFonts w:ascii="StobiSerif Regular" w:hAnsi="StobiSerif Regular"/>
          <w:b/>
          <w:sz w:val="18"/>
          <w:szCs w:val="18"/>
          <w:lang w:val="ru-RU"/>
        </w:rPr>
        <w:t xml:space="preserve">                      ..................................................</w:t>
      </w:r>
    </w:p>
    <w:p w14:paraId="10B7202E" w14:textId="77777777" w:rsidR="00604E06" w:rsidRPr="00D96CB0" w:rsidRDefault="00604E06" w:rsidP="00604E06">
      <w:pPr>
        <w:spacing w:line="276" w:lineRule="auto"/>
        <w:jc w:val="both"/>
        <w:rPr>
          <w:rFonts w:ascii="StobiSerif Regular" w:hAnsi="StobiSerif Regular"/>
          <w:b/>
          <w:sz w:val="18"/>
          <w:szCs w:val="18"/>
          <w:lang w:val="mk-MK"/>
        </w:rPr>
      </w:pPr>
      <w:r w:rsidRPr="00D96CB0">
        <w:rPr>
          <w:rFonts w:ascii="StobiSerif Regular" w:hAnsi="StobiSerif Regular"/>
          <w:b/>
          <w:sz w:val="18"/>
          <w:szCs w:val="18"/>
          <w:lang w:val="ru-RU"/>
        </w:rPr>
        <w:tab/>
      </w:r>
      <w:r w:rsidRPr="00D96CB0">
        <w:rPr>
          <w:rFonts w:ascii="StobiSerif Regular" w:hAnsi="StobiSerif Regular"/>
          <w:b/>
          <w:sz w:val="18"/>
          <w:szCs w:val="18"/>
          <w:lang w:val="ru-RU"/>
        </w:rPr>
        <w:tab/>
      </w:r>
      <w:r w:rsidRPr="00D96CB0">
        <w:rPr>
          <w:rFonts w:ascii="StobiSerif Regular" w:hAnsi="StobiSerif Regular"/>
          <w:b/>
          <w:sz w:val="18"/>
          <w:szCs w:val="18"/>
          <w:lang w:val="ru-RU"/>
        </w:rPr>
        <w:tab/>
      </w:r>
      <w:r w:rsidRPr="00D96CB0">
        <w:rPr>
          <w:rFonts w:ascii="StobiSerif Regular" w:hAnsi="StobiSerif Regular"/>
          <w:b/>
          <w:sz w:val="18"/>
          <w:szCs w:val="18"/>
          <w:lang w:val="ru-RU"/>
        </w:rPr>
        <w:tab/>
      </w:r>
      <w:r w:rsidRPr="00D96CB0">
        <w:rPr>
          <w:rFonts w:ascii="StobiSerif Regular" w:hAnsi="StobiSerif Regular"/>
          <w:b/>
          <w:sz w:val="18"/>
          <w:szCs w:val="18"/>
          <w:lang w:val="ru-RU"/>
        </w:rPr>
        <w:tab/>
      </w:r>
      <w:r w:rsidRPr="00D96CB0">
        <w:rPr>
          <w:rFonts w:ascii="StobiSerif Regular" w:hAnsi="StobiSerif Regular"/>
          <w:b/>
          <w:sz w:val="18"/>
          <w:szCs w:val="18"/>
          <w:lang w:val="ru-RU"/>
        </w:rPr>
        <w:tab/>
        <w:t xml:space="preserve">                                            потпис на </w:t>
      </w:r>
      <w:r w:rsidRPr="00D96CB0">
        <w:rPr>
          <w:rFonts w:ascii="StobiSerif Regular" w:hAnsi="StobiSerif Regular"/>
          <w:b/>
          <w:sz w:val="18"/>
          <w:szCs w:val="18"/>
          <w:lang w:val="mk-MK"/>
        </w:rPr>
        <w:t>државен секретар,</w:t>
      </w:r>
    </w:p>
    <w:p w14:paraId="5C5A2E39" w14:textId="77777777" w:rsidR="00604E06" w:rsidRPr="00D96CB0" w:rsidRDefault="00604E06" w:rsidP="00604E06">
      <w:pPr>
        <w:spacing w:line="276" w:lineRule="auto"/>
        <w:jc w:val="both"/>
        <w:rPr>
          <w:rFonts w:ascii="StobiSerif Regular" w:hAnsi="StobiSerif Regular"/>
          <w:sz w:val="18"/>
          <w:szCs w:val="18"/>
          <w:lang w:val="mk-MK"/>
        </w:rPr>
      </w:pP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Pr="00D96CB0">
        <w:rPr>
          <w:rFonts w:ascii="StobiSerif Regular" w:hAnsi="StobiSerif Regular"/>
          <w:b/>
          <w:sz w:val="18"/>
          <w:szCs w:val="18"/>
          <w:lang w:val="mk-MK"/>
        </w:rPr>
        <w:tab/>
      </w:r>
      <w:r w:rsidR="00D3637C">
        <w:rPr>
          <w:rFonts w:ascii="StobiSerif Regular" w:hAnsi="StobiSerif Regular"/>
          <w:b/>
          <w:sz w:val="18"/>
          <w:szCs w:val="18"/>
          <w:lang w:val="mk-MK"/>
        </w:rPr>
        <w:t>Нефрус Челику</w:t>
      </w:r>
      <w:r w:rsidRPr="00D96CB0">
        <w:rPr>
          <w:rFonts w:ascii="StobiSerif Regular" w:hAnsi="StobiSerif Regular"/>
          <w:b/>
          <w:sz w:val="18"/>
          <w:szCs w:val="18"/>
          <w:lang w:val="ru-RU"/>
        </w:rPr>
        <w:t xml:space="preserve"> </w:t>
      </w:r>
    </w:p>
    <w:p w14:paraId="0AAC2351" w14:textId="77777777" w:rsidR="00604E06" w:rsidRPr="00D96CB0" w:rsidRDefault="00604E06" w:rsidP="00604E06">
      <w:pPr>
        <w:rPr>
          <w:rFonts w:ascii="StobiSerif Regular" w:hAnsi="StobiSerif Regular"/>
          <w:sz w:val="20"/>
          <w:szCs w:val="20"/>
          <w:lang w:val="mk-MK"/>
        </w:rPr>
      </w:pPr>
    </w:p>
    <w:p w14:paraId="08D38F67"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center"/>
        <w:rPr>
          <w:rFonts w:ascii="StobiSerif Regular" w:hAnsi="StobiSerif Regular"/>
          <w:sz w:val="18"/>
          <w:szCs w:val="18"/>
          <w:lang w:val="mk-MK"/>
        </w:rPr>
      </w:pPr>
      <w:r w:rsidRPr="00D96CB0">
        <w:rPr>
          <w:rFonts w:ascii="StobiSerif Regular" w:hAnsi="StobiSerif Regular"/>
          <w:b/>
          <w:sz w:val="18"/>
          <w:szCs w:val="18"/>
          <w:lang w:val="mk-MK"/>
        </w:rPr>
        <w:t>Изјава од министерот</w:t>
      </w:r>
    </w:p>
    <w:p w14:paraId="37312601"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10"/>
          <w:szCs w:val="10"/>
          <w:lang w:val="ru-RU"/>
        </w:rPr>
      </w:pPr>
    </w:p>
    <w:p w14:paraId="738BC80E"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18"/>
          <w:szCs w:val="18"/>
          <w:lang w:val="mk-MK"/>
        </w:rPr>
      </w:pPr>
      <w:r w:rsidRPr="00D96CB0">
        <w:rPr>
          <w:rFonts w:ascii="StobiSerif Regular" w:hAnsi="StobiSerif Regular"/>
          <w:b/>
          <w:sz w:val="18"/>
          <w:szCs w:val="18"/>
          <w:lang w:val="mk-MK"/>
        </w:rPr>
        <w:t xml:space="preserve">Врз основа на резултатите од анализите прикажани во Извештајот за проценка на влијанието на регулативата сметам дека препорачаното решение (опција) претставува најдобар начин за решавање на проблемот и постигнување на очекуваните ефекти на најекономичен начин. </w:t>
      </w:r>
    </w:p>
    <w:p w14:paraId="5486BD2B"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18"/>
          <w:szCs w:val="18"/>
          <w:lang w:val="ru-RU"/>
        </w:rPr>
      </w:pPr>
    </w:p>
    <w:p w14:paraId="5013ECAB"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18"/>
          <w:szCs w:val="18"/>
          <w:lang w:val="ru-RU"/>
        </w:rPr>
      </w:pPr>
      <w:r w:rsidRPr="00D96CB0">
        <w:rPr>
          <w:rFonts w:ascii="StobiSerif Regular" w:hAnsi="StobiSerif Regular"/>
          <w:b/>
          <w:sz w:val="18"/>
          <w:szCs w:val="18"/>
          <w:lang w:val="mk-MK"/>
        </w:rPr>
        <w:t>Датум:____________                                                                                                   ...........................</w:t>
      </w:r>
      <w:r w:rsidRPr="00D96CB0">
        <w:rPr>
          <w:rFonts w:ascii="StobiSerif Regular" w:hAnsi="StobiSerif Regular"/>
          <w:b/>
          <w:sz w:val="18"/>
          <w:szCs w:val="18"/>
          <w:lang w:val="ru-RU"/>
        </w:rPr>
        <w:t>................</w:t>
      </w:r>
    </w:p>
    <w:p w14:paraId="276B31FE" w14:textId="77777777" w:rsidR="00604E06" w:rsidRPr="00D96CB0" w:rsidRDefault="00604E06" w:rsidP="00604E06">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18"/>
          <w:szCs w:val="18"/>
          <w:lang w:val="mk-MK"/>
        </w:rPr>
      </w:pPr>
      <w:r w:rsidRPr="00D96CB0">
        <w:rPr>
          <w:rFonts w:ascii="StobiSerif Regular" w:hAnsi="StobiSerif Regular"/>
          <w:b/>
          <w:sz w:val="18"/>
          <w:szCs w:val="18"/>
          <w:lang w:val="mk-MK"/>
        </w:rPr>
        <w:t xml:space="preserve">                                                                                                                                         потпис на министер,</w:t>
      </w:r>
    </w:p>
    <w:p w14:paraId="566996E4" w14:textId="6DCE00BE" w:rsidR="00213289" w:rsidRPr="00D3637C" w:rsidRDefault="00D3637C" w:rsidP="00D3637C">
      <w:pPr>
        <w:pBdr>
          <w:top w:val="single" w:sz="4" w:space="1" w:color="auto"/>
          <w:left w:val="single" w:sz="4" w:space="4" w:color="auto"/>
          <w:bottom w:val="single" w:sz="4" w:space="1" w:color="auto"/>
          <w:right w:val="single" w:sz="4" w:space="4" w:color="auto"/>
        </w:pBdr>
        <w:shd w:val="clear" w:color="auto" w:fill="FBD4B4"/>
        <w:spacing w:line="276" w:lineRule="auto"/>
        <w:jc w:val="both"/>
        <w:rPr>
          <w:rFonts w:ascii="StobiSerif Regular" w:hAnsi="StobiSerif Regular"/>
          <w:b/>
          <w:sz w:val="20"/>
          <w:szCs w:val="20"/>
          <w:lang w:val="mk-MK"/>
        </w:rPr>
      </w:pPr>
      <w:r>
        <w:rPr>
          <w:rFonts w:ascii="StobiSerif Regular" w:hAnsi="StobiSerif Regular"/>
          <w:b/>
          <w:sz w:val="18"/>
          <w:szCs w:val="18"/>
          <w:lang w:val="mk-MK"/>
        </w:rPr>
        <w:t xml:space="preserve"> </w:t>
      </w:r>
      <w:r>
        <w:rPr>
          <w:rFonts w:ascii="StobiSerif Regular" w:hAnsi="StobiSerif Regular"/>
          <w:b/>
          <w:sz w:val="18"/>
          <w:szCs w:val="18"/>
          <w:lang w:val="mk-MK"/>
        </w:rPr>
        <w:tab/>
      </w:r>
      <w:r>
        <w:rPr>
          <w:rFonts w:ascii="StobiSerif Regular" w:hAnsi="StobiSerif Regular"/>
          <w:b/>
          <w:sz w:val="18"/>
          <w:szCs w:val="18"/>
          <w:lang w:val="mk-MK"/>
        </w:rPr>
        <w:tab/>
      </w:r>
      <w:r w:rsidR="009F5521">
        <w:rPr>
          <w:rFonts w:ascii="StobiSerif Regular" w:hAnsi="StobiSerif Regular"/>
          <w:b/>
          <w:sz w:val="18"/>
          <w:szCs w:val="18"/>
          <w:lang w:val="mk-MK"/>
        </w:rPr>
        <w:tab/>
      </w:r>
      <w:r w:rsidR="009F5521">
        <w:rPr>
          <w:rFonts w:ascii="StobiSerif Regular" w:hAnsi="StobiSerif Regular"/>
          <w:b/>
          <w:sz w:val="18"/>
          <w:szCs w:val="18"/>
          <w:lang w:val="mk-MK"/>
        </w:rPr>
        <w:tab/>
      </w:r>
      <w:r w:rsidR="009F5521">
        <w:rPr>
          <w:rFonts w:ascii="StobiSerif Regular" w:hAnsi="StobiSerif Regular"/>
          <w:b/>
          <w:sz w:val="18"/>
          <w:szCs w:val="18"/>
          <w:lang w:val="mk-MK"/>
        </w:rPr>
        <w:tab/>
      </w:r>
      <w:r w:rsidR="009F5521">
        <w:rPr>
          <w:rFonts w:ascii="StobiSerif Regular" w:hAnsi="StobiSerif Regular"/>
          <w:b/>
          <w:sz w:val="18"/>
          <w:szCs w:val="18"/>
          <w:lang w:val="mk-MK"/>
        </w:rPr>
        <w:tab/>
      </w:r>
      <w:r w:rsidR="009F5521">
        <w:rPr>
          <w:rFonts w:ascii="StobiSerif Regular" w:hAnsi="StobiSerif Regular"/>
          <w:b/>
          <w:sz w:val="18"/>
          <w:szCs w:val="18"/>
          <w:lang w:val="mk-MK"/>
        </w:rPr>
        <w:tab/>
      </w:r>
      <w:r w:rsidR="009F5521">
        <w:rPr>
          <w:rFonts w:ascii="StobiSerif Regular" w:hAnsi="StobiSerif Regular"/>
          <w:b/>
          <w:sz w:val="18"/>
          <w:szCs w:val="18"/>
          <w:lang w:val="mk-MK"/>
        </w:rPr>
        <w:tab/>
        <w:t xml:space="preserve">              Љупчо Николовски</w:t>
      </w:r>
    </w:p>
    <w:sectPr w:rsidR="00213289" w:rsidRPr="00D3637C" w:rsidSect="00D3637C">
      <w:headerReference w:type="default" r:id="rId10"/>
      <w:footerReference w:type="default" r:id="rId11"/>
      <w:pgSz w:w="11906" w:h="16838"/>
      <w:pgMar w:top="567" w:right="969" w:bottom="1276"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5E9E7" w14:textId="77777777" w:rsidR="00667C2B" w:rsidRDefault="00667C2B">
      <w:r>
        <w:separator/>
      </w:r>
    </w:p>
  </w:endnote>
  <w:endnote w:type="continuationSeparator" w:id="0">
    <w:p w14:paraId="02BF505B" w14:textId="77777777" w:rsidR="00667C2B" w:rsidRDefault="0066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Verdana-Bol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CE27" w14:textId="58BA1CF8" w:rsidR="001B51EC" w:rsidRDefault="00604E06">
    <w:pPr>
      <w:pStyle w:val="Footer"/>
      <w:jc w:val="right"/>
    </w:pPr>
    <w:r>
      <w:fldChar w:fldCharType="begin"/>
    </w:r>
    <w:r>
      <w:instrText xml:space="preserve"> PAGE   \* MERGEFORMAT </w:instrText>
    </w:r>
    <w:r>
      <w:fldChar w:fldCharType="separate"/>
    </w:r>
    <w:r w:rsidR="00817324">
      <w:rPr>
        <w:noProof/>
      </w:rPr>
      <w:t>12</w:t>
    </w:r>
    <w:r>
      <w:fldChar w:fldCharType="end"/>
    </w:r>
  </w:p>
  <w:p w14:paraId="3A9268C3" w14:textId="77777777" w:rsidR="001B51EC" w:rsidRDefault="0081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79DEB" w14:textId="77777777" w:rsidR="00667C2B" w:rsidRDefault="00667C2B">
      <w:r>
        <w:separator/>
      </w:r>
    </w:p>
  </w:footnote>
  <w:footnote w:type="continuationSeparator" w:id="0">
    <w:p w14:paraId="6BE589F5" w14:textId="77777777" w:rsidR="00667C2B" w:rsidRDefault="0066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986A" w14:textId="77777777" w:rsidR="00EF65EE" w:rsidRDefault="00604E06" w:rsidP="00EF65EE">
    <w:pPr>
      <w:pStyle w:val="Header"/>
      <w:jc w:val="center"/>
      <w:rPr>
        <w:rFonts w:ascii="StobiSerif" w:hAnsi="StobiSerif"/>
        <w:noProof/>
        <w:sz w:val="22"/>
        <w:szCs w:val="22"/>
        <w:lang w:val="mk-MK" w:eastAsia="mk-MK"/>
      </w:rPr>
    </w:pPr>
    <w:r w:rsidRPr="0093438E">
      <w:rPr>
        <w:rFonts w:ascii="StobiSerif" w:hAnsi="StobiSerif"/>
        <w:noProof/>
        <w:sz w:val="22"/>
        <w:szCs w:val="22"/>
        <w:lang w:val="en-US" w:eastAsia="en-US"/>
      </w:rPr>
      <w:drawing>
        <wp:inline distT="0" distB="0" distL="0" distR="0" wp14:anchorId="47A2CF16" wp14:editId="4BEF5576">
          <wp:extent cx="25812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952500"/>
                  </a:xfrm>
                  <a:prstGeom prst="rect">
                    <a:avLst/>
                  </a:prstGeom>
                  <a:noFill/>
                  <a:ln>
                    <a:noFill/>
                  </a:ln>
                </pic:spPr>
              </pic:pic>
            </a:graphicData>
          </a:graphic>
        </wp:inline>
      </w:drawing>
    </w:r>
  </w:p>
  <w:p w14:paraId="463AE463" w14:textId="77777777" w:rsidR="00324FB1" w:rsidRPr="00D96CB0" w:rsidRDefault="00604E06" w:rsidP="00324FB1">
    <w:pPr>
      <w:pStyle w:val="Header"/>
      <w:tabs>
        <w:tab w:val="clear" w:pos="4513"/>
        <w:tab w:val="clear" w:pos="9026"/>
      </w:tabs>
      <w:jc w:val="center"/>
      <w:rPr>
        <w:b/>
        <w:sz w:val="20"/>
        <w:szCs w:val="20"/>
        <w:lang w:val="mk-MK"/>
      </w:rPr>
    </w:pPr>
    <w:r w:rsidRPr="00324FB1">
      <w:rPr>
        <w:rFonts w:ascii="StobiSerif" w:hAnsi="StobiSerif"/>
        <w:b/>
        <w:noProof/>
        <w:sz w:val="20"/>
        <w:szCs w:val="20"/>
        <w:lang w:val="mk-MK" w:eastAsia="mk-MK"/>
      </w:rPr>
      <w:t>МИНИСТЕРСТВО ЗА</w:t>
    </w:r>
    <w:r>
      <w:rPr>
        <w:rFonts w:ascii="StobiSerif" w:hAnsi="StobiSerif"/>
        <w:b/>
        <w:noProof/>
        <w:sz w:val="20"/>
        <w:szCs w:val="20"/>
        <w:lang w:val="mk-MK" w:eastAsia="mk-MK"/>
      </w:rPr>
      <w:t xml:space="preserve"> </w:t>
    </w:r>
    <w:r w:rsidR="00752EC1">
      <w:rPr>
        <w:rFonts w:ascii="StobiSerif" w:hAnsi="StobiSerif"/>
        <w:b/>
        <w:noProof/>
        <w:sz w:val="20"/>
        <w:szCs w:val="20"/>
        <w:lang w:val="mk-MK" w:eastAsia="mk-MK"/>
      </w:rPr>
      <w:t>ЗЕМЈОДЕЛСТВО, ШУМАРСТВО И ВОДОСТОПАНСТВО</w:t>
    </w:r>
  </w:p>
  <w:p w14:paraId="5C58878D" w14:textId="77777777" w:rsidR="00EF65EE" w:rsidRDefault="0081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BF9"/>
    <w:multiLevelType w:val="hybridMultilevel"/>
    <w:tmpl w:val="DD1E53C2"/>
    <w:lvl w:ilvl="0" w:tplc="F920F142">
      <w:numFmt w:val="bullet"/>
      <w:lvlText w:val="-"/>
      <w:lvlJc w:val="left"/>
      <w:pPr>
        <w:ind w:left="1350" w:hanging="360"/>
      </w:pPr>
      <w:rPr>
        <w:rFonts w:ascii="Calibri" w:eastAsia="Calibri" w:hAnsi="Calibri"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66926D1"/>
    <w:multiLevelType w:val="hybridMultilevel"/>
    <w:tmpl w:val="D64C9EF6"/>
    <w:lvl w:ilvl="0" w:tplc="F920F142">
      <w:numFmt w:val="bullet"/>
      <w:lvlText w:val="-"/>
      <w:lvlJc w:val="left"/>
      <w:pPr>
        <w:ind w:left="1170" w:hanging="360"/>
      </w:pPr>
      <w:rPr>
        <w:rFonts w:ascii="Calibri" w:eastAsia="Calibri" w:hAnsi="Calibri"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F179E1"/>
    <w:multiLevelType w:val="hybridMultilevel"/>
    <w:tmpl w:val="F9F82FEC"/>
    <w:lvl w:ilvl="0" w:tplc="F920F1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6BA5"/>
    <w:multiLevelType w:val="multilevel"/>
    <w:tmpl w:val="E9F6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25294"/>
    <w:multiLevelType w:val="multilevel"/>
    <w:tmpl w:val="875A22D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2D3D56"/>
    <w:multiLevelType w:val="hybridMultilevel"/>
    <w:tmpl w:val="375EA288"/>
    <w:lvl w:ilvl="0" w:tplc="A9D4AFF0">
      <w:start w:val="2"/>
      <w:numFmt w:val="bullet"/>
      <w:lvlText w:val="•"/>
      <w:lvlJc w:val="left"/>
      <w:pPr>
        <w:ind w:left="990" w:hanging="360"/>
      </w:pPr>
      <w:rPr>
        <w:rFonts w:ascii="StobiSerif Regular" w:eastAsia="Calibri" w:hAnsi="StobiSerif Regular"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0626BF7"/>
    <w:multiLevelType w:val="multilevel"/>
    <w:tmpl w:val="71809790"/>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1440" w:hanging="720"/>
      </w:pPr>
      <w:rPr>
        <w:rFonts w:eastAsia="Times New Roman" w:cs="Times New Roman" w:hint="default"/>
      </w:rPr>
    </w:lvl>
    <w:lvl w:ilvl="2">
      <w:start w:val="1"/>
      <w:numFmt w:val="decimal"/>
      <w:lvlText w:val="%1.%2.%3"/>
      <w:lvlJc w:val="left"/>
      <w:pPr>
        <w:ind w:left="2160" w:hanging="720"/>
      </w:pPr>
      <w:rPr>
        <w:rFonts w:eastAsia="Times New Roman" w:cs="Times New Roman" w:hint="default"/>
      </w:rPr>
    </w:lvl>
    <w:lvl w:ilvl="3">
      <w:start w:val="1"/>
      <w:numFmt w:val="decimal"/>
      <w:lvlText w:val="%1.%2.%3.%4"/>
      <w:lvlJc w:val="left"/>
      <w:pPr>
        <w:ind w:left="2880" w:hanging="720"/>
      </w:pPr>
      <w:rPr>
        <w:rFonts w:eastAsia="Times New Roman" w:cs="Times New Roman" w:hint="default"/>
      </w:rPr>
    </w:lvl>
    <w:lvl w:ilvl="4">
      <w:start w:val="1"/>
      <w:numFmt w:val="decimal"/>
      <w:lvlText w:val="%1.%2.%3.%4.%5"/>
      <w:lvlJc w:val="left"/>
      <w:pPr>
        <w:ind w:left="3960" w:hanging="1080"/>
      </w:pPr>
      <w:rPr>
        <w:rFonts w:eastAsia="Times New Roman" w:cs="Times New Roman" w:hint="default"/>
      </w:rPr>
    </w:lvl>
    <w:lvl w:ilvl="5">
      <w:start w:val="1"/>
      <w:numFmt w:val="decimal"/>
      <w:lvlText w:val="%1.%2.%3.%4.%5.%6"/>
      <w:lvlJc w:val="left"/>
      <w:pPr>
        <w:ind w:left="4680" w:hanging="1080"/>
      </w:pPr>
      <w:rPr>
        <w:rFonts w:eastAsia="Times New Roman" w:cs="Times New Roman" w:hint="default"/>
      </w:rPr>
    </w:lvl>
    <w:lvl w:ilvl="6">
      <w:start w:val="1"/>
      <w:numFmt w:val="decimal"/>
      <w:lvlText w:val="%1.%2.%3.%4.%5.%6.%7"/>
      <w:lvlJc w:val="left"/>
      <w:pPr>
        <w:ind w:left="5760" w:hanging="1440"/>
      </w:pPr>
      <w:rPr>
        <w:rFonts w:eastAsia="Times New Roman" w:cs="Times New Roman" w:hint="default"/>
      </w:rPr>
    </w:lvl>
    <w:lvl w:ilvl="7">
      <w:start w:val="1"/>
      <w:numFmt w:val="decimal"/>
      <w:lvlText w:val="%1.%2.%3.%4.%5.%6.%7.%8"/>
      <w:lvlJc w:val="left"/>
      <w:pPr>
        <w:ind w:left="6480" w:hanging="1440"/>
      </w:pPr>
      <w:rPr>
        <w:rFonts w:eastAsia="Times New Roman" w:cs="Times New Roman" w:hint="default"/>
      </w:rPr>
    </w:lvl>
    <w:lvl w:ilvl="8">
      <w:start w:val="1"/>
      <w:numFmt w:val="decimal"/>
      <w:lvlText w:val="%1.%2.%3.%4.%5.%6.%7.%8.%9"/>
      <w:lvlJc w:val="left"/>
      <w:pPr>
        <w:ind w:left="7560" w:hanging="1800"/>
      </w:pPr>
      <w:rPr>
        <w:rFonts w:eastAsia="Times New Roman" w:cs="Times New Roman" w:hint="default"/>
      </w:rPr>
    </w:lvl>
  </w:abstractNum>
  <w:abstractNum w:abstractNumId="7" w15:restartNumberingAfterBreak="0">
    <w:nsid w:val="364D6B0E"/>
    <w:multiLevelType w:val="hybridMultilevel"/>
    <w:tmpl w:val="7752010E"/>
    <w:lvl w:ilvl="0" w:tplc="F920F142">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255CD2"/>
    <w:multiLevelType w:val="hybridMultilevel"/>
    <w:tmpl w:val="D35AC258"/>
    <w:lvl w:ilvl="0" w:tplc="9E3C0AE2">
      <w:start w:val="2"/>
      <w:numFmt w:val="bullet"/>
      <w:lvlText w:val="•"/>
      <w:lvlJc w:val="left"/>
      <w:pPr>
        <w:ind w:left="990" w:hanging="360"/>
      </w:pPr>
      <w:rPr>
        <w:rFonts w:ascii="StobiSerif Regular" w:eastAsia="Calibri" w:hAnsi="StobiSerif Regular"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8F54B86"/>
    <w:multiLevelType w:val="hybridMultilevel"/>
    <w:tmpl w:val="147ACBAA"/>
    <w:lvl w:ilvl="0" w:tplc="F920F142">
      <w:numFmt w:val="bullet"/>
      <w:lvlText w:val="-"/>
      <w:lvlJc w:val="left"/>
      <w:pPr>
        <w:ind w:left="1170" w:hanging="360"/>
      </w:pPr>
      <w:rPr>
        <w:rFonts w:ascii="Calibri" w:eastAsia="Calibri" w:hAnsi="Calibri" w:cs="Times New Roman" w:hint="default"/>
      </w:rPr>
    </w:lvl>
    <w:lvl w:ilvl="1" w:tplc="F920F142">
      <w:numFmt w:val="bullet"/>
      <w:lvlText w:val="-"/>
      <w:lvlJc w:val="left"/>
      <w:pPr>
        <w:ind w:left="1890" w:hanging="360"/>
      </w:pPr>
      <w:rPr>
        <w:rFonts w:ascii="Calibri" w:eastAsia="Calibri" w:hAnsi="Calibri"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83D0F5C"/>
    <w:multiLevelType w:val="multilevel"/>
    <w:tmpl w:val="1E725762"/>
    <w:lvl w:ilvl="0">
      <w:start w:val="4"/>
      <w:numFmt w:val="decimal"/>
      <w:lvlText w:val="%1."/>
      <w:lvlJc w:val="left"/>
      <w:pPr>
        <w:tabs>
          <w:tab w:val="num" w:pos="675"/>
        </w:tabs>
        <w:ind w:left="675" w:hanging="675"/>
      </w:pPr>
      <w:rPr>
        <w:rFonts w:hint="default"/>
      </w:rPr>
    </w:lvl>
    <w:lvl w:ilvl="1">
      <w:start w:val="1"/>
      <w:numFmt w:val="decimal"/>
      <w:isLgl/>
      <w:lvlText w:val="%1.%2"/>
      <w:lvlJc w:val="left"/>
      <w:pPr>
        <w:ind w:left="1440" w:hanging="765"/>
      </w:pPr>
      <w:rPr>
        <w:rFonts w:hint="default"/>
      </w:rPr>
    </w:lvl>
    <w:lvl w:ilvl="2">
      <w:start w:val="1"/>
      <w:numFmt w:val="decimal"/>
      <w:isLgl/>
      <w:lvlText w:val="%1.%2.%3"/>
      <w:lvlJc w:val="left"/>
      <w:pPr>
        <w:ind w:left="2115" w:hanging="765"/>
      </w:pPr>
      <w:rPr>
        <w:rFonts w:hint="default"/>
      </w:rPr>
    </w:lvl>
    <w:lvl w:ilvl="3">
      <w:start w:val="1"/>
      <w:numFmt w:val="decimal"/>
      <w:isLgl/>
      <w:lvlText w:val="%1.%2.%3.%4"/>
      <w:lvlJc w:val="left"/>
      <w:pPr>
        <w:ind w:left="2790" w:hanging="765"/>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55"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6165"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7C3F5FB2"/>
    <w:multiLevelType w:val="hybridMultilevel"/>
    <w:tmpl w:val="62F83C94"/>
    <w:lvl w:ilvl="0" w:tplc="FA984794">
      <w:start w:val="2"/>
      <w:numFmt w:val="bullet"/>
      <w:lvlText w:val="-"/>
      <w:lvlJc w:val="left"/>
      <w:pPr>
        <w:ind w:left="1350" w:hanging="360"/>
      </w:pPr>
      <w:rPr>
        <w:rFonts w:ascii="StobiSerif" w:eastAsia="Times New Roman" w:hAnsi="StobiSerif" w:cs="Verdana-Bold" w:hint="default"/>
      </w:rPr>
    </w:lvl>
    <w:lvl w:ilvl="1" w:tplc="87EC0662">
      <w:start w:val="2"/>
      <w:numFmt w:val="bullet"/>
      <w:lvlText w:val="•"/>
      <w:lvlJc w:val="left"/>
      <w:pPr>
        <w:ind w:left="2070" w:hanging="360"/>
      </w:pPr>
      <w:rPr>
        <w:rFonts w:ascii="StobiSerif Regular" w:eastAsia="Times New Roman" w:hAnsi="StobiSerif Regular" w:cs="Times New Roman"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7"/>
  </w:num>
  <w:num w:numId="6">
    <w:abstractNumId w:val="11"/>
  </w:num>
  <w:num w:numId="7">
    <w:abstractNumId w:val="5"/>
  </w:num>
  <w:num w:numId="8">
    <w:abstractNumId w:val="0"/>
  </w:num>
  <w:num w:numId="9">
    <w:abstractNumId w:val="8"/>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06"/>
    <w:rsid w:val="00097A95"/>
    <w:rsid w:val="000E4C6D"/>
    <w:rsid w:val="001201C9"/>
    <w:rsid w:val="001877D4"/>
    <w:rsid w:val="001B70D7"/>
    <w:rsid w:val="001C5FCF"/>
    <w:rsid w:val="002042A8"/>
    <w:rsid w:val="00210C6A"/>
    <w:rsid w:val="00213051"/>
    <w:rsid w:val="00213289"/>
    <w:rsid w:val="002A1C7A"/>
    <w:rsid w:val="002B0173"/>
    <w:rsid w:val="002B4A85"/>
    <w:rsid w:val="00306D73"/>
    <w:rsid w:val="00325B50"/>
    <w:rsid w:val="003833DF"/>
    <w:rsid w:val="00396973"/>
    <w:rsid w:val="003A6EAC"/>
    <w:rsid w:val="003C6ADB"/>
    <w:rsid w:val="004053DD"/>
    <w:rsid w:val="00413542"/>
    <w:rsid w:val="00422B6D"/>
    <w:rsid w:val="00430B90"/>
    <w:rsid w:val="0047151D"/>
    <w:rsid w:val="00491299"/>
    <w:rsid w:val="004A7E61"/>
    <w:rsid w:val="00510818"/>
    <w:rsid w:val="005360A1"/>
    <w:rsid w:val="00580007"/>
    <w:rsid w:val="0059116B"/>
    <w:rsid w:val="00597CF6"/>
    <w:rsid w:val="005A5D8D"/>
    <w:rsid w:val="005D6F46"/>
    <w:rsid w:val="005F08FD"/>
    <w:rsid w:val="005F6E58"/>
    <w:rsid w:val="00603810"/>
    <w:rsid w:val="00604E06"/>
    <w:rsid w:val="006114BD"/>
    <w:rsid w:val="00667C2B"/>
    <w:rsid w:val="00686515"/>
    <w:rsid w:val="006D3CD4"/>
    <w:rsid w:val="007329B9"/>
    <w:rsid w:val="00736516"/>
    <w:rsid w:val="007451A6"/>
    <w:rsid w:val="00752EC1"/>
    <w:rsid w:val="007B4688"/>
    <w:rsid w:val="007D750D"/>
    <w:rsid w:val="008073D0"/>
    <w:rsid w:val="0081684A"/>
    <w:rsid w:val="00817324"/>
    <w:rsid w:val="0082249E"/>
    <w:rsid w:val="00823213"/>
    <w:rsid w:val="0084734F"/>
    <w:rsid w:val="00897BA2"/>
    <w:rsid w:val="008D158F"/>
    <w:rsid w:val="008E0008"/>
    <w:rsid w:val="008F6C18"/>
    <w:rsid w:val="00916BEE"/>
    <w:rsid w:val="009213EA"/>
    <w:rsid w:val="009253D6"/>
    <w:rsid w:val="009327C4"/>
    <w:rsid w:val="009D5570"/>
    <w:rsid w:val="009D6CFA"/>
    <w:rsid w:val="009F5521"/>
    <w:rsid w:val="00AB5878"/>
    <w:rsid w:val="00AD5BCA"/>
    <w:rsid w:val="00AD6D08"/>
    <w:rsid w:val="00AD7CEC"/>
    <w:rsid w:val="00B55AB3"/>
    <w:rsid w:val="00B57F65"/>
    <w:rsid w:val="00BA732A"/>
    <w:rsid w:val="00BC361C"/>
    <w:rsid w:val="00C82D5D"/>
    <w:rsid w:val="00CA05FD"/>
    <w:rsid w:val="00D07EE1"/>
    <w:rsid w:val="00D34277"/>
    <w:rsid w:val="00D3637C"/>
    <w:rsid w:val="00D438DA"/>
    <w:rsid w:val="00D464DD"/>
    <w:rsid w:val="00D47463"/>
    <w:rsid w:val="00DC7CAE"/>
    <w:rsid w:val="00DD08A2"/>
    <w:rsid w:val="00E72875"/>
    <w:rsid w:val="00E76850"/>
    <w:rsid w:val="00E9570A"/>
    <w:rsid w:val="00EB2829"/>
    <w:rsid w:val="00F0285B"/>
    <w:rsid w:val="00F127BA"/>
    <w:rsid w:val="00F47E51"/>
    <w:rsid w:val="00F5295D"/>
    <w:rsid w:val="00F87FFD"/>
    <w:rsid w:val="00FC72EF"/>
    <w:rsid w:val="00FD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F008"/>
  <w15:docId w15:val="{3767230A-E7DC-4BD2-AB62-78F0E2C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E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E06"/>
    <w:pPr>
      <w:tabs>
        <w:tab w:val="center" w:pos="4513"/>
        <w:tab w:val="right" w:pos="9026"/>
      </w:tabs>
    </w:pPr>
    <w:rPr>
      <w:lang w:eastAsia="x-none"/>
    </w:rPr>
  </w:style>
  <w:style w:type="character" w:customStyle="1" w:styleId="HeaderChar">
    <w:name w:val="Header Char"/>
    <w:basedOn w:val="DefaultParagraphFont"/>
    <w:link w:val="Header"/>
    <w:uiPriority w:val="99"/>
    <w:rsid w:val="00604E06"/>
    <w:rPr>
      <w:rFonts w:ascii="Times New Roman" w:eastAsia="Times New Roman" w:hAnsi="Times New Roman" w:cs="Times New Roman"/>
      <w:sz w:val="24"/>
      <w:szCs w:val="24"/>
      <w:lang w:val="en-GB" w:eastAsia="x-none"/>
    </w:rPr>
  </w:style>
  <w:style w:type="paragraph" w:styleId="Footer">
    <w:name w:val="footer"/>
    <w:basedOn w:val="Normal"/>
    <w:link w:val="FooterChar"/>
    <w:uiPriority w:val="99"/>
    <w:unhideWhenUsed/>
    <w:rsid w:val="00604E06"/>
    <w:pPr>
      <w:tabs>
        <w:tab w:val="center" w:pos="4513"/>
        <w:tab w:val="right" w:pos="9026"/>
      </w:tabs>
    </w:pPr>
    <w:rPr>
      <w:lang w:eastAsia="x-none"/>
    </w:rPr>
  </w:style>
  <w:style w:type="character" w:customStyle="1" w:styleId="FooterChar">
    <w:name w:val="Footer Char"/>
    <w:basedOn w:val="DefaultParagraphFont"/>
    <w:link w:val="Footer"/>
    <w:uiPriority w:val="99"/>
    <w:rsid w:val="00604E06"/>
    <w:rPr>
      <w:rFonts w:ascii="Times New Roman" w:eastAsia="Times New Roman" w:hAnsi="Times New Roman" w:cs="Times New Roman"/>
      <w:sz w:val="24"/>
      <w:szCs w:val="24"/>
      <w:lang w:val="en-GB" w:eastAsia="x-none"/>
    </w:rPr>
  </w:style>
  <w:style w:type="paragraph" w:styleId="ListParagraph">
    <w:name w:val="List Paragraph"/>
    <w:basedOn w:val="Normal"/>
    <w:uiPriority w:val="34"/>
    <w:qFormat/>
    <w:rsid w:val="00604E06"/>
    <w:pPr>
      <w:spacing w:after="200" w:line="276" w:lineRule="auto"/>
      <w:ind w:left="720"/>
      <w:contextualSpacing/>
    </w:pPr>
    <w:rPr>
      <w:rFonts w:ascii="Calibri" w:eastAsia="Calibri" w:hAnsi="Calibri"/>
      <w:sz w:val="22"/>
      <w:szCs w:val="22"/>
      <w:lang w:val="mk-MK"/>
    </w:rPr>
  </w:style>
  <w:style w:type="paragraph" w:styleId="BalloonText">
    <w:name w:val="Balloon Text"/>
    <w:basedOn w:val="Normal"/>
    <w:link w:val="BalloonTextChar"/>
    <w:uiPriority w:val="99"/>
    <w:semiHidden/>
    <w:unhideWhenUsed/>
    <w:rsid w:val="00752EC1"/>
    <w:rPr>
      <w:rFonts w:ascii="Tahoma" w:hAnsi="Tahoma" w:cs="Tahoma"/>
      <w:sz w:val="16"/>
      <w:szCs w:val="16"/>
    </w:rPr>
  </w:style>
  <w:style w:type="character" w:customStyle="1" w:styleId="BalloonTextChar">
    <w:name w:val="Balloon Text Char"/>
    <w:basedOn w:val="DefaultParagraphFont"/>
    <w:link w:val="BalloonText"/>
    <w:uiPriority w:val="99"/>
    <w:semiHidden/>
    <w:rsid w:val="00752EC1"/>
    <w:rPr>
      <w:rFonts w:ascii="Tahoma" w:eastAsia="Times New Roman" w:hAnsi="Tahoma" w:cs="Tahoma"/>
      <w:sz w:val="16"/>
      <w:szCs w:val="16"/>
      <w:lang w:val="en-GB"/>
    </w:rPr>
  </w:style>
  <w:style w:type="character" w:styleId="Hyperlink">
    <w:name w:val="Hyperlink"/>
    <w:uiPriority w:val="99"/>
    <w:semiHidden/>
    <w:unhideWhenUsed/>
    <w:rsid w:val="00D47463"/>
    <w:rPr>
      <w:color w:val="0000FF"/>
      <w:u w:val="single"/>
    </w:rPr>
  </w:style>
  <w:style w:type="paragraph" w:styleId="NoSpacing">
    <w:name w:val="No Spacing"/>
    <w:uiPriority w:val="1"/>
    <w:qFormat/>
    <w:rsid w:val="00F127B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7697">
      <w:bodyDiv w:val="1"/>
      <w:marLeft w:val="0"/>
      <w:marRight w:val="0"/>
      <w:marTop w:val="0"/>
      <w:marBottom w:val="0"/>
      <w:divBdr>
        <w:top w:val="none" w:sz="0" w:space="0" w:color="auto"/>
        <w:left w:val="none" w:sz="0" w:space="0" w:color="auto"/>
        <w:bottom w:val="none" w:sz="0" w:space="0" w:color="auto"/>
        <w:right w:val="none" w:sz="0" w:space="0" w:color="auto"/>
      </w:divBdr>
    </w:div>
    <w:div w:id="8114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babovski@fva.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02-12709/1 </ProtocolNumberOut>
    <ProtocolNumberInArchiveDate xmlns="http://schemas.microsoft.com/sharepoint/v3" xsi:nil="true"/>
    <ProtocolNumberOutArchiveDate xmlns="http://schemas.microsoft.com/sharepoint/v3">2019-12-18T00:00:00+00:00</ProtocolNumberOutArchiveDat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7A162D56ADF468478B2FD51F681D2773" ma:contentTypeVersion="" ma:contentTypeDescription="" ma:contentTypeScope="" ma:versionID="773d3c05bc774b2674ecca18815eccb2">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326EA-0F88-45E7-BD4A-6E874194DA00}">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7DCCC4A-B291-4A46-BF31-F529973F9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ПВР Извештај</vt:lpstr>
    </vt:vector>
  </TitlesOfParts>
  <Company>Hewlett-Packard Company</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ПВР Извештај</dc:title>
  <dc:creator>Александар Диље</dc:creator>
  <cp:lastModifiedBy>Kristina Petrova</cp:lastModifiedBy>
  <cp:revision>3</cp:revision>
  <dcterms:created xsi:type="dcterms:W3CDTF">2023-07-20T09:20:00Z</dcterms:created>
  <dcterms:modified xsi:type="dcterms:W3CDTF">2023-07-20T09:21:00Z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0x01010086FCDBBC86574C7ABFC9FD714B80DE6C007A162D56ADF468478B2FD51F681D2773</vt:lpwstr>
  </property>
  <property fmtid="{D5CDD505-2E9C-101B-9397-08002B2CF9AE}" pid="3" name="CreatedBy">
    <vt:lpwstr>i:0e.t|e-vlada.mk sts|aleksandar.dilje</vt:lpwstr>
  </property>
  <property fmtid="{D5CDD505-2E9C-101B-9397-08002B2CF9AE}" pid="4" name="ModifiedBy">
    <vt:lpwstr>i:0e.t|e-vlada.mk sts|aleksandar.dilje</vt:lpwstr>
  </property>
</Properties>
</file>