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C40D23" w:rsidRPr="00211EFB" w14:paraId="3E7FB446" w14:textId="77777777" w:rsidTr="00234448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3F25CAE1" w14:textId="77777777" w:rsidR="00C40D23" w:rsidRPr="00211EFB" w:rsidRDefault="00C40D23" w:rsidP="00234448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Формулар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доставување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дел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локален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пат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н.м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>. 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Габревци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“,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Конче</w:t>
            </w:r>
            <w:proofErr w:type="spellEnd"/>
          </w:p>
          <w:p w14:paraId="27E4E545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Опис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проектот</w:t>
            </w:r>
            <w:proofErr w:type="spellEnd"/>
          </w:p>
          <w:p w14:paraId="133C3F24" w14:textId="77777777" w:rsidR="00C40D23" w:rsidRPr="0045428E" w:rsidRDefault="00C40D23" w:rsidP="00234448">
            <w:pPr>
              <w:jc w:val="both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Проектот предвидува ре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>конструкција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 на дел од локалниот пат за </w:t>
            </w:r>
            <w:r>
              <w:rPr>
                <w:rFonts w:eastAsia="Calibri" w:cs="Calibri Light"/>
                <w:sz w:val="18"/>
                <w:szCs w:val="18"/>
                <w:lang w:val="mk-MK"/>
              </w:rPr>
              <w:t>населено место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Габр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>евци</w:t>
            </w:r>
            <w:proofErr w:type="spellEnd"/>
            <w:r>
              <w:rPr>
                <w:rFonts w:eastAsia="Calibri" w:cstheme="minorHAnsi"/>
                <w:sz w:val="18"/>
                <w:szCs w:val="18"/>
                <w:lang w:val="mk-MK"/>
              </w:rPr>
              <w:t xml:space="preserve">, во вкупна должина од 129 </w:t>
            </w:r>
            <w:r>
              <w:rPr>
                <w:rFonts w:eastAsia="Calibri" w:cstheme="minorHAnsi"/>
                <w:sz w:val="18"/>
                <w:szCs w:val="18"/>
              </w:rPr>
              <w:t>m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. Локалн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>иот пат се состои од постоечки оштетен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 асфалт, со длабоки и плитки пукнатини. Проектот е лоциран во рурална област, близу до преминот на реката </w:t>
            </w:r>
            <w:proofErr w:type="spellStart"/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Дединска</w:t>
            </w:r>
            <w:proofErr w:type="spellEnd"/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. Во близина на локалниот пат, се наоѓаат земјоделските полиња и ре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 xml:space="preserve">ката Крива </w:t>
            </w:r>
            <w:proofErr w:type="spellStart"/>
            <w:r>
              <w:rPr>
                <w:rFonts w:eastAsia="Calibri" w:cstheme="minorHAnsi"/>
                <w:sz w:val="18"/>
                <w:szCs w:val="18"/>
                <w:lang w:val="mk-MK"/>
              </w:rPr>
              <w:t>Лакавица</w:t>
            </w:r>
            <w:proofErr w:type="spellEnd"/>
            <w:r>
              <w:rPr>
                <w:rFonts w:eastAsia="Calibri" w:cstheme="minorHAnsi"/>
                <w:sz w:val="18"/>
                <w:szCs w:val="18"/>
                <w:lang w:val="mk-MK"/>
              </w:rPr>
              <w:t xml:space="preserve"> (околу 440 </w:t>
            </w:r>
            <w:r>
              <w:rPr>
                <w:rFonts w:eastAsia="Calibri" w:cstheme="minorHAnsi"/>
                <w:sz w:val="18"/>
                <w:szCs w:val="18"/>
              </w:rPr>
              <w:t>m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 јужно од локацијата на проектот). Главните активности ќе вклучуваат: обележување и обезбедување на трасата на локацијата на проектот, механичко сечење на асфалтот на оштетените делови и транспорт до депонија; поставување на тампонски слој од кршен камен со дел од 20 / 70</w:t>
            </w:r>
            <w:r>
              <w:rPr>
                <w:rFonts w:eastAsia="Calibri" w:cstheme="minorHAnsi"/>
                <w:sz w:val="18"/>
                <w:szCs w:val="18"/>
              </w:rPr>
              <w:t xml:space="preserve"> mm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 (г = 30 </w:t>
            </w:r>
            <w:r>
              <w:rPr>
                <w:rFonts w:eastAsia="Calibri" w:cstheme="minorHAnsi"/>
                <w:sz w:val="18"/>
                <w:szCs w:val="18"/>
              </w:rPr>
              <w:t>cm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); инсталација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 xml:space="preserve"> на стабилизирана банка (d = 8 </w:t>
            </w:r>
            <w:r>
              <w:rPr>
                <w:rFonts w:eastAsia="Calibri" w:cstheme="minorHAnsi"/>
                <w:sz w:val="18"/>
                <w:szCs w:val="18"/>
              </w:rPr>
              <w:t>cm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); изградба на нов </w:t>
            </w:r>
            <w:r>
              <w:rPr>
                <w:rFonts w:eastAsia="Calibri" w:cstheme="minorHAnsi"/>
                <w:sz w:val="18"/>
                <w:szCs w:val="18"/>
                <w:lang w:val="mk-MK"/>
              </w:rPr>
              <w:t>премин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 xml:space="preserve">; поставување на асфалтен слој (BNS 16, d = 8 </w:t>
            </w:r>
            <w:r>
              <w:rPr>
                <w:rFonts w:eastAsia="Calibri" w:cstheme="minorHAnsi"/>
                <w:sz w:val="18"/>
                <w:szCs w:val="18"/>
              </w:rPr>
              <w:t>cm</w:t>
            </w:r>
            <w:r w:rsidRPr="0045428E">
              <w:rPr>
                <w:rFonts w:eastAsia="Calibri" w:cstheme="minorHAnsi"/>
                <w:sz w:val="18"/>
                <w:szCs w:val="18"/>
                <w:lang w:val="mk-MK"/>
              </w:rPr>
              <w:t>); итн.</w:t>
            </w:r>
          </w:p>
          <w:p w14:paraId="094F0EF7" w14:textId="77777777" w:rsidR="00C40D23" w:rsidRPr="0045428E" w:rsidRDefault="00C40D23" w:rsidP="00234448">
            <w:pPr>
              <w:jc w:val="both"/>
              <w:rPr>
                <w:rFonts w:eastAsia="Calibri" w:cstheme="minorHAnsi"/>
                <w:sz w:val="18"/>
                <w:szCs w:val="18"/>
                <w:lang w:val="mk-MK"/>
              </w:rPr>
            </w:pPr>
            <w:r w:rsidRPr="0045428E">
              <w:rPr>
                <w:rFonts w:eastAsia="Calibri" w:cs="Calibri Light"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Pr="00B55E29">
              <w:rPr>
                <w:rFonts w:eastAsia="Calibri" w:cs="Calibri Light"/>
                <w:sz w:val="18"/>
                <w:szCs w:val="18"/>
                <w:lang w:val="mk-MK"/>
              </w:rPr>
              <w:t xml:space="preserve">Реконструкција на дел од локален пат за </w:t>
            </w:r>
            <w:proofErr w:type="spellStart"/>
            <w:r w:rsidRPr="00B55E29">
              <w:rPr>
                <w:rFonts w:eastAsia="Calibri" w:cs="Calibri Light"/>
                <w:sz w:val="18"/>
                <w:szCs w:val="18"/>
                <w:lang w:val="mk-MK"/>
              </w:rPr>
              <w:t>н.м</w:t>
            </w:r>
            <w:proofErr w:type="spellEnd"/>
            <w:r w:rsidRPr="00B55E29">
              <w:rPr>
                <w:rFonts w:eastAsia="Calibri" w:cs="Calibri Light"/>
                <w:sz w:val="18"/>
                <w:szCs w:val="18"/>
                <w:lang w:val="mk-MK"/>
              </w:rPr>
              <w:t>. „</w:t>
            </w:r>
            <w:proofErr w:type="spellStart"/>
            <w:r w:rsidRPr="00B55E29">
              <w:rPr>
                <w:rFonts w:eastAsia="Calibri" w:cs="Calibri Light"/>
                <w:sz w:val="18"/>
                <w:szCs w:val="18"/>
                <w:lang w:val="mk-MK"/>
              </w:rPr>
              <w:t>Габревци</w:t>
            </w:r>
            <w:proofErr w:type="spellEnd"/>
            <w:r w:rsidRPr="00B55E29">
              <w:rPr>
                <w:rFonts w:eastAsia="Calibri" w:cs="Calibri Light"/>
                <w:sz w:val="18"/>
                <w:szCs w:val="18"/>
                <w:lang w:val="mk-MK"/>
              </w:rPr>
              <w:t>“, Општина Конче</w:t>
            </w:r>
            <w:r w:rsidRPr="0045428E">
              <w:rPr>
                <w:rFonts w:eastAsia="Calibri" w:cs="Calibri Light"/>
                <w:sz w:val="18"/>
                <w:szCs w:val="18"/>
                <w:lang w:val="mk-MK"/>
              </w:rPr>
              <w:t xml:space="preserve"> е достапна на следниве веб-страни:</w:t>
            </w:r>
          </w:p>
          <w:p w14:paraId="38FDC6C3" w14:textId="77777777" w:rsidR="00C40D23" w:rsidRPr="00BB317D" w:rsidRDefault="00C40D23" w:rsidP="00C40D2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  <w:lang w:val="mk-MK"/>
              </w:rPr>
              <w:t>Општина Конче</w:t>
            </w:r>
            <w:r>
              <w:rPr>
                <w:rFonts w:eastAsia="Calibri" w:cstheme="minorHAnsi"/>
                <w:sz w:val="18"/>
                <w:szCs w:val="18"/>
              </w:rPr>
              <w:t>:</w:t>
            </w:r>
            <w:r>
              <w:t xml:space="preserve"> </w:t>
            </w:r>
            <w:hyperlink r:id="rId7" w:history="1">
              <w:r w:rsidRPr="007D26F6">
                <w:rPr>
                  <w:rStyle w:val="Hyperlink"/>
                  <w:rFonts w:eastAsia="Calibri" w:cstheme="minorHAnsi"/>
                  <w:sz w:val="18"/>
                  <w:szCs w:val="18"/>
                </w:rPr>
                <w:t>http://konce.gov.mk/</w:t>
              </w:r>
            </w:hyperlink>
          </w:p>
          <w:p w14:paraId="7ABF070B" w14:textId="77777777" w:rsidR="00C40D23" w:rsidRPr="00BB317D" w:rsidRDefault="00C40D23" w:rsidP="00C40D2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МТВ</w:t>
            </w:r>
            <w:r w:rsidRPr="00443C0B"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>
              <w:rPr>
                <w:rFonts w:eastAsia="Calibri" w:cstheme="minorHAnsi"/>
                <w:sz w:val="18"/>
                <w:szCs w:val="18"/>
              </w:rPr>
              <w:t>:</w:t>
            </w:r>
            <w:r>
              <w:t xml:space="preserve"> </w:t>
            </w:r>
            <w:hyperlink r:id="rId8" w:history="1">
              <w:r w:rsidRPr="00C41C50">
                <w:rPr>
                  <w:rStyle w:val="Hyperlink"/>
                  <w:rFonts w:eastAsia="Calibri" w:cstheme="minorHAnsi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0D7E39E5" w14:textId="77777777" w:rsidR="00C40D23" w:rsidRPr="00211EFB" w:rsidRDefault="00C40D23" w:rsidP="00234448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C40D23" w:rsidRPr="00211EFB" w14:paraId="3FF21DBC" w14:textId="77777777" w:rsidTr="00234448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4433B01B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презиме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лицето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дава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*</w:t>
            </w:r>
          </w:p>
          <w:p w14:paraId="0DF7CB03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633E556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C40D23" w:rsidRPr="00211EFB" w14:paraId="36020109" w14:textId="77777777" w:rsidTr="00234448">
        <w:trPr>
          <w:jc w:val="center"/>
        </w:trPr>
        <w:tc>
          <w:tcPr>
            <w:tcW w:w="2578" w:type="dxa"/>
            <w:shd w:val="clear" w:color="auto" w:fill="F2F2F2"/>
          </w:tcPr>
          <w:p w14:paraId="466B9B20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Контакт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информации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*</w:t>
            </w:r>
          </w:p>
          <w:p w14:paraId="292AEEB2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6F13F4DC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BA57FB9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Е-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пошта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4721DA50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______________________________</w:t>
            </w:r>
          </w:p>
          <w:p w14:paraId="78C0FD82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ECA6B40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тел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56813603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C40D23" w:rsidRPr="00211EFB" w14:paraId="4F4454E4" w14:textId="77777777" w:rsidTr="00234448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5EE77FC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врска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</w:t>
            </w:r>
            <w:r w:rsidRPr="00211EFB">
              <w:rPr>
                <w:rFonts w:eastAsia="Calibri" w:cstheme="minorHAnsi"/>
                <w:b/>
                <w:color w:val="000000"/>
                <w:sz w:val="18"/>
                <w:szCs w:val="18"/>
              </w:rPr>
              <w:t>:</w:t>
            </w:r>
          </w:p>
          <w:p w14:paraId="287DBD7D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7ADB2E10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45830ADB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C40D23" w:rsidRPr="00211EFB" w14:paraId="498C8D15" w14:textId="77777777" w:rsidTr="00234448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0B7986CC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Потпис</w:t>
            </w:r>
            <w:proofErr w:type="spellEnd"/>
          </w:p>
          <w:p w14:paraId="5034FD07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1BDBC2DF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58CFA9DF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Дата</w:t>
            </w:r>
            <w:proofErr w:type="spellEnd"/>
          </w:p>
          <w:p w14:paraId="31B4A714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7A7A86A6" w14:textId="77777777" w:rsidR="00C40D23" w:rsidRPr="00211EFB" w:rsidRDefault="00C40D23" w:rsidP="00234448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</w:t>
            </w:r>
          </w:p>
        </w:tc>
      </w:tr>
      <w:tr w:rsidR="00C40D23" w:rsidRPr="00211EFB" w14:paraId="596F3D52" w14:textId="77777777" w:rsidTr="00234448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00D455B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дел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локален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пат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н.м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>. 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Габревци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“,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Конче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082A8F06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63BDA049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7CBAF8D1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211EFB">
                <w:rPr>
                  <w:rStyle w:val="Hyperlink"/>
                  <w:rFonts w:eastAsia="Calibri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2BE86423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0D565016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Реконструкција на Локален пат за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н.м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. 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Габревци“во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Конче, Општина Конче</w:t>
            </w:r>
          </w:p>
          <w:p w14:paraId="434B0667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30416FEA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C40D23" w:rsidRPr="00211EFB" w14:paraId="0275BE8F" w14:textId="77777777" w:rsidTr="00234448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B906069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0CCF6C06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0C6FC76C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37423847" w14:textId="77777777" w:rsidR="00C40D23" w:rsidRPr="00211EFB" w:rsidRDefault="00C40D23" w:rsidP="00234448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B29F4" w14:textId="77777777" w:rsidR="00402525" w:rsidRDefault="00402525" w:rsidP="00D0292E">
      <w:pPr>
        <w:spacing w:after="0" w:line="240" w:lineRule="auto"/>
      </w:pPr>
      <w:r>
        <w:separator/>
      </w:r>
    </w:p>
  </w:endnote>
  <w:endnote w:type="continuationSeparator" w:id="0">
    <w:p w14:paraId="3810D858" w14:textId="77777777" w:rsidR="00402525" w:rsidRDefault="00402525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84600" w14:textId="77777777" w:rsidR="00402525" w:rsidRDefault="00402525" w:rsidP="00D0292E">
      <w:pPr>
        <w:spacing w:after="0" w:line="240" w:lineRule="auto"/>
      </w:pPr>
      <w:r>
        <w:separator/>
      </w:r>
    </w:p>
  </w:footnote>
  <w:footnote w:type="continuationSeparator" w:id="0">
    <w:p w14:paraId="23254AF3" w14:textId="77777777" w:rsidR="00402525" w:rsidRDefault="00402525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52FA"/>
    <w:rsid w:val="00402525"/>
    <w:rsid w:val="00420BC4"/>
    <w:rsid w:val="00456BAF"/>
    <w:rsid w:val="004E39BF"/>
    <w:rsid w:val="005761D8"/>
    <w:rsid w:val="007E4945"/>
    <w:rsid w:val="008E79F0"/>
    <w:rsid w:val="00A959BD"/>
    <w:rsid w:val="00B43B3D"/>
    <w:rsid w:val="00C40D23"/>
    <w:rsid w:val="00D0292E"/>
    <w:rsid w:val="00E351CB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40D23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40D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ce.gov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4</cp:revision>
  <dcterms:created xsi:type="dcterms:W3CDTF">2020-09-11T08:33:00Z</dcterms:created>
  <dcterms:modified xsi:type="dcterms:W3CDTF">2020-09-11T08:38:00Z</dcterms:modified>
</cp:coreProperties>
</file>