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8DD7F" w14:textId="298AA7E5" w:rsidR="006A20C1" w:rsidRDefault="006A20C1" w:rsidP="004A44AB">
      <w:pPr>
        <w:pStyle w:val="a"/>
      </w:pPr>
      <w:r w:rsidRPr="00D666C2">
        <w:t>Листа на македонски стандарди за потсистем „Железнички возила - локомотиви и железнички возила за превоз на патници“</w:t>
      </w:r>
      <w:r w:rsidR="004A44AB">
        <w:t xml:space="preserve"> </w:t>
      </w:r>
      <w:r w:rsidR="004413DD">
        <w:t>(</w:t>
      </w:r>
      <w:r w:rsidR="004A44AB">
        <w:rPr>
          <w:rStyle w:val="FootnoteReference"/>
        </w:rPr>
        <w:footnoteReference w:id="1"/>
      </w:r>
      <w:r w:rsidR="004413DD">
        <w:t>)</w:t>
      </w:r>
    </w:p>
    <w:p w14:paraId="14E85A0D" w14:textId="77777777" w:rsidR="004A44AB" w:rsidRPr="00D666C2" w:rsidRDefault="004A44AB" w:rsidP="004A44AB">
      <w:pPr>
        <w:pStyle w:val="a"/>
      </w:pPr>
    </w:p>
    <w:tbl>
      <w:tblPr>
        <w:tblW w:w="1400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000" w:firstRow="0" w:lastRow="0" w:firstColumn="0" w:lastColumn="0" w:noHBand="0" w:noVBand="0"/>
      </w:tblPr>
      <w:tblGrid>
        <w:gridCol w:w="349"/>
        <w:gridCol w:w="736"/>
        <w:gridCol w:w="2742"/>
        <w:gridCol w:w="7450"/>
        <w:gridCol w:w="2730"/>
      </w:tblGrid>
      <w:tr w:rsidR="006A20C1" w:rsidRPr="004A44AB" w14:paraId="36EBF6FE" w14:textId="77777777" w:rsidTr="008F1E26">
        <w:trPr>
          <w:tblHeader/>
          <w:jc w:val="center"/>
        </w:trPr>
        <w:tc>
          <w:tcPr>
            <w:tcW w:w="3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/>
          </w:tcPr>
          <w:p w14:paraId="484F176B" w14:textId="77777777" w:rsidR="006A20C1" w:rsidRPr="004A44AB" w:rsidRDefault="006A20C1" w:rsidP="008F1E26">
            <w:pPr>
              <w:ind w:left="360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bookmarkStart w:id="0" w:name="_Hlk211410987"/>
          </w:p>
        </w:tc>
        <w:tc>
          <w:tcPr>
            <w:tcW w:w="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/>
            <w:noWrap/>
          </w:tcPr>
          <w:p w14:paraId="1D42479A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Вид*</w:t>
            </w:r>
          </w:p>
        </w:tc>
        <w:tc>
          <w:tcPr>
            <w:tcW w:w="27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/>
            <w:noWrap/>
          </w:tcPr>
          <w:p w14:paraId="12C1AFB9" w14:textId="77777777" w:rsidR="006A20C1" w:rsidRPr="004A44AB" w:rsidRDefault="006A20C1" w:rsidP="008F1E26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Ознака на македонскиот стандард/стн док.</w:t>
            </w:r>
          </w:p>
        </w:tc>
        <w:tc>
          <w:tcPr>
            <w:tcW w:w="7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/>
            <w:noWrap/>
            <w:vAlign w:val="center"/>
          </w:tcPr>
          <w:p w14:paraId="2B7EF857" w14:textId="77777777" w:rsidR="006A20C1" w:rsidRPr="004A44AB" w:rsidRDefault="006A20C1" w:rsidP="008F1E26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Наслов</w:t>
            </w:r>
          </w:p>
        </w:tc>
        <w:tc>
          <w:tcPr>
            <w:tcW w:w="2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/>
            <w:noWrap/>
          </w:tcPr>
          <w:p w14:paraId="4109FAEC" w14:textId="77777777" w:rsidR="006A20C1" w:rsidRPr="004A44AB" w:rsidRDefault="006A20C1" w:rsidP="008F1E26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Ознака на изворниот стандард/стн док.</w:t>
            </w:r>
          </w:p>
        </w:tc>
      </w:tr>
      <w:tr w:rsidR="006A20C1" w:rsidRPr="004A44AB" w14:paraId="31EC414C" w14:textId="77777777" w:rsidTr="008F1E26">
        <w:trPr>
          <w:jc w:val="center"/>
        </w:trPr>
        <w:tc>
          <w:tcPr>
            <w:tcW w:w="392" w:type="dxa"/>
          </w:tcPr>
          <w:p w14:paraId="156F3E26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67B00368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667F912F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12663-2:2010</w:t>
            </w:r>
          </w:p>
        </w:tc>
        <w:tc>
          <w:tcPr>
            <w:tcW w:w="7450" w:type="dxa"/>
            <w:noWrap/>
            <w:vAlign w:val="center"/>
          </w:tcPr>
          <w:p w14:paraId="46F1A133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 xml:space="preserve">Опрема за железници - Конструктивни барања за каросеријата на железничките возила - Дел 2: Товарни вагони 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Structural requirements of railway vehicle bodies - Part 2: Freight wagons</w:t>
            </w:r>
          </w:p>
        </w:tc>
        <w:tc>
          <w:tcPr>
            <w:tcW w:w="2730" w:type="dxa"/>
            <w:noWrap/>
          </w:tcPr>
          <w:p w14:paraId="3EC1F54C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12663-2:2010</w:t>
            </w:r>
          </w:p>
        </w:tc>
      </w:tr>
      <w:tr w:rsidR="006A20C1" w:rsidRPr="004A44AB" w14:paraId="59761758" w14:textId="77777777" w:rsidTr="008F1E26">
        <w:trPr>
          <w:jc w:val="center"/>
        </w:trPr>
        <w:tc>
          <w:tcPr>
            <w:tcW w:w="392" w:type="dxa"/>
          </w:tcPr>
          <w:p w14:paraId="4F91CE89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27AD3404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MKTC</w:t>
            </w:r>
          </w:p>
        </w:tc>
        <w:tc>
          <w:tcPr>
            <w:tcW w:w="2742" w:type="dxa"/>
            <w:noWrap/>
          </w:tcPr>
          <w:p w14:paraId="3AB1338D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МКТС CLC/TS 50534:2010</w:t>
            </w:r>
          </w:p>
        </w:tc>
        <w:tc>
          <w:tcPr>
            <w:tcW w:w="7450" w:type="dxa"/>
            <w:noWrap/>
            <w:vAlign w:val="center"/>
          </w:tcPr>
          <w:p w14:paraId="3B13879B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Општа системска архитектура за помошните електрични вградени системи за напојување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Generic system architectures for onboard electric auxiliary power systems</w:t>
            </w:r>
          </w:p>
        </w:tc>
        <w:tc>
          <w:tcPr>
            <w:tcW w:w="2730" w:type="dxa"/>
            <w:noWrap/>
          </w:tcPr>
          <w:p w14:paraId="774627E9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CLC/TS 50534:2010</w:t>
            </w:r>
          </w:p>
        </w:tc>
      </w:tr>
      <w:tr w:rsidR="006A20C1" w:rsidRPr="004A44AB" w14:paraId="05DDC070" w14:textId="77777777" w:rsidTr="008F1E26">
        <w:trPr>
          <w:jc w:val="center"/>
        </w:trPr>
        <w:tc>
          <w:tcPr>
            <w:tcW w:w="392" w:type="dxa"/>
          </w:tcPr>
          <w:p w14:paraId="226A74FF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69170EEF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34A4DEC9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50206-1:2010</w:t>
            </w:r>
          </w:p>
        </w:tc>
        <w:tc>
          <w:tcPr>
            <w:tcW w:w="7450" w:type="dxa"/>
            <w:noWrap/>
            <w:vAlign w:val="center"/>
          </w:tcPr>
          <w:p w14:paraId="34039771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Железнички возила - Пантографи: Карактеристики и испитување - Дел 1: Пантографи за возила на главна пруга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Rolling stock - Pantographs: Characteristics and tests - Part 1: Pantographs for main line vehicles</w:t>
            </w:r>
          </w:p>
        </w:tc>
        <w:tc>
          <w:tcPr>
            <w:tcW w:w="2730" w:type="dxa"/>
            <w:noWrap/>
          </w:tcPr>
          <w:p w14:paraId="08D59C67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50206-1:2010</w:t>
            </w:r>
          </w:p>
        </w:tc>
      </w:tr>
      <w:tr w:rsidR="006A20C1" w:rsidRPr="004A44AB" w14:paraId="24EA6EE0" w14:textId="77777777" w:rsidTr="008F1E26">
        <w:trPr>
          <w:jc w:val="center"/>
        </w:trPr>
        <w:tc>
          <w:tcPr>
            <w:tcW w:w="392" w:type="dxa"/>
          </w:tcPr>
          <w:p w14:paraId="272C31D3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65803AC6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035BB6F1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50163:2010</w:t>
            </w:r>
          </w:p>
        </w:tc>
        <w:tc>
          <w:tcPr>
            <w:tcW w:w="7450" w:type="dxa"/>
            <w:noWrap/>
            <w:vAlign w:val="center"/>
          </w:tcPr>
          <w:p w14:paraId="7085FC70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 xml:space="preserve">Опрема за железници - Напони за напојување на системите за влечење 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Supply voltages of traction systems</w:t>
            </w:r>
          </w:p>
        </w:tc>
        <w:tc>
          <w:tcPr>
            <w:tcW w:w="2730" w:type="dxa"/>
            <w:noWrap/>
          </w:tcPr>
          <w:p w14:paraId="5F323A10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50163:2004</w:t>
            </w:r>
          </w:p>
        </w:tc>
      </w:tr>
      <w:tr w:rsidR="006A20C1" w:rsidRPr="004A44AB" w14:paraId="06F94194" w14:textId="77777777" w:rsidTr="008F1E26">
        <w:trPr>
          <w:jc w:val="center"/>
        </w:trPr>
        <w:tc>
          <w:tcPr>
            <w:tcW w:w="392" w:type="dxa"/>
          </w:tcPr>
          <w:p w14:paraId="50AC52E7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7DF5455A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2742" w:type="dxa"/>
            <w:noWrap/>
          </w:tcPr>
          <w:p w14:paraId="45727AF1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50163:2010/A1:2010</w:t>
            </w:r>
          </w:p>
        </w:tc>
        <w:tc>
          <w:tcPr>
            <w:tcW w:w="7450" w:type="dxa"/>
            <w:noWrap/>
            <w:vAlign w:val="center"/>
          </w:tcPr>
          <w:p w14:paraId="53E34318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 xml:space="preserve">Опрема за железници - Напони за напојување на системите за влечење 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Supply voltages of traction systems</w:t>
            </w:r>
          </w:p>
        </w:tc>
        <w:tc>
          <w:tcPr>
            <w:tcW w:w="2730" w:type="dxa"/>
            <w:noWrap/>
          </w:tcPr>
          <w:p w14:paraId="5091DDDD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50163:2004/A1:2007</w:t>
            </w:r>
          </w:p>
        </w:tc>
      </w:tr>
      <w:tr w:rsidR="006A20C1" w:rsidRPr="004A44AB" w14:paraId="1733C53F" w14:textId="77777777" w:rsidTr="008F1E26">
        <w:trPr>
          <w:jc w:val="center"/>
        </w:trPr>
        <w:tc>
          <w:tcPr>
            <w:tcW w:w="392" w:type="dxa"/>
          </w:tcPr>
          <w:p w14:paraId="23557986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2123CA58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75166270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15437-1:2010</w:t>
            </w:r>
          </w:p>
        </w:tc>
        <w:tc>
          <w:tcPr>
            <w:tcW w:w="7450" w:type="dxa"/>
            <w:noWrap/>
            <w:vAlign w:val="center"/>
          </w:tcPr>
          <w:p w14:paraId="76CB6609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Надзор на состојба на осовински лежишта - Интерфејс и проектни барања - Дел 1: Странична опрема и осовински лежишта на железнички возила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Axlebox condition monitoring - Interface and design requirements - Part 1: Track side equipment and rolling stock axlebox</w:t>
            </w:r>
          </w:p>
        </w:tc>
        <w:tc>
          <w:tcPr>
            <w:tcW w:w="2730" w:type="dxa"/>
            <w:noWrap/>
          </w:tcPr>
          <w:p w14:paraId="74165124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15437-1:2009</w:t>
            </w:r>
          </w:p>
        </w:tc>
      </w:tr>
      <w:tr w:rsidR="006A20C1" w:rsidRPr="004A44AB" w14:paraId="4A70B94F" w14:textId="77777777" w:rsidTr="008F1E26">
        <w:trPr>
          <w:jc w:val="center"/>
        </w:trPr>
        <w:tc>
          <w:tcPr>
            <w:tcW w:w="392" w:type="dxa"/>
          </w:tcPr>
          <w:p w14:paraId="3822BC68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27A2B64D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2742" w:type="dxa"/>
            <w:noWrap/>
          </w:tcPr>
          <w:p w14:paraId="28387D9E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60309-2:2006/A1:2008</w:t>
            </w:r>
          </w:p>
        </w:tc>
        <w:tc>
          <w:tcPr>
            <w:tcW w:w="7450" w:type="dxa"/>
            <w:noWrap/>
            <w:vAlign w:val="center"/>
          </w:tcPr>
          <w:p w14:paraId="1A37E17B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Вклучници, приклучници и споен прибор за индустриска намена - Дел 2: Барања за усогласеност на димензиите на додатоците на шилци и на контактни цевчиња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 xml:space="preserve">Plugs, socket-outlets and couplers for industrial purposes - Part 2: </w:t>
            </w:r>
            <w:r w:rsidRPr="004A44AB">
              <w:rPr>
                <w:rFonts w:ascii="Arial" w:hAnsi="Arial" w:cs="Arial"/>
                <w:sz w:val="22"/>
                <w:szCs w:val="22"/>
              </w:rPr>
              <w:lastRenderedPageBreak/>
              <w:t>Dimensional interchangeability requirements for pin and contact-tube accessories</w:t>
            </w:r>
          </w:p>
        </w:tc>
        <w:tc>
          <w:tcPr>
            <w:tcW w:w="2730" w:type="dxa"/>
            <w:noWrap/>
          </w:tcPr>
          <w:p w14:paraId="6CD1DF4F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EN 60309-2:1999/A1:2007</w:t>
            </w:r>
          </w:p>
        </w:tc>
      </w:tr>
      <w:tr w:rsidR="006A20C1" w:rsidRPr="004A44AB" w14:paraId="46A47C9E" w14:textId="77777777" w:rsidTr="008F1E26">
        <w:trPr>
          <w:jc w:val="center"/>
        </w:trPr>
        <w:tc>
          <w:tcPr>
            <w:tcW w:w="392" w:type="dxa"/>
          </w:tcPr>
          <w:p w14:paraId="6181DCD8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4E023FCE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4756ACE9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60309-2:2006</w:t>
            </w:r>
          </w:p>
        </w:tc>
        <w:tc>
          <w:tcPr>
            <w:tcW w:w="7450" w:type="dxa"/>
            <w:noWrap/>
            <w:vAlign w:val="center"/>
          </w:tcPr>
          <w:p w14:paraId="63342FC6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 xml:space="preserve">Вклучници, приклучници и споен прибор за индустриска намена – Дел 2: Барања за усогласеност на димензиите на додатоците на шилци и на контактни цевчиња  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Plugs, socket-outlets and couplers for industrial purposes - Part 2: Dimensional interchangeability requirements for pin and contact-tube accessories</w:t>
            </w:r>
          </w:p>
        </w:tc>
        <w:tc>
          <w:tcPr>
            <w:tcW w:w="2730" w:type="dxa"/>
            <w:noWrap/>
          </w:tcPr>
          <w:p w14:paraId="6419A38E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60309-2:1999</w:t>
            </w:r>
          </w:p>
        </w:tc>
      </w:tr>
      <w:tr w:rsidR="006A20C1" w:rsidRPr="004A44AB" w14:paraId="1E7FC57F" w14:textId="77777777" w:rsidTr="008F1E26">
        <w:trPr>
          <w:jc w:val="center"/>
        </w:trPr>
        <w:tc>
          <w:tcPr>
            <w:tcW w:w="392" w:type="dxa"/>
          </w:tcPr>
          <w:p w14:paraId="2F4D80CE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4B533CA5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2742" w:type="dxa"/>
            <w:noWrap/>
          </w:tcPr>
          <w:p w14:paraId="534A6FAA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60309-2:2006/A11:2006</w:t>
            </w:r>
          </w:p>
        </w:tc>
        <w:tc>
          <w:tcPr>
            <w:tcW w:w="7450" w:type="dxa"/>
            <w:noWrap/>
            <w:vAlign w:val="center"/>
          </w:tcPr>
          <w:p w14:paraId="69AAB1E9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 xml:space="preserve">Вклучници, приклучници и споен прибор за индустриска намена – Дел 2: Барања за усогласеност на димензиите на додатоците за шилци и на контактни цевчиња  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Plugs, socket-outlets and couplers for industrial purposes - Part 2: Dimensional interchangeability requirements for pin and contact-tube accessories</w:t>
            </w:r>
          </w:p>
        </w:tc>
        <w:tc>
          <w:tcPr>
            <w:tcW w:w="2730" w:type="dxa"/>
            <w:noWrap/>
          </w:tcPr>
          <w:p w14:paraId="547819BA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60309-2:1999/A11:2004</w:t>
            </w:r>
          </w:p>
        </w:tc>
      </w:tr>
      <w:tr w:rsidR="006A20C1" w:rsidRPr="004A44AB" w14:paraId="1E319803" w14:textId="77777777" w:rsidTr="008F1E26">
        <w:trPr>
          <w:jc w:val="center"/>
        </w:trPr>
        <w:tc>
          <w:tcPr>
            <w:tcW w:w="392" w:type="dxa"/>
          </w:tcPr>
          <w:p w14:paraId="26C85335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6E2CE953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2742" w:type="dxa"/>
            <w:noWrap/>
          </w:tcPr>
          <w:p w14:paraId="4C000385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60309-2:2006/A2:2012</w:t>
            </w:r>
          </w:p>
        </w:tc>
        <w:tc>
          <w:tcPr>
            <w:tcW w:w="7450" w:type="dxa"/>
            <w:noWrap/>
            <w:vAlign w:val="center"/>
          </w:tcPr>
          <w:p w14:paraId="3793F496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Вклучници, приклучници и споен прибор за индустриска намена – Дел 2: Барања за усогласеност на димензиите на додатоците за шилци и контактни цевчиња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Plugs, socket-outlets and couplers for industrial purposes - Part 2: Dimensional interchangeability requirements for pin and contact-tube accessories</w:t>
            </w:r>
          </w:p>
        </w:tc>
        <w:tc>
          <w:tcPr>
            <w:tcW w:w="2730" w:type="dxa"/>
            <w:noWrap/>
          </w:tcPr>
          <w:p w14:paraId="421AEE37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60309-2:1999/A2:2012</w:t>
            </w:r>
          </w:p>
        </w:tc>
      </w:tr>
      <w:tr w:rsidR="006A20C1" w:rsidRPr="004A44AB" w14:paraId="4E50E6F6" w14:textId="77777777" w:rsidTr="008F1E26">
        <w:trPr>
          <w:jc w:val="center"/>
        </w:trPr>
        <w:tc>
          <w:tcPr>
            <w:tcW w:w="392" w:type="dxa"/>
          </w:tcPr>
          <w:p w14:paraId="6FA1715F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1F8731E4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2091AC5B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50553:2012</w:t>
            </w:r>
          </w:p>
        </w:tc>
        <w:tc>
          <w:tcPr>
            <w:tcW w:w="7450" w:type="dxa"/>
            <w:noWrap/>
            <w:vAlign w:val="center"/>
          </w:tcPr>
          <w:p w14:paraId="0F8DDF33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 xml:space="preserve">Опрема за железници - Барања за способност за возење во случај на пожар во железничките возила 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</w:r>
            <w:r w:rsidRPr="004A44AB">
              <w:rPr>
                <w:rFonts w:ascii="Arial" w:hAnsi="Arial" w:cs="Arial"/>
                <w:sz w:val="22"/>
                <w:szCs w:val="22"/>
              </w:rPr>
              <w:lastRenderedPageBreak/>
              <w:t>Railway applications - Requirements for running capability in case of fire on board of rolling stock</w:t>
            </w:r>
          </w:p>
        </w:tc>
        <w:tc>
          <w:tcPr>
            <w:tcW w:w="2730" w:type="dxa"/>
            <w:noWrap/>
          </w:tcPr>
          <w:p w14:paraId="50B86D96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EN 50553:2012</w:t>
            </w:r>
          </w:p>
        </w:tc>
      </w:tr>
      <w:tr w:rsidR="006A20C1" w:rsidRPr="004A44AB" w14:paraId="3DD4786B" w14:textId="77777777" w:rsidTr="008F1E26">
        <w:trPr>
          <w:jc w:val="center"/>
        </w:trPr>
        <w:tc>
          <w:tcPr>
            <w:tcW w:w="392" w:type="dxa"/>
          </w:tcPr>
          <w:p w14:paraId="10B9528C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30A07CE8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17E4A507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50317:2012</w:t>
            </w:r>
          </w:p>
        </w:tc>
        <w:tc>
          <w:tcPr>
            <w:tcW w:w="7450" w:type="dxa"/>
            <w:noWrap/>
            <w:vAlign w:val="center"/>
          </w:tcPr>
          <w:p w14:paraId="399BC1BA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Системи за напојување кај железничките возила - Барања мерење и за валидација на мерењата од динамичката меѓузависност помеѓу пантографите и надземните контактни линии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Current collection systems - Requirements for and validation of measurements of the dynamic interaction between pantograph and overhead contact line</w:t>
            </w:r>
          </w:p>
        </w:tc>
        <w:tc>
          <w:tcPr>
            <w:tcW w:w="2730" w:type="dxa"/>
            <w:noWrap/>
          </w:tcPr>
          <w:p w14:paraId="2763E1A7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50317:2012</w:t>
            </w:r>
          </w:p>
        </w:tc>
      </w:tr>
      <w:tr w:rsidR="006A20C1" w:rsidRPr="004A44AB" w14:paraId="64FA7D8F" w14:textId="77777777" w:rsidTr="008F1E26">
        <w:trPr>
          <w:jc w:val="center"/>
        </w:trPr>
        <w:tc>
          <w:tcPr>
            <w:tcW w:w="392" w:type="dxa"/>
          </w:tcPr>
          <w:p w14:paraId="1B1C75EB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2DE47211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2FF8CAC5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61375-1:2013</w:t>
            </w:r>
          </w:p>
        </w:tc>
        <w:tc>
          <w:tcPr>
            <w:tcW w:w="7450" w:type="dxa"/>
            <w:noWrap/>
            <w:vAlign w:val="center"/>
          </w:tcPr>
          <w:p w14:paraId="7687C42D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Електронска железничка опрема - Комуникациска мрежа во воз (TCN) - Дел 1: Општа архитектура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Electronic railway equipment - Train communication network (TCN) - Part 1: General architecture</w:t>
            </w:r>
          </w:p>
        </w:tc>
        <w:tc>
          <w:tcPr>
            <w:tcW w:w="2730" w:type="dxa"/>
            <w:noWrap/>
          </w:tcPr>
          <w:p w14:paraId="517DDFAB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IEC 61375-1:2012 ED3</w:t>
            </w:r>
          </w:p>
        </w:tc>
      </w:tr>
      <w:tr w:rsidR="006A20C1" w:rsidRPr="004A44AB" w14:paraId="5D916DB5" w14:textId="77777777" w:rsidTr="008F1E26">
        <w:trPr>
          <w:jc w:val="center"/>
        </w:trPr>
        <w:tc>
          <w:tcPr>
            <w:tcW w:w="392" w:type="dxa"/>
          </w:tcPr>
          <w:p w14:paraId="78AFBA00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087F9727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2742" w:type="dxa"/>
            <w:noWrap/>
          </w:tcPr>
          <w:p w14:paraId="21D65E1B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50317:2012/AC:2013</w:t>
            </w:r>
          </w:p>
        </w:tc>
        <w:tc>
          <w:tcPr>
            <w:tcW w:w="7450" w:type="dxa"/>
            <w:noWrap/>
            <w:vAlign w:val="center"/>
          </w:tcPr>
          <w:p w14:paraId="37E4E85B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Системи за напојување кај железничките возила - Барања мерење и за валидација на мерењата од динамичката меѓузависност помеѓу пантографите и надземните контактни линии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Current collection systems - Requirements for and validation of measurements of the dynamic interaction between pantograph and overhead contact line</w:t>
            </w:r>
          </w:p>
        </w:tc>
        <w:tc>
          <w:tcPr>
            <w:tcW w:w="2730" w:type="dxa"/>
            <w:noWrap/>
          </w:tcPr>
          <w:p w14:paraId="63B2CDE3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50317:2012/AC:2012</w:t>
            </w:r>
          </w:p>
        </w:tc>
      </w:tr>
      <w:tr w:rsidR="006A20C1" w:rsidRPr="004A44AB" w14:paraId="2AB65D0C" w14:textId="77777777" w:rsidTr="008F1E26">
        <w:trPr>
          <w:jc w:val="center"/>
        </w:trPr>
        <w:tc>
          <w:tcPr>
            <w:tcW w:w="392" w:type="dxa"/>
          </w:tcPr>
          <w:p w14:paraId="2F2A9657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0FD65C6D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2DA48CC1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16362:2014</w:t>
            </w:r>
          </w:p>
        </w:tc>
        <w:tc>
          <w:tcPr>
            <w:tcW w:w="7450" w:type="dxa"/>
            <w:noWrap/>
            <w:vAlign w:val="center"/>
          </w:tcPr>
          <w:p w14:paraId="1CB882B6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 xml:space="preserve">Railway applications - </w:t>
            </w:r>
            <w:proofErr w:type="gramStart"/>
            <w:r w:rsidRPr="004A44AB">
              <w:rPr>
                <w:rFonts w:ascii="Arial" w:hAnsi="Arial" w:cs="Arial"/>
                <w:sz w:val="22"/>
                <w:szCs w:val="22"/>
              </w:rPr>
              <w:t>Ground based</w:t>
            </w:r>
            <w:proofErr w:type="gramEnd"/>
            <w:r w:rsidRPr="004A44AB">
              <w:rPr>
                <w:rFonts w:ascii="Arial" w:hAnsi="Arial" w:cs="Arial"/>
                <w:sz w:val="22"/>
                <w:szCs w:val="22"/>
              </w:rPr>
              <w:t xml:space="preserve"> services - Water restocking equipment</w:t>
            </w:r>
          </w:p>
        </w:tc>
        <w:tc>
          <w:tcPr>
            <w:tcW w:w="2730" w:type="dxa"/>
            <w:noWrap/>
          </w:tcPr>
          <w:p w14:paraId="6D7B353D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16362:2013</w:t>
            </w:r>
          </w:p>
        </w:tc>
      </w:tr>
      <w:tr w:rsidR="006A20C1" w:rsidRPr="004A44AB" w14:paraId="71502D2E" w14:textId="77777777" w:rsidTr="008F1E26">
        <w:trPr>
          <w:jc w:val="center"/>
        </w:trPr>
        <w:tc>
          <w:tcPr>
            <w:tcW w:w="392" w:type="dxa"/>
          </w:tcPr>
          <w:p w14:paraId="311C60D0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28BAE208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247E17E9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14531-2:2016</w:t>
            </w:r>
          </w:p>
        </w:tc>
        <w:tc>
          <w:tcPr>
            <w:tcW w:w="7450" w:type="dxa"/>
            <w:noWrap/>
            <w:vAlign w:val="center"/>
          </w:tcPr>
          <w:p w14:paraId="146818AB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Mетоди за пресметување на растојанија на застанување, забавување и имобилизациско кочење - Дел 2: Чекор по чекор, пресметки за воз сетови или единечни возила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</w:r>
            <w:r w:rsidRPr="004A44AB">
              <w:rPr>
                <w:rFonts w:ascii="Arial" w:hAnsi="Arial" w:cs="Arial"/>
                <w:sz w:val="22"/>
                <w:szCs w:val="22"/>
              </w:rPr>
              <w:lastRenderedPageBreak/>
              <w:t>Railway applications - Methods for calculation of stopping and slowing distances and immobilization braking - Part 2: Step by step calculations for train sets or single vehicles</w:t>
            </w:r>
          </w:p>
        </w:tc>
        <w:tc>
          <w:tcPr>
            <w:tcW w:w="2730" w:type="dxa"/>
            <w:noWrap/>
          </w:tcPr>
          <w:p w14:paraId="7887157C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EN 14531-2:2015</w:t>
            </w:r>
          </w:p>
        </w:tc>
      </w:tr>
      <w:tr w:rsidR="006A20C1" w:rsidRPr="004A44AB" w14:paraId="029ADEFE" w14:textId="77777777" w:rsidTr="008F1E26">
        <w:trPr>
          <w:jc w:val="center"/>
        </w:trPr>
        <w:tc>
          <w:tcPr>
            <w:tcW w:w="392" w:type="dxa"/>
          </w:tcPr>
          <w:p w14:paraId="2BE236B9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205A182C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3B5E15F8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16586-1:2017</w:t>
            </w:r>
          </w:p>
        </w:tc>
        <w:tc>
          <w:tcPr>
            <w:tcW w:w="7450" w:type="dxa"/>
            <w:noWrap/>
            <w:vAlign w:val="center"/>
          </w:tcPr>
          <w:p w14:paraId="237D9799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Дизајн за “PRM” употреба - Пристапност на лицата со намалена мобилност до железничките возила - Дел 1: Скали за пристап и излез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Design for PRM use - Accessibility of persons with reduced mobility to rolling stock - Part 1: Steps for access and egress</w:t>
            </w:r>
          </w:p>
        </w:tc>
        <w:tc>
          <w:tcPr>
            <w:tcW w:w="2730" w:type="dxa"/>
            <w:noWrap/>
          </w:tcPr>
          <w:p w14:paraId="242D8D85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16586-1:2017</w:t>
            </w:r>
          </w:p>
        </w:tc>
      </w:tr>
      <w:tr w:rsidR="006A20C1" w:rsidRPr="004A44AB" w14:paraId="3ED63ECC" w14:textId="77777777" w:rsidTr="008F1E26">
        <w:trPr>
          <w:jc w:val="center"/>
        </w:trPr>
        <w:tc>
          <w:tcPr>
            <w:tcW w:w="392" w:type="dxa"/>
          </w:tcPr>
          <w:p w14:paraId="0A69682E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08CE5F25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7024BBE9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14363:2016</w:t>
            </w:r>
          </w:p>
        </w:tc>
        <w:tc>
          <w:tcPr>
            <w:tcW w:w="7450" w:type="dxa"/>
            <w:noWrap/>
            <w:vAlign w:val="center"/>
          </w:tcPr>
          <w:p w14:paraId="4C49D468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Testing and Simulation for the acceptance of running characteristics of railway vehicles - Running Behaviour and stationary tests</w:t>
            </w:r>
          </w:p>
        </w:tc>
        <w:tc>
          <w:tcPr>
            <w:tcW w:w="2730" w:type="dxa"/>
            <w:noWrap/>
          </w:tcPr>
          <w:p w14:paraId="476668FB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14363:2016</w:t>
            </w:r>
          </w:p>
        </w:tc>
      </w:tr>
      <w:tr w:rsidR="006A20C1" w:rsidRPr="004A44AB" w14:paraId="76D3CF5E" w14:textId="77777777" w:rsidTr="008F1E26">
        <w:trPr>
          <w:jc w:val="center"/>
        </w:trPr>
        <w:tc>
          <w:tcPr>
            <w:tcW w:w="392" w:type="dxa"/>
          </w:tcPr>
          <w:p w14:paraId="3C33FB3D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313A38EA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21A6361C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16019:2014</w:t>
            </w:r>
          </w:p>
        </w:tc>
        <w:tc>
          <w:tcPr>
            <w:tcW w:w="7450" w:type="dxa"/>
            <w:noWrap/>
            <w:vAlign w:val="center"/>
          </w:tcPr>
          <w:p w14:paraId="0076A67E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Automatic coupler - Performance requirements, specific interface geometry and test method</w:t>
            </w:r>
          </w:p>
        </w:tc>
        <w:tc>
          <w:tcPr>
            <w:tcW w:w="2730" w:type="dxa"/>
            <w:noWrap/>
          </w:tcPr>
          <w:p w14:paraId="62DDECD7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16019:2014</w:t>
            </w:r>
          </w:p>
        </w:tc>
      </w:tr>
      <w:tr w:rsidR="006A20C1" w:rsidRPr="004A44AB" w14:paraId="297AB33D" w14:textId="77777777" w:rsidTr="008F1E26">
        <w:trPr>
          <w:jc w:val="center"/>
        </w:trPr>
        <w:tc>
          <w:tcPr>
            <w:tcW w:w="392" w:type="dxa"/>
          </w:tcPr>
          <w:p w14:paraId="36C73798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13AC922C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5E704E31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62625-1:2014</w:t>
            </w:r>
          </w:p>
        </w:tc>
        <w:tc>
          <w:tcPr>
            <w:tcW w:w="7450" w:type="dxa"/>
            <w:noWrap/>
            <w:vAlign w:val="center"/>
          </w:tcPr>
          <w:p w14:paraId="15748E16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Electronic railway equipment - On board driving data recording system - Part 1: System specification</w:t>
            </w:r>
          </w:p>
        </w:tc>
        <w:tc>
          <w:tcPr>
            <w:tcW w:w="2730" w:type="dxa"/>
            <w:noWrap/>
          </w:tcPr>
          <w:p w14:paraId="337BA521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62625-1:2013</w:t>
            </w:r>
          </w:p>
        </w:tc>
      </w:tr>
      <w:tr w:rsidR="006A20C1" w:rsidRPr="004A44AB" w14:paraId="7202851F" w14:textId="77777777" w:rsidTr="008F1E26">
        <w:trPr>
          <w:jc w:val="center"/>
        </w:trPr>
        <w:tc>
          <w:tcPr>
            <w:tcW w:w="392" w:type="dxa"/>
          </w:tcPr>
          <w:p w14:paraId="633AF33D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67926152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75AC71C9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50125-1:2014</w:t>
            </w:r>
          </w:p>
        </w:tc>
        <w:tc>
          <w:tcPr>
            <w:tcW w:w="7450" w:type="dxa"/>
            <w:noWrap/>
            <w:vAlign w:val="center"/>
          </w:tcPr>
          <w:p w14:paraId="7396148B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Услови на средината за опремата - Дел 1: Опрема во железничките возила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Environmental conditions for equipment - Part 1: Rolling stock and on-board equipment</w:t>
            </w:r>
          </w:p>
        </w:tc>
        <w:tc>
          <w:tcPr>
            <w:tcW w:w="2730" w:type="dxa"/>
            <w:noWrap/>
          </w:tcPr>
          <w:p w14:paraId="5F9F0152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50125-1:2014</w:t>
            </w:r>
          </w:p>
        </w:tc>
      </w:tr>
      <w:tr w:rsidR="006A20C1" w:rsidRPr="004A44AB" w14:paraId="5C581FF9" w14:textId="77777777" w:rsidTr="008F1E26">
        <w:trPr>
          <w:jc w:val="center"/>
        </w:trPr>
        <w:tc>
          <w:tcPr>
            <w:tcW w:w="392" w:type="dxa"/>
          </w:tcPr>
          <w:p w14:paraId="65B9EA66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286239E0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5B5312A7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50153:2014</w:t>
            </w:r>
          </w:p>
        </w:tc>
        <w:tc>
          <w:tcPr>
            <w:tcW w:w="7450" w:type="dxa"/>
            <w:noWrap/>
            <w:vAlign w:val="center"/>
          </w:tcPr>
          <w:p w14:paraId="1CFF6710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Rolling stock - Protective provisions relating to electrical hazards</w:t>
            </w:r>
          </w:p>
        </w:tc>
        <w:tc>
          <w:tcPr>
            <w:tcW w:w="2730" w:type="dxa"/>
            <w:noWrap/>
          </w:tcPr>
          <w:p w14:paraId="0D2194DA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50153:2014</w:t>
            </w:r>
          </w:p>
        </w:tc>
      </w:tr>
      <w:tr w:rsidR="006A20C1" w:rsidRPr="004A44AB" w14:paraId="110B257C" w14:textId="77777777" w:rsidTr="008F1E26">
        <w:trPr>
          <w:jc w:val="center"/>
        </w:trPr>
        <w:tc>
          <w:tcPr>
            <w:tcW w:w="392" w:type="dxa"/>
          </w:tcPr>
          <w:p w14:paraId="3BCF76D0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210DDDDC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2C0501A9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12663-1:2010+A1:2015</w:t>
            </w:r>
          </w:p>
        </w:tc>
        <w:tc>
          <w:tcPr>
            <w:tcW w:w="7450" w:type="dxa"/>
            <w:noWrap/>
            <w:vAlign w:val="center"/>
          </w:tcPr>
          <w:p w14:paraId="571D87D6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Конструкциски барања за каросеријата на железничките возила – Дел 1: Локомотиви и железнички возила за патници (и алтернативна метода за товарни вагони)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Structural requirements of railway vehicle bodies - Part 1: Locomotives and passenger rolling stock (and alternative method for freight wagons)</w:t>
            </w:r>
          </w:p>
        </w:tc>
        <w:tc>
          <w:tcPr>
            <w:tcW w:w="2730" w:type="dxa"/>
            <w:noWrap/>
          </w:tcPr>
          <w:p w14:paraId="22F0F59C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12663-1:2010+A1:2014</w:t>
            </w:r>
          </w:p>
        </w:tc>
      </w:tr>
      <w:tr w:rsidR="006A20C1" w:rsidRPr="004A44AB" w14:paraId="6ECCEAE7" w14:textId="77777777" w:rsidTr="008F1E26">
        <w:trPr>
          <w:jc w:val="center"/>
        </w:trPr>
        <w:tc>
          <w:tcPr>
            <w:tcW w:w="392" w:type="dxa"/>
          </w:tcPr>
          <w:p w14:paraId="73A9C848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537561E0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5938A19E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13103-1:2017</w:t>
            </w:r>
          </w:p>
        </w:tc>
        <w:tc>
          <w:tcPr>
            <w:tcW w:w="7450" w:type="dxa"/>
            <w:noWrap/>
            <w:vAlign w:val="center"/>
          </w:tcPr>
          <w:p w14:paraId="6C9D2308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Kомплет тркала со оска и вртлива платформа - Дел 1: Mетод на конструирање на слободни оски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Wheelsets and bogies - Part 1: Design method for axles with external journals</w:t>
            </w:r>
          </w:p>
        </w:tc>
        <w:tc>
          <w:tcPr>
            <w:tcW w:w="2730" w:type="dxa"/>
            <w:noWrap/>
          </w:tcPr>
          <w:p w14:paraId="6355D4AD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13103-1:2017</w:t>
            </w:r>
          </w:p>
        </w:tc>
      </w:tr>
      <w:tr w:rsidR="006A20C1" w:rsidRPr="004A44AB" w14:paraId="2CCC95DA" w14:textId="77777777" w:rsidTr="008F1E26">
        <w:trPr>
          <w:jc w:val="center"/>
        </w:trPr>
        <w:tc>
          <w:tcPr>
            <w:tcW w:w="392" w:type="dxa"/>
          </w:tcPr>
          <w:p w14:paraId="465C9C00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69D97E0B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57C5683A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16404:2016</w:t>
            </w:r>
          </w:p>
        </w:tc>
        <w:tc>
          <w:tcPr>
            <w:tcW w:w="7450" w:type="dxa"/>
            <w:noWrap/>
            <w:vAlign w:val="center"/>
          </w:tcPr>
          <w:p w14:paraId="4B3C590E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– Барања за повторно редење и обновување за железнички возила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Re-railing and recovery requirements for railway vehicles</w:t>
            </w:r>
          </w:p>
        </w:tc>
        <w:tc>
          <w:tcPr>
            <w:tcW w:w="2730" w:type="dxa"/>
            <w:noWrap/>
          </w:tcPr>
          <w:p w14:paraId="65313BB6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16404:2016</w:t>
            </w:r>
          </w:p>
        </w:tc>
      </w:tr>
      <w:tr w:rsidR="006A20C1" w:rsidRPr="004A44AB" w14:paraId="7CB21C61" w14:textId="77777777" w:rsidTr="008F1E26">
        <w:trPr>
          <w:jc w:val="center"/>
        </w:trPr>
        <w:tc>
          <w:tcPr>
            <w:tcW w:w="392" w:type="dxa"/>
          </w:tcPr>
          <w:p w14:paraId="3F9D92C7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1B14BA2E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0537410B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16834:2019</w:t>
            </w:r>
          </w:p>
        </w:tc>
        <w:tc>
          <w:tcPr>
            <w:tcW w:w="7450" w:type="dxa"/>
            <w:noWrap/>
            <w:vAlign w:val="center"/>
          </w:tcPr>
          <w:p w14:paraId="33C6FDAB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Braking - Brake performance</w:t>
            </w:r>
          </w:p>
        </w:tc>
        <w:tc>
          <w:tcPr>
            <w:tcW w:w="2730" w:type="dxa"/>
            <w:noWrap/>
          </w:tcPr>
          <w:p w14:paraId="73FE4536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16834:2019</w:t>
            </w:r>
          </w:p>
        </w:tc>
      </w:tr>
      <w:tr w:rsidR="006A20C1" w:rsidRPr="004A44AB" w14:paraId="2710258A" w14:textId="77777777" w:rsidTr="008F1E26">
        <w:trPr>
          <w:jc w:val="center"/>
        </w:trPr>
        <w:tc>
          <w:tcPr>
            <w:tcW w:w="392" w:type="dxa"/>
          </w:tcPr>
          <w:p w14:paraId="57F7A781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52E1D9DA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3D6F5FCE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14478:2017</w:t>
            </w:r>
          </w:p>
        </w:tc>
        <w:tc>
          <w:tcPr>
            <w:tcW w:w="7450" w:type="dxa"/>
            <w:noWrap/>
            <w:vAlign w:val="center"/>
          </w:tcPr>
          <w:p w14:paraId="74BB32FB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 xml:space="preserve">Опрема за железници - Kочење - Генерички речник 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Braking - Generic vocabulary</w:t>
            </w:r>
          </w:p>
        </w:tc>
        <w:tc>
          <w:tcPr>
            <w:tcW w:w="2730" w:type="dxa"/>
            <w:noWrap/>
          </w:tcPr>
          <w:p w14:paraId="4C9FBC85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14478:2017</w:t>
            </w:r>
          </w:p>
        </w:tc>
      </w:tr>
      <w:tr w:rsidR="006A20C1" w:rsidRPr="004A44AB" w14:paraId="705BA3FC" w14:textId="77777777" w:rsidTr="008F1E26">
        <w:trPr>
          <w:jc w:val="center"/>
        </w:trPr>
        <w:tc>
          <w:tcPr>
            <w:tcW w:w="392" w:type="dxa"/>
          </w:tcPr>
          <w:p w14:paraId="317CF633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21FDDEEB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235D8F6D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15595:2019</w:t>
            </w:r>
          </w:p>
        </w:tc>
        <w:tc>
          <w:tcPr>
            <w:tcW w:w="7450" w:type="dxa"/>
            <w:noWrap/>
            <w:vAlign w:val="center"/>
          </w:tcPr>
          <w:p w14:paraId="575408F6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Кочници - Заштита на тркалото од пролизгување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Braking - Wheel slide protection</w:t>
            </w:r>
          </w:p>
        </w:tc>
        <w:tc>
          <w:tcPr>
            <w:tcW w:w="2730" w:type="dxa"/>
            <w:noWrap/>
          </w:tcPr>
          <w:p w14:paraId="4DE8A054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15595:2018</w:t>
            </w:r>
          </w:p>
        </w:tc>
      </w:tr>
      <w:tr w:rsidR="006A20C1" w:rsidRPr="004A44AB" w14:paraId="611E8D61" w14:textId="77777777" w:rsidTr="008F1E26">
        <w:trPr>
          <w:jc w:val="center"/>
        </w:trPr>
        <w:tc>
          <w:tcPr>
            <w:tcW w:w="392" w:type="dxa"/>
          </w:tcPr>
          <w:p w14:paraId="06AEE2DA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7E4172AC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2FD93A81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50463-1:2017</w:t>
            </w:r>
          </w:p>
        </w:tc>
        <w:tc>
          <w:tcPr>
            <w:tcW w:w="7450" w:type="dxa"/>
            <w:noWrap/>
            <w:vAlign w:val="center"/>
          </w:tcPr>
          <w:p w14:paraId="3BA630D1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Мерење на енергија во возовите - Дел 1: Општо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Energy measurement on board trains - Part 1: General</w:t>
            </w:r>
          </w:p>
        </w:tc>
        <w:tc>
          <w:tcPr>
            <w:tcW w:w="2730" w:type="dxa"/>
            <w:noWrap/>
          </w:tcPr>
          <w:p w14:paraId="71ABA67A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50463-1:2017</w:t>
            </w:r>
          </w:p>
        </w:tc>
      </w:tr>
      <w:tr w:rsidR="006A20C1" w:rsidRPr="004A44AB" w14:paraId="1E3D4B66" w14:textId="77777777" w:rsidTr="008F1E26">
        <w:trPr>
          <w:jc w:val="center"/>
        </w:trPr>
        <w:tc>
          <w:tcPr>
            <w:tcW w:w="392" w:type="dxa"/>
          </w:tcPr>
          <w:p w14:paraId="6C22B434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0A68134C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55B90D5F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50463-2:2017</w:t>
            </w:r>
          </w:p>
        </w:tc>
        <w:tc>
          <w:tcPr>
            <w:tcW w:w="7450" w:type="dxa"/>
            <w:noWrap/>
            <w:vAlign w:val="center"/>
          </w:tcPr>
          <w:p w14:paraId="3742C948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Мерење на енергија во возовите - Дел 2: Мерење на енергија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Energy measurement on board trains - Part 2: Energy measuring</w:t>
            </w:r>
          </w:p>
        </w:tc>
        <w:tc>
          <w:tcPr>
            <w:tcW w:w="2730" w:type="dxa"/>
            <w:noWrap/>
          </w:tcPr>
          <w:p w14:paraId="1830ABD8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50463-2:2017</w:t>
            </w:r>
          </w:p>
        </w:tc>
      </w:tr>
      <w:tr w:rsidR="006A20C1" w:rsidRPr="004A44AB" w14:paraId="54E86667" w14:textId="77777777" w:rsidTr="008F1E26">
        <w:trPr>
          <w:jc w:val="center"/>
        </w:trPr>
        <w:tc>
          <w:tcPr>
            <w:tcW w:w="392" w:type="dxa"/>
          </w:tcPr>
          <w:p w14:paraId="308237EF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0EA8A84A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774CD7E6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50463-3:2017</w:t>
            </w:r>
          </w:p>
        </w:tc>
        <w:tc>
          <w:tcPr>
            <w:tcW w:w="7450" w:type="dxa"/>
            <w:noWrap/>
            <w:vAlign w:val="center"/>
          </w:tcPr>
          <w:p w14:paraId="5A039B86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Мерење на енергија во возовите - Дел 3: Ракување со податоци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Energy measurement on board trains - Part 3: Data handling</w:t>
            </w:r>
          </w:p>
        </w:tc>
        <w:tc>
          <w:tcPr>
            <w:tcW w:w="2730" w:type="dxa"/>
            <w:noWrap/>
          </w:tcPr>
          <w:p w14:paraId="57723F04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50463-3:2017</w:t>
            </w:r>
          </w:p>
        </w:tc>
      </w:tr>
      <w:tr w:rsidR="006A20C1" w:rsidRPr="004A44AB" w14:paraId="224E109E" w14:textId="77777777" w:rsidTr="008F1E26">
        <w:trPr>
          <w:jc w:val="center"/>
        </w:trPr>
        <w:tc>
          <w:tcPr>
            <w:tcW w:w="392" w:type="dxa"/>
          </w:tcPr>
          <w:p w14:paraId="72AD511C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7E0D9B40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6B09DEA8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50463-4:2017</w:t>
            </w:r>
          </w:p>
        </w:tc>
        <w:tc>
          <w:tcPr>
            <w:tcW w:w="7450" w:type="dxa"/>
            <w:noWrap/>
            <w:vAlign w:val="center"/>
          </w:tcPr>
          <w:p w14:paraId="74AFCF56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 xml:space="preserve">Опрема за железници - Мерење на енергија во возовите - Дел 4: Комуникација 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Energy measurement on board trains - Part 4: Communication</w:t>
            </w:r>
          </w:p>
        </w:tc>
        <w:tc>
          <w:tcPr>
            <w:tcW w:w="2730" w:type="dxa"/>
            <w:noWrap/>
          </w:tcPr>
          <w:p w14:paraId="17B1FD45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50463-4:2017</w:t>
            </w:r>
          </w:p>
        </w:tc>
      </w:tr>
      <w:tr w:rsidR="006A20C1" w:rsidRPr="004A44AB" w14:paraId="31FAFCC0" w14:textId="77777777" w:rsidTr="008F1E26">
        <w:trPr>
          <w:jc w:val="center"/>
        </w:trPr>
        <w:tc>
          <w:tcPr>
            <w:tcW w:w="392" w:type="dxa"/>
          </w:tcPr>
          <w:p w14:paraId="27E03AFE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6043E196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273223FD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50463-5:2017</w:t>
            </w:r>
          </w:p>
        </w:tc>
        <w:tc>
          <w:tcPr>
            <w:tcW w:w="7450" w:type="dxa"/>
            <w:noWrap/>
            <w:vAlign w:val="center"/>
          </w:tcPr>
          <w:p w14:paraId="499B7B59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Мерење на енергија во возовите - Дел 5: Оцена на сообразност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Energy measurement on board trains - Part 5: Conformity assessment</w:t>
            </w:r>
          </w:p>
        </w:tc>
        <w:tc>
          <w:tcPr>
            <w:tcW w:w="2730" w:type="dxa"/>
            <w:noWrap/>
          </w:tcPr>
          <w:p w14:paraId="6CD7E863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50463-5:2017</w:t>
            </w:r>
          </w:p>
        </w:tc>
      </w:tr>
      <w:tr w:rsidR="006A20C1" w:rsidRPr="004A44AB" w14:paraId="60726876" w14:textId="77777777" w:rsidTr="008F1E26">
        <w:trPr>
          <w:jc w:val="center"/>
        </w:trPr>
        <w:tc>
          <w:tcPr>
            <w:tcW w:w="392" w:type="dxa"/>
          </w:tcPr>
          <w:p w14:paraId="04BF230D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33B06046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106A19E6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50405:2016</w:t>
            </w:r>
          </w:p>
        </w:tc>
        <w:tc>
          <w:tcPr>
            <w:tcW w:w="7450" w:type="dxa"/>
            <w:noWrap/>
            <w:vAlign w:val="center"/>
          </w:tcPr>
          <w:p w14:paraId="5170566F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Системи за напојување кај железничките возила - Пантографи, испитни методи за јагленородни контактни ленти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</w:r>
            <w:r w:rsidRPr="004A44AB">
              <w:rPr>
                <w:rFonts w:ascii="Arial" w:hAnsi="Arial" w:cs="Arial"/>
                <w:sz w:val="22"/>
                <w:szCs w:val="22"/>
              </w:rPr>
              <w:lastRenderedPageBreak/>
              <w:t>Railway applications - Current collection systems - Pantographs, testing methods for contact strips</w:t>
            </w:r>
          </w:p>
        </w:tc>
        <w:tc>
          <w:tcPr>
            <w:tcW w:w="2730" w:type="dxa"/>
            <w:noWrap/>
          </w:tcPr>
          <w:p w14:paraId="5DB0BDE8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EN 50405:2015</w:t>
            </w:r>
          </w:p>
        </w:tc>
      </w:tr>
      <w:tr w:rsidR="006A20C1" w:rsidRPr="004A44AB" w14:paraId="0AF22F03" w14:textId="77777777" w:rsidTr="008F1E26">
        <w:trPr>
          <w:jc w:val="center"/>
        </w:trPr>
        <w:tc>
          <w:tcPr>
            <w:tcW w:w="392" w:type="dxa"/>
          </w:tcPr>
          <w:p w14:paraId="201E6863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4997588F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4E2D4170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62625-2:2017</w:t>
            </w:r>
          </w:p>
        </w:tc>
        <w:tc>
          <w:tcPr>
            <w:tcW w:w="7450" w:type="dxa"/>
            <w:noWrap/>
            <w:vAlign w:val="center"/>
          </w:tcPr>
          <w:p w14:paraId="39343736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 xml:space="preserve">Electronic railway equipment - </w:t>
            </w:r>
            <w:proofErr w:type="gramStart"/>
            <w:r w:rsidRPr="004A44AB">
              <w:rPr>
                <w:rFonts w:ascii="Arial" w:hAnsi="Arial" w:cs="Arial"/>
                <w:sz w:val="22"/>
                <w:szCs w:val="22"/>
              </w:rPr>
              <w:t>On board</w:t>
            </w:r>
            <w:proofErr w:type="gramEnd"/>
            <w:r w:rsidRPr="004A44AB">
              <w:rPr>
                <w:rFonts w:ascii="Arial" w:hAnsi="Arial" w:cs="Arial"/>
                <w:sz w:val="22"/>
                <w:szCs w:val="22"/>
              </w:rPr>
              <w:t xml:space="preserve"> driving data recording system - Part 2: Conformity testing</w:t>
            </w:r>
          </w:p>
        </w:tc>
        <w:tc>
          <w:tcPr>
            <w:tcW w:w="2730" w:type="dxa"/>
            <w:noWrap/>
          </w:tcPr>
          <w:p w14:paraId="2336DE12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62625-2:2016</w:t>
            </w:r>
          </w:p>
        </w:tc>
      </w:tr>
      <w:tr w:rsidR="006A20C1" w:rsidRPr="004A44AB" w14:paraId="5C27FCD7" w14:textId="77777777" w:rsidTr="008F1E26">
        <w:trPr>
          <w:jc w:val="center"/>
        </w:trPr>
        <w:tc>
          <w:tcPr>
            <w:tcW w:w="392" w:type="dxa"/>
          </w:tcPr>
          <w:p w14:paraId="08022ABC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562E1AF4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41CCE65F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15273-2:2013+A1:2016</w:t>
            </w:r>
          </w:p>
        </w:tc>
        <w:tc>
          <w:tcPr>
            <w:tcW w:w="7450" w:type="dxa"/>
            <w:noWrap/>
            <w:vAlign w:val="center"/>
          </w:tcPr>
          <w:p w14:paraId="6CAE9B48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 xml:space="preserve">Опрема за железници - Колосек - Дел 2: Мерки за железнички возила 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Gauges - Part 2: Rolling stock gauge</w:t>
            </w:r>
          </w:p>
        </w:tc>
        <w:tc>
          <w:tcPr>
            <w:tcW w:w="2730" w:type="dxa"/>
            <w:noWrap/>
          </w:tcPr>
          <w:p w14:paraId="01881205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15273-2:2013+A1:2016</w:t>
            </w:r>
          </w:p>
        </w:tc>
      </w:tr>
      <w:tr w:rsidR="006A20C1" w:rsidRPr="004A44AB" w14:paraId="1922EB1A" w14:textId="77777777" w:rsidTr="008F1E26">
        <w:trPr>
          <w:jc w:val="center"/>
        </w:trPr>
        <w:tc>
          <w:tcPr>
            <w:tcW w:w="392" w:type="dxa"/>
          </w:tcPr>
          <w:p w14:paraId="051BB8B3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13895BE2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1796B110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14067-6:2018</w:t>
            </w:r>
          </w:p>
        </w:tc>
        <w:tc>
          <w:tcPr>
            <w:tcW w:w="7450" w:type="dxa"/>
            <w:noWrap/>
            <w:vAlign w:val="center"/>
          </w:tcPr>
          <w:p w14:paraId="0B1382FD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 xml:space="preserve">Опрема за железници - Аеродинамика - Дел 6: Барања и методи на испитување за проценка на бочен ветер 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Aerodynamics - Part 6: Requirements and test procedures for cross wind assessment</w:t>
            </w:r>
          </w:p>
        </w:tc>
        <w:tc>
          <w:tcPr>
            <w:tcW w:w="2730" w:type="dxa"/>
            <w:noWrap/>
          </w:tcPr>
          <w:p w14:paraId="0694E507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14067-6:2018</w:t>
            </w:r>
          </w:p>
        </w:tc>
      </w:tr>
      <w:tr w:rsidR="006A20C1" w:rsidRPr="004A44AB" w14:paraId="42E0B5AE" w14:textId="77777777" w:rsidTr="008F1E26">
        <w:trPr>
          <w:jc w:val="center"/>
        </w:trPr>
        <w:tc>
          <w:tcPr>
            <w:tcW w:w="392" w:type="dxa"/>
          </w:tcPr>
          <w:p w14:paraId="6BA208B4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4234CD70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2742" w:type="dxa"/>
            <w:noWrap/>
          </w:tcPr>
          <w:p w14:paraId="7EBA18D3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62625-1:2014/AC:2016-10:2017</w:t>
            </w:r>
          </w:p>
        </w:tc>
        <w:tc>
          <w:tcPr>
            <w:tcW w:w="7450" w:type="dxa"/>
            <w:noWrap/>
            <w:vAlign w:val="center"/>
          </w:tcPr>
          <w:p w14:paraId="4457605F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Electronic railway equipment - On board driving data recording system - Part 1: System specification</w:t>
            </w:r>
          </w:p>
        </w:tc>
        <w:tc>
          <w:tcPr>
            <w:tcW w:w="2730" w:type="dxa"/>
            <w:noWrap/>
          </w:tcPr>
          <w:p w14:paraId="6718F0F4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62625-1:2013/AC:2016-10</w:t>
            </w:r>
          </w:p>
        </w:tc>
      </w:tr>
      <w:tr w:rsidR="006A20C1" w:rsidRPr="004A44AB" w14:paraId="7D998652" w14:textId="77777777" w:rsidTr="008F1E26">
        <w:trPr>
          <w:jc w:val="center"/>
        </w:trPr>
        <w:tc>
          <w:tcPr>
            <w:tcW w:w="392" w:type="dxa"/>
          </w:tcPr>
          <w:p w14:paraId="41A6A369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30D7CCC3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2742" w:type="dxa"/>
            <w:noWrap/>
          </w:tcPr>
          <w:p w14:paraId="61D7119B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50405:2016/A1:2017</w:t>
            </w:r>
          </w:p>
        </w:tc>
        <w:tc>
          <w:tcPr>
            <w:tcW w:w="7450" w:type="dxa"/>
            <w:noWrap/>
            <w:vAlign w:val="center"/>
          </w:tcPr>
          <w:p w14:paraId="12CB4D10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Системи за напојување кај железничките возила - Пантографи, испитни методи за јагленородни контактни ленти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Current collection systems - Pantographs, testing methods for contact strips</w:t>
            </w:r>
          </w:p>
        </w:tc>
        <w:tc>
          <w:tcPr>
            <w:tcW w:w="2730" w:type="dxa"/>
            <w:noWrap/>
          </w:tcPr>
          <w:p w14:paraId="1C582BEB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50405:2015/A1:2016</w:t>
            </w:r>
          </w:p>
        </w:tc>
      </w:tr>
      <w:tr w:rsidR="006A20C1" w:rsidRPr="004A44AB" w14:paraId="27633E6B" w14:textId="77777777" w:rsidTr="008F1E26">
        <w:trPr>
          <w:jc w:val="center"/>
        </w:trPr>
        <w:tc>
          <w:tcPr>
            <w:tcW w:w="392" w:type="dxa"/>
          </w:tcPr>
          <w:p w14:paraId="05C30196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25208C78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6CB99B2D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17065:2018</w:t>
            </w:r>
          </w:p>
        </w:tc>
        <w:tc>
          <w:tcPr>
            <w:tcW w:w="7450" w:type="dxa"/>
            <w:noWrap/>
            <w:vAlign w:val="center"/>
          </w:tcPr>
          <w:p w14:paraId="27830768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Braking - Passenger coach test procedure</w:t>
            </w:r>
          </w:p>
        </w:tc>
        <w:tc>
          <w:tcPr>
            <w:tcW w:w="2730" w:type="dxa"/>
            <w:noWrap/>
          </w:tcPr>
          <w:p w14:paraId="68BFF692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17065:2018</w:t>
            </w:r>
          </w:p>
        </w:tc>
      </w:tr>
      <w:tr w:rsidR="006A20C1" w:rsidRPr="004A44AB" w14:paraId="2138539A" w14:textId="77777777" w:rsidTr="008F1E26">
        <w:trPr>
          <w:jc w:val="center"/>
        </w:trPr>
        <w:tc>
          <w:tcPr>
            <w:tcW w:w="392" w:type="dxa"/>
          </w:tcPr>
          <w:p w14:paraId="255E609F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30AD6DC2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08587596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15227:2022</w:t>
            </w:r>
          </w:p>
        </w:tc>
        <w:tc>
          <w:tcPr>
            <w:tcW w:w="7450" w:type="dxa"/>
            <w:noWrap/>
            <w:vAlign w:val="center"/>
          </w:tcPr>
          <w:p w14:paraId="44A3A142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Барања за пасивна заштита на телата на железничките возила при судир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Crashworthiness requirements for rail vehicles</w:t>
            </w:r>
          </w:p>
        </w:tc>
        <w:tc>
          <w:tcPr>
            <w:tcW w:w="2730" w:type="dxa"/>
            <w:noWrap/>
          </w:tcPr>
          <w:p w14:paraId="546E296E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15227:2020</w:t>
            </w:r>
          </w:p>
        </w:tc>
      </w:tr>
      <w:tr w:rsidR="006A20C1" w:rsidRPr="004A44AB" w14:paraId="266CC964" w14:textId="77777777" w:rsidTr="008F1E26">
        <w:trPr>
          <w:jc w:val="center"/>
        </w:trPr>
        <w:tc>
          <w:tcPr>
            <w:tcW w:w="392" w:type="dxa"/>
          </w:tcPr>
          <w:p w14:paraId="08EC1157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6361FAA3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40D93CB8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13979-1:2020</w:t>
            </w:r>
          </w:p>
        </w:tc>
        <w:tc>
          <w:tcPr>
            <w:tcW w:w="7450" w:type="dxa"/>
            <w:noWrap/>
            <w:vAlign w:val="center"/>
          </w:tcPr>
          <w:p w14:paraId="68FB4232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Kомплети на тркала и подвижни платформи - Моноблок тркала - Процедури за техничко одобрување - Дел 1: Ковани и валани тркала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Wheelsets and bogies - Monobloc Wheels - Technical approval procedure - Part 1: Forged and rolled wheels</w:t>
            </w:r>
          </w:p>
        </w:tc>
        <w:tc>
          <w:tcPr>
            <w:tcW w:w="2730" w:type="dxa"/>
            <w:noWrap/>
          </w:tcPr>
          <w:p w14:paraId="0A2772D3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13979-1:2020</w:t>
            </w:r>
          </w:p>
        </w:tc>
      </w:tr>
      <w:tr w:rsidR="006A20C1" w:rsidRPr="004A44AB" w14:paraId="67CA12CE" w14:textId="77777777" w:rsidTr="008F1E26">
        <w:trPr>
          <w:jc w:val="center"/>
        </w:trPr>
        <w:tc>
          <w:tcPr>
            <w:tcW w:w="392" w:type="dxa"/>
          </w:tcPr>
          <w:p w14:paraId="3676D8C5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0866D66F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6C3D2422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13674-1:2011+A1:2017</w:t>
            </w:r>
          </w:p>
        </w:tc>
        <w:tc>
          <w:tcPr>
            <w:tcW w:w="7450" w:type="dxa"/>
            <w:noWrap/>
            <w:vAlign w:val="center"/>
          </w:tcPr>
          <w:p w14:paraId="00A014F5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 xml:space="preserve">Опрема за железници - Пруга - Шина - Дел 1: Вињол железнички шини 46 кг/м и повеќе 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Track - Rail - Part 1: Vignole railway rails 46 kg/m and above</w:t>
            </w:r>
          </w:p>
        </w:tc>
        <w:tc>
          <w:tcPr>
            <w:tcW w:w="2730" w:type="dxa"/>
            <w:noWrap/>
          </w:tcPr>
          <w:p w14:paraId="18509E00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13674-1:2011+A1:2017</w:t>
            </w:r>
          </w:p>
        </w:tc>
      </w:tr>
      <w:tr w:rsidR="006A20C1" w:rsidRPr="004A44AB" w14:paraId="1A1520FB" w14:textId="77777777" w:rsidTr="008F1E26">
        <w:trPr>
          <w:jc w:val="center"/>
        </w:trPr>
        <w:tc>
          <w:tcPr>
            <w:tcW w:w="392" w:type="dxa"/>
          </w:tcPr>
          <w:p w14:paraId="4E406601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17960B95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2742" w:type="dxa"/>
            <w:noWrap/>
          </w:tcPr>
          <w:p w14:paraId="72471716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62625-1:2013/A11:2017</w:t>
            </w:r>
          </w:p>
        </w:tc>
        <w:tc>
          <w:tcPr>
            <w:tcW w:w="7450" w:type="dxa"/>
            <w:noWrap/>
            <w:vAlign w:val="center"/>
          </w:tcPr>
          <w:p w14:paraId="2C4D9D88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Electronic railway equipment - On board driving data recording system - Part 1: System specification</w:t>
            </w:r>
          </w:p>
        </w:tc>
        <w:tc>
          <w:tcPr>
            <w:tcW w:w="2730" w:type="dxa"/>
            <w:noWrap/>
          </w:tcPr>
          <w:p w14:paraId="38A12BAB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62625-1:2013/A11:2017</w:t>
            </w:r>
          </w:p>
        </w:tc>
      </w:tr>
      <w:tr w:rsidR="006A20C1" w:rsidRPr="004A44AB" w14:paraId="4DA4A8CC" w14:textId="77777777" w:rsidTr="008F1E26">
        <w:trPr>
          <w:jc w:val="center"/>
        </w:trPr>
        <w:tc>
          <w:tcPr>
            <w:tcW w:w="392" w:type="dxa"/>
          </w:tcPr>
          <w:p w14:paraId="379EF934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68CB0652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2742" w:type="dxa"/>
            <w:noWrap/>
          </w:tcPr>
          <w:p w14:paraId="4FBE6E1A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50153:2014/A1:2017</w:t>
            </w:r>
          </w:p>
        </w:tc>
        <w:tc>
          <w:tcPr>
            <w:tcW w:w="7450" w:type="dxa"/>
            <w:noWrap/>
            <w:vAlign w:val="center"/>
          </w:tcPr>
          <w:p w14:paraId="5792AE04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Rolling stock - Protective provisions relating to electrical hazards</w:t>
            </w:r>
          </w:p>
        </w:tc>
        <w:tc>
          <w:tcPr>
            <w:tcW w:w="2730" w:type="dxa"/>
            <w:noWrap/>
          </w:tcPr>
          <w:p w14:paraId="312AAFBD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50153:2014/A1:2017</w:t>
            </w:r>
          </w:p>
        </w:tc>
      </w:tr>
      <w:tr w:rsidR="006A20C1" w:rsidRPr="004A44AB" w14:paraId="6C724CF1" w14:textId="77777777" w:rsidTr="008F1E26">
        <w:trPr>
          <w:jc w:val="center"/>
        </w:trPr>
        <w:tc>
          <w:tcPr>
            <w:tcW w:w="392" w:type="dxa"/>
          </w:tcPr>
          <w:p w14:paraId="40EC6A5C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48B91381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7F2E0BA9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15153-1:2022</w:t>
            </w:r>
          </w:p>
        </w:tc>
        <w:tc>
          <w:tcPr>
            <w:tcW w:w="7450" w:type="dxa"/>
            <w:noWrap/>
            <w:vAlign w:val="center"/>
          </w:tcPr>
          <w:p w14:paraId="24823D65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– Надворешни аудиовизуелни уреди за предупредување за брзи возови – Дел 1:  Предни, обележувачки и задни лампи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</w:r>
            <w:r w:rsidRPr="004A44AB">
              <w:rPr>
                <w:rFonts w:ascii="Arial" w:hAnsi="Arial" w:cs="Arial"/>
                <w:sz w:val="22"/>
                <w:szCs w:val="22"/>
              </w:rPr>
              <w:lastRenderedPageBreak/>
              <w:t>Railway applications - External visible and audible warning devices - Part 1: Head, marker and tail lamps for heavy rail</w:t>
            </w:r>
          </w:p>
        </w:tc>
        <w:tc>
          <w:tcPr>
            <w:tcW w:w="2730" w:type="dxa"/>
            <w:noWrap/>
          </w:tcPr>
          <w:p w14:paraId="337A0DDB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EN 15153-1:2020</w:t>
            </w:r>
          </w:p>
        </w:tc>
      </w:tr>
      <w:tr w:rsidR="006A20C1" w:rsidRPr="004A44AB" w14:paraId="369065BB" w14:textId="77777777" w:rsidTr="008F1E26">
        <w:trPr>
          <w:jc w:val="center"/>
        </w:trPr>
        <w:tc>
          <w:tcPr>
            <w:tcW w:w="392" w:type="dxa"/>
          </w:tcPr>
          <w:p w14:paraId="77FEB734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01C73743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529FB212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15153-2:2022</w:t>
            </w:r>
          </w:p>
        </w:tc>
        <w:tc>
          <w:tcPr>
            <w:tcW w:w="7450" w:type="dxa"/>
            <w:noWrap/>
            <w:vAlign w:val="center"/>
          </w:tcPr>
          <w:p w14:paraId="537F473D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– Надворешни аудиовизуелни уреди за предупредување за брзи возови – Дел 2: Сирени за предупредување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External visible and audible warning devices - Part 2: Warning horns for heavy rail</w:t>
            </w:r>
          </w:p>
        </w:tc>
        <w:tc>
          <w:tcPr>
            <w:tcW w:w="2730" w:type="dxa"/>
            <w:noWrap/>
          </w:tcPr>
          <w:p w14:paraId="54DCD2D0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15153-2:2020</w:t>
            </w:r>
          </w:p>
        </w:tc>
      </w:tr>
      <w:tr w:rsidR="006A20C1" w:rsidRPr="004A44AB" w14:paraId="5B192755" w14:textId="77777777" w:rsidTr="008F1E26">
        <w:trPr>
          <w:jc w:val="center"/>
        </w:trPr>
        <w:tc>
          <w:tcPr>
            <w:tcW w:w="392" w:type="dxa"/>
          </w:tcPr>
          <w:p w14:paraId="5C9B8D8D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56923329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41C19D09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13272-1:2020</w:t>
            </w:r>
          </w:p>
        </w:tc>
        <w:tc>
          <w:tcPr>
            <w:tcW w:w="7450" w:type="dxa"/>
            <w:noWrap/>
            <w:vAlign w:val="center"/>
          </w:tcPr>
          <w:p w14:paraId="3BB246C0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Eлектрично осветлување за железничките возила во системите на јавен превоз - Дел 1: Главна железнца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Electrical lighting for rolling stock in public transport systems - Part 1: Heavy rail</w:t>
            </w:r>
          </w:p>
        </w:tc>
        <w:tc>
          <w:tcPr>
            <w:tcW w:w="2730" w:type="dxa"/>
            <w:noWrap/>
          </w:tcPr>
          <w:p w14:paraId="4150FD7B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13272-1:2019</w:t>
            </w:r>
          </w:p>
        </w:tc>
      </w:tr>
      <w:tr w:rsidR="006A20C1" w:rsidRPr="004A44AB" w14:paraId="1AB0636C" w14:textId="77777777" w:rsidTr="008F1E26">
        <w:trPr>
          <w:jc w:val="center"/>
        </w:trPr>
        <w:tc>
          <w:tcPr>
            <w:tcW w:w="392" w:type="dxa"/>
          </w:tcPr>
          <w:p w14:paraId="6F06C4F0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71BE1BF4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254347B8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1363-1:2020</w:t>
            </w:r>
          </w:p>
        </w:tc>
        <w:tc>
          <w:tcPr>
            <w:tcW w:w="7450" w:type="dxa"/>
            <w:noWrap/>
            <w:vAlign w:val="center"/>
          </w:tcPr>
          <w:p w14:paraId="21231CDC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 xml:space="preserve">Тестови за пожарна отпорност – Дел 1: Општи барања 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Fire resistance tests - Part 1: General requirements</w:t>
            </w:r>
          </w:p>
        </w:tc>
        <w:tc>
          <w:tcPr>
            <w:tcW w:w="2730" w:type="dxa"/>
            <w:noWrap/>
          </w:tcPr>
          <w:p w14:paraId="5B16F48B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1363-1:2020</w:t>
            </w:r>
          </w:p>
        </w:tc>
      </w:tr>
      <w:tr w:rsidR="006A20C1" w:rsidRPr="004A44AB" w14:paraId="7A66660F" w14:textId="77777777" w:rsidTr="008F1E26">
        <w:trPr>
          <w:jc w:val="center"/>
        </w:trPr>
        <w:tc>
          <w:tcPr>
            <w:tcW w:w="392" w:type="dxa"/>
          </w:tcPr>
          <w:p w14:paraId="7BE2E16D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49EEFF78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70CB7595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15152:2019</w:t>
            </w:r>
          </w:p>
        </w:tc>
        <w:tc>
          <w:tcPr>
            <w:tcW w:w="7450" w:type="dxa"/>
            <w:noWrap/>
            <w:vAlign w:val="center"/>
          </w:tcPr>
          <w:p w14:paraId="486AD0E9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 xml:space="preserve">Опрема за железници - Предни ветробрани за кабините на возот 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Windscreens for trains</w:t>
            </w:r>
          </w:p>
        </w:tc>
        <w:tc>
          <w:tcPr>
            <w:tcW w:w="2730" w:type="dxa"/>
            <w:noWrap/>
          </w:tcPr>
          <w:p w14:paraId="44DD572E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15152:2019</w:t>
            </w:r>
          </w:p>
        </w:tc>
      </w:tr>
      <w:tr w:rsidR="006A20C1" w:rsidRPr="004A44AB" w14:paraId="7DB75463" w14:textId="77777777" w:rsidTr="008F1E26">
        <w:trPr>
          <w:jc w:val="center"/>
        </w:trPr>
        <w:tc>
          <w:tcPr>
            <w:tcW w:w="392" w:type="dxa"/>
          </w:tcPr>
          <w:p w14:paraId="4566524C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01700967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42255516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13260:2022</w:t>
            </w:r>
          </w:p>
        </w:tc>
        <w:tc>
          <w:tcPr>
            <w:tcW w:w="7450" w:type="dxa"/>
            <w:noWrap/>
            <w:vAlign w:val="center"/>
          </w:tcPr>
          <w:p w14:paraId="2D3E0E54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Kомплет на тркала и вртлива платформа - Kомплет на тркала - Барања за производи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Wheelsets and bogies - Wheelsets - Product requirements</w:t>
            </w:r>
          </w:p>
        </w:tc>
        <w:tc>
          <w:tcPr>
            <w:tcW w:w="2730" w:type="dxa"/>
            <w:noWrap/>
          </w:tcPr>
          <w:p w14:paraId="40B86995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13260:2020</w:t>
            </w:r>
          </w:p>
        </w:tc>
      </w:tr>
      <w:tr w:rsidR="006A20C1" w:rsidRPr="004A44AB" w14:paraId="4D730CF8" w14:textId="77777777" w:rsidTr="008F1E26">
        <w:trPr>
          <w:jc w:val="center"/>
        </w:trPr>
        <w:tc>
          <w:tcPr>
            <w:tcW w:w="392" w:type="dxa"/>
          </w:tcPr>
          <w:p w14:paraId="7D2D634E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5147A597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44A86E3E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13715:2022</w:t>
            </w:r>
          </w:p>
        </w:tc>
        <w:tc>
          <w:tcPr>
            <w:tcW w:w="7450" w:type="dxa"/>
            <w:noWrap/>
            <w:vAlign w:val="center"/>
          </w:tcPr>
          <w:p w14:paraId="0C9A18F1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Kомплет на тркала и подвижни платформи - Tркала - Профил на тркалата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Wheelsets and bogies - Wheels - Tread profile</w:t>
            </w:r>
          </w:p>
        </w:tc>
        <w:tc>
          <w:tcPr>
            <w:tcW w:w="2730" w:type="dxa"/>
            <w:noWrap/>
          </w:tcPr>
          <w:p w14:paraId="0EBB95EB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13715:2020</w:t>
            </w:r>
          </w:p>
        </w:tc>
      </w:tr>
      <w:tr w:rsidR="006A20C1" w:rsidRPr="004A44AB" w14:paraId="7FA3C2C0" w14:textId="77777777" w:rsidTr="008F1E26">
        <w:trPr>
          <w:jc w:val="center"/>
        </w:trPr>
        <w:tc>
          <w:tcPr>
            <w:tcW w:w="392" w:type="dxa"/>
          </w:tcPr>
          <w:p w14:paraId="51C57390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1EEF439D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5C01B1E1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45545-2:2022</w:t>
            </w:r>
          </w:p>
        </w:tc>
        <w:tc>
          <w:tcPr>
            <w:tcW w:w="7450" w:type="dxa"/>
            <w:noWrap/>
            <w:vAlign w:val="center"/>
          </w:tcPr>
          <w:p w14:paraId="4811E865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Fire protection on railway vehicles - Part 2: Requirements for fire behavior of materials and components</w:t>
            </w:r>
          </w:p>
        </w:tc>
        <w:tc>
          <w:tcPr>
            <w:tcW w:w="2730" w:type="dxa"/>
            <w:noWrap/>
          </w:tcPr>
          <w:p w14:paraId="720D347E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45545-2:2020</w:t>
            </w:r>
          </w:p>
        </w:tc>
      </w:tr>
      <w:tr w:rsidR="006A20C1" w:rsidRPr="004A44AB" w14:paraId="20B30E64" w14:textId="77777777" w:rsidTr="008F1E26">
        <w:trPr>
          <w:jc w:val="center"/>
        </w:trPr>
        <w:tc>
          <w:tcPr>
            <w:tcW w:w="392" w:type="dxa"/>
          </w:tcPr>
          <w:p w14:paraId="48733F0E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0846C6F1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1E4AD0A3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14531-1:2015+A1:2018</w:t>
            </w:r>
          </w:p>
        </w:tc>
        <w:tc>
          <w:tcPr>
            <w:tcW w:w="7450" w:type="dxa"/>
            <w:noWrap/>
            <w:vAlign w:val="center"/>
          </w:tcPr>
          <w:p w14:paraId="3732C2D3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Mетоди за пресметување на растојанија на застанување, забавување и имобилизациско кочење - Дел 1: Општи алгоритми кои се користат за пресметки за воз сетови или единечни возила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Methods for calculation of stopping and slowing distances and immobilization braking - Part 1: General algorithms utilizing mean value calculation for train sets or single vehicles</w:t>
            </w:r>
          </w:p>
        </w:tc>
        <w:tc>
          <w:tcPr>
            <w:tcW w:w="2730" w:type="dxa"/>
            <w:noWrap/>
          </w:tcPr>
          <w:p w14:paraId="3168E8AD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14531-1:2015+A1:2018</w:t>
            </w:r>
          </w:p>
        </w:tc>
      </w:tr>
      <w:tr w:rsidR="006A20C1" w:rsidRPr="004A44AB" w14:paraId="4E5B76F7" w14:textId="77777777" w:rsidTr="008F1E26">
        <w:trPr>
          <w:jc w:val="center"/>
        </w:trPr>
        <w:tc>
          <w:tcPr>
            <w:tcW w:w="392" w:type="dxa"/>
          </w:tcPr>
          <w:p w14:paraId="103BC821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60795D7F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2B04C43A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50318:2019</w:t>
            </w:r>
          </w:p>
        </w:tc>
        <w:tc>
          <w:tcPr>
            <w:tcW w:w="7450" w:type="dxa"/>
            <w:noWrap/>
            <w:vAlign w:val="center"/>
          </w:tcPr>
          <w:p w14:paraId="70E8BEE8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Системи за напојување кај железничките возила - Валидација на симулацијата од динамичката меѓузависност помеѓу пантографите и надземните контактни линии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Current collection systems - Validation of simulation of the dynamic interaction between pantograph and overhead contact line</w:t>
            </w:r>
          </w:p>
        </w:tc>
        <w:tc>
          <w:tcPr>
            <w:tcW w:w="2730" w:type="dxa"/>
            <w:noWrap/>
          </w:tcPr>
          <w:p w14:paraId="2BF0C251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50318:2018</w:t>
            </w:r>
          </w:p>
        </w:tc>
      </w:tr>
      <w:tr w:rsidR="006A20C1" w:rsidRPr="004A44AB" w14:paraId="5DA9ED44" w14:textId="77777777" w:rsidTr="008F1E26">
        <w:trPr>
          <w:jc w:val="center"/>
        </w:trPr>
        <w:tc>
          <w:tcPr>
            <w:tcW w:w="392" w:type="dxa"/>
          </w:tcPr>
          <w:p w14:paraId="25EFBDE5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7954BDB3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2742" w:type="dxa"/>
            <w:noWrap/>
          </w:tcPr>
          <w:p w14:paraId="42FE6F1E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50463-2:2017/AC:2018-10:2019</w:t>
            </w:r>
          </w:p>
        </w:tc>
        <w:tc>
          <w:tcPr>
            <w:tcW w:w="7450" w:type="dxa"/>
            <w:noWrap/>
            <w:vAlign w:val="center"/>
          </w:tcPr>
          <w:p w14:paraId="35F9ABBD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Energy measurement on board trains - Part 2: Energy measuring</w:t>
            </w:r>
          </w:p>
        </w:tc>
        <w:tc>
          <w:tcPr>
            <w:tcW w:w="2730" w:type="dxa"/>
            <w:noWrap/>
          </w:tcPr>
          <w:p w14:paraId="463E4355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50463-2:2017/AC:2018-10</w:t>
            </w:r>
          </w:p>
        </w:tc>
      </w:tr>
      <w:tr w:rsidR="006A20C1" w:rsidRPr="004A44AB" w14:paraId="20AC3E4A" w14:textId="77777777" w:rsidTr="008F1E26">
        <w:trPr>
          <w:jc w:val="center"/>
        </w:trPr>
        <w:tc>
          <w:tcPr>
            <w:tcW w:w="392" w:type="dxa"/>
          </w:tcPr>
          <w:p w14:paraId="5B003E4A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33628F00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6714BEFA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15328:2022</w:t>
            </w:r>
          </w:p>
        </w:tc>
        <w:tc>
          <w:tcPr>
            <w:tcW w:w="7450" w:type="dxa"/>
            <w:noWrap/>
            <w:vAlign w:val="center"/>
          </w:tcPr>
          <w:p w14:paraId="21EF5DB4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Сопирање - Плочки за сопирачка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Braking - Brake pads</w:t>
            </w:r>
          </w:p>
        </w:tc>
        <w:tc>
          <w:tcPr>
            <w:tcW w:w="2730" w:type="dxa"/>
            <w:noWrap/>
          </w:tcPr>
          <w:p w14:paraId="76EA96E8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15328:2020</w:t>
            </w:r>
          </w:p>
        </w:tc>
      </w:tr>
      <w:tr w:rsidR="006A20C1" w:rsidRPr="004A44AB" w14:paraId="08F2809E" w14:textId="77777777" w:rsidTr="008F1E26">
        <w:trPr>
          <w:jc w:val="center"/>
        </w:trPr>
        <w:tc>
          <w:tcPr>
            <w:tcW w:w="392" w:type="dxa"/>
          </w:tcPr>
          <w:p w14:paraId="0ADE680A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114A023B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5F44468E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16186-1:2014+A1:2019</w:t>
            </w:r>
          </w:p>
        </w:tc>
        <w:tc>
          <w:tcPr>
            <w:tcW w:w="7450" w:type="dxa"/>
            <w:noWrap/>
            <w:vAlign w:val="center"/>
          </w:tcPr>
          <w:p w14:paraId="5953AD78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Кабина на возачот - Дел 1: Антропометриски податоци и видливост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Driver's cab - Part 1: Anthropometric data and visibility</w:t>
            </w:r>
          </w:p>
        </w:tc>
        <w:tc>
          <w:tcPr>
            <w:tcW w:w="2730" w:type="dxa"/>
            <w:noWrap/>
          </w:tcPr>
          <w:p w14:paraId="7A32C668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16186-1:2014+A1:2018</w:t>
            </w:r>
          </w:p>
        </w:tc>
      </w:tr>
      <w:tr w:rsidR="006A20C1" w:rsidRPr="004A44AB" w14:paraId="66D16ACA" w14:textId="77777777" w:rsidTr="008F1E26">
        <w:trPr>
          <w:jc w:val="center"/>
        </w:trPr>
        <w:tc>
          <w:tcPr>
            <w:tcW w:w="392" w:type="dxa"/>
          </w:tcPr>
          <w:p w14:paraId="5A3CD230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6A585C64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5ADD6A2D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14067-4:2013+A1:2019</w:t>
            </w:r>
          </w:p>
        </w:tc>
        <w:tc>
          <w:tcPr>
            <w:tcW w:w="7450" w:type="dxa"/>
            <w:noWrap/>
            <w:vAlign w:val="center"/>
          </w:tcPr>
          <w:p w14:paraId="7B3F383B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Аеродинамика - Дел 4: Барања и процедури за испитување на аеродинамика на отворена пруга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Aerodynamics - Part 4: Requirements and test procedures for aerodynamics on open track</w:t>
            </w:r>
          </w:p>
        </w:tc>
        <w:tc>
          <w:tcPr>
            <w:tcW w:w="2730" w:type="dxa"/>
            <w:noWrap/>
          </w:tcPr>
          <w:p w14:paraId="435D2140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14067-4:2013+A1:2018</w:t>
            </w:r>
          </w:p>
        </w:tc>
      </w:tr>
      <w:tr w:rsidR="006A20C1" w:rsidRPr="004A44AB" w14:paraId="3E1B71B2" w14:textId="77777777" w:rsidTr="008F1E26">
        <w:trPr>
          <w:jc w:val="center"/>
        </w:trPr>
        <w:tc>
          <w:tcPr>
            <w:tcW w:w="392" w:type="dxa"/>
          </w:tcPr>
          <w:p w14:paraId="0AFABFB9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5099C4BE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361D9121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15663:2017+A1:2019</w:t>
            </w:r>
          </w:p>
        </w:tc>
        <w:tc>
          <w:tcPr>
            <w:tcW w:w="7450" w:type="dxa"/>
            <w:noWrap/>
            <w:vAlign w:val="center"/>
          </w:tcPr>
          <w:p w14:paraId="27556C3E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Vehicle reference masses</w:t>
            </w:r>
          </w:p>
        </w:tc>
        <w:tc>
          <w:tcPr>
            <w:tcW w:w="2730" w:type="dxa"/>
            <w:noWrap/>
          </w:tcPr>
          <w:p w14:paraId="1326446B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15663:2017+A1:2018</w:t>
            </w:r>
          </w:p>
        </w:tc>
      </w:tr>
      <w:tr w:rsidR="006A20C1" w:rsidRPr="004A44AB" w14:paraId="797EB396" w14:textId="77777777" w:rsidTr="008F1E26">
        <w:trPr>
          <w:jc w:val="center"/>
        </w:trPr>
        <w:tc>
          <w:tcPr>
            <w:tcW w:w="392" w:type="dxa"/>
          </w:tcPr>
          <w:p w14:paraId="3DE595AD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2BABE9C9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7D3498FC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16452:2015+A1:2019</w:t>
            </w:r>
          </w:p>
        </w:tc>
        <w:tc>
          <w:tcPr>
            <w:tcW w:w="7450" w:type="dxa"/>
            <w:noWrap/>
            <w:vAlign w:val="center"/>
          </w:tcPr>
          <w:p w14:paraId="65DDFAFF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 xml:space="preserve">Опрема за железници – Кочење – Блок кочница 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Braking - Brake blocks</w:t>
            </w:r>
          </w:p>
        </w:tc>
        <w:tc>
          <w:tcPr>
            <w:tcW w:w="2730" w:type="dxa"/>
            <w:noWrap/>
          </w:tcPr>
          <w:p w14:paraId="0FF307CB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16452:2015+A1:2019</w:t>
            </w:r>
          </w:p>
        </w:tc>
      </w:tr>
      <w:tr w:rsidR="006A20C1" w:rsidRPr="004A44AB" w14:paraId="6EDFA27C" w14:textId="77777777" w:rsidTr="008F1E26">
        <w:trPr>
          <w:jc w:val="center"/>
        </w:trPr>
        <w:tc>
          <w:tcPr>
            <w:tcW w:w="392" w:type="dxa"/>
          </w:tcPr>
          <w:p w14:paraId="0CBC6E37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33DCFD09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3FE41FEE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15551:2022</w:t>
            </w:r>
          </w:p>
        </w:tc>
        <w:tc>
          <w:tcPr>
            <w:tcW w:w="7450" w:type="dxa"/>
            <w:noWrap/>
            <w:vAlign w:val="center"/>
          </w:tcPr>
          <w:p w14:paraId="2DA9C940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 xml:space="preserve"> Опрема за железници - Железнички возни средства - Одбојници 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Railway rolling stock - Buffers</w:t>
            </w:r>
          </w:p>
        </w:tc>
        <w:tc>
          <w:tcPr>
            <w:tcW w:w="2730" w:type="dxa"/>
            <w:noWrap/>
          </w:tcPr>
          <w:p w14:paraId="659A6348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15551:2022</w:t>
            </w:r>
          </w:p>
        </w:tc>
      </w:tr>
      <w:tr w:rsidR="006A20C1" w:rsidRPr="004A44AB" w14:paraId="09701956" w14:textId="77777777" w:rsidTr="008F1E26">
        <w:trPr>
          <w:jc w:val="center"/>
        </w:trPr>
        <w:tc>
          <w:tcPr>
            <w:tcW w:w="392" w:type="dxa"/>
          </w:tcPr>
          <w:p w14:paraId="14696D61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2B95DF4E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2FA48E9A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15020:2022</w:t>
            </w:r>
          </w:p>
        </w:tc>
        <w:tc>
          <w:tcPr>
            <w:tcW w:w="7450" w:type="dxa"/>
            <w:noWrap/>
            <w:vAlign w:val="center"/>
          </w:tcPr>
          <w:p w14:paraId="56FF6690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 xml:space="preserve">Опрема за железници - Сигурносна спојка - Изведбени барања, специфична интерфејс геометрија и методи на испитување 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Rescue coupler - Performance requirements, specific interface geometry and test methods</w:t>
            </w:r>
          </w:p>
        </w:tc>
        <w:tc>
          <w:tcPr>
            <w:tcW w:w="2730" w:type="dxa"/>
            <w:noWrap/>
          </w:tcPr>
          <w:p w14:paraId="1F0E7A21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15020:2022</w:t>
            </w:r>
          </w:p>
        </w:tc>
      </w:tr>
      <w:tr w:rsidR="006A20C1" w:rsidRPr="004A44AB" w14:paraId="464928AE" w14:textId="77777777" w:rsidTr="008F1E26">
        <w:trPr>
          <w:jc w:val="center"/>
        </w:trPr>
        <w:tc>
          <w:tcPr>
            <w:tcW w:w="392" w:type="dxa"/>
          </w:tcPr>
          <w:p w14:paraId="2C88A773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118CAAE4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5C84A493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15566:2022</w:t>
            </w:r>
          </w:p>
        </w:tc>
        <w:tc>
          <w:tcPr>
            <w:tcW w:w="7450" w:type="dxa"/>
            <w:noWrap/>
            <w:vAlign w:val="center"/>
          </w:tcPr>
          <w:p w14:paraId="67AA7AA2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Железнички возила - Прибор за влечење и спојка со завртка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Railway Rolling stock - Draw gear and screw coupling</w:t>
            </w:r>
          </w:p>
        </w:tc>
        <w:tc>
          <w:tcPr>
            <w:tcW w:w="2730" w:type="dxa"/>
            <w:noWrap/>
          </w:tcPr>
          <w:p w14:paraId="122F93E3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15566:2022</w:t>
            </w:r>
          </w:p>
        </w:tc>
      </w:tr>
      <w:tr w:rsidR="006A20C1" w:rsidRPr="004A44AB" w14:paraId="1525C211" w14:textId="77777777" w:rsidTr="008F1E26">
        <w:trPr>
          <w:jc w:val="center"/>
        </w:trPr>
        <w:tc>
          <w:tcPr>
            <w:tcW w:w="392" w:type="dxa"/>
          </w:tcPr>
          <w:p w14:paraId="7FAA8468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4BA68AE2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4F2AD8BE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50367:2020</w:t>
            </w:r>
          </w:p>
        </w:tc>
        <w:tc>
          <w:tcPr>
            <w:tcW w:w="7450" w:type="dxa"/>
            <w:noWrap/>
            <w:vAlign w:val="center"/>
          </w:tcPr>
          <w:p w14:paraId="39C9C64B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Системи за напојување кај железничките возила - Технички критериуми за меѓузависност помеѓу пантографите и надземните контактни линии (за да се постигне слободен пристап)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Fixed installations and rolling stock - Criteria to achieve technical compatibility between pantographs and overhead contact line</w:t>
            </w:r>
          </w:p>
        </w:tc>
        <w:tc>
          <w:tcPr>
            <w:tcW w:w="2730" w:type="dxa"/>
            <w:noWrap/>
          </w:tcPr>
          <w:p w14:paraId="0CC8F9D9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50367:2020</w:t>
            </w:r>
          </w:p>
        </w:tc>
      </w:tr>
      <w:tr w:rsidR="006A20C1" w:rsidRPr="004A44AB" w14:paraId="731679A2" w14:textId="77777777" w:rsidTr="008F1E26">
        <w:trPr>
          <w:jc w:val="center"/>
        </w:trPr>
        <w:tc>
          <w:tcPr>
            <w:tcW w:w="392" w:type="dxa"/>
          </w:tcPr>
          <w:p w14:paraId="6492BD8C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6C7E869D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4CFF1E4F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16207:2014+A1:2020</w:t>
            </w:r>
          </w:p>
        </w:tc>
        <w:tc>
          <w:tcPr>
            <w:tcW w:w="7450" w:type="dxa"/>
            <w:noWrap/>
            <w:vAlign w:val="center"/>
          </w:tcPr>
          <w:p w14:paraId="723A9E7A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железници- Сопирање - Функционални и критериуми за изведба на системите за сопирање магнетска лента за употреба во железничките возила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Braking - Functional and performance criteria of Magnetic Track Brake systems for use in railway rolling stock</w:t>
            </w:r>
          </w:p>
        </w:tc>
        <w:tc>
          <w:tcPr>
            <w:tcW w:w="2730" w:type="dxa"/>
            <w:noWrap/>
          </w:tcPr>
          <w:p w14:paraId="4DDEB018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16207:2014+A1:2019</w:t>
            </w:r>
          </w:p>
        </w:tc>
      </w:tr>
      <w:tr w:rsidR="006A20C1" w:rsidRPr="004A44AB" w14:paraId="639D9677" w14:textId="77777777" w:rsidTr="008F1E26">
        <w:trPr>
          <w:jc w:val="center"/>
        </w:trPr>
        <w:tc>
          <w:tcPr>
            <w:tcW w:w="392" w:type="dxa"/>
          </w:tcPr>
          <w:p w14:paraId="404531CA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3993E8A0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2742" w:type="dxa"/>
            <w:noWrap/>
          </w:tcPr>
          <w:p w14:paraId="7A501E95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50163:2010/A2:2020</w:t>
            </w:r>
          </w:p>
        </w:tc>
        <w:tc>
          <w:tcPr>
            <w:tcW w:w="7450" w:type="dxa"/>
            <w:noWrap/>
            <w:vAlign w:val="center"/>
          </w:tcPr>
          <w:p w14:paraId="6EB23FE0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Напони за напојување на системите за влечење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Supply voltages of traction systems</w:t>
            </w:r>
          </w:p>
        </w:tc>
        <w:tc>
          <w:tcPr>
            <w:tcW w:w="2730" w:type="dxa"/>
            <w:noWrap/>
          </w:tcPr>
          <w:p w14:paraId="4749570E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50163:2004/A2:2020</w:t>
            </w:r>
          </w:p>
        </w:tc>
      </w:tr>
      <w:tr w:rsidR="006A20C1" w:rsidRPr="004A44AB" w14:paraId="2D74B9A7" w14:textId="77777777" w:rsidTr="008F1E26">
        <w:trPr>
          <w:jc w:val="center"/>
        </w:trPr>
        <w:tc>
          <w:tcPr>
            <w:tcW w:w="392" w:type="dxa"/>
          </w:tcPr>
          <w:p w14:paraId="2FA24007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7E7F1C7D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2742" w:type="dxa"/>
            <w:noWrap/>
          </w:tcPr>
          <w:p w14:paraId="6D74E058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50553:2012/A2:2020</w:t>
            </w:r>
          </w:p>
        </w:tc>
        <w:tc>
          <w:tcPr>
            <w:tcW w:w="7450" w:type="dxa"/>
            <w:noWrap/>
            <w:vAlign w:val="center"/>
          </w:tcPr>
          <w:p w14:paraId="37CF7067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Барања за способност за возење во случај на пожар во железничките возила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Requirements for running capability in case of fire on board of rolling stock</w:t>
            </w:r>
          </w:p>
        </w:tc>
        <w:tc>
          <w:tcPr>
            <w:tcW w:w="2730" w:type="dxa"/>
            <w:noWrap/>
          </w:tcPr>
          <w:p w14:paraId="2C17F091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50553:2012/A2:2020</w:t>
            </w:r>
          </w:p>
        </w:tc>
      </w:tr>
      <w:tr w:rsidR="006A20C1" w:rsidRPr="004A44AB" w14:paraId="7BFF0CA1" w14:textId="77777777" w:rsidTr="008F1E26">
        <w:trPr>
          <w:jc w:val="center"/>
        </w:trPr>
        <w:tc>
          <w:tcPr>
            <w:tcW w:w="392" w:type="dxa"/>
          </w:tcPr>
          <w:p w14:paraId="72030060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7832525D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2742" w:type="dxa"/>
            <w:noWrap/>
          </w:tcPr>
          <w:p w14:paraId="3D8EC4C7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50153:2014/A2:2020</w:t>
            </w:r>
          </w:p>
        </w:tc>
        <w:tc>
          <w:tcPr>
            <w:tcW w:w="7450" w:type="dxa"/>
            <w:noWrap/>
            <w:vAlign w:val="center"/>
          </w:tcPr>
          <w:p w14:paraId="291FDE09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Железнички возила - Заштитни одредби во врска со електрични опасности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Rolling stock - Protective provisions relating to electrical hazards</w:t>
            </w:r>
          </w:p>
        </w:tc>
        <w:tc>
          <w:tcPr>
            <w:tcW w:w="2730" w:type="dxa"/>
            <w:noWrap/>
          </w:tcPr>
          <w:p w14:paraId="4695CDA5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50153:2014/A2:2020</w:t>
            </w:r>
          </w:p>
        </w:tc>
      </w:tr>
      <w:tr w:rsidR="006A20C1" w:rsidRPr="004A44AB" w14:paraId="4E4D43E7" w14:textId="77777777" w:rsidTr="008F1E26">
        <w:trPr>
          <w:jc w:val="center"/>
        </w:trPr>
        <w:tc>
          <w:tcPr>
            <w:tcW w:w="392" w:type="dxa"/>
          </w:tcPr>
          <w:p w14:paraId="02946697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12306A20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66641B1A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50119:2021</w:t>
            </w:r>
          </w:p>
        </w:tc>
        <w:tc>
          <w:tcPr>
            <w:tcW w:w="7450" w:type="dxa"/>
            <w:noWrap/>
            <w:vAlign w:val="center"/>
          </w:tcPr>
          <w:p w14:paraId="29709E3F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Фиксни инсталации - Електрични контактни водови за напојување на влечни возила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</w:r>
            <w:r w:rsidRPr="004A44AB">
              <w:rPr>
                <w:rFonts w:ascii="Arial" w:hAnsi="Arial" w:cs="Arial"/>
                <w:sz w:val="22"/>
                <w:szCs w:val="22"/>
              </w:rPr>
              <w:lastRenderedPageBreak/>
              <w:t>Railway applications - Fixed installations - Electric traction overhead contact lines</w:t>
            </w:r>
          </w:p>
        </w:tc>
        <w:tc>
          <w:tcPr>
            <w:tcW w:w="2730" w:type="dxa"/>
            <w:noWrap/>
          </w:tcPr>
          <w:p w14:paraId="60739CA5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EN 50119:2020</w:t>
            </w:r>
          </w:p>
        </w:tc>
      </w:tr>
      <w:tr w:rsidR="006A20C1" w:rsidRPr="004A44AB" w14:paraId="098E0B47" w14:textId="77777777" w:rsidTr="008F1E26">
        <w:trPr>
          <w:jc w:val="center"/>
        </w:trPr>
        <w:tc>
          <w:tcPr>
            <w:tcW w:w="392" w:type="dxa"/>
          </w:tcPr>
          <w:p w14:paraId="0532C638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07EB08E5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2742" w:type="dxa"/>
            <w:noWrap/>
          </w:tcPr>
          <w:p w14:paraId="5EC0F5A8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50318:2018/A1:2022</w:t>
            </w:r>
          </w:p>
        </w:tc>
        <w:tc>
          <w:tcPr>
            <w:tcW w:w="7450" w:type="dxa"/>
            <w:noWrap/>
            <w:vAlign w:val="center"/>
          </w:tcPr>
          <w:p w14:paraId="2B9D1E47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Системи за напојување кај железничките возила - Валидација на симулацијата од динамичката меѓузависност помеѓу пантографите и надземните контактни линии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Current collection systems - Validation of simulation of the dynamic interaction between pantograph and overhead contact line</w:t>
            </w:r>
          </w:p>
        </w:tc>
        <w:tc>
          <w:tcPr>
            <w:tcW w:w="2730" w:type="dxa"/>
            <w:noWrap/>
          </w:tcPr>
          <w:p w14:paraId="459F4104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50318:2018/A1:2022</w:t>
            </w:r>
          </w:p>
        </w:tc>
      </w:tr>
      <w:tr w:rsidR="006A20C1" w:rsidRPr="004A44AB" w14:paraId="7ABEAF1C" w14:textId="77777777" w:rsidTr="008F1E26">
        <w:trPr>
          <w:jc w:val="center"/>
        </w:trPr>
        <w:tc>
          <w:tcPr>
            <w:tcW w:w="392" w:type="dxa"/>
          </w:tcPr>
          <w:p w14:paraId="29534796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7AEE0015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1786277C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14198:2016+A2:2022</w:t>
            </w:r>
          </w:p>
        </w:tc>
        <w:tc>
          <w:tcPr>
            <w:tcW w:w="7450" w:type="dxa"/>
            <w:noWrap/>
            <w:vAlign w:val="center"/>
          </w:tcPr>
          <w:p w14:paraId="10A56B49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Braking - Requirements for the brake system of trains hauled by locomotives</w:t>
            </w:r>
          </w:p>
        </w:tc>
        <w:tc>
          <w:tcPr>
            <w:tcW w:w="2730" w:type="dxa"/>
            <w:noWrap/>
          </w:tcPr>
          <w:p w14:paraId="35117B94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14198:2016+A2:2021</w:t>
            </w:r>
          </w:p>
        </w:tc>
      </w:tr>
      <w:tr w:rsidR="006A20C1" w:rsidRPr="004A44AB" w14:paraId="2D4DD7AF" w14:textId="77777777" w:rsidTr="008F1E26">
        <w:trPr>
          <w:jc w:val="center"/>
        </w:trPr>
        <w:tc>
          <w:tcPr>
            <w:tcW w:w="392" w:type="dxa"/>
          </w:tcPr>
          <w:p w14:paraId="0050B6EB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3385FEA8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36875018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16839:2022</w:t>
            </w:r>
          </w:p>
        </w:tc>
        <w:tc>
          <w:tcPr>
            <w:tcW w:w="7450" w:type="dxa"/>
            <w:noWrap/>
            <w:vAlign w:val="center"/>
          </w:tcPr>
          <w:p w14:paraId="00188183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Rolling stock - Head stock layout</w:t>
            </w:r>
          </w:p>
        </w:tc>
        <w:tc>
          <w:tcPr>
            <w:tcW w:w="2730" w:type="dxa"/>
            <w:noWrap/>
          </w:tcPr>
          <w:p w14:paraId="472D3B6E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16839:2022</w:t>
            </w:r>
          </w:p>
        </w:tc>
      </w:tr>
      <w:tr w:rsidR="006A20C1" w:rsidRPr="004A44AB" w14:paraId="03F6681C" w14:textId="77777777" w:rsidTr="008F1E26">
        <w:trPr>
          <w:jc w:val="center"/>
        </w:trPr>
        <w:tc>
          <w:tcPr>
            <w:tcW w:w="392" w:type="dxa"/>
          </w:tcPr>
          <w:p w14:paraId="1E582B32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377DCFBE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709776CD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13749:2022</w:t>
            </w:r>
          </w:p>
        </w:tc>
        <w:tc>
          <w:tcPr>
            <w:tcW w:w="7450" w:type="dxa"/>
            <w:noWrap/>
            <w:vAlign w:val="center"/>
          </w:tcPr>
          <w:p w14:paraId="7DB57AF3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Kомплет на тркала и подвижни платформи - Mетоди за специфицирање на конструкциските барања за рамките на подвижните платформи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Wheelsets and bogies - Method of specifying the structural requirements of bogie frames</w:t>
            </w:r>
          </w:p>
        </w:tc>
        <w:tc>
          <w:tcPr>
            <w:tcW w:w="2730" w:type="dxa"/>
            <w:noWrap/>
          </w:tcPr>
          <w:p w14:paraId="363AAC72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13749:2021</w:t>
            </w:r>
          </w:p>
        </w:tc>
      </w:tr>
      <w:tr w:rsidR="006A20C1" w:rsidRPr="004A44AB" w14:paraId="1965CB1C" w14:textId="77777777" w:rsidTr="008F1E26">
        <w:trPr>
          <w:jc w:val="center"/>
        </w:trPr>
        <w:tc>
          <w:tcPr>
            <w:tcW w:w="392" w:type="dxa"/>
          </w:tcPr>
          <w:p w14:paraId="1F04B3B8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126F6081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55D5F35A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15528:2022</w:t>
            </w:r>
          </w:p>
        </w:tc>
        <w:tc>
          <w:tcPr>
            <w:tcW w:w="7450" w:type="dxa"/>
            <w:noWrap/>
            <w:vAlign w:val="center"/>
          </w:tcPr>
          <w:p w14:paraId="0BE5B045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Line categories for managing the interface between load limits of vehicles and infrastructure</w:t>
            </w:r>
          </w:p>
        </w:tc>
        <w:tc>
          <w:tcPr>
            <w:tcW w:w="2730" w:type="dxa"/>
            <w:noWrap/>
          </w:tcPr>
          <w:p w14:paraId="05A8021D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15528:2021</w:t>
            </w:r>
          </w:p>
        </w:tc>
      </w:tr>
      <w:tr w:rsidR="006A20C1" w:rsidRPr="004A44AB" w14:paraId="3E4A9323" w14:textId="77777777" w:rsidTr="008F1E26">
        <w:trPr>
          <w:jc w:val="center"/>
        </w:trPr>
        <w:tc>
          <w:tcPr>
            <w:tcW w:w="392" w:type="dxa"/>
          </w:tcPr>
          <w:p w14:paraId="712DA9F7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7FDE5CCA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109ABF86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14067-5:2022</w:t>
            </w:r>
          </w:p>
        </w:tc>
        <w:tc>
          <w:tcPr>
            <w:tcW w:w="7450" w:type="dxa"/>
            <w:noWrap/>
            <w:vAlign w:val="center"/>
          </w:tcPr>
          <w:p w14:paraId="1BB24130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Аеродинамика - Дел 5: Барања и процедури за испитување на аеродинамика во тунели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</w:r>
            <w:r w:rsidRPr="004A44AB">
              <w:rPr>
                <w:rFonts w:ascii="Arial" w:hAnsi="Arial" w:cs="Arial"/>
                <w:sz w:val="22"/>
                <w:szCs w:val="22"/>
              </w:rPr>
              <w:lastRenderedPageBreak/>
              <w:t>Railway applications - Aerodynamics - Part 5: Requirements and assessment procedures for aerodynamics in tunnels</w:t>
            </w:r>
          </w:p>
        </w:tc>
        <w:tc>
          <w:tcPr>
            <w:tcW w:w="2730" w:type="dxa"/>
            <w:noWrap/>
          </w:tcPr>
          <w:p w14:paraId="207B892F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EN 14067-5:2021</w:t>
            </w:r>
          </w:p>
        </w:tc>
      </w:tr>
      <w:tr w:rsidR="006A20C1" w:rsidRPr="004A44AB" w14:paraId="011C7104" w14:textId="77777777" w:rsidTr="008F1E26">
        <w:trPr>
          <w:jc w:val="center"/>
        </w:trPr>
        <w:tc>
          <w:tcPr>
            <w:tcW w:w="392" w:type="dxa"/>
          </w:tcPr>
          <w:p w14:paraId="4DFB6EFF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41DDF8D7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2742" w:type="dxa"/>
            <w:noWrap/>
          </w:tcPr>
          <w:p w14:paraId="7BA01F87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15595:2019/AC:2022</w:t>
            </w:r>
          </w:p>
        </w:tc>
        <w:tc>
          <w:tcPr>
            <w:tcW w:w="7450" w:type="dxa"/>
            <w:noWrap/>
            <w:vAlign w:val="center"/>
          </w:tcPr>
          <w:p w14:paraId="48E66C90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Кочници - Заштита на тркалото од пролизгување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Braking - Wheel slide protection</w:t>
            </w:r>
          </w:p>
        </w:tc>
        <w:tc>
          <w:tcPr>
            <w:tcW w:w="2730" w:type="dxa"/>
            <w:noWrap/>
          </w:tcPr>
          <w:p w14:paraId="4ADFA727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15595:2018/AC:2021</w:t>
            </w:r>
          </w:p>
        </w:tc>
      </w:tr>
      <w:tr w:rsidR="006A20C1" w:rsidRPr="004A44AB" w14:paraId="147415B5" w14:textId="77777777" w:rsidTr="008F1E26">
        <w:trPr>
          <w:jc w:val="center"/>
        </w:trPr>
        <w:tc>
          <w:tcPr>
            <w:tcW w:w="392" w:type="dxa"/>
          </w:tcPr>
          <w:p w14:paraId="3B2864DE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17B27E41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35A24E3E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12082:2017+A1:2022</w:t>
            </w:r>
          </w:p>
        </w:tc>
        <w:tc>
          <w:tcPr>
            <w:tcW w:w="7450" w:type="dxa"/>
            <w:noWrap/>
            <w:vAlign w:val="center"/>
          </w:tcPr>
          <w:p w14:paraId="2EA07711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Axleboxes - Performance testing</w:t>
            </w:r>
          </w:p>
        </w:tc>
        <w:tc>
          <w:tcPr>
            <w:tcW w:w="2730" w:type="dxa"/>
            <w:noWrap/>
          </w:tcPr>
          <w:p w14:paraId="5D049925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12082:2017+A1:2021</w:t>
            </w:r>
          </w:p>
        </w:tc>
      </w:tr>
      <w:tr w:rsidR="006A20C1" w:rsidRPr="004A44AB" w14:paraId="4593B1CF" w14:textId="77777777" w:rsidTr="008F1E26">
        <w:trPr>
          <w:jc w:val="center"/>
        </w:trPr>
        <w:tc>
          <w:tcPr>
            <w:tcW w:w="392" w:type="dxa"/>
          </w:tcPr>
          <w:p w14:paraId="44717E7F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510E9B63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386C0938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14752:2019+A1:2022</w:t>
            </w:r>
          </w:p>
        </w:tc>
        <w:tc>
          <w:tcPr>
            <w:tcW w:w="7450" w:type="dxa"/>
            <w:noWrap/>
            <w:vAlign w:val="center"/>
          </w:tcPr>
          <w:p w14:paraId="23AA8489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Bodyside entrance systems for rolling stock</w:t>
            </w:r>
          </w:p>
        </w:tc>
        <w:tc>
          <w:tcPr>
            <w:tcW w:w="2730" w:type="dxa"/>
            <w:noWrap/>
          </w:tcPr>
          <w:p w14:paraId="5FAB316B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14752:2019+A1:2021</w:t>
            </w:r>
          </w:p>
        </w:tc>
      </w:tr>
      <w:tr w:rsidR="006A20C1" w:rsidRPr="004A44AB" w14:paraId="3DD6157E" w14:textId="77777777" w:rsidTr="008F1E26">
        <w:trPr>
          <w:jc w:val="center"/>
        </w:trPr>
        <w:tc>
          <w:tcPr>
            <w:tcW w:w="392" w:type="dxa"/>
          </w:tcPr>
          <w:p w14:paraId="4E19272B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360075B6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4AB09FD5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14363:2016+A2:2022</w:t>
            </w:r>
          </w:p>
        </w:tc>
        <w:tc>
          <w:tcPr>
            <w:tcW w:w="7450" w:type="dxa"/>
            <w:noWrap/>
            <w:vAlign w:val="center"/>
          </w:tcPr>
          <w:p w14:paraId="74F08A9D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Testing and Simulation for the acceptance of running characteristics of railway vehicles - Running Behaviour and stationary tests</w:t>
            </w:r>
          </w:p>
        </w:tc>
        <w:tc>
          <w:tcPr>
            <w:tcW w:w="2730" w:type="dxa"/>
            <w:noWrap/>
          </w:tcPr>
          <w:p w14:paraId="4B0299E0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14363:2016+A2:2022</w:t>
            </w:r>
          </w:p>
        </w:tc>
      </w:tr>
      <w:tr w:rsidR="006A20C1" w:rsidRPr="004A44AB" w14:paraId="117DE97C" w14:textId="77777777" w:rsidTr="008F1E26">
        <w:trPr>
          <w:jc w:val="center"/>
        </w:trPr>
        <w:tc>
          <w:tcPr>
            <w:tcW w:w="392" w:type="dxa"/>
          </w:tcPr>
          <w:p w14:paraId="59036AEC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7329CC01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25842E43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50388-1:2022</w:t>
            </w:r>
          </w:p>
        </w:tc>
        <w:tc>
          <w:tcPr>
            <w:tcW w:w="7450" w:type="dxa"/>
            <w:noWrap/>
            <w:vAlign w:val="center"/>
          </w:tcPr>
          <w:p w14:paraId="5AEF8965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Fixed installations and rolling stock - Technical criteria for the coordination between electric traction power supply systems and rolling stock to achieve interoperability - Part 1: General</w:t>
            </w:r>
          </w:p>
        </w:tc>
        <w:tc>
          <w:tcPr>
            <w:tcW w:w="2730" w:type="dxa"/>
            <w:noWrap/>
          </w:tcPr>
          <w:p w14:paraId="3276C55A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50388-1:2022</w:t>
            </w:r>
          </w:p>
        </w:tc>
      </w:tr>
      <w:tr w:rsidR="006A20C1" w:rsidRPr="004A44AB" w14:paraId="238678A4" w14:textId="77777777" w:rsidTr="008F1E26">
        <w:trPr>
          <w:jc w:val="center"/>
        </w:trPr>
        <w:tc>
          <w:tcPr>
            <w:tcW w:w="392" w:type="dxa"/>
          </w:tcPr>
          <w:p w14:paraId="26730115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24FD3D99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2742" w:type="dxa"/>
            <w:noWrap/>
          </w:tcPr>
          <w:p w14:paraId="2230EE8D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50163:2010/A3:2022</w:t>
            </w:r>
          </w:p>
        </w:tc>
        <w:tc>
          <w:tcPr>
            <w:tcW w:w="7450" w:type="dxa"/>
            <w:noWrap/>
            <w:vAlign w:val="center"/>
          </w:tcPr>
          <w:p w14:paraId="4A3C5424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Напони за напојување на системите за влечење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Supply voltages of traction systems</w:t>
            </w:r>
          </w:p>
        </w:tc>
        <w:tc>
          <w:tcPr>
            <w:tcW w:w="2730" w:type="dxa"/>
            <w:noWrap/>
          </w:tcPr>
          <w:p w14:paraId="0774B668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50163:2004/A3:2022</w:t>
            </w:r>
          </w:p>
        </w:tc>
      </w:tr>
      <w:tr w:rsidR="006A20C1" w:rsidRPr="004A44AB" w14:paraId="233D31CE" w14:textId="77777777" w:rsidTr="008F1E26">
        <w:trPr>
          <w:jc w:val="center"/>
        </w:trPr>
        <w:tc>
          <w:tcPr>
            <w:tcW w:w="392" w:type="dxa"/>
          </w:tcPr>
          <w:p w14:paraId="78CF02A4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38A55054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2742" w:type="dxa"/>
            <w:noWrap/>
          </w:tcPr>
          <w:p w14:paraId="39077F02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50317:2012/A1:2022</w:t>
            </w:r>
          </w:p>
        </w:tc>
        <w:tc>
          <w:tcPr>
            <w:tcW w:w="7450" w:type="dxa"/>
            <w:noWrap/>
            <w:vAlign w:val="center"/>
          </w:tcPr>
          <w:p w14:paraId="6FA0370E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br/>
              <w:t xml:space="preserve">Railway applications - Current collection systems - Requirements for and </w:t>
            </w:r>
            <w:r w:rsidRPr="004A44AB">
              <w:rPr>
                <w:rFonts w:ascii="Arial" w:hAnsi="Arial" w:cs="Arial"/>
                <w:sz w:val="22"/>
                <w:szCs w:val="22"/>
              </w:rPr>
              <w:lastRenderedPageBreak/>
              <w:t>validation of measurements of the dynamic interaction between pantograph and overhead contact line</w:t>
            </w:r>
          </w:p>
        </w:tc>
        <w:tc>
          <w:tcPr>
            <w:tcW w:w="2730" w:type="dxa"/>
            <w:noWrap/>
          </w:tcPr>
          <w:p w14:paraId="706D114A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EN 50317:2012/A1:2022</w:t>
            </w:r>
          </w:p>
        </w:tc>
      </w:tr>
      <w:tr w:rsidR="006A20C1" w:rsidRPr="004A44AB" w14:paraId="4AC64C05" w14:textId="77777777" w:rsidTr="008F1E26">
        <w:trPr>
          <w:jc w:val="center"/>
        </w:trPr>
        <w:tc>
          <w:tcPr>
            <w:tcW w:w="392" w:type="dxa"/>
          </w:tcPr>
          <w:p w14:paraId="7DAC714B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5B8332B2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2742" w:type="dxa"/>
            <w:noWrap/>
          </w:tcPr>
          <w:p w14:paraId="533CB898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50367:2020/A1:2022</w:t>
            </w:r>
          </w:p>
        </w:tc>
        <w:tc>
          <w:tcPr>
            <w:tcW w:w="7450" w:type="dxa"/>
            <w:noWrap/>
            <w:vAlign w:val="center"/>
          </w:tcPr>
          <w:p w14:paraId="5B828891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Fixed installations and rolling stock - Criteria to achieve technical compatibility between pantographs and overhead contact line</w:t>
            </w:r>
          </w:p>
        </w:tc>
        <w:tc>
          <w:tcPr>
            <w:tcW w:w="2730" w:type="dxa"/>
            <w:noWrap/>
          </w:tcPr>
          <w:p w14:paraId="39BE0B5A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50367:2020/A1:2022</w:t>
            </w:r>
          </w:p>
        </w:tc>
      </w:tr>
      <w:tr w:rsidR="006A20C1" w:rsidRPr="004A44AB" w14:paraId="2B925F16" w14:textId="77777777" w:rsidTr="008F1E26">
        <w:trPr>
          <w:jc w:val="center"/>
        </w:trPr>
        <w:tc>
          <w:tcPr>
            <w:tcW w:w="392" w:type="dxa"/>
          </w:tcPr>
          <w:p w14:paraId="345F2ADE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41FC5254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07EF2587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15839:2024</w:t>
            </w:r>
          </w:p>
        </w:tc>
        <w:tc>
          <w:tcPr>
            <w:tcW w:w="7450" w:type="dxa"/>
            <w:noWrap/>
            <w:vAlign w:val="center"/>
          </w:tcPr>
          <w:p w14:paraId="7C7F6AAE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Testing and simulation for the acceptance of running characteristics of railway vehicles - Running safety under longitudinal compressive force</w:t>
            </w:r>
          </w:p>
        </w:tc>
        <w:tc>
          <w:tcPr>
            <w:tcW w:w="2730" w:type="dxa"/>
            <w:noWrap/>
          </w:tcPr>
          <w:p w14:paraId="3F2C8FB8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15839:2024</w:t>
            </w:r>
          </w:p>
        </w:tc>
      </w:tr>
      <w:tr w:rsidR="006A20C1" w:rsidRPr="004A44AB" w14:paraId="2C219A9A" w14:textId="77777777" w:rsidTr="008F1E26">
        <w:trPr>
          <w:jc w:val="center"/>
        </w:trPr>
        <w:tc>
          <w:tcPr>
            <w:tcW w:w="392" w:type="dxa"/>
          </w:tcPr>
          <w:p w14:paraId="29568F48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78C39126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2742" w:type="dxa"/>
            <w:noWrap/>
          </w:tcPr>
          <w:p w14:paraId="01A45066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14067-5:2021/AC:2025</w:t>
            </w:r>
          </w:p>
        </w:tc>
        <w:tc>
          <w:tcPr>
            <w:tcW w:w="7450" w:type="dxa"/>
            <w:noWrap/>
            <w:vAlign w:val="center"/>
          </w:tcPr>
          <w:p w14:paraId="17AD1A9F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Аеродинамика - Дел 5: Барања и процедури за испитување на аеродинамика во тунели</w:t>
            </w:r>
            <w:r w:rsidRPr="004A44AB">
              <w:rPr>
                <w:rFonts w:ascii="Arial" w:hAnsi="Arial" w:cs="Arial"/>
                <w:sz w:val="22"/>
                <w:szCs w:val="22"/>
              </w:rPr>
              <w:br/>
              <w:t>Railway applications - Aerodynamics - Part 5: Requirements and assessment procedures for aerodynamics in tunnels</w:t>
            </w:r>
          </w:p>
        </w:tc>
        <w:tc>
          <w:tcPr>
            <w:tcW w:w="2730" w:type="dxa"/>
            <w:noWrap/>
          </w:tcPr>
          <w:p w14:paraId="66E2F6C4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14067-5:2021/AC:2023</w:t>
            </w:r>
          </w:p>
        </w:tc>
      </w:tr>
      <w:tr w:rsidR="006A20C1" w:rsidRPr="004A44AB" w14:paraId="09C0EC3D" w14:textId="77777777" w:rsidTr="008F1E26">
        <w:trPr>
          <w:jc w:val="center"/>
        </w:trPr>
        <w:tc>
          <w:tcPr>
            <w:tcW w:w="392" w:type="dxa"/>
          </w:tcPr>
          <w:p w14:paraId="2034DC91" w14:textId="77777777" w:rsidR="006A20C1" w:rsidRPr="004A44AB" w:rsidRDefault="006A20C1" w:rsidP="006A20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noWrap/>
          </w:tcPr>
          <w:p w14:paraId="26FE5941" w14:textId="77777777" w:rsidR="006A20C1" w:rsidRPr="004A44AB" w:rsidRDefault="006A20C1" w:rsidP="008F1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42" w:type="dxa"/>
            <w:noWrap/>
          </w:tcPr>
          <w:p w14:paraId="06B2DD65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МКС EN 14363:2009</w:t>
            </w:r>
          </w:p>
        </w:tc>
        <w:tc>
          <w:tcPr>
            <w:tcW w:w="7450" w:type="dxa"/>
            <w:noWrap/>
            <w:vAlign w:val="center"/>
          </w:tcPr>
          <w:p w14:paraId="16E429CF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Опрема за железници - Испитување за прифаќање на возните карактеристики на железничките возила - Испитување на возното однесување и стационарни испитувања</w:t>
            </w:r>
          </w:p>
          <w:p w14:paraId="4A24B3EE" w14:textId="77777777" w:rsidR="006A20C1" w:rsidRPr="004A44AB" w:rsidRDefault="006A20C1" w:rsidP="004413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sz w:val="22"/>
                <w:szCs w:val="22"/>
              </w:rPr>
              <w:t>Railway applications - Testing for the acceptance of running characteristics of railway vehicles - Testing of running behaviour and stationary tests</w:t>
            </w:r>
          </w:p>
        </w:tc>
        <w:tc>
          <w:tcPr>
            <w:tcW w:w="2730" w:type="dxa"/>
            <w:noWrap/>
          </w:tcPr>
          <w:p w14:paraId="7D17811B" w14:textId="77777777" w:rsidR="006A20C1" w:rsidRPr="004A44AB" w:rsidRDefault="006A20C1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4A44AB">
              <w:rPr>
                <w:rFonts w:ascii="Arial" w:hAnsi="Arial" w:cs="Arial"/>
                <w:b/>
                <w:bCs/>
                <w:sz w:val="22"/>
                <w:szCs w:val="22"/>
              </w:rPr>
              <w:t>EN 14363:2005</w:t>
            </w:r>
          </w:p>
        </w:tc>
      </w:tr>
      <w:bookmarkEnd w:id="0"/>
    </w:tbl>
    <w:p w14:paraId="4254E3AB" w14:textId="77777777" w:rsidR="000E0CAD" w:rsidRDefault="000E0CAD"/>
    <w:sectPr w:rsidR="000E0CAD" w:rsidSect="006A20C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5FA3B" w14:textId="77777777" w:rsidR="00F11D00" w:rsidRDefault="00F11D00" w:rsidP="004A44AB">
      <w:pPr>
        <w:spacing w:after="0" w:line="240" w:lineRule="auto"/>
      </w:pPr>
      <w:r>
        <w:separator/>
      </w:r>
    </w:p>
  </w:endnote>
  <w:endnote w:type="continuationSeparator" w:id="0">
    <w:p w14:paraId="1BFE498A" w14:textId="77777777" w:rsidR="00F11D00" w:rsidRDefault="00F11D00" w:rsidP="004A4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tobiSans Regular">
    <w:altName w:val="Calibri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426E0" w14:textId="77777777" w:rsidR="00F11D00" w:rsidRDefault="00F11D00" w:rsidP="004A44AB">
      <w:pPr>
        <w:spacing w:after="0" w:line="240" w:lineRule="auto"/>
      </w:pPr>
      <w:r>
        <w:separator/>
      </w:r>
    </w:p>
  </w:footnote>
  <w:footnote w:type="continuationSeparator" w:id="0">
    <w:p w14:paraId="742653A7" w14:textId="77777777" w:rsidR="00F11D00" w:rsidRDefault="00F11D00" w:rsidP="004A44AB">
      <w:pPr>
        <w:spacing w:after="0" w:line="240" w:lineRule="auto"/>
      </w:pPr>
      <w:r>
        <w:continuationSeparator/>
      </w:r>
    </w:p>
  </w:footnote>
  <w:footnote w:id="1">
    <w:p w14:paraId="78C2BB52" w14:textId="77777777" w:rsidR="004A44AB" w:rsidRPr="005805AA" w:rsidRDefault="004A44AB" w:rsidP="004A44AB">
      <w:pPr>
        <w:jc w:val="both"/>
        <w:rPr>
          <w:rFonts w:ascii="Arial" w:hAnsi="Arial" w:cs="Arial"/>
          <w:sz w:val="18"/>
          <w:szCs w:val="18"/>
          <w:lang w:val="mk-MK"/>
        </w:rPr>
      </w:pPr>
      <w:r>
        <w:rPr>
          <w:rStyle w:val="FootnoteReference"/>
        </w:rPr>
        <w:footnoteRef/>
      </w:r>
      <w:r>
        <w:t xml:space="preserve"> </w:t>
      </w:r>
      <w:r w:rsidRPr="005805AA">
        <w:rPr>
          <w:rFonts w:ascii="Arial" w:hAnsi="Arial" w:cs="Arial"/>
          <w:sz w:val="18"/>
          <w:szCs w:val="18"/>
        </w:rPr>
        <w:t>РЕГУЛАТИВА НА КОМИСИЈАТА (ЕУ) бр. 1302/2014</w:t>
      </w:r>
      <w:r w:rsidRPr="005805AA">
        <w:rPr>
          <w:rFonts w:ascii="Arial" w:hAnsi="Arial" w:cs="Arial"/>
          <w:sz w:val="18"/>
          <w:szCs w:val="18"/>
          <w:lang w:val="mk-MK"/>
        </w:rPr>
        <w:t xml:space="preserve"> </w:t>
      </w:r>
      <w:r w:rsidRPr="005805AA">
        <w:rPr>
          <w:rFonts w:ascii="Arial" w:hAnsi="Arial" w:cs="Arial"/>
          <w:sz w:val="18"/>
          <w:szCs w:val="18"/>
        </w:rPr>
        <w:t>од 18 ноември 2014 година за техничка спецификација за интероперабилност поврзана со подсистемот „</w:t>
      </w:r>
      <w:r w:rsidRPr="005805AA">
        <w:rPr>
          <w:rFonts w:ascii="Arial" w:hAnsi="Arial" w:cs="Arial"/>
          <w:sz w:val="18"/>
          <w:szCs w:val="18"/>
          <w:lang w:val="mk-MK"/>
        </w:rPr>
        <w:t xml:space="preserve"> железнички возила</w:t>
      </w:r>
      <w:r w:rsidRPr="005805AA">
        <w:rPr>
          <w:rFonts w:ascii="Arial" w:hAnsi="Arial" w:cs="Arial"/>
          <w:sz w:val="18"/>
          <w:szCs w:val="18"/>
        </w:rPr>
        <w:t xml:space="preserve"> - локомотиви и </w:t>
      </w:r>
      <w:r w:rsidRPr="005805AA">
        <w:rPr>
          <w:rFonts w:ascii="Arial" w:hAnsi="Arial" w:cs="Arial"/>
          <w:sz w:val="18"/>
          <w:szCs w:val="18"/>
          <w:lang w:val="mk-MK"/>
        </w:rPr>
        <w:t>железнички возила за превоз на патници</w:t>
      </w:r>
      <w:r w:rsidRPr="005805AA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5805AA">
        <w:rPr>
          <w:rFonts w:ascii="Arial" w:hAnsi="Arial" w:cs="Arial"/>
          <w:sz w:val="18"/>
          <w:szCs w:val="18"/>
        </w:rPr>
        <w:t>“ на</w:t>
      </w:r>
      <w:proofErr w:type="gramEnd"/>
      <w:r w:rsidRPr="005805AA">
        <w:rPr>
          <w:rFonts w:ascii="Arial" w:hAnsi="Arial" w:cs="Arial"/>
          <w:sz w:val="18"/>
          <w:szCs w:val="18"/>
        </w:rPr>
        <w:t xml:space="preserve"> железничкиот систем во Европската Унија</w:t>
      </w:r>
      <w:r w:rsidRPr="005805AA">
        <w:rPr>
          <w:rFonts w:ascii="Arial" w:hAnsi="Arial" w:cs="Arial"/>
          <w:sz w:val="18"/>
          <w:szCs w:val="18"/>
          <w:lang w:val="mk-MK"/>
        </w:rPr>
        <w:t>,</w:t>
      </w:r>
    </w:p>
    <w:p w14:paraId="619931DF" w14:textId="77777777" w:rsidR="004A44AB" w:rsidRPr="005805AA" w:rsidRDefault="004A44AB" w:rsidP="004A44AB">
      <w:pPr>
        <w:shd w:val="clear" w:color="auto" w:fill="FFFFFF"/>
        <w:spacing w:before="120" w:after="120"/>
        <w:jc w:val="both"/>
        <w:rPr>
          <w:rFonts w:ascii="Arial" w:hAnsi="Arial" w:cs="Arial"/>
          <w:bCs/>
          <w:sz w:val="18"/>
          <w:szCs w:val="18"/>
        </w:rPr>
      </w:pPr>
      <w:r w:rsidRPr="005805AA">
        <w:rPr>
          <w:rFonts w:ascii="Arial" w:hAnsi="Arial" w:cs="Arial"/>
          <w:bCs/>
          <w:color w:val="000000"/>
          <w:sz w:val="18"/>
          <w:szCs w:val="18"/>
        </w:rPr>
        <w:t xml:space="preserve">РЕГУЛАТИВА ЗА СПРОВЕДУВАЊЕ (ЕУ) 2018/868 НА </w:t>
      </w:r>
      <w:proofErr w:type="gramStart"/>
      <w:r w:rsidRPr="005805AA">
        <w:rPr>
          <w:rFonts w:ascii="Arial" w:hAnsi="Arial" w:cs="Arial"/>
          <w:bCs/>
          <w:color w:val="000000"/>
          <w:sz w:val="18"/>
          <w:szCs w:val="18"/>
        </w:rPr>
        <w:t xml:space="preserve">КОМИСИЈАТА </w:t>
      </w:r>
      <w:r w:rsidRPr="005805AA">
        <w:rPr>
          <w:rFonts w:ascii="Arial" w:hAnsi="Arial" w:cs="Arial"/>
          <w:bCs/>
          <w:sz w:val="18"/>
          <w:szCs w:val="18"/>
          <w:lang w:val="mk-MK"/>
        </w:rPr>
        <w:t xml:space="preserve"> </w:t>
      </w:r>
      <w:r w:rsidRPr="005805AA">
        <w:rPr>
          <w:rFonts w:ascii="Arial" w:hAnsi="Arial" w:cs="Arial"/>
          <w:bCs/>
          <w:color w:val="000000"/>
          <w:sz w:val="18"/>
          <w:szCs w:val="18"/>
        </w:rPr>
        <w:t>од</w:t>
      </w:r>
      <w:proofErr w:type="gramEnd"/>
      <w:r w:rsidRPr="005805AA">
        <w:rPr>
          <w:rFonts w:ascii="Arial" w:hAnsi="Arial" w:cs="Arial"/>
          <w:bCs/>
          <w:color w:val="000000"/>
          <w:sz w:val="18"/>
          <w:szCs w:val="18"/>
        </w:rPr>
        <w:t xml:space="preserve"> 13 јуни 2018 година</w:t>
      </w:r>
      <w:r w:rsidRPr="005805AA">
        <w:rPr>
          <w:rFonts w:ascii="Arial" w:hAnsi="Arial" w:cs="Arial"/>
          <w:bCs/>
          <w:sz w:val="18"/>
          <w:szCs w:val="18"/>
          <w:lang w:val="mk-MK"/>
        </w:rPr>
        <w:t xml:space="preserve"> </w:t>
      </w:r>
      <w:r w:rsidRPr="005805AA">
        <w:rPr>
          <w:rFonts w:ascii="Arial" w:hAnsi="Arial" w:cs="Arial"/>
          <w:bCs/>
          <w:color w:val="000000"/>
          <w:sz w:val="18"/>
          <w:szCs w:val="18"/>
        </w:rPr>
        <w:t>за изменување на Регулативата (ЕУ) бр. 1301/2014 и Регулативата (ЕУ) бр. 1302/2014 во однос на одредбите за системот за мерење енергија и системот за собирање податоци</w:t>
      </w:r>
    </w:p>
    <w:p w14:paraId="4D1B31C5" w14:textId="77777777" w:rsidR="004A44AB" w:rsidRPr="005805AA" w:rsidRDefault="004A44AB" w:rsidP="004A44AB">
      <w:pPr>
        <w:jc w:val="both"/>
        <w:rPr>
          <w:rFonts w:ascii="Arial" w:hAnsi="Arial" w:cs="Arial"/>
          <w:sz w:val="18"/>
          <w:szCs w:val="18"/>
          <w:lang w:val="mk-MK"/>
        </w:rPr>
      </w:pPr>
      <w:r w:rsidRPr="005805AA">
        <w:rPr>
          <w:rFonts w:ascii="Arial" w:eastAsia="Cambria" w:hAnsi="Arial" w:cs="Arial"/>
          <w:bCs/>
          <w:kern w:val="0"/>
          <w:sz w:val="18"/>
          <w:szCs w:val="18"/>
          <w:lang w:val="mk-MK"/>
          <w14:ligatures w14:val="none"/>
        </w:rPr>
        <w:t>РЕГУЛАТИВА ЗА СПРОВЕДУВАЊЕ (ЕУ) 2019/776 НА КОМИСИЈАТА од 16 мај 2019 година за изменување на Регулативите (ЕУ) бр. 321/2013, (ЕУ) бр. 1299/2014, (ЕУ) бр. 1301/2014, (ЕУ) бр. 1302/2014, (ЕУ) бр. 1303/2014 и (ЕУ) 2016/91 на Комисијата и Одлуката за спроведување 2011/665/ЕУ на Комисијата во однос на усогласувањето со Директивата (ЕУ) 2016/797 на Европскиот парламент и на Советот и спроведувањето посебни цели утврдени во Делегираната одлука (ЕУ) 2017/1474 на Комисијата</w:t>
      </w:r>
    </w:p>
    <w:p w14:paraId="275132C7" w14:textId="77777777" w:rsidR="004A44AB" w:rsidRPr="005805AA" w:rsidRDefault="004A44AB" w:rsidP="004A44AB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bCs/>
          <w:kern w:val="0"/>
          <w:sz w:val="18"/>
          <w:szCs w:val="18"/>
        </w:rPr>
      </w:pPr>
      <w:r w:rsidRPr="005805AA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val="mk-MK"/>
        </w:rPr>
        <w:t>РЕГУЛАТИВА ЗА СПРОВЕДУВАЊЕ (ЕУ) 2020/387</w:t>
      </w:r>
      <w:r w:rsidRPr="005805AA">
        <w:rPr>
          <w:rFonts w:ascii="Arial" w:eastAsia="Times New Roman" w:hAnsi="Arial" w:cs="Arial"/>
          <w:bCs/>
          <w:color w:val="000000"/>
          <w:kern w:val="0"/>
          <w:sz w:val="18"/>
          <w:szCs w:val="18"/>
        </w:rPr>
        <w:t xml:space="preserve"> </w:t>
      </w:r>
      <w:r w:rsidRPr="005805AA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val="mk-MK"/>
        </w:rPr>
        <w:t>НА КОМИСИЈАТА</w:t>
      </w:r>
      <w:r w:rsidRPr="005805AA">
        <w:rPr>
          <w:rFonts w:ascii="Arial" w:eastAsia="Times New Roman" w:hAnsi="Arial" w:cs="Arial"/>
          <w:bCs/>
          <w:kern w:val="0"/>
          <w:sz w:val="18"/>
          <w:szCs w:val="18"/>
          <w:lang w:val="mk-MK"/>
        </w:rPr>
        <w:t xml:space="preserve"> </w:t>
      </w:r>
      <w:r w:rsidRPr="005805AA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val="mk-MK"/>
        </w:rPr>
        <w:t>од 9 март 2020 година</w:t>
      </w:r>
      <w:r w:rsidRPr="005805AA">
        <w:rPr>
          <w:rFonts w:ascii="Arial" w:eastAsia="Times New Roman" w:hAnsi="Arial" w:cs="Arial"/>
          <w:bCs/>
          <w:kern w:val="0"/>
          <w:sz w:val="18"/>
          <w:szCs w:val="18"/>
          <w:lang w:val="mk-MK"/>
        </w:rPr>
        <w:t xml:space="preserve"> </w:t>
      </w:r>
      <w:r w:rsidRPr="005805AA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val="mk-MK"/>
        </w:rPr>
        <w:t>за изменување на Регулативите (ЕУ) бр. 321/2013, (ЕУ) бр. 1302/2014 и (ЕУ) 2016/919 во однос на проширувањето на областа на употреба и преодните фази</w:t>
      </w:r>
    </w:p>
    <w:p w14:paraId="69525B3C" w14:textId="5B2D1420" w:rsidR="004A44AB" w:rsidRPr="004A44AB" w:rsidRDefault="004A44AB" w:rsidP="004A44AB">
      <w:pPr>
        <w:jc w:val="both"/>
        <w:rPr>
          <w:rFonts w:ascii="Arial" w:hAnsi="Arial" w:cs="Arial"/>
          <w:sz w:val="18"/>
          <w:szCs w:val="18"/>
          <w:lang w:val="mk-MK"/>
        </w:rPr>
      </w:pPr>
      <w:r w:rsidRPr="005805AA">
        <w:rPr>
          <w:rFonts w:ascii="Arial" w:hAnsi="Arial" w:cs="Arial"/>
          <w:sz w:val="18"/>
          <w:szCs w:val="18"/>
          <w:lang w:val="mk-MK"/>
        </w:rPr>
        <w:t>РЕГУЛАТИВА ЗА ИМПЛЕМЕНТАЦИЈА НА КОМИСИЈАТА (ЕУ) 2023/1694</w:t>
      </w:r>
      <w:r w:rsidRPr="005805AA">
        <w:rPr>
          <w:rFonts w:ascii="Arial" w:hAnsi="Arial" w:cs="Arial"/>
          <w:sz w:val="18"/>
          <w:szCs w:val="18"/>
        </w:rPr>
        <w:t xml:space="preserve"> </w:t>
      </w:r>
      <w:r w:rsidRPr="005805AA">
        <w:rPr>
          <w:rFonts w:ascii="Arial" w:hAnsi="Arial" w:cs="Arial"/>
          <w:sz w:val="18"/>
          <w:szCs w:val="18"/>
          <w:lang w:val="mk-MK"/>
        </w:rPr>
        <w:t>од 10 август 2023 година</w:t>
      </w:r>
      <w:r>
        <w:rPr>
          <w:rFonts w:ascii="Arial" w:hAnsi="Arial" w:cs="Arial"/>
          <w:sz w:val="18"/>
          <w:szCs w:val="18"/>
          <w:lang w:val="mk-MK"/>
        </w:rPr>
        <w:t xml:space="preserve"> </w:t>
      </w:r>
      <w:r w:rsidRPr="005805AA">
        <w:rPr>
          <w:rFonts w:ascii="Arial" w:hAnsi="Arial" w:cs="Arial"/>
          <w:sz w:val="18"/>
          <w:szCs w:val="18"/>
          <w:lang w:val="mk-MK"/>
        </w:rPr>
        <w:t>за изменување на Регулативите (ЕУ) бр. 321/2013, (ЕУ) бр. 1299/2014, (ЕУ) бр. 1300/2014, (ЕУ) бр. 1301/2014, (ЕУ) бр. 1302/2014, (ЕУ) бр. 1304/2014 и Регулативата за имплементација (ЕУ) 2019/777</w:t>
      </w:r>
    </w:p>
    <w:p w14:paraId="1782FB05" w14:textId="2ADE4F11" w:rsidR="004A44AB" w:rsidRPr="005805AA" w:rsidRDefault="004A44AB" w:rsidP="004A44AB">
      <w:pPr>
        <w:jc w:val="both"/>
        <w:rPr>
          <w:rFonts w:ascii="Arial" w:hAnsi="Arial" w:cs="Arial"/>
          <w:sz w:val="18"/>
          <w:szCs w:val="18"/>
        </w:rPr>
      </w:pPr>
      <w:r w:rsidRPr="005805AA">
        <w:rPr>
          <w:rFonts w:ascii="Arial" w:hAnsi="Arial" w:cs="Arial"/>
          <w:sz w:val="18"/>
          <w:szCs w:val="18"/>
        </w:rPr>
        <w:t xml:space="preserve">РЕГУЛАТИВА ЗА </w:t>
      </w:r>
      <w:r>
        <w:rPr>
          <w:rFonts w:ascii="Arial" w:hAnsi="Arial" w:cs="Arial"/>
          <w:sz w:val="18"/>
          <w:szCs w:val="18"/>
          <w:lang w:val="mk-MK"/>
        </w:rPr>
        <w:t xml:space="preserve">СПРОВЕДУВАЊЕ </w:t>
      </w:r>
      <w:r w:rsidRPr="005805AA">
        <w:rPr>
          <w:rFonts w:ascii="Arial" w:hAnsi="Arial" w:cs="Arial"/>
          <w:sz w:val="18"/>
          <w:szCs w:val="18"/>
        </w:rPr>
        <w:t>НА КОМИСИЈАТА (ЕУ) 2025/675 од 4 април 2025 година</w:t>
      </w:r>
      <w:r w:rsidRPr="005805AA">
        <w:rPr>
          <w:rFonts w:ascii="Arial" w:hAnsi="Arial" w:cs="Arial"/>
          <w:sz w:val="18"/>
          <w:szCs w:val="18"/>
          <w:lang w:val="mk-MK"/>
        </w:rPr>
        <w:t xml:space="preserve"> </w:t>
      </w:r>
      <w:r w:rsidRPr="005805AA">
        <w:rPr>
          <w:rFonts w:ascii="Arial" w:hAnsi="Arial" w:cs="Arial"/>
          <w:sz w:val="18"/>
          <w:szCs w:val="18"/>
        </w:rPr>
        <w:t xml:space="preserve">за изменување на Регулативата (ЕУ) бр. 1302/2014 за техничка спецификација за интероперабилност поврзана со подсистемот „возен состав - локомотиви и патнички возен </w:t>
      </w:r>
      <w:proofErr w:type="gramStart"/>
      <w:r w:rsidRPr="005805AA">
        <w:rPr>
          <w:rFonts w:ascii="Arial" w:hAnsi="Arial" w:cs="Arial"/>
          <w:sz w:val="18"/>
          <w:szCs w:val="18"/>
        </w:rPr>
        <w:t>состав“ на</w:t>
      </w:r>
      <w:proofErr w:type="gramEnd"/>
      <w:r w:rsidRPr="005805AA">
        <w:rPr>
          <w:rFonts w:ascii="Arial" w:hAnsi="Arial" w:cs="Arial"/>
          <w:sz w:val="18"/>
          <w:szCs w:val="18"/>
        </w:rPr>
        <w:t xml:space="preserve"> железничкиот систем во Европската Унија и Одлуката за спроведување 2011/665/ЕУ за регистарот на овластени типови</w:t>
      </w:r>
      <w:r w:rsidRPr="005805AA">
        <w:rPr>
          <w:rFonts w:ascii="Arial" w:hAnsi="Arial" w:cs="Arial"/>
          <w:b/>
          <w:bCs/>
          <w:sz w:val="18"/>
          <w:szCs w:val="18"/>
        </w:rPr>
        <w:t xml:space="preserve"> </w:t>
      </w:r>
      <w:r w:rsidRPr="005805AA">
        <w:rPr>
          <w:rFonts w:ascii="Arial" w:hAnsi="Arial" w:cs="Arial"/>
          <w:sz w:val="18"/>
          <w:szCs w:val="18"/>
        </w:rPr>
        <w:t>железнички возила</w:t>
      </w:r>
    </w:p>
    <w:p w14:paraId="50FBDD64" w14:textId="16E4A9B6" w:rsidR="004A44AB" w:rsidRPr="004A44AB" w:rsidRDefault="004A44AB">
      <w:pPr>
        <w:pStyle w:val="FootnoteText"/>
        <w:rPr>
          <w:lang w:val="mk-MK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75870"/>
    <w:multiLevelType w:val="hybridMultilevel"/>
    <w:tmpl w:val="0D3627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23318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0C1"/>
    <w:rsid w:val="000614B7"/>
    <w:rsid w:val="000E0CAD"/>
    <w:rsid w:val="00361F4F"/>
    <w:rsid w:val="004413DD"/>
    <w:rsid w:val="004A44AB"/>
    <w:rsid w:val="004E0286"/>
    <w:rsid w:val="004E571C"/>
    <w:rsid w:val="005534AC"/>
    <w:rsid w:val="006A20C1"/>
    <w:rsid w:val="006C0B51"/>
    <w:rsid w:val="007D08DD"/>
    <w:rsid w:val="00947332"/>
    <w:rsid w:val="00BD5188"/>
    <w:rsid w:val="00D42F59"/>
    <w:rsid w:val="00DA64E7"/>
    <w:rsid w:val="00E77FFE"/>
    <w:rsid w:val="00F11D00"/>
    <w:rsid w:val="00FE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3B715"/>
  <w15:chartTrackingRefBased/>
  <w15:docId w15:val="{93061741-296E-459B-A192-5B5569FEF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2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0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0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0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0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0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0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0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0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0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0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0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0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0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0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0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20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20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20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20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0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0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0C1"/>
    <w:rPr>
      <w:b/>
      <w:bCs/>
      <w:smallCaps/>
      <w:color w:val="0F4761" w:themeColor="accent1" w:themeShade="BF"/>
      <w:spacing w:val="5"/>
    </w:rPr>
  </w:style>
  <w:style w:type="paragraph" w:customStyle="1" w:styleId="a">
    <w:name w:val="Болд текст"/>
    <w:basedOn w:val="Normal"/>
    <w:link w:val="Char"/>
    <w:autoRedefine/>
    <w:qFormat/>
    <w:rsid w:val="004A44AB"/>
    <w:pPr>
      <w:suppressAutoHyphens/>
      <w:spacing w:after="0" w:line="240" w:lineRule="auto"/>
      <w:jc w:val="center"/>
    </w:pPr>
    <w:rPr>
      <w:rFonts w:ascii="StobiSans Regular" w:eastAsia="Times New Roman" w:hAnsi="StobiSans Regular" w:cs="Times New Roman"/>
      <w:b/>
      <w:bCs/>
      <w:kern w:val="0"/>
      <w:lang w:val="mk-MK" w:eastAsia="en-GB"/>
      <w14:ligatures w14:val="none"/>
    </w:rPr>
  </w:style>
  <w:style w:type="character" w:customStyle="1" w:styleId="Char">
    <w:name w:val="Болд текст Char"/>
    <w:basedOn w:val="DefaultParagraphFont"/>
    <w:link w:val="a"/>
    <w:rsid w:val="004A44AB"/>
    <w:rPr>
      <w:rFonts w:ascii="StobiSans Regular" w:eastAsia="Times New Roman" w:hAnsi="StobiSans Regular" w:cs="Times New Roman"/>
      <w:b/>
      <w:bCs/>
      <w:kern w:val="0"/>
      <w:lang w:val="mk-MK" w:eastAsia="en-GB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44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44A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44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3026</Words>
  <Characters>17250</Characters>
  <Application>Microsoft Office Word</Application>
  <DocSecurity>0</DocSecurity>
  <Lines>143</Lines>
  <Paragraphs>40</Paragraphs>
  <ScaleCrop>false</ScaleCrop>
  <Company/>
  <LinksUpToDate>false</LinksUpToDate>
  <CharactersWithSpaces>20236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Zdraveva</dc:creator>
  <cp:keywords/>
  <dc:description/>
  <cp:lastModifiedBy>Katerina Rambabova</cp:lastModifiedBy>
  <cp:revision>2</cp:revision>
  <dcterms:created xsi:type="dcterms:W3CDTF">2025-10-15T08:13:00Z</dcterms:created>
  <dcterms:modified xsi:type="dcterms:W3CDTF">2025-10-15T08:13:00Z</dcterms:modified>
</cp:coreProperties>
</file>