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A94" w14:textId="6B161B7E" w:rsidR="005B7446" w:rsidRDefault="00F44ABA">
      <w:pPr>
        <w:jc w:val="center"/>
        <w:rPr>
          <w:rFonts w:ascii="Times New Roman" w:hAnsi="Times New Roman" w:cs="Times New Roman"/>
          <w:b/>
        </w:rPr>
      </w:pPr>
      <w:r>
        <w:rPr>
          <w:rFonts w:ascii="Times New Roman" w:hAnsi="Times New Roman" w:cs="Times New Roman"/>
          <w:b/>
        </w:rPr>
        <w:t>OPERATIONAL CONCLUSIONS</w:t>
      </w:r>
    </w:p>
    <w:p w14:paraId="2E114630" w14:textId="77777777" w:rsidR="005B7446" w:rsidRDefault="00F44ABA">
      <w:pPr>
        <w:pStyle w:val="ListParagraph"/>
        <w:jc w:val="both"/>
        <w:rPr>
          <w:rFonts w:ascii="Times New Roman" w:hAnsi="Times New Roman" w:cs="Times New Roman"/>
          <w:b/>
          <w:i/>
        </w:rPr>
      </w:pPr>
      <w:r>
        <w:rPr>
          <w:rFonts w:ascii="Times New Roman" w:hAnsi="Times New Roman" w:cs="Times New Roman"/>
          <w:b/>
          <w:i/>
        </w:rPr>
        <w:t>Monitoring mechanisms of the Facility</w:t>
      </w:r>
    </w:p>
    <w:p w14:paraId="67BE742E" w14:textId="77777777" w:rsidR="005B7446" w:rsidRDefault="005B7446">
      <w:pPr>
        <w:pStyle w:val="ListParagraph"/>
        <w:jc w:val="both"/>
        <w:rPr>
          <w:rFonts w:ascii="Times New Roman" w:hAnsi="Times New Roman" w:cs="Times New Roman"/>
          <w:b/>
        </w:rPr>
      </w:pPr>
    </w:p>
    <w:p w14:paraId="107BF343" w14:textId="77777777" w:rsidR="005B7446" w:rsidRDefault="00F44ABA">
      <w:pPr>
        <w:pStyle w:val="ListParagraph"/>
        <w:numPr>
          <w:ilvl w:val="0"/>
          <w:numId w:val="1"/>
        </w:numPr>
        <w:jc w:val="both"/>
        <w:rPr>
          <w:rFonts w:ascii="Times New Roman" w:hAnsi="Times New Roman" w:cs="Times New Roman"/>
          <w:b/>
        </w:rPr>
      </w:pPr>
      <w:r>
        <w:rPr>
          <w:rFonts w:ascii="Times New Roman" w:hAnsi="Times New Roman" w:cs="Times New Roman"/>
        </w:rPr>
        <w:t>The Ministry for European Affairs is expected to complete the drafting of the Manual for the implementation of the Reform Agenda coordination and monitoring structure, clarifying procedures and workflows, ensuring dissemination to all institutions and step-level coordinators, and providing training where necessary (by end of 2025).</w:t>
      </w:r>
    </w:p>
    <w:p w14:paraId="7E30100D" w14:textId="77777777" w:rsidR="005B7446" w:rsidRDefault="00F44ABA">
      <w:pPr>
        <w:pStyle w:val="ListParagraph"/>
        <w:tabs>
          <w:tab w:val="left" w:pos="3030"/>
        </w:tabs>
        <w:jc w:val="both"/>
        <w:rPr>
          <w:rFonts w:ascii="Times New Roman" w:hAnsi="Times New Roman" w:cs="Times New Roman"/>
        </w:rPr>
      </w:pPr>
      <w:r>
        <w:rPr>
          <w:rFonts w:ascii="Times New Roman" w:hAnsi="Times New Roman" w:cs="Times New Roman"/>
        </w:rPr>
        <w:tab/>
      </w:r>
    </w:p>
    <w:p w14:paraId="14E4C434"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In line with Article 21 of the Facility Agreement, the Ministry for European Affairs must set up the country’s own online Monitoring Tool and ensure effective tracking and reporting on the implementation of the Reform Agenda, with transparency and accessible information (by end of 2025).</w:t>
      </w:r>
    </w:p>
    <w:p w14:paraId="2747AD93" w14:textId="77777777" w:rsidR="005B7446" w:rsidRDefault="005B7446">
      <w:pPr>
        <w:pStyle w:val="ListParagraph"/>
        <w:jc w:val="both"/>
        <w:rPr>
          <w:rFonts w:ascii="Times New Roman" w:hAnsi="Times New Roman" w:cs="Times New Roman"/>
        </w:rPr>
      </w:pPr>
    </w:p>
    <w:p w14:paraId="03DA9A1A" w14:textId="178E1849"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progress of the Reform Agenda will be monitored in the context of the regular dialogue in particular across the Sub-committees established in the framework of the Stabilisation and Association Agreement</w:t>
      </w:r>
      <w:r w:rsidR="00E831C1" w:rsidRPr="00E831C1">
        <w:rPr>
          <w:rFonts w:ascii="Times New Roman" w:hAnsi="Times New Roman" w:cs="Times New Roman"/>
        </w:rPr>
        <w:t xml:space="preserve"> </w:t>
      </w:r>
      <w:r w:rsidR="00E831C1">
        <w:rPr>
          <w:rFonts w:ascii="Times New Roman" w:hAnsi="Times New Roman" w:cs="Times New Roman"/>
        </w:rPr>
        <w:t>and Sector Working Groups</w:t>
      </w:r>
      <w:r w:rsidR="004842D7">
        <w:rPr>
          <w:rFonts w:ascii="Times New Roman" w:hAnsi="Times New Roman" w:cs="Times New Roman"/>
        </w:rPr>
        <w:t xml:space="preserve">. </w:t>
      </w:r>
      <w:r>
        <w:rPr>
          <w:rFonts w:ascii="Times New Roman" w:hAnsi="Times New Roman" w:cs="Times New Roman"/>
        </w:rPr>
        <w:t>Complementarities will also be followed in the IPA III Monitoring Committees. Operational Conclusions from these fora, where related to the Reform Agenda, should be in line with the requirements and the operational conclusions stemming from the RGF Monitoring Committee.</w:t>
      </w:r>
    </w:p>
    <w:p w14:paraId="745685AC" w14:textId="77777777" w:rsidR="005B7446" w:rsidRDefault="005B7446">
      <w:pPr>
        <w:pStyle w:val="ListParagraph"/>
        <w:jc w:val="both"/>
        <w:rPr>
          <w:rFonts w:ascii="Times New Roman" w:hAnsi="Times New Roman" w:cs="Times New Roman"/>
        </w:rPr>
      </w:pPr>
    </w:p>
    <w:p w14:paraId="36531A76"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requirements of each step are described in the text of the step and in the Reform Agenda, which defines what the beneficiary must implement to meet the requirements of the step. These requirements cannot be substituted, simplified, or diluted than the requirements stated in the step and the Reform Agenda.</w:t>
      </w:r>
    </w:p>
    <w:p w14:paraId="2D2AE7D3" w14:textId="77777777" w:rsidR="005B7446" w:rsidRDefault="005B7446">
      <w:pPr>
        <w:pStyle w:val="ListParagraph"/>
        <w:jc w:val="both"/>
        <w:rPr>
          <w:rFonts w:ascii="Times New Roman" w:hAnsi="Times New Roman" w:cs="Times New Roman"/>
          <w:b/>
        </w:rPr>
      </w:pPr>
    </w:p>
    <w:p w14:paraId="620C6404" w14:textId="43F64F4A" w:rsidR="005B7446" w:rsidRDefault="00F44ABA">
      <w:pPr>
        <w:pStyle w:val="ListParagraph"/>
        <w:numPr>
          <w:ilvl w:val="0"/>
          <w:numId w:val="1"/>
        </w:numPr>
        <w:jc w:val="both"/>
        <w:rPr>
          <w:rFonts w:ascii="Times New Roman" w:hAnsi="Times New Roman" w:cs="Times New Roman"/>
          <w:b/>
        </w:rPr>
      </w:pPr>
      <w:r>
        <w:rPr>
          <w:rFonts w:ascii="Times New Roman" w:hAnsi="Times New Roman" w:cs="Times New Roman"/>
        </w:rPr>
        <w:t xml:space="preserve">Where a step references a qualitative benchmark, such as a previous analysis, report, issued recommendations, or </w:t>
      </w:r>
      <w:r w:rsidR="004842D7">
        <w:rPr>
          <w:rFonts w:ascii="Times New Roman" w:hAnsi="Times New Roman" w:cs="Times New Roman"/>
        </w:rPr>
        <w:t xml:space="preserve">internationally or EU- recognised </w:t>
      </w:r>
      <w:r>
        <w:rPr>
          <w:rFonts w:ascii="Times New Roman" w:hAnsi="Times New Roman" w:cs="Times New Roman"/>
        </w:rPr>
        <w:t xml:space="preserve">best practices, these will be considered in a comprehensive approach, not partially </w:t>
      </w:r>
      <w:r>
        <w:rPr>
          <w:rFonts w:ascii="Times New Roman" w:hAnsi="Times New Roman" w:cs="Times New Roman"/>
          <w:i/>
        </w:rPr>
        <w:t>(continuous).</w:t>
      </w:r>
    </w:p>
    <w:p w14:paraId="1065C98B" w14:textId="77777777" w:rsidR="005B7446" w:rsidRDefault="005B7446">
      <w:pPr>
        <w:pStyle w:val="ListParagraph"/>
        <w:jc w:val="both"/>
        <w:rPr>
          <w:rFonts w:ascii="Times New Roman" w:hAnsi="Times New Roman" w:cs="Times New Roman"/>
          <w:b/>
        </w:rPr>
      </w:pPr>
    </w:p>
    <w:p w14:paraId="2BF1960A"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 xml:space="preserve">Where a step is insufficiently described, the beneficiary will proactively and promptly liaise with the Commission or the EU Delegation to align on the interpretation of what constitutes adequate achievement of the step. The Commission and the EU Delegation will align perspectives internally and provide guidance </w:t>
      </w:r>
      <w:r>
        <w:rPr>
          <w:rFonts w:ascii="Times New Roman" w:hAnsi="Times New Roman" w:cs="Times New Roman"/>
          <w:i/>
        </w:rPr>
        <w:t>(continuous)</w:t>
      </w:r>
      <w:r>
        <w:rPr>
          <w:rFonts w:ascii="Times New Roman" w:hAnsi="Times New Roman" w:cs="Times New Roman"/>
        </w:rPr>
        <w:t>.</w:t>
      </w:r>
    </w:p>
    <w:p w14:paraId="6E15CE7A" w14:textId="77777777" w:rsidR="005B7446" w:rsidRDefault="005B7446">
      <w:pPr>
        <w:pStyle w:val="ListParagraph"/>
        <w:jc w:val="both"/>
        <w:rPr>
          <w:rFonts w:ascii="Times New Roman" w:hAnsi="Times New Roman" w:cs="Times New Roman"/>
        </w:rPr>
      </w:pPr>
    </w:p>
    <w:p w14:paraId="559F1E26" w14:textId="2814AC27" w:rsidR="005B7446" w:rsidRDefault="004842D7">
      <w:pPr>
        <w:pStyle w:val="ListParagraph"/>
        <w:numPr>
          <w:ilvl w:val="0"/>
          <w:numId w:val="1"/>
        </w:numPr>
        <w:jc w:val="both"/>
        <w:rPr>
          <w:rFonts w:ascii="Times New Roman" w:hAnsi="Times New Roman" w:cs="Times New Roman"/>
          <w:b/>
        </w:rPr>
      </w:pPr>
      <w:r>
        <w:rPr>
          <w:rFonts w:ascii="Times New Roman" w:hAnsi="Times New Roman" w:cs="Times New Roman"/>
        </w:rPr>
        <w:t>By the end of 2025</w:t>
      </w:r>
      <w:r w:rsidR="00F44ABA">
        <w:rPr>
          <w:rFonts w:ascii="Times New Roman" w:hAnsi="Times New Roman" w:cs="Times New Roman"/>
        </w:rPr>
        <w:t>, any gaps in how step implementation is described in the Reform Agenda will be reviewed together by the Commission and the beneficiary, and expectations, along with a common understanding of what constitutes achievement of a given step, will be clarified and agreed upon.</w:t>
      </w:r>
    </w:p>
    <w:p w14:paraId="54546D26" w14:textId="77777777" w:rsidR="005B7446" w:rsidRDefault="005B7446">
      <w:pPr>
        <w:pStyle w:val="ListParagraph"/>
        <w:jc w:val="both"/>
        <w:rPr>
          <w:rFonts w:ascii="Times New Roman" w:hAnsi="Times New Roman" w:cs="Times New Roman"/>
          <w:b/>
        </w:rPr>
      </w:pPr>
    </w:p>
    <w:p w14:paraId="45EC205F" w14:textId="4624984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Commission will monitor implementation gaps in a timely manner, proactively engaging with the beneficiary, in a transparent way. Recommendations will be communicated promptly to ensure that any gaps are addressed promptly.</w:t>
      </w:r>
    </w:p>
    <w:p w14:paraId="0EA2C6FD" w14:textId="77777777" w:rsidR="005B7446" w:rsidRDefault="005B7446">
      <w:pPr>
        <w:pStyle w:val="ListParagraph"/>
        <w:jc w:val="both"/>
        <w:rPr>
          <w:rFonts w:ascii="Times New Roman" w:hAnsi="Times New Roman" w:cs="Times New Roman"/>
          <w:b/>
        </w:rPr>
      </w:pPr>
    </w:p>
    <w:p w14:paraId="15B88FA9" w14:textId="1C23DCC3" w:rsidR="005B7446" w:rsidRDefault="00F44ABA">
      <w:pPr>
        <w:pStyle w:val="ListParagraph"/>
        <w:numPr>
          <w:ilvl w:val="0"/>
          <w:numId w:val="1"/>
        </w:numPr>
        <w:jc w:val="both"/>
        <w:rPr>
          <w:rFonts w:ascii="Times New Roman" w:hAnsi="Times New Roman" w:cs="Times New Roman"/>
        </w:rPr>
      </w:pPr>
      <w:r w:rsidRPr="558513CE">
        <w:rPr>
          <w:rFonts w:ascii="Times New Roman" w:hAnsi="Times New Roman" w:cs="Times New Roman"/>
        </w:rPr>
        <w:t>In line with the provisions set out in the Facility Agreement, partial achievement is allowed only in the case of quantitative indicators and targets</w:t>
      </w:r>
      <w:r w:rsidR="004842D7" w:rsidRPr="558513CE">
        <w:rPr>
          <w:rFonts w:ascii="Times New Roman" w:hAnsi="Times New Roman" w:cs="Times New Roman"/>
        </w:rPr>
        <w:t>.</w:t>
      </w:r>
      <w:r w:rsidRPr="558513CE">
        <w:rPr>
          <w:rFonts w:ascii="Times New Roman" w:hAnsi="Times New Roman" w:cs="Times New Roman"/>
        </w:rPr>
        <w:t xml:space="preserve"> </w:t>
      </w:r>
      <w:r w:rsidR="004842D7" w:rsidRPr="558513CE">
        <w:rPr>
          <w:rFonts w:ascii="Times New Roman" w:hAnsi="Times New Roman" w:cs="Times New Roman"/>
        </w:rPr>
        <w:t xml:space="preserve">Provided that the step is not fulfilled </w:t>
      </w:r>
      <w:r w:rsidR="00F0088B" w:rsidRPr="558513CE">
        <w:rPr>
          <w:rFonts w:ascii="Times New Roman" w:hAnsi="Times New Roman" w:cs="Times New Roman"/>
        </w:rPr>
        <w:t xml:space="preserve">by the </w:t>
      </w:r>
      <w:r w:rsidR="00273211" w:rsidRPr="558513CE">
        <w:rPr>
          <w:rFonts w:ascii="Times New Roman" w:hAnsi="Times New Roman" w:cs="Times New Roman"/>
        </w:rPr>
        <w:t xml:space="preserve">original </w:t>
      </w:r>
      <w:r w:rsidR="00273211" w:rsidRPr="558513CE">
        <w:rPr>
          <w:rFonts w:ascii="Times New Roman" w:hAnsi="Times New Roman" w:cs="Times New Roman"/>
        </w:rPr>
        <w:lastRenderedPageBreak/>
        <w:t>deadline set out in the Reform Agenda</w:t>
      </w:r>
      <w:r w:rsidR="00F0088B" w:rsidRPr="558513CE">
        <w:rPr>
          <w:rFonts w:ascii="Times New Roman" w:hAnsi="Times New Roman" w:cs="Times New Roman"/>
        </w:rPr>
        <w:t xml:space="preserve"> and within the twelve months (or twenty-four months for reform steps due in December 2024), </w:t>
      </w:r>
      <w:r w:rsidR="004842D7" w:rsidRPr="558513CE">
        <w:rPr>
          <w:rFonts w:ascii="Times New Roman" w:hAnsi="Times New Roman" w:cs="Times New Roman"/>
        </w:rPr>
        <w:t xml:space="preserve">the authorities will resubmit the step for the Commission’s assessment </w:t>
      </w:r>
      <w:r w:rsidR="008061CE" w:rsidRPr="558513CE">
        <w:rPr>
          <w:rFonts w:ascii="Times New Roman" w:hAnsi="Times New Roman" w:cs="Times New Roman"/>
        </w:rPr>
        <w:t>in the next available reporting window and up until the end of the grace period of the related step</w:t>
      </w:r>
      <w:r w:rsidR="004842D7" w:rsidRPr="558513CE">
        <w:rPr>
          <w:rFonts w:ascii="Times New Roman" w:hAnsi="Times New Roman" w:cs="Times New Roman"/>
        </w:rPr>
        <w:t xml:space="preserve">. </w:t>
      </w:r>
      <w:r w:rsidR="00F0088B" w:rsidRPr="558513CE">
        <w:rPr>
          <w:rFonts w:ascii="Times New Roman" w:hAnsi="Times New Roman" w:cs="Times New Roman"/>
        </w:rPr>
        <w:t xml:space="preserve">Only </w:t>
      </w:r>
      <w:r w:rsidR="008061CE" w:rsidRPr="558513CE">
        <w:rPr>
          <w:rFonts w:ascii="Times New Roman" w:hAnsi="Times New Roman" w:cs="Times New Roman"/>
        </w:rPr>
        <w:t>at the end of the grace period</w:t>
      </w:r>
      <w:r w:rsidR="00F0088B" w:rsidRPr="558513CE">
        <w:rPr>
          <w:rFonts w:ascii="Times New Roman" w:hAnsi="Times New Roman" w:cs="Times New Roman"/>
        </w:rPr>
        <w:t>, partial achievement can be considered, with p</w:t>
      </w:r>
      <w:r w:rsidR="004842D7" w:rsidRPr="558513CE">
        <w:rPr>
          <w:rFonts w:ascii="Times New Roman" w:hAnsi="Times New Roman" w:cs="Times New Roman"/>
        </w:rPr>
        <w:t>artial disbursements tak</w:t>
      </w:r>
      <w:r w:rsidR="00F0088B" w:rsidRPr="558513CE">
        <w:rPr>
          <w:rFonts w:ascii="Times New Roman" w:hAnsi="Times New Roman" w:cs="Times New Roman"/>
        </w:rPr>
        <w:t>ing</w:t>
      </w:r>
      <w:r w:rsidR="004842D7" w:rsidRPr="558513CE">
        <w:rPr>
          <w:rFonts w:ascii="Times New Roman" w:hAnsi="Times New Roman" w:cs="Times New Roman"/>
        </w:rPr>
        <w:t xml:space="preserve"> place after assessment</w:t>
      </w:r>
      <w:r w:rsidR="008061CE" w:rsidRPr="558513CE">
        <w:rPr>
          <w:rFonts w:ascii="Times New Roman" w:hAnsi="Times New Roman" w:cs="Times New Roman"/>
        </w:rPr>
        <w:t>.</w:t>
      </w:r>
      <w:r w:rsidR="00D9325E" w:rsidRPr="558513CE">
        <w:rPr>
          <w:rFonts w:ascii="Times New Roman" w:hAnsi="Times New Roman" w:cs="Times New Roman"/>
        </w:rPr>
        <w:t>(</w:t>
      </w:r>
      <w:r w:rsidR="00D9325E" w:rsidRPr="558513CE">
        <w:rPr>
          <w:rFonts w:ascii="Times New Roman" w:hAnsi="Times New Roman" w:cs="Times New Roman"/>
          <w:i/>
          <w:iCs/>
        </w:rPr>
        <w:t>continuous</w:t>
      </w:r>
      <w:r w:rsidR="00D9325E" w:rsidRPr="558513CE">
        <w:rPr>
          <w:rFonts w:ascii="Times New Roman" w:hAnsi="Times New Roman" w:cs="Times New Roman"/>
        </w:rPr>
        <w:t>).</w:t>
      </w:r>
    </w:p>
    <w:p w14:paraId="646BFF43" w14:textId="77777777" w:rsidR="005B7446" w:rsidRDefault="005B7446">
      <w:pPr>
        <w:pStyle w:val="ListParagraph"/>
        <w:jc w:val="both"/>
        <w:rPr>
          <w:rFonts w:ascii="Times New Roman" w:hAnsi="Times New Roman" w:cs="Times New Roman"/>
          <w:b/>
        </w:rPr>
      </w:pPr>
    </w:p>
    <w:p w14:paraId="1E2CA860" w14:textId="69BE3846"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If a step includes a quantitative target with a clearly defined qualitative criteria describing how to reach the target (e.g., content requirements the quantitative target should include, methodologies for reaching the target, etc.), partial achievement will be considered only if the qualitative requirement is met</w:t>
      </w:r>
      <w:r>
        <w:rPr>
          <w:rFonts w:ascii="Times New Roman" w:hAnsi="Times New Roman" w:cs="Times New Roman"/>
          <w:i/>
        </w:rPr>
        <w:t>.</w:t>
      </w:r>
      <w:r w:rsidR="00273211">
        <w:rPr>
          <w:rFonts w:ascii="Times New Roman" w:hAnsi="Times New Roman" w:cs="Times New Roman"/>
          <w:iCs/>
        </w:rPr>
        <w:t xml:space="preserve"> For instance, </w:t>
      </w:r>
      <w:r w:rsidR="007239BB">
        <w:rPr>
          <w:rFonts w:ascii="Times New Roman" w:hAnsi="Times New Roman" w:cs="Times New Roman"/>
          <w:iCs/>
        </w:rPr>
        <w:t>to implement the reform step 4.1.3.1., all 28 charges (quantitative target) must be optimised</w:t>
      </w:r>
      <w:r w:rsidR="00273211">
        <w:rPr>
          <w:rFonts w:ascii="Times New Roman" w:hAnsi="Times New Roman" w:cs="Times New Roman"/>
          <w:iCs/>
        </w:rPr>
        <w:t xml:space="preserve"> </w:t>
      </w:r>
      <w:r w:rsidR="007239BB">
        <w:rPr>
          <w:rFonts w:ascii="Times New Roman" w:hAnsi="Times New Roman" w:cs="Times New Roman"/>
          <w:iCs/>
        </w:rPr>
        <w:t xml:space="preserve">in line with </w:t>
      </w:r>
      <w:r w:rsidR="00273211" w:rsidRPr="00273211">
        <w:rPr>
          <w:rFonts w:ascii="Times New Roman" w:hAnsi="Times New Roman" w:cs="Times New Roman"/>
          <w:iCs/>
        </w:rPr>
        <w:t>the recommendations of the related EU-funded technical assistance project</w:t>
      </w:r>
      <w:r w:rsidR="007239BB">
        <w:rPr>
          <w:rFonts w:ascii="Times New Roman" w:hAnsi="Times New Roman" w:cs="Times New Roman"/>
          <w:iCs/>
        </w:rPr>
        <w:t xml:space="preserve"> (qualitative target) </w:t>
      </w:r>
      <w:r w:rsidR="00D9325E">
        <w:rPr>
          <w:rFonts w:ascii="Times New Roman" w:hAnsi="Times New Roman" w:cs="Times New Roman"/>
        </w:rPr>
        <w:t>(</w:t>
      </w:r>
      <w:r w:rsidR="00D9325E" w:rsidRPr="006F39F7">
        <w:rPr>
          <w:rFonts w:ascii="Times New Roman" w:hAnsi="Times New Roman" w:cs="Times New Roman"/>
          <w:i/>
          <w:iCs/>
        </w:rPr>
        <w:t>continuous</w:t>
      </w:r>
      <w:r w:rsidR="00D9325E">
        <w:rPr>
          <w:rFonts w:ascii="Times New Roman" w:hAnsi="Times New Roman" w:cs="Times New Roman"/>
        </w:rPr>
        <w:t>).</w:t>
      </w:r>
    </w:p>
    <w:p w14:paraId="32442818" w14:textId="77777777" w:rsidR="005B7446" w:rsidRDefault="005B7446">
      <w:pPr>
        <w:pStyle w:val="ListParagraph"/>
        <w:jc w:val="both"/>
        <w:rPr>
          <w:rFonts w:ascii="Times New Roman" w:hAnsi="Times New Roman" w:cs="Times New Roman"/>
        </w:rPr>
      </w:pPr>
    </w:p>
    <w:p w14:paraId="7BC2E38D" w14:textId="3355C7EE"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If a step is composite in nature, in the sense that it combines two different steps, one of which is quantitative in nature, the qualitative requirements will take precedence. Once the qualitative requirements are met, if the quantitative target is only partially achieved, partial disbursement will be allowed</w:t>
      </w:r>
      <w:r>
        <w:rPr>
          <w:rFonts w:ascii="Times New Roman" w:hAnsi="Times New Roman" w:cs="Times New Roman"/>
          <w:i/>
        </w:rPr>
        <w:t>.</w:t>
      </w:r>
      <w:r w:rsidR="007239BB">
        <w:rPr>
          <w:rFonts w:ascii="Times New Roman" w:hAnsi="Times New Roman" w:cs="Times New Roman"/>
          <w:i/>
        </w:rPr>
        <w:t xml:space="preserve"> </w:t>
      </w:r>
      <w:r w:rsidR="007239BB">
        <w:rPr>
          <w:rFonts w:ascii="Times New Roman" w:hAnsi="Times New Roman" w:cs="Times New Roman"/>
          <w:iCs/>
        </w:rPr>
        <w:t>For instance, the reform step 1.2.2.1.</w:t>
      </w:r>
      <w:r w:rsidR="0001276A">
        <w:rPr>
          <w:rFonts w:ascii="Times New Roman" w:hAnsi="Times New Roman" w:cs="Times New Roman"/>
          <w:iCs/>
        </w:rPr>
        <w:t xml:space="preserve"> is composite, formed of two distinctive elements:</w:t>
      </w:r>
      <w:r w:rsidR="007239BB">
        <w:rPr>
          <w:rFonts w:ascii="Times New Roman" w:hAnsi="Times New Roman" w:cs="Times New Roman"/>
          <w:iCs/>
        </w:rPr>
        <w:t xml:space="preserve"> the qualitative </w:t>
      </w:r>
      <w:r w:rsidR="0001276A">
        <w:rPr>
          <w:rFonts w:ascii="Times New Roman" w:hAnsi="Times New Roman" w:cs="Times New Roman"/>
          <w:iCs/>
        </w:rPr>
        <w:t xml:space="preserve">step activity requires </w:t>
      </w:r>
      <w:r w:rsidR="007239BB">
        <w:rPr>
          <w:rFonts w:ascii="Times New Roman" w:hAnsi="Times New Roman" w:cs="Times New Roman"/>
          <w:iCs/>
        </w:rPr>
        <w:t>the adoption of laws and bylaws to increase staff motivation and reduce staff turnover, among other things</w:t>
      </w:r>
      <w:r w:rsidR="0001276A">
        <w:rPr>
          <w:rFonts w:ascii="Times New Roman" w:hAnsi="Times New Roman" w:cs="Times New Roman"/>
          <w:iCs/>
        </w:rPr>
        <w:t>, while</w:t>
      </w:r>
      <w:r w:rsidR="007239BB">
        <w:rPr>
          <w:rFonts w:ascii="Times New Roman" w:hAnsi="Times New Roman" w:cs="Times New Roman"/>
          <w:iCs/>
        </w:rPr>
        <w:t xml:space="preserve"> </w:t>
      </w:r>
      <w:r w:rsidR="0001276A">
        <w:rPr>
          <w:rFonts w:ascii="Times New Roman" w:hAnsi="Times New Roman" w:cs="Times New Roman"/>
          <w:iCs/>
        </w:rPr>
        <w:t xml:space="preserve">the quantitative </w:t>
      </w:r>
      <w:r w:rsidR="007239BB">
        <w:rPr>
          <w:rFonts w:ascii="Times New Roman" w:hAnsi="Times New Roman" w:cs="Times New Roman"/>
          <w:iCs/>
        </w:rPr>
        <w:t>step activity</w:t>
      </w:r>
      <w:r w:rsidR="0001276A">
        <w:rPr>
          <w:rFonts w:ascii="Times New Roman" w:hAnsi="Times New Roman" w:cs="Times New Roman"/>
          <w:iCs/>
        </w:rPr>
        <w:t xml:space="preserve"> </w:t>
      </w:r>
      <w:r w:rsidR="007239BB">
        <w:rPr>
          <w:rFonts w:ascii="Times New Roman" w:hAnsi="Times New Roman" w:cs="Times New Roman"/>
          <w:iCs/>
        </w:rPr>
        <w:t xml:space="preserve">requires the publication of data regarding the grounds for dismissals of public servants for 100% of dismissals </w:t>
      </w:r>
      <w:r w:rsidR="00D9325E">
        <w:rPr>
          <w:rFonts w:ascii="Times New Roman" w:hAnsi="Times New Roman" w:cs="Times New Roman"/>
        </w:rPr>
        <w:t>(</w:t>
      </w:r>
      <w:r w:rsidR="00D9325E" w:rsidRPr="006F39F7">
        <w:rPr>
          <w:rFonts w:ascii="Times New Roman" w:hAnsi="Times New Roman" w:cs="Times New Roman"/>
          <w:i/>
          <w:iCs/>
        </w:rPr>
        <w:t>continuous</w:t>
      </w:r>
      <w:r w:rsidR="00D9325E">
        <w:rPr>
          <w:rFonts w:ascii="Times New Roman" w:hAnsi="Times New Roman" w:cs="Times New Roman"/>
        </w:rPr>
        <w:t>).</w:t>
      </w:r>
    </w:p>
    <w:p w14:paraId="7EA09952" w14:textId="77777777" w:rsidR="005B7446" w:rsidRDefault="005B7446">
      <w:pPr>
        <w:pStyle w:val="ListParagraph"/>
        <w:jc w:val="both"/>
        <w:rPr>
          <w:rFonts w:ascii="Times New Roman" w:hAnsi="Times New Roman" w:cs="Times New Roman"/>
          <w:b/>
        </w:rPr>
      </w:pPr>
    </w:p>
    <w:p w14:paraId="7226DDCA"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 xml:space="preserve">With the request for release of funds, the beneficiary will submit the required sources of verification that are referred in Annex 1 to the Reform Agenda, in line with the requirements stipulated in Article 14(11) of the Facility Agreement. </w:t>
      </w:r>
    </w:p>
    <w:p w14:paraId="58178A17" w14:textId="77777777" w:rsidR="005B7446" w:rsidRDefault="005B7446">
      <w:pPr>
        <w:pStyle w:val="ListParagraph"/>
        <w:rPr>
          <w:rFonts w:ascii="Times New Roman" w:hAnsi="Times New Roman" w:cs="Times New Roman"/>
        </w:rPr>
      </w:pPr>
    </w:p>
    <w:p w14:paraId="1A196A00" w14:textId="7CE3D105"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 xml:space="preserve">Enclosed to the request, the beneficiary will include an inventory </w:t>
      </w:r>
      <w:r w:rsidR="00FC262C">
        <w:rPr>
          <w:rFonts w:ascii="Times New Roman" w:hAnsi="Times New Roman" w:cs="Times New Roman"/>
        </w:rPr>
        <w:t>list</w:t>
      </w:r>
      <w:r>
        <w:rPr>
          <w:rFonts w:ascii="Times New Roman" w:hAnsi="Times New Roman" w:cs="Times New Roman"/>
        </w:rPr>
        <w:t xml:space="preserve"> of all submitted documents, with an aim to clarify the relevance of each document</w:t>
      </w:r>
      <w:r w:rsidR="00FC262C">
        <w:rPr>
          <w:rFonts w:ascii="Times New Roman" w:hAnsi="Times New Roman" w:cs="Times New Roman"/>
        </w:rPr>
        <w:t>, the link with each reform step, the sources of verification,</w:t>
      </w:r>
      <w:r>
        <w:rPr>
          <w:rFonts w:ascii="Times New Roman" w:hAnsi="Times New Roman" w:cs="Times New Roman"/>
        </w:rPr>
        <w:t xml:space="preserve"> and whether it has been translated. While translations are not required for all additional documentation, they are highly recommended as they facilitate the assessment.</w:t>
      </w:r>
    </w:p>
    <w:p w14:paraId="5C044D14" w14:textId="77777777" w:rsidR="005B7446" w:rsidRDefault="005B7446">
      <w:pPr>
        <w:pStyle w:val="ListParagraph"/>
        <w:rPr>
          <w:rFonts w:ascii="Times New Roman" w:hAnsi="Times New Roman" w:cs="Times New Roman"/>
        </w:rPr>
      </w:pPr>
    </w:p>
    <w:p w14:paraId="2C0DD242"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 xml:space="preserve">For future RGF Monitoring Committees, the selection of Civil Society participants will be carried out in accordance with the agreed Rules of Procedure. The Secretariat will select civil society organizations to ensure a balanced mix of sectoral expertise. </w:t>
      </w:r>
    </w:p>
    <w:p w14:paraId="2947E739" w14:textId="77777777" w:rsidR="005B7446" w:rsidRDefault="005B7446">
      <w:pPr>
        <w:pStyle w:val="ListParagraph"/>
        <w:jc w:val="both"/>
        <w:rPr>
          <w:rFonts w:ascii="Times New Roman" w:hAnsi="Times New Roman" w:cs="Times New Roman"/>
        </w:rPr>
      </w:pPr>
    </w:p>
    <w:p w14:paraId="467E46DB"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To facilitate this, the Secretariat will request the Government Council for Cooperation of CSOs to nominate representatives from civil society organizations for each sector. The proposal is expected to be submitted to the Secretariat at least one month prior to the relevant meeting. Additionally, if deemed necessary, the Commission or the RGF Coordinator may propose additional civil society representatives to ensure comprehensive participation.</w:t>
      </w:r>
    </w:p>
    <w:p w14:paraId="75710E88" w14:textId="77777777" w:rsidR="005B7446" w:rsidRDefault="005B7446">
      <w:pPr>
        <w:pStyle w:val="ListParagraph"/>
        <w:jc w:val="both"/>
        <w:rPr>
          <w:rFonts w:ascii="Times New Roman" w:hAnsi="Times New Roman" w:cs="Times New Roman"/>
        </w:rPr>
      </w:pPr>
    </w:p>
    <w:p w14:paraId="0D47627B" w14:textId="04E984A4"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 xml:space="preserve">The national authorities will ensure transparency and maintain open channels of communication with civil society, </w:t>
      </w:r>
      <w:r w:rsidR="0001276A">
        <w:rPr>
          <w:rFonts w:ascii="Times New Roman" w:hAnsi="Times New Roman" w:cs="Times New Roman"/>
        </w:rPr>
        <w:t>including but not limited to</w:t>
      </w:r>
      <w:r>
        <w:rPr>
          <w:rFonts w:ascii="Times New Roman" w:hAnsi="Times New Roman" w:cs="Times New Roman"/>
        </w:rPr>
        <w:t xml:space="preserve"> by sharing the results of achievements </w:t>
      </w:r>
      <w:r w:rsidR="0001276A">
        <w:rPr>
          <w:rFonts w:ascii="Times New Roman" w:hAnsi="Times New Roman" w:cs="Times New Roman"/>
        </w:rPr>
        <w:t>and involving civil society during the implementation,</w:t>
      </w:r>
      <w:r>
        <w:rPr>
          <w:rFonts w:ascii="Times New Roman" w:hAnsi="Times New Roman" w:cs="Times New Roman"/>
        </w:rPr>
        <w:t xml:space="preserve"> supporting civil society in their monitoring efforts.</w:t>
      </w:r>
    </w:p>
    <w:p w14:paraId="0699D1E4" w14:textId="77777777" w:rsidR="005B7446" w:rsidRDefault="005B7446">
      <w:pPr>
        <w:pStyle w:val="ListParagraph"/>
        <w:rPr>
          <w:rFonts w:ascii="Times New Roman" w:hAnsi="Times New Roman" w:cs="Times New Roman"/>
        </w:rPr>
      </w:pPr>
    </w:p>
    <w:p w14:paraId="4B3A5E89" w14:textId="77777777" w:rsidR="003D595D" w:rsidRDefault="003D595D">
      <w:pPr>
        <w:pStyle w:val="ListParagraph"/>
        <w:jc w:val="both"/>
        <w:rPr>
          <w:rFonts w:ascii="Times New Roman" w:hAnsi="Times New Roman" w:cs="Times New Roman"/>
          <w:b/>
          <w:i/>
        </w:rPr>
      </w:pPr>
    </w:p>
    <w:p w14:paraId="5615DD10" w14:textId="2172C69E" w:rsidR="005B7446" w:rsidRDefault="00F44ABA">
      <w:pPr>
        <w:pStyle w:val="ListParagraph"/>
        <w:jc w:val="both"/>
        <w:rPr>
          <w:rFonts w:ascii="Times New Roman" w:hAnsi="Times New Roman" w:cs="Times New Roman"/>
          <w:b/>
          <w:i/>
        </w:rPr>
      </w:pPr>
      <w:r>
        <w:rPr>
          <w:rFonts w:ascii="Times New Roman" w:hAnsi="Times New Roman" w:cs="Times New Roman"/>
          <w:b/>
          <w:i/>
        </w:rPr>
        <w:lastRenderedPageBreak/>
        <w:t>Horizontal issues affecting implementation</w:t>
      </w:r>
    </w:p>
    <w:p w14:paraId="1FCE825C" w14:textId="77777777" w:rsidR="005B7446" w:rsidRDefault="005B7446">
      <w:pPr>
        <w:pStyle w:val="ListParagraph"/>
        <w:rPr>
          <w:rFonts w:ascii="Times New Roman" w:hAnsi="Times New Roman" w:cs="Times New Roman"/>
        </w:rPr>
      </w:pPr>
    </w:p>
    <w:p w14:paraId="506BCB34"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national authorities will ensure sufficient and competent staffing, providing training where necessary, to ensure effective coordination and implementation of the steps.</w:t>
      </w:r>
    </w:p>
    <w:p w14:paraId="525F642E" w14:textId="77777777" w:rsidR="005B7446" w:rsidRDefault="005B7446">
      <w:pPr>
        <w:pStyle w:val="ListParagraph"/>
        <w:jc w:val="both"/>
        <w:rPr>
          <w:rFonts w:ascii="Times New Roman" w:hAnsi="Times New Roman" w:cs="Times New Roman"/>
        </w:rPr>
      </w:pPr>
    </w:p>
    <w:p w14:paraId="30930DD5"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Ministry for European Affairs will continue its internal reshuffling exercise, allocating the necessary resources to the unit(s) responsible for coordination and monitoring of steps’ implementation.</w:t>
      </w:r>
    </w:p>
    <w:p w14:paraId="1486650C" w14:textId="77777777" w:rsidR="005B7446" w:rsidRDefault="005B7446">
      <w:pPr>
        <w:pStyle w:val="ListParagraph"/>
        <w:jc w:val="both"/>
        <w:rPr>
          <w:rFonts w:ascii="Times New Roman" w:hAnsi="Times New Roman" w:cs="Times New Roman"/>
        </w:rPr>
      </w:pPr>
    </w:p>
    <w:p w14:paraId="02DF2779" w14:textId="4F2A43B2" w:rsidR="005B7446" w:rsidRPr="003E5F17" w:rsidRDefault="00F44ABA">
      <w:pPr>
        <w:pStyle w:val="ListParagraph"/>
        <w:numPr>
          <w:ilvl w:val="0"/>
          <w:numId w:val="1"/>
        </w:numPr>
        <w:jc w:val="both"/>
        <w:rPr>
          <w:rFonts w:ascii="Times New Roman" w:hAnsi="Times New Roman" w:cs="Times New Roman"/>
        </w:rPr>
      </w:pPr>
      <w:r w:rsidRPr="003E5F17">
        <w:rPr>
          <w:rFonts w:ascii="Times New Roman" w:hAnsi="Times New Roman" w:cs="Times New Roman"/>
        </w:rPr>
        <w:t xml:space="preserve">For steps that require proper staffing as a means of achieving the steps, the Ministry of European Affairs will coordinate and facilitate early discussions between the relevant institutions and the Ministry of Finance, which ultimately approves the additional staffing budgets. </w:t>
      </w:r>
    </w:p>
    <w:p w14:paraId="45FA0394" w14:textId="77777777" w:rsidR="005B7446" w:rsidRPr="003E5F17" w:rsidRDefault="005B7446">
      <w:pPr>
        <w:pStyle w:val="ListParagraph"/>
        <w:jc w:val="both"/>
        <w:rPr>
          <w:rFonts w:ascii="Times New Roman" w:hAnsi="Times New Roman" w:cs="Times New Roman"/>
        </w:rPr>
      </w:pPr>
    </w:p>
    <w:p w14:paraId="23682E92" w14:textId="4E2A60D6" w:rsidR="005B7446" w:rsidRPr="003E5F17" w:rsidRDefault="00F44ABA">
      <w:pPr>
        <w:pStyle w:val="ListParagraph"/>
        <w:numPr>
          <w:ilvl w:val="0"/>
          <w:numId w:val="1"/>
        </w:numPr>
        <w:jc w:val="both"/>
        <w:rPr>
          <w:rFonts w:ascii="Times New Roman" w:hAnsi="Times New Roman" w:cs="Times New Roman"/>
        </w:rPr>
      </w:pPr>
      <w:r w:rsidRPr="003E5F17">
        <w:rPr>
          <w:rFonts w:ascii="Times New Roman" w:hAnsi="Times New Roman" w:cs="Times New Roman"/>
        </w:rPr>
        <w:t>The Ministry of European Affairs will map all the steps where staffing is required, either as a final result or as part of an intermediary step, and ensure, in collaboration with the Ministry of Finance, the allocation of funding through the 2026 state budget planning exercise which is due in the second half of this year (by the end of 2025).</w:t>
      </w:r>
    </w:p>
    <w:p w14:paraId="6ECF4D6F" w14:textId="77777777" w:rsidR="005B7446" w:rsidRDefault="005B7446">
      <w:pPr>
        <w:pStyle w:val="ListParagraph"/>
        <w:rPr>
          <w:rFonts w:ascii="Times New Roman" w:hAnsi="Times New Roman" w:cs="Times New Roman"/>
        </w:rPr>
      </w:pPr>
    </w:p>
    <w:p w14:paraId="21DA9695"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For steps that require alignment with EU acquis, the Ministry for European Affairs will ensure that legislation is shared with the Commission for consultation, after Government’s approval and prior to submission to the Parliament. The draft legislation shall be translated and accompanied by Tables of Concordance.</w:t>
      </w:r>
    </w:p>
    <w:p w14:paraId="59CFA453" w14:textId="77777777" w:rsidR="005B7446" w:rsidRDefault="005B7446">
      <w:pPr>
        <w:pStyle w:val="ListParagraph"/>
        <w:jc w:val="both"/>
        <w:rPr>
          <w:rFonts w:ascii="Times New Roman" w:hAnsi="Times New Roman" w:cs="Times New Roman"/>
        </w:rPr>
      </w:pPr>
    </w:p>
    <w:p w14:paraId="0DDFE7F6" w14:textId="18230CC5"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necessary time for the Commission services</w:t>
      </w:r>
      <w:r w:rsidR="00D9325E">
        <w:rPr>
          <w:rFonts w:ascii="Times New Roman" w:hAnsi="Times New Roman" w:cs="Times New Roman"/>
        </w:rPr>
        <w:t>, at least three months,</w:t>
      </w:r>
      <w:r>
        <w:rPr>
          <w:rFonts w:ascii="Times New Roman" w:hAnsi="Times New Roman" w:cs="Times New Roman"/>
        </w:rPr>
        <w:t xml:space="preserve"> to review the draft legislation must be factored in, to ensure that the Commission’s feedback is accommodated and the required changes integrated before sending the proposal to the Parliament. The Ministry for European Affairs will formally submit the legislation for consultation and coordinate with the relevant line institutions for inputs (</w:t>
      </w:r>
      <w:r w:rsidRPr="003D595D">
        <w:rPr>
          <w:rFonts w:ascii="Times New Roman" w:hAnsi="Times New Roman" w:cs="Times New Roman"/>
          <w:i/>
          <w:iCs/>
        </w:rPr>
        <w:t>continuous</w:t>
      </w:r>
      <w:r>
        <w:rPr>
          <w:rFonts w:ascii="Times New Roman" w:hAnsi="Times New Roman" w:cs="Times New Roman"/>
        </w:rPr>
        <w:t>).</w:t>
      </w:r>
    </w:p>
    <w:p w14:paraId="61D279BE" w14:textId="77777777" w:rsidR="005B7446" w:rsidRDefault="005B7446">
      <w:pPr>
        <w:pStyle w:val="ListParagraph"/>
        <w:jc w:val="both"/>
        <w:rPr>
          <w:rFonts w:ascii="Times New Roman" w:hAnsi="Times New Roman" w:cs="Times New Roman"/>
        </w:rPr>
      </w:pPr>
    </w:p>
    <w:p w14:paraId="629562C3"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Any amendments made during the parliamentary process must be clearly highlighted and communicated. It is crucial that such changes do not compromise alignment with the EU acquis, as this could affect the achievement of the reform step (</w:t>
      </w:r>
      <w:r>
        <w:rPr>
          <w:rFonts w:ascii="Times New Roman" w:hAnsi="Times New Roman" w:cs="Times New Roman"/>
          <w:i/>
        </w:rPr>
        <w:t>continuous</w:t>
      </w:r>
      <w:r>
        <w:rPr>
          <w:rFonts w:ascii="Times New Roman" w:hAnsi="Times New Roman" w:cs="Times New Roman"/>
        </w:rPr>
        <w:t>).</w:t>
      </w:r>
    </w:p>
    <w:p w14:paraId="17FAAC88" w14:textId="77777777" w:rsidR="005B7446" w:rsidRDefault="005B7446">
      <w:pPr>
        <w:pStyle w:val="ListParagraph"/>
        <w:jc w:val="both"/>
        <w:rPr>
          <w:rFonts w:ascii="Times New Roman" w:hAnsi="Times New Roman" w:cs="Times New Roman"/>
        </w:rPr>
      </w:pPr>
    </w:p>
    <w:p w14:paraId="06B9A125" w14:textId="4051BE5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 xml:space="preserve">For steps referencing the EU acquis, the legal framework must be fully implemented, with </w:t>
      </w:r>
      <w:r w:rsidR="00770310">
        <w:rPr>
          <w:rFonts w:ascii="Times New Roman" w:hAnsi="Times New Roman" w:cs="Times New Roman"/>
        </w:rPr>
        <w:t xml:space="preserve">relevant </w:t>
      </w:r>
      <w:r>
        <w:rPr>
          <w:rFonts w:ascii="Times New Roman" w:hAnsi="Times New Roman" w:cs="Times New Roman"/>
        </w:rPr>
        <w:t xml:space="preserve">by-laws adopted that ensure complete alignment and enforcement of the primary legislation. </w:t>
      </w:r>
    </w:p>
    <w:p w14:paraId="1A67C3B6" w14:textId="77777777" w:rsidR="005B7446" w:rsidRDefault="005B7446">
      <w:pPr>
        <w:pStyle w:val="ListParagraph"/>
        <w:jc w:val="both"/>
        <w:rPr>
          <w:rFonts w:ascii="Times New Roman" w:hAnsi="Times New Roman" w:cs="Times New Roman"/>
        </w:rPr>
      </w:pPr>
    </w:p>
    <w:p w14:paraId="19CBEA98"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same consultation process applies to transposing standards and/or recommendations from other actors, such as the. Energy/Transport Communities, ODIHR, Venice Commission, among others. This involves the timely submission of the draft for consultation or the formal request for an opinion. The draft legislation is expected to be shared after Government’s approval and prior to submission to the Parliament, to ensure that the draft is stable and not subject to further changes. The feedback from the relevant actors must be incorporated and the opinion of the relevant bodies must be shared with the Commission. Any subsequent amendments made during the parliamentary procedure must be clearly highlighted.</w:t>
      </w:r>
    </w:p>
    <w:p w14:paraId="3EF39C04" w14:textId="77777777" w:rsidR="005B7446" w:rsidRDefault="005B7446">
      <w:pPr>
        <w:pStyle w:val="ListParagraph"/>
        <w:jc w:val="both"/>
        <w:rPr>
          <w:rFonts w:ascii="Times New Roman" w:hAnsi="Times New Roman" w:cs="Times New Roman"/>
          <w:b/>
        </w:rPr>
      </w:pPr>
    </w:p>
    <w:p w14:paraId="22B51448"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lastRenderedPageBreak/>
        <w:t>The Commission and the RGF Coordinator will proactively identify reform steps that require prior consultation of the Commission services or other relevant bodies clearly communicate the expected submission dates to line ministries. This will allow for proper planning and ensure timely coordination (</w:t>
      </w:r>
      <w:r>
        <w:rPr>
          <w:rFonts w:ascii="Times New Roman" w:hAnsi="Times New Roman" w:cs="Times New Roman"/>
          <w:i/>
        </w:rPr>
        <w:t>continuous</w:t>
      </w:r>
      <w:r>
        <w:rPr>
          <w:rFonts w:ascii="Times New Roman" w:hAnsi="Times New Roman" w:cs="Times New Roman"/>
        </w:rPr>
        <w:t>).</w:t>
      </w:r>
    </w:p>
    <w:p w14:paraId="17D7C4EE" w14:textId="77777777" w:rsidR="005B7446" w:rsidRDefault="005B7446">
      <w:pPr>
        <w:pStyle w:val="ListParagraph"/>
        <w:jc w:val="both"/>
        <w:rPr>
          <w:rFonts w:ascii="Times New Roman" w:hAnsi="Times New Roman" w:cs="Times New Roman"/>
        </w:rPr>
      </w:pPr>
    </w:p>
    <w:p w14:paraId="4BAAAFD5"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RGF Coordinator, together with line institutions, will plan ahead for consultation with the Commission, as well as other relevant bodies, and allocate sufficient time for the review process, to ensure that the entire legislative cycle, including drafting, public consultation, government procedures, the consultation process, incorporating feedback, any further consultation on feedback, time for Parliament approval, and publication in the Official Gazette, is factored into the timeline.</w:t>
      </w:r>
    </w:p>
    <w:p w14:paraId="6E286241" w14:textId="77777777" w:rsidR="005B7446" w:rsidRDefault="005B7446">
      <w:pPr>
        <w:pStyle w:val="ListParagraph"/>
        <w:jc w:val="both"/>
        <w:rPr>
          <w:rFonts w:ascii="Times New Roman" w:hAnsi="Times New Roman" w:cs="Times New Roman"/>
        </w:rPr>
      </w:pPr>
    </w:p>
    <w:p w14:paraId="1E4E5CB0" w14:textId="4CCDDDF9" w:rsidR="005B7446" w:rsidRPr="000A54FA" w:rsidRDefault="00F44ABA">
      <w:pPr>
        <w:pStyle w:val="ListParagraph"/>
        <w:numPr>
          <w:ilvl w:val="0"/>
          <w:numId w:val="1"/>
        </w:numPr>
        <w:jc w:val="both"/>
        <w:rPr>
          <w:rFonts w:ascii="Times New Roman" w:hAnsi="Times New Roman" w:cs="Times New Roman"/>
        </w:rPr>
      </w:pPr>
      <w:r w:rsidRPr="003D595D">
        <w:rPr>
          <w:rFonts w:ascii="Times New Roman" w:hAnsi="Times New Roman" w:cs="Times New Roman"/>
        </w:rPr>
        <w:t xml:space="preserve">The RGF Coordinator will collaborate with the Ministry of Finance and </w:t>
      </w:r>
      <w:r w:rsidR="00FC262C">
        <w:rPr>
          <w:rFonts w:ascii="Times New Roman" w:hAnsi="Times New Roman" w:cs="Times New Roman"/>
        </w:rPr>
        <w:t xml:space="preserve">all other </w:t>
      </w:r>
      <w:r w:rsidRPr="003D595D">
        <w:rPr>
          <w:rFonts w:ascii="Times New Roman" w:hAnsi="Times New Roman" w:cs="Times New Roman"/>
        </w:rPr>
        <w:t xml:space="preserve">ministries and institutions involved in RGF implementation to align financial resources with the planned reforms. They will jointly ensure that line institutions budget funds for implementation of all 2026 and 2027 steps, including also possible technical assistance that cannot be supported through the IPA III instrument. The Ministry of Finance will ensure that </w:t>
      </w:r>
      <w:r w:rsidR="00FC262C">
        <w:rPr>
          <w:rFonts w:ascii="Times New Roman" w:hAnsi="Times New Roman" w:cs="Times New Roman"/>
        </w:rPr>
        <w:t xml:space="preserve">the </w:t>
      </w:r>
      <w:r w:rsidRPr="003D595D">
        <w:rPr>
          <w:rFonts w:ascii="Times New Roman" w:hAnsi="Times New Roman" w:cs="Times New Roman"/>
        </w:rPr>
        <w:t>2026 state budget planning exercise</w:t>
      </w:r>
      <w:r w:rsidR="00FC262C">
        <w:rPr>
          <w:rFonts w:ascii="Times New Roman" w:hAnsi="Times New Roman" w:cs="Times New Roman"/>
        </w:rPr>
        <w:t>, and all other subsequent supplements,</w:t>
      </w:r>
      <w:r w:rsidRPr="003D595D">
        <w:rPr>
          <w:rFonts w:ascii="Times New Roman" w:hAnsi="Times New Roman" w:cs="Times New Roman"/>
        </w:rPr>
        <w:t xml:space="preserve"> will prioritise Reform Agenda steps and the medium-term planning process already reflects the budget needed for implementation of 2027 steps</w:t>
      </w:r>
      <w:r w:rsidRPr="000A54FA">
        <w:rPr>
          <w:rFonts w:ascii="Times New Roman" w:hAnsi="Times New Roman" w:cs="Times New Roman"/>
        </w:rPr>
        <w:t>.</w:t>
      </w:r>
    </w:p>
    <w:p w14:paraId="3F469631" w14:textId="77777777" w:rsidR="005B7446" w:rsidRDefault="005B7446">
      <w:pPr>
        <w:pStyle w:val="ListParagraph"/>
        <w:rPr>
          <w:rFonts w:ascii="Times New Roman" w:hAnsi="Times New Roman" w:cs="Times New Roman"/>
        </w:rPr>
      </w:pPr>
    </w:p>
    <w:p w14:paraId="11FCAFDE"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RGF Coordinator will conduct a systematic gap analysis to identify steps where no previous technical assistance has been provided and assess whether technical expertise is required, proactively communicating these gaps early on and implementing the relevant measures to detect and prevent double funding</w:t>
      </w:r>
    </w:p>
    <w:p w14:paraId="25F397DD" w14:textId="77777777" w:rsidR="005B7446" w:rsidRDefault="005B7446">
      <w:pPr>
        <w:pStyle w:val="ListParagraph"/>
        <w:jc w:val="both"/>
        <w:rPr>
          <w:rFonts w:ascii="Times New Roman" w:hAnsi="Times New Roman" w:cs="Times New Roman"/>
        </w:rPr>
      </w:pPr>
    </w:p>
    <w:p w14:paraId="0D15C651"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RGF Coordinator will supplement the gap analysis with the donor mapping exercise, which is expected to be finalized to provide a clear and transparent overview of where external assistance is already being deployed</w:t>
      </w:r>
      <w:r>
        <w:rPr>
          <w:rFonts w:ascii="Times New Roman" w:hAnsi="Malgun Gothic" w:cs="Malgun Gothic"/>
        </w:rPr>
        <w:t xml:space="preserve">, </w:t>
      </w:r>
      <w:r>
        <w:rPr>
          <w:rFonts w:ascii="Times New Roman" w:hAnsi="Aptos" w:cs="Aptos"/>
        </w:rPr>
        <w:t xml:space="preserve">following the principles and instructions indicated in the guidance note shared by the Commission. </w:t>
      </w:r>
      <w:r>
        <w:rPr>
          <w:rFonts w:ascii="Times New Roman" w:hAnsi="Times New Roman" w:cs="Times New Roman"/>
        </w:rPr>
        <w:t>Once completed, the donor mapping must be shared with the Commission to ensure coordination and avoid overlaps in support.</w:t>
      </w:r>
    </w:p>
    <w:p w14:paraId="1765BA6A" w14:textId="77777777" w:rsidR="005B7446" w:rsidRDefault="005B7446">
      <w:pPr>
        <w:pStyle w:val="ListParagraph"/>
        <w:jc w:val="both"/>
        <w:rPr>
          <w:rFonts w:ascii="Times New Roman" w:hAnsi="Times New Roman" w:cs="Times New Roman"/>
        </w:rPr>
      </w:pPr>
    </w:p>
    <w:p w14:paraId="7045E5F2" w14:textId="769F3D56" w:rsidR="003D64BC" w:rsidRPr="003D595D" w:rsidRDefault="00F44ABA" w:rsidP="00132A49">
      <w:pPr>
        <w:pStyle w:val="ListParagraph"/>
        <w:numPr>
          <w:ilvl w:val="0"/>
          <w:numId w:val="1"/>
        </w:numPr>
        <w:jc w:val="both"/>
        <w:rPr>
          <w:rFonts w:ascii="Times New Roman" w:hAnsi="Times New Roman" w:cs="Times New Roman"/>
        </w:rPr>
      </w:pPr>
      <w:r>
        <w:rPr>
          <w:rFonts w:ascii="Times New Roman" w:hAnsi="Times New Roman" w:cs="Times New Roman"/>
        </w:rPr>
        <w:t>For steps where technical assistance is already in place, the RGF Coordinator must ensure there is no overlap or double funding when contracting future assistance, and ensure that there are no delays in the implementation of current assistance. Timely execution of technical assistance must contribute positively to meeting step deadlines.</w:t>
      </w:r>
    </w:p>
    <w:p w14:paraId="31265471" w14:textId="77777777" w:rsidR="003D64BC" w:rsidRPr="003D595D" w:rsidRDefault="003D64BC" w:rsidP="003D595D">
      <w:pPr>
        <w:pStyle w:val="ListParagraph"/>
        <w:rPr>
          <w:rFonts w:ascii="Times New Roman" w:hAnsi="Times New Roman" w:cs="Times New Roman"/>
        </w:rPr>
      </w:pPr>
    </w:p>
    <w:p w14:paraId="59E245F3" w14:textId="4A6E50DE" w:rsidR="003D64BC" w:rsidRPr="003D64BC" w:rsidRDefault="003D64BC" w:rsidP="003D64BC">
      <w:pPr>
        <w:pStyle w:val="ListParagraph"/>
        <w:numPr>
          <w:ilvl w:val="0"/>
          <w:numId w:val="1"/>
        </w:numPr>
        <w:jc w:val="both"/>
        <w:rPr>
          <w:rFonts w:ascii="Times New Roman" w:hAnsi="Times New Roman" w:cs="Times New Roman"/>
        </w:rPr>
      </w:pPr>
      <w:r>
        <w:rPr>
          <w:rFonts w:ascii="Times New Roman" w:hAnsi="Times New Roman" w:cs="Times New Roman"/>
        </w:rPr>
        <w:t xml:space="preserve">Following the publication of the Commission’s assessment on the achievement of the reform steps, the </w:t>
      </w:r>
      <w:r w:rsidRPr="003D64BC">
        <w:rPr>
          <w:rFonts w:ascii="Times New Roman" w:hAnsi="Times New Roman" w:cs="Times New Roman"/>
        </w:rPr>
        <w:t xml:space="preserve">RGF </w:t>
      </w:r>
      <w:r>
        <w:rPr>
          <w:rFonts w:ascii="Times New Roman" w:hAnsi="Times New Roman" w:cs="Times New Roman"/>
        </w:rPr>
        <w:t xml:space="preserve">Coordinator </w:t>
      </w:r>
      <w:r w:rsidRPr="003D64BC">
        <w:rPr>
          <w:rFonts w:ascii="Times New Roman" w:hAnsi="Times New Roman" w:cs="Times New Roman"/>
        </w:rPr>
        <w:t xml:space="preserve">and </w:t>
      </w:r>
      <w:r>
        <w:rPr>
          <w:rFonts w:ascii="Times New Roman" w:hAnsi="Times New Roman" w:cs="Times New Roman"/>
        </w:rPr>
        <w:t xml:space="preserve">the Commission </w:t>
      </w:r>
      <w:r w:rsidRPr="003D64BC">
        <w:rPr>
          <w:rFonts w:ascii="Times New Roman" w:hAnsi="Times New Roman" w:cs="Times New Roman"/>
        </w:rPr>
        <w:t xml:space="preserve">will </w:t>
      </w:r>
      <w:r>
        <w:rPr>
          <w:rFonts w:ascii="Times New Roman" w:hAnsi="Times New Roman" w:cs="Times New Roman"/>
        </w:rPr>
        <w:t xml:space="preserve">discuss the assessment on the implementation of the steps, with an aim to provide detailed guidance </w:t>
      </w:r>
      <w:r w:rsidRPr="003D64BC">
        <w:rPr>
          <w:rFonts w:ascii="Times New Roman" w:hAnsi="Times New Roman" w:cs="Times New Roman"/>
        </w:rPr>
        <w:t xml:space="preserve">on </w:t>
      </w:r>
      <w:r>
        <w:rPr>
          <w:rFonts w:ascii="Times New Roman" w:hAnsi="Times New Roman" w:cs="Times New Roman"/>
        </w:rPr>
        <w:t xml:space="preserve">those steps not considered achieved. </w:t>
      </w:r>
    </w:p>
    <w:p w14:paraId="49A594AF" w14:textId="77777777" w:rsidR="003D64BC" w:rsidRDefault="003D64BC" w:rsidP="003D595D">
      <w:pPr>
        <w:pStyle w:val="ListParagraph"/>
        <w:jc w:val="both"/>
        <w:rPr>
          <w:rFonts w:ascii="Times New Roman" w:hAnsi="Times New Roman" w:cs="Times New Roman"/>
        </w:rPr>
      </w:pPr>
    </w:p>
    <w:p w14:paraId="73F1C88D" w14:textId="77777777" w:rsidR="005B7446" w:rsidRDefault="005B7446">
      <w:pPr>
        <w:pStyle w:val="ListParagraph"/>
        <w:rPr>
          <w:rFonts w:ascii="Times New Roman" w:hAnsi="Times New Roman" w:cs="Times New Roman"/>
        </w:rPr>
      </w:pPr>
    </w:p>
    <w:p w14:paraId="1DA7AFBA" w14:textId="77777777" w:rsidR="005B7446" w:rsidRDefault="00F44ABA">
      <w:pPr>
        <w:pStyle w:val="ListParagraph"/>
        <w:jc w:val="both"/>
        <w:rPr>
          <w:rFonts w:ascii="Times New Roman" w:hAnsi="Times New Roman" w:cs="Times New Roman"/>
          <w:b/>
          <w:i/>
        </w:rPr>
      </w:pPr>
      <w:r>
        <w:rPr>
          <w:rFonts w:ascii="Times New Roman" w:hAnsi="Times New Roman" w:cs="Times New Roman"/>
          <w:b/>
          <w:i/>
        </w:rPr>
        <w:t>Audit and control systems</w:t>
      </w:r>
    </w:p>
    <w:p w14:paraId="450D38A1" w14:textId="77777777" w:rsidR="005B7446" w:rsidRDefault="005B7446">
      <w:pPr>
        <w:pStyle w:val="ListParagraph"/>
        <w:rPr>
          <w:rFonts w:ascii="Times New Roman" w:hAnsi="Times New Roman" w:cs="Times New Roman"/>
        </w:rPr>
      </w:pPr>
    </w:p>
    <w:p w14:paraId="1AB0E1DB" w14:textId="61801428" w:rsidR="00F44ABA" w:rsidRPr="00F44ABA" w:rsidRDefault="00F44ABA" w:rsidP="321B5114">
      <w:pPr>
        <w:pStyle w:val="ListParagraph"/>
        <w:numPr>
          <w:ilvl w:val="0"/>
          <w:numId w:val="1"/>
        </w:numPr>
        <w:jc w:val="both"/>
        <w:rPr>
          <w:rFonts w:ascii="Times New Roman" w:hAnsi="Malgun Gothic" w:cs="Malgun Gothic"/>
        </w:rPr>
      </w:pPr>
      <w:r w:rsidRPr="321B5114">
        <w:rPr>
          <w:rFonts w:ascii="Times New Roman" w:hAnsi="Times New Roman" w:cs="Times New Roman"/>
        </w:rPr>
        <w:t xml:space="preserve">The institutions implementing the Reform and Growth Facility are responsible for ensuring appropriate internal control and audit functions. The RGF Coordinator, along with the institutions responsible for fulfilling audit functions and/or their coordination (e.g. Internal audit units, Central Harmonisation Unit, and the State Audit Office), will coordinate effectively to carry out audits on </w:t>
      </w:r>
      <w:r w:rsidRPr="321B5114">
        <w:rPr>
          <w:rFonts w:ascii="Times New Roman" w:hAnsi="Times New Roman" w:cs="Times New Roman"/>
        </w:rPr>
        <w:lastRenderedPageBreak/>
        <w:t>the functioning of internal controls, risk management and governance processes of involved institutions, and where relevant, the implementation of steps in line with a risk assessment approach</w:t>
      </w:r>
      <w:r w:rsidRPr="321B5114">
        <w:rPr>
          <w:rFonts w:ascii="Times New Roman" w:hAnsi="Malgun Gothic" w:cs="Malgun Gothic"/>
        </w:rPr>
        <w:t>.</w:t>
      </w:r>
      <w:r w:rsidR="71CA376E" w:rsidRPr="321B5114">
        <w:rPr>
          <w:rFonts w:ascii="Times New Roman" w:hAnsi="Malgun Gothic" w:cs="Malgun Gothic"/>
        </w:rPr>
        <w:t xml:space="preserve"> The Commission will provide specific feedback and relevant clarifications on the role of the Anti-fraud coordination service (AFCOS) under the RGF.</w:t>
      </w:r>
    </w:p>
    <w:p w14:paraId="3568DD2E" w14:textId="77777777" w:rsidR="005B7446" w:rsidRDefault="005B7446">
      <w:pPr>
        <w:pStyle w:val="ListParagraph"/>
        <w:jc w:val="both"/>
        <w:rPr>
          <w:rFonts w:ascii="Times New Roman" w:hAnsi="Times New Roman" w:cs="Times New Roman"/>
        </w:rPr>
      </w:pPr>
    </w:p>
    <w:p w14:paraId="12FA0C20"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Each Declaration of Assurance is expected to rely on the management declarations provided by heads of concerned institutions and will include a summary of audits conducted so far, ensuring transparency and accountability in the monitoring and implementation process.</w:t>
      </w:r>
    </w:p>
    <w:p w14:paraId="1DAFD602" w14:textId="77777777" w:rsidR="005B7446" w:rsidRDefault="005B7446">
      <w:pPr>
        <w:pStyle w:val="ListParagraph"/>
        <w:rPr>
          <w:rFonts w:ascii="Times New Roman" w:hAnsi="Times New Roman" w:cs="Times New Roman"/>
        </w:rPr>
      </w:pPr>
    </w:p>
    <w:p w14:paraId="7189169C" w14:textId="17DEDC06" w:rsidR="0020245A" w:rsidRDefault="0020245A">
      <w:pPr>
        <w:pStyle w:val="ListParagraph"/>
        <w:jc w:val="both"/>
        <w:rPr>
          <w:rFonts w:ascii="Times New Roman" w:hAnsi="Times New Roman" w:cs="Times New Roman"/>
          <w:b/>
          <w:i/>
        </w:rPr>
      </w:pPr>
      <w:r>
        <w:rPr>
          <w:rFonts w:ascii="Times New Roman" w:hAnsi="Times New Roman" w:cs="Times New Roman"/>
          <w:b/>
          <w:i/>
        </w:rPr>
        <w:t>Western Balkans Investment Framework (WBIF)</w:t>
      </w:r>
    </w:p>
    <w:p w14:paraId="638DB32F" w14:textId="77777777" w:rsidR="0020245A" w:rsidRDefault="0020245A">
      <w:pPr>
        <w:pStyle w:val="ListParagraph"/>
        <w:jc w:val="both"/>
        <w:rPr>
          <w:rFonts w:ascii="Times New Roman" w:hAnsi="Times New Roman" w:cs="Times New Roman"/>
          <w:b/>
          <w:i/>
        </w:rPr>
      </w:pPr>
    </w:p>
    <w:p w14:paraId="0F71D6E1" w14:textId="2FB80D02" w:rsidR="0020245A" w:rsidRPr="003D595D" w:rsidRDefault="0020245A" w:rsidP="003D595D">
      <w:pPr>
        <w:pStyle w:val="ListParagraph"/>
        <w:numPr>
          <w:ilvl w:val="0"/>
          <w:numId w:val="1"/>
        </w:numPr>
        <w:jc w:val="both"/>
        <w:rPr>
          <w:rFonts w:ascii="Times New Roman" w:hAnsi="Times New Roman" w:cs="Times New Roman"/>
          <w:bCs/>
          <w:iCs/>
          <w:lang w:val="en-GB"/>
        </w:rPr>
      </w:pPr>
      <w:r w:rsidRPr="0020245A">
        <w:rPr>
          <w:rFonts w:ascii="Times New Roman" w:hAnsi="Times New Roman" w:cs="Times New Roman"/>
          <w:bCs/>
          <w:iCs/>
          <w:lang w:val="en-GB"/>
        </w:rPr>
        <w:t>While the WBIF investment pipeline is indicative and allows for adjustments to reflect project maturity and emerging priorities, it is essential to maintain a certain level of stability in the pipeline to ensure its effectiveness for planning and funding allocation. The RGF Coordinator will clearly identify and confirm which projects are sufficiently mature to be submitted for financing under WBIF.</w:t>
      </w:r>
    </w:p>
    <w:p w14:paraId="3A66C701" w14:textId="77777777" w:rsidR="0020245A" w:rsidRDefault="0020245A">
      <w:pPr>
        <w:pStyle w:val="ListParagraph"/>
        <w:jc w:val="both"/>
        <w:rPr>
          <w:rFonts w:ascii="Times New Roman" w:hAnsi="Times New Roman" w:cs="Times New Roman"/>
          <w:b/>
          <w:i/>
        </w:rPr>
      </w:pPr>
    </w:p>
    <w:p w14:paraId="7DB1CEE8" w14:textId="41D70935" w:rsidR="005B7446" w:rsidRDefault="00F44ABA">
      <w:pPr>
        <w:pStyle w:val="ListParagraph"/>
        <w:jc w:val="both"/>
        <w:rPr>
          <w:rFonts w:ascii="Times New Roman" w:hAnsi="Times New Roman" w:cs="Times New Roman"/>
          <w:b/>
          <w:i/>
        </w:rPr>
      </w:pPr>
      <w:r>
        <w:rPr>
          <w:rFonts w:ascii="Times New Roman" w:hAnsi="Times New Roman" w:cs="Times New Roman"/>
          <w:b/>
          <w:i/>
        </w:rPr>
        <w:t>Communication and visibility</w:t>
      </w:r>
    </w:p>
    <w:p w14:paraId="295BA5B9" w14:textId="77777777" w:rsidR="005B7446" w:rsidRDefault="005B7446">
      <w:pPr>
        <w:pStyle w:val="ListParagraph"/>
        <w:rPr>
          <w:rFonts w:ascii="Times New Roman" w:hAnsi="Times New Roman" w:cs="Times New Roman"/>
        </w:rPr>
      </w:pPr>
    </w:p>
    <w:p w14:paraId="3BF18565" w14:textId="77777777" w:rsidR="005B7446"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 national authorities are expected to share the first draft of the Terms of Reference (ToR) for the Communication and Visibility Plan with the Delegation for consultation as soon as it is available, ensuring timely feedback and alignment.</w:t>
      </w:r>
    </w:p>
    <w:p w14:paraId="3B974FB4" w14:textId="77777777" w:rsidR="005B7446" w:rsidRDefault="005B7446">
      <w:pPr>
        <w:pStyle w:val="ListParagraph"/>
        <w:jc w:val="both"/>
        <w:rPr>
          <w:rFonts w:ascii="Times New Roman" w:hAnsi="Times New Roman" w:cs="Times New Roman"/>
        </w:rPr>
      </w:pPr>
    </w:p>
    <w:p w14:paraId="36D98854" w14:textId="77777777" w:rsidR="005B7446" w:rsidRPr="009E6FB5" w:rsidRDefault="00F44ABA">
      <w:pPr>
        <w:pStyle w:val="ListParagraph"/>
        <w:numPr>
          <w:ilvl w:val="0"/>
          <w:numId w:val="1"/>
        </w:numPr>
        <w:jc w:val="both"/>
        <w:rPr>
          <w:rFonts w:ascii="Times New Roman" w:hAnsi="Times New Roman" w:cs="Times New Roman"/>
        </w:rPr>
      </w:pPr>
      <w:r>
        <w:rPr>
          <w:rFonts w:ascii="Times New Roman" w:hAnsi="Times New Roman" w:cs="Times New Roman"/>
        </w:rPr>
        <w:t>The</w:t>
      </w:r>
      <w:r>
        <w:rPr>
          <w:rFonts w:ascii="Times New Roman" w:hAnsi="Malgun Gothic" w:cs="Malgun Gothic"/>
        </w:rPr>
        <w:t xml:space="preserve"> Commission will constantly monitor the implementation of the Communication and Vis</w:t>
      </w:r>
      <w:r>
        <w:rPr>
          <w:rFonts w:ascii="Times New Roman" w:hAnsi="Aptos" w:cs="Aptos"/>
        </w:rPr>
        <w:t>ibility Plan, in line with the agreed ToR and based on the information provided by the RGF Coordinator.</w:t>
      </w:r>
    </w:p>
    <w:p w14:paraId="411E9941" w14:textId="77777777" w:rsidR="009E6FB5" w:rsidRPr="009E6FB5" w:rsidRDefault="009E6FB5" w:rsidP="009E6FB5">
      <w:pPr>
        <w:pStyle w:val="ListParagraph"/>
        <w:rPr>
          <w:rFonts w:ascii="Times New Roman" w:hAnsi="Times New Roman" w:cs="Times New Roman"/>
        </w:rPr>
      </w:pPr>
    </w:p>
    <w:p w14:paraId="05080F63" w14:textId="774E5121" w:rsidR="009E6FB5" w:rsidRPr="00D9325E" w:rsidRDefault="009E6FB5" w:rsidP="003D595D">
      <w:pPr>
        <w:pStyle w:val="ListParagraph"/>
        <w:jc w:val="both"/>
        <w:rPr>
          <w:rFonts w:ascii="Times New Roman" w:hAnsi="Times New Roman" w:cs="Times New Roman"/>
          <w:highlight w:val="yellow"/>
        </w:rPr>
      </w:pPr>
    </w:p>
    <w:sectPr w:rsidR="009E6FB5" w:rsidRPr="00D932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C7E1" w14:textId="77777777" w:rsidR="00D03B82" w:rsidRDefault="00D03B82">
      <w:pPr>
        <w:spacing w:before="0" w:after="0" w:line="240" w:lineRule="auto"/>
      </w:pPr>
      <w:r>
        <w:separator/>
      </w:r>
    </w:p>
  </w:endnote>
  <w:endnote w:type="continuationSeparator" w:id="0">
    <w:p w14:paraId="3D3564EB" w14:textId="77777777" w:rsidR="00D03B82" w:rsidRDefault="00D03B82">
      <w:pPr>
        <w:spacing w:before="0" w:after="0" w:line="240" w:lineRule="auto"/>
      </w:pPr>
      <w:r>
        <w:continuationSeparator/>
      </w:r>
    </w:p>
  </w:endnote>
  <w:endnote w:type="continuationNotice" w:id="1">
    <w:p w14:paraId="3526AAE6" w14:textId="77777777" w:rsidR="00D03B82" w:rsidRDefault="00D03B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933E" w14:textId="77777777" w:rsidR="005B7446" w:rsidRDefault="005B7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903C" w14:textId="77777777" w:rsidR="005B7446" w:rsidRDefault="005B7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6385" w14:textId="77777777" w:rsidR="005B7446" w:rsidRDefault="005B7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4613" w14:textId="77777777" w:rsidR="00D03B82" w:rsidRDefault="00D03B82">
      <w:pPr>
        <w:spacing w:before="0" w:after="0" w:line="240" w:lineRule="auto"/>
      </w:pPr>
      <w:r>
        <w:separator/>
      </w:r>
    </w:p>
  </w:footnote>
  <w:footnote w:type="continuationSeparator" w:id="0">
    <w:p w14:paraId="231F3436" w14:textId="77777777" w:rsidR="00D03B82" w:rsidRDefault="00D03B82">
      <w:pPr>
        <w:spacing w:before="0" w:after="0" w:line="240" w:lineRule="auto"/>
      </w:pPr>
      <w:r>
        <w:continuationSeparator/>
      </w:r>
    </w:p>
  </w:footnote>
  <w:footnote w:type="continuationNotice" w:id="1">
    <w:p w14:paraId="7358BE38" w14:textId="77777777" w:rsidR="00D03B82" w:rsidRDefault="00D03B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165B" w14:textId="77777777" w:rsidR="005B7446" w:rsidRDefault="005B7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17D0" w14:textId="77777777" w:rsidR="005B7446" w:rsidRDefault="00F44ABA">
    <w:pPr>
      <w:pStyle w:val="Header"/>
      <w:jc w:val="center"/>
      <w:rPr>
        <w:rFonts w:ascii="Times New Roman" w:hAnsi="Times New Roman" w:cs="Times New Roman"/>
        <w:i/>
      </w:rPr>
    </w:pPr>
    <w:r>
      <w:rPr>
        <w:rFonts w:ascii="Times New Roman" w:hAnsi="Times New Roman" w:cs="Times New Roman"/>
        <w:i/>
      </w:rPr>
      <w:t>1</w:t>
    </w:r>
    <w:r>
      <w:rPr>
        <w:rFonts w:ascii="Times New Roman" w:hAnsi="Times New Roman" w:cs="Times New Roman"/>
        <w:i/>
        <w:vertAlign w:val="superscript"/>
      </w:rPr>
      <w:t>st</w:t>
    </w:r>
    <w:r>
      <w:rPr>
        <w:rFonts w:ascii="Times New Roman" w:hAnsi="Times New Roman" w:cs="Times New Roman"/>
        <w:i/>
      </w:rPr>
      <w:t xml:space="preserve"> Meeting of the Reform and Growth Facility Monitoring Committee</w:t>
    </w:r>
  </w:p>
  <w:p w14:paraId="19E15936" w14:textId="77777777" w:rsidR="005B7446" w:rsidRDefault="00F44ABA">
    <w:pPr>
      <w:pStyle w:val="Header"/>
      <w:jc w:val="center"/>
      <w:rPr>
        <w:rFonts w:ascii="Times New Roman" w:hAnsi="Times New Roman" w:cs="Times New Roman"/>
        <w:i/>
      </w:rPr>
    </w:pPr>
    <w:r>
      <w:rPr>
        <w:rFonts w:ascii="Times New Roman" w:hAnsi="Times New Roman" w:cs="Times New Roman"/>
        <w:i/>
      </w:rPr>
      <w:t>2</w:t>
    </w:r>
    <w:r>
      <w:rPr>
        <w:rFonts w:ascii="Times New Roman" w:hAnsi="Times New Roman" w:cs="Times New Roman"/>
        <w:i/>
        <w:vertAlign w:val="superscript"/>
      </w:rPr>
      <w:t>nd</w:t>
    </w:r>
    <w:r>
      <w:rPr>
        <w:rFonts w:ascii="Times New Roman" w:hAnsi="Times New Roman" w:cs="Times New Roman"/>
        <w:i/>
      </w:rPr>
      <w:t xml:space="preserve"> 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63AE" w14:textId="77777777" w:rsidR="005B7446" w:rsidRDefault="005B7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43653DA3"/>
    <w:lvl w:ilvl="0" w:tplc="9A60C440">
      <w:numFmt w:val="bullet"/>
      <w:lvlText w:val="-"/>
      <w:lvlJc w:val="left"/>
      <w:pPr>
        <w:ind w:left="720" w:hanging="360"/>
      </w:pPr>
      <w:rPr>
        <w:rFonts w:ascii="Calibri" w:eastAsiaTheme="minorEastAsia" w:hAnsi="Calibri" w:cs="Calibri" w:hint="default"/>
        <w:shd w:val="clear" w:color="auto" w:fill="auto"/>
      </w:rPr>
    </w:lvl>
    <w:lvl w:ilvl="1" w:tplc="760AFA9E">
      <w:start w:val="1"/>
      <w:numFmt w:val="bullet"/>
      <w:lvlText w:val="o"/>
      <w:lvlJc w:val="left"/>
      <w:pPr>
        <w:ind w:left="1440" w:hanging="360"/>
      </w:pPr>
      <w:rPr>
        <w:rFonts w:ascii="Courier New" w:hAnsi="Courier New" w:cs="Courier New" w:hint="default"/>
        <w:shd w:val="clear" w:color="auto" w:fill="auto"/>
      </w:rPr>
    </w:lvl>
    <w:lvl w:ilvl="2" w:tplc="2EE446DC">
      <w:start w:val="1"/>
      <w:numFmt w:val="bullet"/>
      <w:lvlText w:val="§"/>
      <w:lvlJc w:val="left"/>
      <w:pPr>
        <w:ind w:left="2160" w:hanging="360"/>
      </w:pPr>
      <w:rPr>
        <w:rFonts w:ascii="Wingdings" w:hAnsi="Wingdings" w:hint="default"/>
        <w:shd w:val="clear" w:color="auto" w:fill="auto"/>
      </w:rPr>
    </w:lvl>
    <w:lvl w:ilvl="3" w:tplc="C3E2704A">
      <w:start w:val="1"/>
      <w:numFmt w:val="bullet"/>
      <w:lvlText w:val="·"/>
      <w:lvlJc w:val="left"/>
      <w:pPr>
        <w:ind w:left="2880" w:hanging="360"/>
      </w:pPr>
      <w:rPr>
        <w:rFonts w:ascii="Symbol" w:hAnsi="Symbol" w:hint="default"/>
        <w:shd w:val="clear" w:color="auto" w:fill="auto"/>
      </w:rPr>
    </w:lvl>
    <w:lvl w:ilvl="4" w:tplc="5A4213C2">
      <w:start w:val="1"/>
      <w:numFmt w:val="bullet"/>
      <w:lvlText w:val="o"/>
      <w:lvlJc w:val="left"/>
      <w:pPr>
        <w:ind w:left="3600" w:hanging="360"/>
      </w:pPr>
      <w:rPr>
        <w:rFonts w:ascii="Courier New" w:hAnsi="Courier New" w:cs="Courier New" w:hint="default"/>
        <w:shd w:val="clear" w:color="auto" w:fill="auto"/>
      </w:rPr>
    </w:lvl>
    <w:lvl w:ilvl="5" w:tplc="669A9AA2">
      <w:start w:val="1"/>
      <w:numFmt w:val="bullet"/>
      <w:lvlText w:val="§"/>
      <w:lvlJc w:val="left"/>
      <w:pPr>
        <w:ind w:left="4320" w:hanging="360"/>
      </w:pPr>
      <w:rPr>
        <w:rFonts w:ascii="Wingdings" w:hAnsi="Wingdings" w:hint="default"/>
        <w:shd w:val="clear" w:color="auto" w:fill="auto"/>
      </w:rPr>
    </w:lvl>
    <w:lvl w:ilvl="6" w:tplc="BFE094AC">
      <w:start w:val="1"/>
      <w:numFmt w:val="bullet"/>
      <w:lvlText w:val="·"/>
      <w:lvlJc w:val="left"/>
      <w:pPr>
        <w:ind w:left="5040" w:hanging="360"/>
      </w:pPr>
      <w:rPr>
        <w:rFonts w:ascii="Symbol" w:hAnsi="Symbol" w:hint="default"/>
        <w:shd w:val="clear" w:color="auto" w:fill="auto"/>
      </w:rPr>
    </w:lvl>
    <w:lvl w:ilvl="7" w:tplc="1FAA4114">
      <w:start w:val="1"/>
      <w:numFmt w:val="bullet"/>
      <w:lvlText w:val="o"/>
      <w:lvlJc w:val="left"/>
      <w:pPr>
        <w:ind w:left="5760" w:hanging="360"/>
      </w:pPr>
      <w:rPr>
        <w:rFonts w:ascii="Courier New" w:hAnsi="Courier New" w:cs="Courier New" w:hint="default"/>
        <w:shd w:val="clear" w:color="auto" w:fill="auto"/>
      </w:rPr>
    </w:lvl>
    <w:lvl w:ilvl="8" w:tplc="27ECFA24">
      <w:start w:val="1"/>
      <w:numFmt w:val="bullet"/>
      <w:lvlText w:val="§"/>
      <w:lvlJc w:val="left"/>
      <w:pPr>
        <w:ind w:left="6480" w:hanging="360"/>
      </w:pPr>
      <w:rPr>
        <w:rFonts w:ascii="Wingdings" w:hAnsi="Wingdings" w:hint="default"/>
        <w:shd w:val="clear" w:color="auto" w:fill="auto"/>
      </w:rPr>
    </w:lvl>
  </w:abstractNum>
  <w:abstractNum w:abstractNumId="1" w15:restartNumberingAfterBreak="0">
    <w:nsid w:val="2F000001"/>
    <w:multiLevelType w:val="hybridMultilevel"/>
    <w:tmpl w:val="203C7136"/>
    <w:lvl w:ilvl="0" w:tplc="99A0F734">
      <w:start w:val="1"/>
      <w:numFmt w:val="decimal"/>
      <w:lvlText w:val="%1."/>
      <w:lvlJc w:val="left"/>
      <w:pPr>
        <w:ind w:left="720" w:hanging="360"/>
      </w:pPr>
      <w:rPr>
        <w:rFonts w:hint="default"/>
        <w:b w:val="0"/>
        <w:shd w:val="clear" w:color="auto" w:fill="auto"/>
      </w:rPr>
    </w:lvl>
    <w:lvl w:ilvl="1" w:tplc="3E606AC0">
      <w:start w:val="1"/>
      <w:numFmt w:val="lowerLetter"/>
      <w:lvlText w:val="%2."/>
      <w:lvlJc w:val="left"/>
      <w:pPr>
        <w:ind w:left="1440" w:hanging="360"/>
      </w:pPr>
      <w:rPr>
        <w:shd w:val="clear" w:color="auto" w:fill="auto"/>
      </w:rPr>
    </w:lvl>
    <w:lvl w:ilvl="2" w:tplc="C2BC59CC">
      <w:start w:val="1"/>
      <w:numFmt w:val="lowerRoman"/>
      <w:lvlText w:val="%3."/>
      <w:lvlJc w:val="right"/>
      <w:pPr>
        <w:ind w:left="2160" w:hanging="180"/>
      </w:pPr>
      <w:rPr>
        <w:shd w:val="clear" w:color="auto" w:fill="auto"/>
      </w:rPr>
    </w:lvl>
    <w:lvl w:ilvl="3" w:tplc="822EAC50">
      <w:start w:val="1"/>
      <w:numFmt w:val="decimal"/>
      <w:lvlText w:val="%4."/>
      <w:lvlJc w:val="left"/>
      <w:pPr>
        <w:ind w:left="2880" w:hanging="360"/>
      </w:pPr>
      <w:rPr>
        <w:shd w:val="clear" w:color="auto" w:fill="auto"/>
      </w:rPr>
    </w:lvl>
    <w:lvl w:ilvl="4" w:tplc="0F84AE40">
      <w:start w:val="1"/>
      <w:numFmt w:val="lowerLetter"/>
      <w:lvlText w:val="%5."/>
      <w:lvlJc w:val="left"/>
      <w:pPr>
        <w:ind w:left="3600" w:hanging="360"/>
      </w:pPr>
      <w:rPr>
        <w:shd w:val="clear" w:color="auto" w:fill="auto"/>
      </w:rPr>
    </w:lvl>
    <w:lvl w:ilvl="5" w:tplc="82C43122">
      <w:start w:val="1"/>
      <w:numFmt w:val="lowerRoman"/>
      <w:lvlText w:val="%6."/>
      <w:lvlJc w:val="right"/>
      <w:pPr>
        <w:ind w:left="4320" w:hanging="180"/>
      </w:pPr>
      <w:rPr>
        <w:shd w:val="clear" w:color="auto" w:fill="auto"/>
      </w:rPr>
    </w:lvl>
    <w:lvl w:ilvl="6" w:tplc="6A6E7ADC">
      <w:start w:val="1"/>
      <w:numFmt w:val="decimal"/>
      <w:lvlText w:val="%7."/>
      <w:lvlJc w:val="left"/>
      <w:pPr>
        <w:ind w:left="5040" w:hanging="360"/>
      </w:pPr>
      <w:rPr>
        <w:shd w:val="clear" w:color="auto" w:fill="auto"/>
      </w:rPr>
    </w:lvl>
    <w:lvl w:ilvl="7" w:tplc="AADEAA68">
      <w:start w:val="1"/>
      <w:numFmt w:val="lowerLetter"/>
      <w:lvlText w:val="%8."/>
      <w:lvlJc w:val="left"/>
      <w:pPr>
        <w:ind w:left="5760" w:hanging="360"/>
      </w:pPr>
      <w:rPr>
        <w:shd w:val="clear" w:color="auto" w:fill="auto"/>
      </w:rPr>
    </w:lvl>
    <w:lvl w:ilvl="8" w:tplc="E7146FD8">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4B95BF9C"/>
    <w:lvl w:ilvl="0" w:tplc="12D6F9BE">
      <w:start w:val="1"/>
      <w:numFmt w:val="bullet"/>
      <w:lvlText w:val="·"/>
      <w:lvlJc w:val="left"/>
      <w:pPr>
        <w:ind w:left="720" w:hanging="360"/>
      </w:pPr>
      <w:rPr>
        <w:rFonts w:ascii="Symbol" w:hAnsi="Symbol" w:hint="default"/>
        <w:shd w:val="clear" w:color="auto" w:fill="auto"/>
      </w:rPr>
    </w:lvl>
    <w:lvl w:ilvl="1" w:tplc="85E4E24A">
      <w:start w:val="1"/>
      <w:numFmt w:val="bullet"/>
      <w:lvlText w:val="o"/>
      <w:lvlJc w:val="left"/>
      <w:pPr>
        <w:ind w:left="1440" w:hanging="360"/>
      </w:pPr>
      <w:rPr>
        <w:rFonts w:ascii="Courier New" w:hAnsi="Courier New" w:cs="Courier New" w:hint="default"/>
        <w:shd w:val="clear" w:color="auto" w:fill="auto"/>
      </w:rPr>
    </w:lvl>
    <w:lvl w:ilvl="2" w:tplc="D3E6DB08">
      <w:start w:val="1"/>
      <w:numFmt w:val="bullet"/>
      <w:lvlText w:val="§"/>
      <w:lvlJc w:val="left"/>
      <w:pPr>
        <w:ind w:left="2160" w:hanging="360"/>
      </w:pPr>
      <w:rPr>
        <w:rFonts w:ascii="Wingdings" w:hAnsi="Wingdings" w:hint="default"/>
        <w:shd w:val="clear" w:color="auto" w:fill="auto"/>
      </w:rPr>
    </w:lvl>
    <w:lvl w:ilvl="3" w:tplc="73E45E22">
      <w:start w:val="1"/>
      <w:numFmt w:val="bullet"/>
      <w:lvlText w:val="·"/>
      <w:lvlJc w:val="left"/>
      <w:pPr>
        <w:ind w:left="2880" w:hanging="360"/>
      </w:pPr>
      <w:rPr>
        <w:rFonts w:ascii="Symbol" w:hAnsi="Symbol" w:hint="default"/>
        <w:shd w:val="clear" w:color="auto" w:fill="auto"/>
      </w:rPr>
    </w:lvl>
    <w:lvl w:ilvl="4" w:tplc="BA5C0B18">
      <w:start w:val="1"/>
      <w:numFmt w:val="bullet"/>
      <w:lvlText w:val="o"/>
      <w:lvlJc w:val="left"/>
      <w:pPr>
        <w:ind w:left="3600" w:hanging="360"/>
      </w:pPr>
      <w:rPr>
        <w:rFonts w:ascii="Courier New" w:hAnsi="Courier New" w:cs="Courier New" w:hint="default"/>
        <w:shd w:val="clear" w:color="auto" w:fill="auto"/>
      </w:rPr>
    </w:lvl>
    <w:lvl w:ilvl="5" w:tplc="0AF6CA82">
      <w:start w:val="1"/>
      <w:numFmt w:val="bullet"/>
      <w:lvlText w:val="§"/>
      <w:lvlJc w:val="left"/>
      <w:pPr>
        <w:ind w:left="4320" w:hanging="360"/>
      </w:pPr>
      <w:rPr>
        <w:rFonts w:ascii="Wingdings" w:hAnsi="Wingdings" w:hint="default"/>
        <w:shd w:val="clear" w:color="auto" w:fill="auto"/>
      </w:rPr>
    </w:lvl>
    <w:lvl w:ilvl="6" w:tplc="7CD2116A">
      <w:start w:val="1"/>
      <w:numFmt w:val="bullet"/>
      <w:lvlText w:val="·"/>
      <w:lvlJc w:val="left"/>
      <w:pPr>
        <w:ind w:left="5040" w:hanging="360"/>
      </w:pPr>
      <w:rPr>
        <w:rFonts w:ascii="Symbol" w:hAnsi="Symbol" w:hint="default"/>
        <w:shd w:val="clear" w:color="auto" w:fill="auto"/>
      </w:rPr>
    </w:lvl>
    <w:lvl w:ilvl="7" w:tplc="524CC0F6">
      <w:start w:val="1"/>
      <w:numFmt w:val="bullet"/>
      <w:lvlText w:val="o"/>
      <w:lvlJc w:val="left"/>
      <w:pPr>
        <w:ind w:left="5760" w:hanging="360"/>
      </w:pPr>
      <w:rPr>
        <w:rFonts w:ascii="Courier New" w:hAnsi="Courier New" w:cs="Courier New" w:hint="default"/>
        <w:shd w:val="clear" w:color="auto" w:fill="auto"/>
      </w:rPr>
    </w:lvl>
    <w:lvl w:ilvl="8" w:tplc="16806C2E">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hybridMultilevel"/>
    <w:tmpl w:val="3DC35A74"/>
    <w:lvl w:ilvl="0" w:tplc="EDC416B2">
      <w:start w:val="1"/>
      <w:numFmt w:val="bullet"/>
      <w:lvlText w:val="·"/>
      <w:lvlJc w:val="left"/>
      <w:pPr>
        <w:ind w:left="720" w:hanging="360"/>
      </w:pPr>
      <w:rPr>
        <w:rFonts w:ascii="Symbol" w:hAnsi="Symbol" w:hint="default"/>
        <w:shd w:val="clear" w:color="auto" w:fill="auto"/>
      </w:rPr>
    </w:lvl>
    <w:lvl w:ilvl="1" w:tplc="25A21942">
      <w:start w:val="1"/>
      <w:numFmt w:val="bullet"/>
      <w:lvlText w:val="o"/>
      <w:lvlJc w:val="left"/>
      <w:pPr>
        <w:ind w:left="1440" w:hanging="360"/>
      </w:pPr>
      <w:rPr>
        <w:rFonts w:ascii="Courier New" w:hAnsi="Courier New" w:cs="Courier New" w:hint="default"/>
        <w:shd w:val="clear" w:color="auto" w:fill="auto"/>
      </w:rPr>
    </w:lvl>
    <w:lvl w:ilvl="2" w:tplc="67D8275E">
      <w:start w:val="1"/>
      <w:numFmt w:val="bullet"/>
      <w:lvlText w:val="§"/>
      <w:lvlJc w:val="left"/>
      <w:pPr>
        <w:ind w:left="2160" w:hanging="360"/>
      </w:pPr>
      <w:rPr>
        <w:rFonts w:ascii="Wingdings" w:hAnsi="Wingdings" w:hint="default"/>
        <w:shd w:val="clear" w:color="auto" w:fill="auto"/>
      </w:rPr>
    </w:lvl>
    <w:lvl w:ilvl="3" w:tplc="CE5C4D0E">
      <w:start w:val="1"/>
      <w:numFmt w:val="bullet"/>
      <w:lvlText w:val="·"/>
      <w:lvlJc w:val="left"/>
      <w:pPr>
        <w:ind w:left="2880" w:hanging="360"/>
      </w:pPr>
      <w:rPr>
        <w:rFonts w:ascii="Symbol" w:hAnsi="Symbol" w:hint="default"/>
        <w:shd w:val="clear" w:color="auto" w:fill="auto"/>
      </w:rPr>
    </w:lvl>
    <w:lvl w:ilvl="4" w:tplc="613499CC">
      <w:start w:val="1"/>
      <w:numFmt w:val="bullet"/>
      <w:lvlText w:val="o"/>
      <w:lvlJc w:val="left"/>
      <w:pPr>
        <w:ind w:left="3600" w:hanging="360"/>
      </w:pPr>
      <w:rPr>
        <w:rFonts w:ascii="Courier New" w:hAnsi="Courier New" w:cs="Courier New" w:hint="default"/>
        <w:shd w:val="clear" w:color="auto" w:fill="auto"/>
      </w:rPr>
    </w:lvl>
    <w:lvl w:ilvl="5" w:tplc="A31045A4">
      <w:start w:val="1"/>
      <w:numFmt w:val="bullet"/>
      <w:lvlText w:val="§"/>
      <w:lvlJc w:val="left"/>
      <w:pPr>
        <w:ind w:left="4320" w:hanging="360"/>
      </w:pPr>
      <w:rPr>
        <w:rFonts w:ascii="Wingdings" w:hAnsi="Wingdings" w:hint="default"/>
        <w:shd w:val="clear" w:color="auto" w:fill="auto"/>
      </w:rPr>
    </w:lvl>
    <w:lvl w:ilvl="6" w:tplc="0D26CFCC">
      <w:start w:val="1"/>
      <w:numFmt w:val="bullet"/>
      <w:lvlText w:val="·"/>
      <w:lvlJc w:val="left"/>
      <w:pPr>
        <w:ind w:left="5040" w:hanging="360"/>
      </w:pPr>
      <w:rPr>
        <w:rFonts w:ascii="Symbol" w:hAnsi="Symbol" w:hint="default"/>
        <w:shd w:val="clear" w:color="auto" w:fill="auto"/>
      </w:rPr>
    </w:lvl>
    <w:lvl w:ilvl="7" w:tplc="51C41E72">
      <w:start w:val="1"/>
      <w:numFmt w:val="bullet"/>
      <w:lvlText w:val="o"/>
      <w:lvlJc w:val="left"/>
      <w:pPr>
        <w:ind w:left="5760" w:hanging="360"/>
      </w:pPr>
      <w:rPr>
        <w:rFonts w:ascii="Courier New" w:hAnsi="Courier New" w:cs="Courier New" w:hint="default"/>
        <w:shd w:val="clear" w:color="auto" w:fill="auto"/>
      </w:rPr>
    </w:lvl>
    <w:lvl w:ilvl="8" w:tplc="78AE22A8">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407BA2A7"/>
    <w:lvl w:ilvl="0" w:tplc="1F8A37B2">
      <w:start w:val="1"/>
      <w:numFmt w:val="bullet"/>
      <w:lvlText w:val="·"/>
      <w:lvlJc w:val="left"/>
      <w:pPr>
        <w:ind w:left="720" w:hanging="360"/>
      </w:pPr>
      <w:rPr>
        <w:rFonts w:ascii="Symbol" w:hAnsi="Symbol" w:hint="default"/>
        <w:shd w:val="clear" w:color="auto" w:fill="auto"/>
      </w:rPr>
    </w:lvl>
    <w:lvl w:ilvl="1" w:tplc="11682178">
      <w:start w:val="1"/>
      <w:numFmt w:val="bullet"/>
      <w:lvlText w:val="o"/>
      <w:lvlJc w:val="left"/>
      <w:pPr>
        <w:ind w:left="1440" w:hanging="360"/>
      </w:pPr>
      <w:rPr>
        <w:rFonts w:ascii="Courier New" w:hAnsi="Courier New" w:cs="Courier New" w:hint="default"/>
        <w:shd w:val="clear" w:color="auto" w:fill="auto"/>
      </w:rPr>
    </w:lvl>
    <w:lvl w:ilvl="2" w:tplc="418C25A6">
      <w:start w:val="1"/>
      <w:numFmt w:val="bullet"/>
      <w:lvlText w:val="§"/>
      <w:lvlJc w:val="left"/>
      <w:pPr>
        <w:ind w:left="2160" w:hanging="360"/>
      </w:pPr>
      <w:rPr>
        <w:rFonts w:ascii="Wingdings" w:hAnsi="Wingdings" w:hint="default"/>
        <w:shd w:val="clear" w:color="auto" w:fill="auto"/>
      </w:rPr>
    </w:lvl>
    <w:lvl w:ilvl="3" w:tplc="CF66326A">
      <w:start w:val="1"/>
      <w:numFmt w:val="bullet"/>
      <w:lvlText w:val="·"/>
      <w:lvlJc w:val="left"/>
      <w:pPr>
        <w:ind w:left="2880" w:hanging="360"/>
      </w:pPr>
      <w:rPr>
        <w:rFonts w:ascii="Symbol" w:hAnsi="Symbol" w:hint="default"/>
        <w:shd w:val="clear" w:color="auto" w:fill="auto"/>
      </w:rPr>
    </w:lvl>
    <w:lvl w:ilvl="4" w:tplc="6D3E6578">
      <w:start w:val="1"/>
      <w:numFmt w:val="bullet"/>
      <w:lvlText w:val="o"/>
      <w:lvlJc w:val="left"/>
      <w:pPr>
        <w:ind w:left="3600" w:hanging="360"/>
      </w:pPr>
      <w:rPr>
        <w:rFonts w:ascii="Courier New" w:hAnsi="Courier New" w:cs="Courier New" w:hint="default"/>
        <w:shd w:val="clear" w:color="auto" w:fill="auto"/>
      </w:rPr>
    </w:lvl>
    <w:lvl w:ilvl="5" w:tplc="1E2AB8DE">
      <w:start w:val="1"/>
      <w:numFmt w:val="bullet"/>
      <w:lvlText w:val="§"/>
      <w:lvlJc w:val="left"/>
      <w:pPr>
        <w:ind w:left="4320" w:hanging="360"/>
      </w:pPr>
      <w:rPr>
        <w:rFonts w:ascii="Wingdings" w:hAnsi="Wingdings" w:hint="default"/>
        <w:shd w:val="clear" w:color="auto" w:fill="auto"/>
      </w:rPr>
    </w:lvl>
    <w:lvl w:ilvl="6" w:tplc="9618AFAE">
      <w:start w:val="1"/>
      <w:numFmt w:val="bullet"/>
      <w:lvlText w:val="·"/>
      <w:lvlJc w:val="left"/>
      <w:pPr>
        <w:ind w:left="5040" w:hanging="360"/>
      </w:pPr>
      <w:rPr>
        <w:rFonts w:ascii="Symbol" w:hAnsi="Symbol" w:hint="default"/>
        <w:shd w:val="clear" w:color="auto" w:fill="auto"/>
      </w:rPr>
    </w:lvl>
    <w:lvl w:ilvl="7" w:tplc="4A587962">
      <w:start w:val="1"/>
      <w:numFmt w:val="bullet"/>
      <w:lvlText w:val="o"/>
      <w:lvlJc w:val="left"/>
      <w:pPr>
        <w:ind w:left="5760" w:hanging="360"/>
      </w:pPr>
      <w:rPr>
        <w:rFonts w:ascii="Courier New" w:hAnsi="Courier New" w:cs="Courier New" w:hint="default"/>
        <w:shd w:val="clear" w:color="auto" w:fill="auto"/>
      </w:rPr>
    </w:lvl>
    <w:lvl w:ilvl="8" w:tplc="4ABEBFEA">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31E04B6F"/>
    <w:lvl w:ilvl="0" w:tplc="987C694E">
      <w:start w:val="1"/>
      <w:numFmt w:val="bullet"/>
      <w:lvlText w:val="·"/>
      <w:lvlJc w:val="left"/>
      <w:pPr>
        <w:ind w:left="720" w:hanging="360"/>
      </w:pPr>
      <w:rPr>
        <w:rFonts w:ascii="Symbol" w:hAnsi="Symbol" w:hint="default"/>
        <w:shd w:val="clear" w:color="auto" w:fill="auto"/>
      </w:rPr>
    </w:lvl>
    <w:lvl w:ilvl="1" w:tplc="57CC9F12">
      <w:start w:val="1"/>
      <w:numFmt w:val="bullet"/>
      <w:lvlText w:val="o"/>
      <w:lvlJc w:val="left"/>
      <w:pPr>
        <w:ind w:left="1440" w:hanging="360"/>
      </w:pPr>
      <w:rPr>
        <w:rFonts w:ascii="Courier New" w:hAnsi="Courier New" w:cs="Courier New" w:hint="default"/>
        <w:shd w:val="clear" w:color="auto" w:fill="auto"/>
      </w:rPr>
    </w:lvl>
    <w:lvl w:ilvl="2" w:tplc="F95A7778">
      <w:start w:val="1"/>
      <w:numFmt w:val="bullet"/>
      <w:lvlText w:val="§"/>
      <w:lvlJc w:val="left"/>
      <w:pPr>
        <w:ind w:left="2160" w:hanging="360"/>
      </w:pPr>
      <w:rPr>
        <w:rFonts w:ascii="Wingdings" w:hAnsi="Wingdings" w:hint="default"/>
        <w:shd w:val="clear" w:color="auto" w:fill="auto"/>
      </w:rPr>
    </w:lvl>
    <w:lvl w:ilvl="3" w:tplc="A3F0BE0E">
      <w:start w:val="1"/>
      <w:numFmt w:val="bullet"/>
      <w:lvlText w:val="·"/>
      <w:lvlJc w:val="left"/>
      <w:pPr>
        <w:ind w:left="2880" w:hanging="360"/>
      </w:pPr>
      <w:rPr>
        <w:rFonts w:ascii="Symbol" w:hAnsi="Symbol" w:hint="default"/>
        <w:shd w:val="clear" w:color="auto" w:fill="auto"/>
      </w:rPr>
    </w:lvl>
    <w:lvl w:ilvl="4" w:tplc="A816BEC6">
      <w:start w:val="1"/>
      <w:numFmt w:val="bullet"/>
      <w:lvlText w:val="o"/>
      <w:lvlJc w:val="left"/>
      <w:pPr>
        <w:ind w:left="3600" w:hanging="360"/>
      </w:pPr>
      <w:rPr>
        <w:rFonts w:ascii="Courier New" w:hAnsi="Courier New" w:cs="Courier New" w:hint="default"/>
        <w:shd w:val="clear" w:color="auto" w:fill="auto"/>
      </w:rPr>
    </w:lvl>
    <w:lvl w:ilvl="5" w:tplc="65F4B2B6">
      <w:start w:val="1"/>
      <w:numFmt w:val="bullet"/>
      <w:lvlText w:val="§"/>
      <w:lvlJc w:val="left"/>
      <w:pPr>
        <w:ind w:left="4320" w:hanging="360"/>
      </w:pPr>
      <w:rPr>
        <w:rFonts w:ascii="Wingdings" w:hAnsi="Wingdings" w:hint="default"/>
        <w:shd w:val="clear" w:color="auto" w:fill="auto"/>
      </w:rPr>
    </w:lvl>
    <w:lvl w:ilvl="6" w:tplc="81CCE792">
      <w:start w:val="1"/>
      <w:numFmt w:val="bullet"/>
      <w:lvlText w:val="·"/>
      <w:lvlJc w:val="left"/>
      <w:pPr>
        <w:ind w:left="5040" w:hanging="360"/>
      </w:pPr>
      <w:rPr>
        <w:rFonts w:ascii="Symbol" w:hAnsi="Symbol" w:hint="default"/>
        <w:shd w:val="clear" w:color="auto" w:fill="auto"/>
      </w:rPr>
    </w:lvl>
    <w:lvl w:ilvl="7" w:tplc="6242EB6A">
      <w:start w:val="1"/>
      <w:numFmt w:val="bullet"/>
      <w:lvlText w:val="o"/>
      <w:lvlJc w:val="left"/>
      <w:pPr>
        <w:ind w:left="5760" w:hanging="360"/>
      </w:pPr>
      <w:rPr>
        <w:rFonts w:ascii="Courier New" w:hAnsi="Courier New" w:cs="Courier New" w:hint="default"/>
        <w:shd w:val="clear" w:color="auto" w:fill="auto"/>
      </w:rPr>
    </w:lvl>
    <w:lvl w:ilvl="8" w:tplc="E6AE41E6">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2F000006"/>
    <w:multiLevelType w:val="hybridMultilevel"/>
    <w:tmpl w:val="2642E555"/>
    <w:lvl w:ilvl="0" w:tplc="289EA050">
      <w:numFmt w:val="bullet"/>
      <w:lvlText w:val="-"/>
      <w:lvlJc w:val="left"/>
      <w:pPr>
        <w:ind w:left="720" w:hanging="360"/>
      </w:pPr>
      <w:rPr>
        <w:rFonts w:ascii="Calibri" w:eastAsiaTheme="minorEastAsia" w:hAnsi="Calibri" w:cs="Calibri" w:hint="default"/>
        <w:shd w:val="clear" w:color="auto" w:fill="auto"/>
      </w:rPr>
    </w:lvl>
    <w:lvl w:ilvl="1" w:tplc="A0D8EF06">
      <w:start w:val="1"/>
      <w:numFmt w:val="bullet"/>
      <w:lvlText w:val="o"/>
      <w:lvlJc w:val="left"/>
      <w:pPr>
        <w:ind w:left="1440" w:hanging="360"/>
      </w:pPr>
      <w:rPr>
        <w:rFonts w:ascii="Courier New" w:hAnsi="Courier New" w:cs="Courier New" w:hint="default"/>
        <w:shd w:val="clear" w:color="auto" w:fill="auto"/>
      </w:rPr>
    </w:lvl>
    <w:lvl w:ilvl="2" w:tplc="608C3A9C">
      <w:start w:val="1"/>
      <w:numFmt w:val="bullet"/>
      <w:lvlText w:val="§"/>
      <w:lvlJc w:val="left"/>
      <w:pPr>
        <w:ind w:left="2160" w:hanging="360"/>
      </w:pPr>
      <w:rPr>
        <w:rFonts w:ascii="Wingdings" w:hAnsi="Wingdings" w:hint="default"/>
        <w:shd w:val="clear" w:color="auto" w:fill="auto"/>
      </w:rPr>
    </w:lvl>
    <w:lvl w:ilvl="3" w:tplc="DE2CCAD0">
      <w:start w:val="1"/>
      <w:numFmt w:val="bullet"/>
      <w:lvlText w:val="·"/>
      <w:lvlJc w:val="left"/>
      <w:pPr>
        <w:ind w:left="2880" w:hanging="360"/>
      </w:pPr>
      <w:rPr>
        <w:rFonts w:ascii="Symbol" w:hAnsi="Symbol" w:hint="default"/>
        <w:shd w:val="clear" w:color="auto" w:fill="auto"/>
      </w:rPr>
    </w:lvl>
    <w:lvl w:ilvl="4" w:tplc="18BC27DC">
      <w:start w:val="1"/>
      <w:numFmt w:val="bullet"/>
      <w:lvlText w:val="o"/>
      <w:lvlJc w:val="left"/>
      <w:pPr>
        <w:ind w:left="3600" w:hanging="360"/>
      </w:pPr>
      <w:rPr>
        <w:rFonts w:ascii="Courier New" w:hAnsi="Courier New" w:cs="Courier New" w:hint="default"/>
        <w:shd w:val="clear" w:color="auto" w:fill="auto"/>
      </w:rPr>
    </w:lvl>
    <w:lvl w:ilvl="5" w:tplc="682276F4">
      <w:start w:val="1"/>
      <w:numFmt w:val="bullet"/>
      <w:lvlText w:val="§"/>
      <w:lvlJc w:val="left"/>
      <w:pPr>
        <w:ind w:left="4320" w:hanging="360"/>
      </w:pPr>
      <w:rPr>
        <w:rFonts w:ascii="Wingdings" w:hAnsi="Wingdings" w:hint="default"/>
        <w:shd w:val="clear" w:color="auto" w:fill="auto"/>
      </w:rPr>
    </w:lvl>
    <w:lvl w:ilvl="6" w:tplc="0D9EB9FE">
      <w:start w:val="1"/>
      <w:numFmt w:val="bullet"/>
      <w:lvlText w:val="·"/>
      <w:lvlJc w:val="left"/>
      <w:pPr>
        <w:ind w:left="5040" w:hanging="360"/>
      </w:pPr>
      <w:rPr>
        <w:rFonts w:ascii="Symbol" w:hAnsi="Symbol" w:hint="default"/>
        <w:shd w:val="clear" w:color="auto" w:fill="auto"/>
      </w:rPr>
    </w:lvl>
    <w:lvl w:ilvl="7" w:tplc="C358C248">
      <w:start w:val="1"/>
      <w:numFmt w:val="bullet"/>
      <w:lvlText w:val="o"/>
      <w:lvlJc w:val="left"/>
      <w:pPr>
        <w:ind w:left="5760" w:hanging="360"/>
      </w:pPr>
      <w:rPr>
        <w:rFonts w:ascii="Courier New" w:hAnsi="Courier New" w:cs="Courier New" w:hint="default"/>
        <w:shd w:val="clear" w:color="auto" w:fill="auto"/>
      </w:rPr>
    </w:lvl>
    <w:lvl w:ilvl="8" w:tplc="D9F0800C">
      <w:start w:val="1"/>
      <w:numFmt w:val="bullet"/>
      <w:lvlText w:val="§"/>
      <w:lvlJc w:val="left"/>
      <w:pPr>
        <w:ind w:left="6480" w:hanging="360"/>
      </w:pPr>
      <w:rPr>
        <w:rFonts w:ascii="Wingdings" w:hAnsi="Wingdings" w:hint="default"/>
        <w:shd w:val="clear" w:color="auto" w:fill="auto"/>
      </w:rPr>
    </w:lvl>
  </w:abstractNum>
  <w:abstractNum w:abstractNumId="7" w15:restartNumberingAfterBreak="0">
    <w:nsid w:val="2F000007"/>
    <w:multiLevelType w:val="hybridMultilevel"/>
    <w:tmpl w:val="5DA381CE"/>
    <w:lvl w:ilvl="0" w:tplc="1AA445E8">
      <w:start w:val="1"/>
      <w:numFmt w:val="bullet"/>
      <w:lvlText w:val="·"/>
      <w:lvlJc w:val="left"/>
      <w:pPr>
        <w:ind w:left="720" w:hanging="360"/>
      </w:pPr>
      <w:rPr>
        <w:rFonts w:ascii="Symbol" w:hAnsi="Symbol" w:hint="default"/>
        <w:shd w:val="clear" w:color="auto" w:fill="auto"/>
      </w:rPr>
    </w:lvl>
    <w:lvl w:ilvl="1" w:tplc="564AC298">
      <w:start w:val="1"/>
      <w:numFmt w:val="bullet"/>
      <w:lvlText w:val="o"/>
      <w:lvlJc w:val="left"/>
      <w:pPr>
        <w:ind w:left="1440" w:hanging="360"/>
      </w:pPr>
      <w:rPr>
        <w:rFonts w:ascii="Courier New" w:hAnsi="Courier New" w:cs="Courier New" w:hint="default"/>
        <w:shd w:val="clear" w:color="auto" w:fill="auto"/>
      </w:rPr>
    </w:lvl>
    <w:lvl w:ilvl="2" w:tplc="B24A6C18">
      <w:start w:val="1"/>
      <w:numFmt w:val="bullet"/>
      <w:lvlText w:val="§"/>
      <w:lvlJc w:val="left"/>
      <w:pPr>
        <w:ind w:left="2160" w:hanging="360"/>
      </w:pPr>
      <w:rPr>
        <w:rFonts w:ascii="Wingdings" w:hAnsi="Wingdings" w:hint="default"/>
        <w:shd w:val="clear" w:color="auto" w:fill="auto"/>
      </w:rPr>
    </w:lvl>
    <w:lvl w:ilvl="3" w:tplc="64404C06">
      <w:start w:val="1"/>
      <w:numFmt w:val="bullet"/>
      <w:lvlText w:val="·"/>
      <w:lvlJc w:val="left"/>
      <w:pPr>
        <w:ind w:left="2880" w:hanging="360"/>
      </w:pPr>
      <w:rPr>
        <w:rFonts w:ascii="Symbol" w:hAnsi="Symbol" w:hint="default"/>
        <w:shd w:val="clear" w:color="auto" w:fill="auto"/>
      </w:rPr>
    </w:lvl>
    <w:lvl w:ilvl="4" w:tplc="FFF64F0C">
      <w:start w:val="1"/>
      <w:numFmt w:val="bullet"/>
      <w:lvlText w:val="o"/>
      <w:lvlJc w:val="left"/>
      <w:pPr>
        <w:ind w:left="3600" w:hanging="360"/>
      </w:pPr>
      <w:rPr>
        <w:rFonts w:ascii="Courier New" w:hAnsi="Courier New" w:cs="Courier New" w:hint="default"/>
        <w:shd w:val="clear" w:color="auto" w:fill="auto"/>
      </w:rPr>
    </w:lvl>
    <w:lvl w:ilvl="5" w:tplc="E91EEAD2">
      <w:start w:val="1"/>
      <w:numFmt w:val="bullet"/>
      <w:lvlText w:val="§"/>
      <w:lvlJc w:val="left"/>
      <w:pPr>
        <w:ind w:left="4320" w:hanging="360"/>
      </w:pPr>
      <w:rPr>
        <w:rFonts w:ascii="Wingdings" w:hAnsi="Wingdings" w:hint="default"/>
        <w:shd w:val="clear" w:color="auto" w:fill="auto"/>
      </w:rPr>
    </w:lvl>
    <w:lvl w:ilvl="6" w:tplc="02C8178A">
      <w:start w:val="1"/>
      <w:numFmt w:val="bullet"/>
      <w:lvlText w:val="·"/>
      <w:lvlJc w:val="left"/>
      <w:pPr>
        <w:ind w:left="5040" w:hanging="360"/>
      </w:pPr>
      <w:rPr>
        <w:rFonts w:ascii="Symbol" w:hAnsi="Symbol" w:hint="default"/>
        <w:shd w:val="clear" w:color="auto" w:fill="auto"/>
      </w:rPr>
    </w:lvl>
    <w:lvl w:ilvl="7" w:tplc="76040384">
      <w:start w:val="1"/>
      <w:numFmt w:val="bullet"/>
      <w:lvlText w:val="o"/>
      <w:lvlJc w:val="left"/>
      <w:pPr>
        <w:ind w:left="5760" w:hanging="360"/>
      </w:pPr>
      <w:rPr>
        <w:rFonts w:ascii="Courier New" w:hAnsi="Courier New" w:cs="Courier New" w:hint="default"/>
        <w:shd w:val="clear" w:color="auto" w:fill="auto"/>
      </w:rPr>
    </w:lvl>
    <w:lvl w:ilvl="8" w:tplc="487291A8">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5B23729"/>
    <w:lvl w:ilvl="0" w:tplc="39C25292">
      <w:start w:val="1"/>
      <w:numFmt w:val="bullet"/>
      <w:lvlText w:val="·"/>
      <w:lvlJc w:val="left"/>
      <w:pPr>
        <w:ind w:left="720" w:hanging="360"/>
      </w:pPr>
      <w:rPr>
        <w:rFonts w:ascii="Symbol" w:hAnsi="Symbol" w:hint="default"/>
        <w:shd w:val="clear" w:color="auto" w:fill="auto"/>
      </w:rPr>
    </w:lvl>
    <w:lvl w:ilvl="1" w:tplc="FE7EC566">
      <w:start w:val="1"/>
      <w:numFmt w:val="bullet"/>
      <w:lvlText w:val="o"/>
      <w:lvlJc w:val="left"/>
      <w:pPr>
        <w:ind w:left="1440" w:hanging="360"/>
      </w:pPr>
      <w:rPr>
        <w:rFonts w:ascii="Courier New" w:hAnsi="Courier New" w:cs="Courier New" w:hint="default"/>
        <w:shd w:val="clear" w:color="auto" w:fill="auto"/>
      </w:rPr>
    </w:lvl>
    <w:lvl w:ilvl="2" w:tplc="50F2E944">
      <w:start w:val="1"/>
      <w:numFmt w:val="bullet"/>
      <w:lvlText w:val="§"/>
      <w:lvlJc w:val="left"/>
      <w:pPr>
        <w:ind w:left="2160" w:hanging="360"/>
      </w:pPr>
      <w:rPr>
        <w:rFonts w:ascii="Wingdings" w:hAnsi="Wingdings" w:hint="default"/>
        <w:shd w:val="clear" w:color="auto" w:fill="auto"/>
      </w:rPr>
    </w:lvl>
    <w:lvl w:ilvl="3" w:tplc="820455CA">
      <w:start w:val="1"/>
      <w:numFmt w:val="bullet"/>
      <w:lvlText w:val="·"/>
      <w:lvlJc w:val="left"/>
      <w:pPr>
        <w:ind w:left="2880" w:hanging="360"/>
      </w:pPr>
      <w:rPr>
        <w:rFonts w:ascii="Symbol" w:hAnsi="Symbol" w:hint="default"/>
        <w:shd w:val="clear" w:color="auto" w:fill="auto"/>
      </w:rPr>
    </w:lvl>
    <w:lvl w:ilvl="4" w:tplc="7856E8E0">
      <w:start w:val="1"/>
      <w:numFmt w:val="bullet"/>
      <w:lvlText w:val="o"/>
      <w:lvlJc w:val="left"/>
      <w:pPr>
        <w:ind w:left="3600" w:hanging="360"/>
      </w:pPr>
      <w:rPr>
        <w:rFonts w:ascii="Courier New" w:hAnsi="Courier New" w:cs="Courier New" w:hint="default"/>
        <w:shd w:val="clear" w:color="auto" w:fill="auto"/>
      </w:rPr>
    </w:lvl>
    <w:lvl w:ilvl="5" w:tplc="9ABC9606">
      <w:start w:val="1"/>
      <w:numFmt w:val="bullet"/>
      <w:lvlText w:val="§"/>
      <w:lvlJc w:val="left"/>
      <w:pPr>
        <w:ind w:left="4320" w:hanging="360"/>
      </w:pPr>
      <w:rPr>
        <w:rFonts w:ascii="Wingdings" w:hAnsi="Wingdings" w:hint="default"/>
        <w:shd w:val="clear" w:color="auto" w:fill="auto"/>
      </w:rPr>
    </w:lvl>
    <w:lvl w:ilvl="6" w:tplc="CBC28552">
      <w:start w:val="1"/>
      <w:numFmt w:val="bullet"/>
      <w:lvlText w:val="·"/>
      <w:lvlJc w:val="left"/>
      <w:pPr>
        <w:ind w:left="5040" w:hanging="360"/>
      </w:pPr>
      <w:rPr>
        <w:rFonts w:ascii="Symbol" w:hAnsi="Symbol" w:hint="default"/>
        <w:shd w:val="clear" w:color="auto" w:fill="auto"/>
      </w:rPr>
    </w:lvl>
    <w:lvl w:ilvl="7" w:tplc="2B7A64CC">
      <w:start w:val="1"/>
      <w:numFmt w:val="bullet"/>
      <w:lvlText w:val="o"/>
      <w:lvlJc w:val="left"/>
      <w:pPr>
        <w:ind w:left="5760" w:hanging="360"/>
      </w:pPr>
      <w:rPr>
        <w:rFonts w:ascii="Courier New" w:hAnsi="Courier New" w:cs="Courier New" w:hint="default"/>
        <w:shd w:val="clear" w:color="auto" w:fill="auto"/>
      </w:rPr>
    </w:lvl>
    <w:lvl w:ilvl="8" w:tplc="665A20D4">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FEC340A"/>
    <w:lvl w:ilvl="0" w:tplc="DE4CCA62">
      <w:numFmt w:val="bullet"/>
      <w:pStyle w:val="ListBullet"/>
      <w:lvlText w:val="·"/>
      <w:lvlJc w:val="left"/>
      <w:pPr>
        <w:ind w:left="567" w:hanging="283"/>
      </w:pPr>
      <w:rPr>
        <w:rFonts w:ascii="Symbol" w:hAnsi="Symbol"/>
        <w:shd w:val="clear" w:color="auto" w:fill="auto"/>
      </w:rPr>
    </w:lvl>
    <w:lvl w:ilvl="1" w:tplc="ABD215D0">
      <w:start w:val="1"/>
      <w:numFmt w:val="bullet"/>
      <w:lvlText w:val=""/>
      <w:lvlJc w:val="left"/>
      <w:rPr>
        <w:shd w:val="clear" w:color="auto" w:fill="auto"/>
      </w:rPr>
    </w:lvl>
    <w:lvl w:ilvl="2" w:tplc="4428FEB8">
      <w:start w:val="1"/>
      <w:numFmt w:val="bullet"/>
      <w:lvlText w:val=""/>
      <w:lvlJc w:val="left"/>
      <w:rPr>
        <w:shd w:val="clear" w:color="auto" w:fill="auto"/>
      </w:rPr>
    </w:lvl>
    <w:lvl w:ilvl="3" w:tplc="764CB318">
      <w:start w:val="1"/>
      <w:numFmt w:val="bullet"/>
      <w:lvlText w:val=""/>
      <w:lvlJc w:val="left"/>
      <w:rPr>
        <w:shd w:val="clear" w:color="auto" w:fill="auto"/>
      </w:rPr>
    </w:lvl>
    <w:lvl w:ilvl="4" w:tplc="2912167E">
      <w:start w:val="1"/>
      <w:numFmt w:val="bullet"/>
      <w:lvlText w:val=""/>
      <w:lvlJc w:val="left"/>
      <w:rPr>
        <w:shd w:val="clear" w:color="auto" w:fill="auto"/>
      </w:rPr>
    </w:lvl>
    <w:lvl w:ilvl="5" w:tplc="5A606ADA">
      <w:start w:val="1"/>
      <w:numFmt w:val="bullet"/>
      <w:lvlText w:val=""/>
      <w:lvlJc w:val="left"/>
      <w:rPr>
        <w:shd w:val="clear" w:color="auto" w:fill="auto"/>
      </w:rPr>
    </w:lvl>
    <w:lvl w:ilvl="6" w:tplc="C2B6620A">
      <w:start w:val="1"/>
      <w:numFmt w:val="bullet"/>
      <w:lvlText w:val=""/>
      <w:lvlJc w:val="left"/>
      <w:rPr>
        <w:shd w:val="clear" w:color="auto" w:fill="auto"/>
      </w:rPr>
    </w:lvl>
    <w:lvl w:ilvl="7" w:tplc="AE36BF42">
      <w:start w:val="1"/>
      <w:numFmt w:val="bullet"/>
      <w:lvlText w:val=""/>
      <w:lvlJc w:val="left"/>
      <w:rPr>
        <w:shd w:val="clear" w:color="auto" w:fill="auto"/>
      </w:rPr>
    </w:lvl>
    <w:lvl w:ilvl="8" w:tplc="D8247360">
      <w:start w:val="1"/>
      <w:numFmt w:val="bullet"/>
      <w:lvlText w:val=""/>
      <w:lvlJc w:val="left"/>
      <w:rPr>
        <w:shd w:val="clear" w:color="auto" w:fill="auto"/>
      </w:rPr>
    </w:lvl>
  </w:abstractNum>
  <w:abstractNum w:abstractNumId="10" w15:restartNumberingAfterBreak="0">
    <w:nsid w:val="2F00000A"/>
    <w:multiLevelType w:val="hybridMultilevel"/>
    <w:tmpl w:val="2E180834"/>
    <w:lvl w:ilvl="0" w:tplc="6082C2B6">
      <w:start w:val="1"/>
      <w:numFmt w:val="bullet"/>
      <w:lvlText w:val="·"/>
      <w:lvlJc w:val="left"/>
      <w:pPr>
        <w:ind w:left="720" w:hanging="360"/>
      </w:pPr>
      <w:rPr>
        <w:rFonts w:ascii="Symbol" w:hAnsi="Symbol" w:hint="default"/>
        <w:shd w:val="clear" w:color="auto" w:fill="auto"/>
      </w:rPr>
    </w:lvl>
    <w:lvl w:ilvl="1" w:tplc="3B10481C">
      <w:start w:val="1"/>
      <w:numFmt w:val="bullet"/>
      <w:lvlText w:val="o"/>
      <w:lvlJc w:val="left"/>
      <w:pPr>
        <w:ind w:left="1440" w:hanging="360"/>
      </w:pPr>
      <w:rPr>
        <w:rFonts w:ascii="Courier New" w:hAnsi="Courier New" w:cs="Courier New" w:hint="default"/>
        <w:shd w:val="clear" w:color="auto" w:fill="auto"/>
      </w:rPr>
    </w:lvl>
    <w:lvl w:ilvl="2" w:tplc="E7C2A0C6">
      <w:start w:val="1"/>
      <w:numFmt w:val="bullet"/>
      <w:lvlText w:val="§"/>
      <w:lvlJc w:val="left"/>
      <w:pPr>
        <w:ind w:left="2160" w:hanging="360"/>
      </w:pPr>
      <w:rPr>
        <w:rFonts w:ascii="Wingdings" w:hAnsi="Wingdings" w:hint="default"/>
        <w:shd w:val="clear" w:color="auto" w:fill="auto"/>
      </w:rPr>
    </w:lvl>
    <w:lvl w:ilvl="3" w:tplc="7BB0894E">
      <w:start w:val="1"/>
      <w:numFmt w:val="bullet"/>
      <w:lvlText w:val="·"/>
      <w:lvlJc w:val="left"/>
      <w:pPr>
        <w:ind w:left="2880" w:hanging="360"/>
      </w:pPr>
      <w:rPr>
        <w:rFonts w:ascii="Symbol" w:hAnsi="Symbol" w:hint="default"/>
        <w:shd w:val="clear" w:color="auto" w:fill="auto"/>
      </w:rPr>
    </w:lvl>
    <w:lvl w:ilvl="4" w:tplc="DB9ECB40">
      <w:start w:val="1"/>
      <w:numFmt w:val="bullet"/>
      <w:lvlText w:val="o"/>
      <w:lvlJc w:val="left"/>
      <w:pPr>
        <w:ind w:left="3600" w:hanging="360"/>
      </w:pPr>
      <w:rPr>
        <w:rFonts w:ascii="Courier New" w:hAnsi="Courier New" w:cs="Courier New" w:hint="default"/>
        <w:shd w:val="clear" w:color="auto" w:fill="auto"/>
      </w:rPr>
    </w:lvl>
    <w:lvl w:ilvl="5" w:tplc="D1A4F9A4">
      <w:start w:val="1"/>
      <w:numFmt w:val="bullet"/>
      <w:lvlText w:val="§"/>
      <w:lvlJc w:val="left"/>
      <w:pPr>
        <w:ind w:left="4320" w:hanging="360"/>
      </w:pPr>
      <w:rPr>
        <w:rFonts w:ascii="Wingdings" w:hAnsi="Wingdings" w:hint="default"/>
        <w:shd w:val="clear" w:color="auto" w:fill="auto"/>
      </w:rPr>
    </w:lvl>
    <w:lvl w:ilvl="6" w:tplc="9EE0A5C2">
      <w:start w:val="1"/>
      <w:numFmt w:val="bullet"/>
      <w:lvlText w:val="·"/>
      <w:lvlJc w:val="left"/>
      <w:pPr>
        <w:ind w:left="5040" w:hanging="360"/>
      </w:pPr>
      <w:rPr>
        <w:rFonts w:ascii="Symbol" w:hAnsi="Symbol" w:hint="default"/>
        <w:shd w:val="clear" w:color="auto" w:fill="auto"/>
      </w:rPr>
    </w:lvl>
    <w:lvl w:ilvl="7" w:tplc="AAE21A7C">
      <w:start w:val="1"/>
      <w:numFmt w:val="bullet"/>
      <w:lvlText w:val="o"/>
      <w:lvlJc w:val="left"/>
      <w:pPr>
        <w:ind w:left="5760" w:hanging="360"/>
      </w:pPr>
      <w:rPr>
        <w:rFonts w:ascii="Courier New" w:hAnsi="Courier New" w:cs="Courier New" w:hint="default"/>
        <w:shd w:val="clear" w:color="auto" w:fill="auto"/>
      </w:rPr>
    </w:lvl>
    <w:lvl w:ilvl="8" w:tplc="7DB87BAE">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21A2C9E5"/>
    <w:lvl w:ilvl="0" w:tplc="7EFE5F96">
      <w:start w:val="1"/>
      <w:numFmt w:val="decimal"/>
      <w:lvlText w:val="%1."/>
      <w:lvlJc w:val="left"/>
      <w:pPr>
        <w:ind w:left="720" w:hanging="360"/>
      </w:pPr>
      <w:rPr>
        <w:rFonts w:hint="default"/>
        <w:b w:val="0"/>
        <w:shd w:val="clear" w:color="auto" w:fill="auto"/>
      </w:rPr>
    </w:lvl>
    <w:lvl w:ilvl="1" w:tplc="9634C75C">
      <w:start w:val="1"/>
      <w:numFmt w:val="lowerLetter"/>
      <w:lvlText w:val="%2."/>
      <w:lvlJc w:val="left"/>
      <w:pPr>
        <w:ind w:left="1440" w:hanging="360"/>
      </w:pPr>
      <w:rPr>
        <w:shd w:val="clear" w:color="auto" w:fill="auto"/>
      </w:rPr>
    </w:lvl>
    <w:lvl w:ilvl="2" w:tplc="CE9E35E8">
      <w:start w:val="1"/>
      <w:numFmt w:val="lowerRoman"/>
      <w:lvlText w:val="%3."/>
      <w:lvlJc w:val="right"/>
      <w:pPr>
        <w:ind w:left="2160" w:hanging="180"/>
      </w:pPr>
      <w:rPr>
        <w:shd w:val="clear" w:color="auto" w:fill="auto"/>
      </w:rPr>
    </w:lvl>
    <w:lvl w:ilvl="3" w:tplc="6FF6CAA0">
      <w:start w:val="1"/>
      <w:numFmt w:val="decimal"/>
      <w:lvlText w:val="%4."/>
      <w:lvlJc w:val="left"/>
      <w:pPr>
        <w:ind w:left="2880" w:hanging="360"/>
      </w:pPr>
      <w:rPr>
        <w:shd w:val="clear" w:color="auto" w:fill="auto"/>
      </w:rPr>
    </w:lvl>
    <w:lvl w:ilvl="4" w:tplc="EB4EC9B0">
      <w:start w:val="1"/>
      <w:numFmt w:val="lowerLetter"/>
      <w:lvlText w:val="%5."/>
      <w:lvlJc w:val="left"/>
      <w:pPr>
        <w:ind w:left="3600" w:hanging="360"/>
      </w:pPr>
      <w:rPr>
        <w:shd w:val="clear" w:color="auto" w:fill="auto"/>
      </w:rPr>
    </w:lvl>
    <w:lvl w:ilvl="5" w:tplc="01C67AC2">
      <w:start w:val="1"/>
      <w:numFmt w:val="lowerRoman"/>
      <w:lvlText w:val="%6."/>
      <w:lvlJc w:val="right"/>
      <w:pPr>
        <w:ind w:left="4320" w:hanging="180"/>
      </w:pPr>
      <w:rPr>
        <w:shd w:val="clear" w:color="auto" w:fill="auto"/>
      </w:rPr>
    </w:lvl>
    <w:lvl w:ilvl="6" w:tplc="08587710">
      <w:start w:val="1"/>
      <w:numFmt w:val="decimal"/>
      <w:lvlText w:val="%7."/>
      <w:lvlJc w:val="left"/>
      <w:pPr>
        <w:ind w:left="5040" w:hanging="360"/>
      </w:pPr>
      <w:rPr>
        <w:shd w:val="clear" w:color="auto" w:fill="auto"/>
      </w:rPr>
    </w:lvl>
    <w:lvl w:ilvl="7" w:tplc="36E8B786">
      <w:start w:val="1"/>
      <w:numFmt w:val="lowerLetter"/>
      <w:lvlText w:val="%8."/>
      <w:lvlJc w:val="left"/>
      <w:pPr>
        <w:ind w:left="5760" w:hanging="360"/>
      </w:pPr>
      <w:rPr>
        <w:shd w:val="clear" w:color="auto" w:fill="auto"/>
      </w:rPr>
    </w:lvl>
    <w:lvl w:ilvl="8" w:tplc="378AF15E">
      <w:start w:val="1"/>
      <w:numFmt w:val="lowerRoman"/>
      <w:lvlText w:val="%9."/>
      <w:lvlJc w:val="right"/>
      <w:pPr>
        <w:ind w:left="6480" w:hanging="180"/>
      </w:pPr>
      <w:rPr>
        <w:shd w:val="clear" w:color="auto" w:fill="auto"/>
      </w:rPr>
    </w:lvl>
  </w:abstractNum>
  <w:num w:numId="1" w16cid:durableId="1419447074">
    <w:abstractNumId w:val="1"/>
  </w:num>
  <w:num w:numId="2" w16cid:durableId="1899316312">
    <w:abstractNumId w:val="9"/>
  </w:num>
  <w:num w:numId="3" w16cid:durableId="1759709805">
    <w:abstractNumId w:val="4"/>
  </w:num>
  <w:num w:numId="4" w16cid:durableId="502167085">
    <w:abstractNumId w:val="5"/>
  </w:num>
  <w:num w:numId="5" w16cid:durableId="1408961401">
    <w:abstractNumId w:val="6"/>
  </w:num>
  <w:num w:numId="6" w16cid:durableId="1535387344">
    <w:abstractNumId w:val="0"/>
  </w:num>
  <w:num w:numId="7" w16cid:durableId="2015911990">
    <w:abstractNumId w:val="3"/>
  </w:num>
  <w:num w:numId="8" w16cid:durableId="175778982">
    <w:abstractNumId w:val="10"/>
  </w:num>
  <w:num w:numId="9" w16cid:durableId="66076901">
    <w:abstractNumId w:val="2"/>
  </w:num>
  <w:num w:numId="10" w16cid:durableId="62876685">
    <w:abstractNumId w:val="8"/>
  </w:num>
  <w:num w:numId="11" w16cid:durableId="564411598">
    <w:abstractNumId w:val="7"/>
  </w:num>
  <w:num w:numId="12" w16cid:durableId="1675104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defaultTabStop w:val="7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B7446"/>
    <w:rsid w:val="000012E4"/>
    <w:rsid w:val="0001276A"/>
    <w:rsid w:val="00014DA2"/>
    <w:rsid w:val="00016ACF"/>
    <w:rsid w:val="00030EDF"/>
    <w:rsid w:val="00070BBD"/>
    <w:rsid w:val="0007297C"/>
    <w:rsid w:val="00076B31"/>
    <w:rsid w:val="000A54FA"/>
    <w:rsid w:val="000D2B43"/>
    <w:rsid w:val="000E2F92"/>
    <w:rsid w:val="000E68D3"/>
    <w:rsid w:val="00104ECF"/>
    <w:rsid w:val="00131DEA"/>
    <w:rsid w:val="00132A49"/>
    <w:rsid w:val="00145DFA"/>
    <w:rsid w:val="00197291"/>
    <w:rsid w:val="001A384A"/>
    <w:rsid w:val="001B0377"/>
    <w:rsid w:val="001C4B13"/>
    <w:rsid w:val="001E1A2B"/>
    <w:rsid w:val="001E7B7D"/>
    <w:rsid w:val="001F4E2F"/>
    <w:rsid w:val="0020245A"/>
    <w:rsid w:val="002174DA"/>
    <w:rsid w:val="002269A1"/>
    <w:rsid w:val="00251788"/>
    <w:rsid w:val="00273211"/>
    <w:rsid w:val="0028032C"/>
    <w:rsid w:val="00290464"/>
    <w:rsid w:val="002B095B"/>
    <w:rsid w:val="003444EF"/>
    <w:rsid w:val="00361D33"/>
    <w:rsid w:val="003743F7"/>
    <w:rsid w:val="00386971"/>
    <w:rsid w:val="003870B2"/>
    <w:rsid w:val="00396421"/>
    <w:rsid w:val="003C2404"/>
    <w:rsid w:val="003D595D"/>
    <w:rsid w:val="003D64BC"/>
    <w:rsid w:val="003E5F17"/>
    <w:rsid w:val="003E7691"/>
    <w:rsid w:val="003F1FF5"/>
    <w:rsid w:val="003F448A"/>
    <w:rsid w:val="00442F84"/>
    <w:rsid w:val="00456C6E"/>
    <w:rsid w:val="00461275"/>
    <w:rsid w:val="004708B6"/>
    <w:rsid w:val="00483E2C"/>
    <w:rsid w:val="004842D7"/>
    <w:rsid w:val="004C15FD"/>
    <w:rsid w:val="005070EF"/>
    <w:rsid w:val="00542C78"/>
    <w:rsid w:val="0054493E"/>
    <w:rsid w:val="00591907"/>
    <w:rsid w:val="005A6DF2"/>
    <w:rsid w:val="005B149A"/>
    <w:rsid w:val="005B7446"/>
    <w:rsid w:val="005D305D"/>
    <w:rsid w:val="005D65A3"/>
    <w:rsid w:val="005E2641"/>
    <w:rsid w:val="005F03B1"/>
    <w:rsid w:val="005F1666"/>
    <w:rsid w:val="006130CE"/>
    <w:rsid w:val="00623AA1"/>
    <w:rsid w:val="00625691"/>
    <w:rsid w:val="00625E1E"/>
    <w:rsid w:val="00630DC5"/>
    <w:rsid w:val="00643E0A"/>
    <w:rsid w:val="006501B7"/>
    <w:rsid w:val="0065054B"/>
    <w:rsid w:val="00654AB6"/>
    <w:rsid w:val="00657E98"/>
    <w:rsid w:val="006625DA"/>
    <w:rsid w:val="006816E0"/>
    <w:rsid w:val="006D2422"/>
    <w:rsid w:val="006E531D"/>
    <w:rsid w:val="006F17EB"/>
    <w:rsid w:val="00706750"/>
    <w:rsid w:val="00710938"/>
    <w:rsid w:val="00717BD6"/>
    <w:rsid w:val="00717BF0"/>
    <w:rsid w:val="007239BB"/>
    <w:rsid w:val="00731308"/>
    <w:rsid w:val="00737B43"/>
    <w:rsid w:val="0075358D"/>
    <w:rsid w:val="007559F2"/>
    <w:rsid w:val="00763F0E"/>
    <w:rsid w:val="00770310"/>
    <w:rsid w:val="00777BC7"/>
    <w:rsid w:val="007C3FF7"/>
    <w:rsid w:val="007F02C9"/>
    <w:rsid w:val="008061CE"/>
    <w:rsid w:val="00832B4F"/>
    <w:rsid w:val="008724D7"/>
    <w:rsid w:val="00875975"/>
    <w:rsid w:val="008A6F7F"/>
    <w:rsid w:val="00901B22"/>
    <w:rsid w:val="00904752"/>
    <w:rsid w:val="00906E06"/>
    <w:rsid w:val="00911631"/>
    <w:rsid w:val="00920964"/>
    <w:rsid w:val="00960824"/>
    <w:rsid w:val="00996600"/>
    <w:rsid w:val="009A2AC8"/>
    <w:rsid w:val="009A4F71"/>
    <w:rsid w:val="009B2A07"/>
    <w:rsid w:val="009E3317"/>
    <w:rsid w:val="009E6FB5"/>
    <w:rsid w:val="009F1FC1"/>
    <w:rsid w:val="00A37E89"/>
    <w:rsid w:val="00A6035F"/>
    <w:rsid w:val="00A63816"/>
    <w:rsid w:val="00A76518"/>
    <w:rsid w:val="00A7683F"/>
    <w:rsid w:val="00A80144"/>
    <w:rsid w:val="00AB6E50"/>
    <w:rsid w:val="00AC2485"/>
    <w:rsid w:val="00AE3DDC"/>
    <w:rsid w:val="00AE63F9"/>
    <w:rsid w:val="00AF6FF2"/>
    <w:rsid w:val="00B26E61"/>
    <w:rsid w:val="00B3138A"/>
    <w:rsid w:val="00B35488"/>
    <w:rsid w:val="00B652B9"/>
    <w:rsid w:val="00B73E0D"/>
    <w:rsid w:val="00B7517D"/>
    <w:rsid w:val="00BA6C87"/>
    <w:rsid w:val="00BC7B67"/>
    <w:rsid w:val="00BD4B00"/>
    <w:rsid w:val="00BE68A9"/>
    <w:rsid w:val="00BF0FAF"/>
    <w:rsid w:val="00C45003"/>
    <w:rsid w:val="00CB171D"/>
    <w:rsid w:val="00CE4B8F"/>
    <w:rsid w:val="00CF668A"/>
    <w:rsid w:val="00D03B82"/>
    <w:rsid w:val="00D20664"/>
    <w:rsid w:val="00D2694E"/>
    <w:rsid w:val="00D307AE"/>
    <w:rsid w:val="00D420E6"/>
    <w:rsid w:val="00D46A1C"/>
    <w:rsid w:val="00D716D3"/>
    <w:rsid w:val="00D9325E"/>
    <w:rsid w:val="00DB558B"/>
    <w:rsid w:val="00DE6A5F"/>
    <w:rsid w:val="00E1161B"/>
    <w:rsid w:val="00E32947"/>
    <w:rsid w:val="00E33302"/>
    <w:rsid w:val="00E45D9C"/>
    <w:rsid w:val="00E57EC3"/>
    <w:rsid w:val="00E677EF"/>
    <w:rsid w:val="00E80088"/>
    <w:rsid w:val="00E831C1"/>
    <w:rsid w:val="00EA1302"/>
    <w:rsid w:val="00EA2605"/>
    <w:rsid w:val="00ED1469"/>
    <w:rsid w:val="00F0088B"/>
    <w:rsid w:val="00F01787"/>
    <w:rsid w:val="00F44ABA"/>
    <w:rsid w:val="00F45362"/>
    <w:rsid w:val="00F60260"/>
    <w:rsid w:val="00F706AA"/>
    <w:rsid w:val="00F74B71"/>
    <w:rsid w:val="00FA0CA9"/>
    <w:rsid w:val="00FC262C"/>
    <w:rsid w:val="00FF6D26"/>
    <w:rsid w:val="1A9E556D"/>
    <w:rsid w:val="26892A93"/>
    <w:rsid w:val="2FF8C3AB"/>
    <w:rsid w:val="321B5114"/>
    <w:rsid w:val="503367F8"/>
    <w:rsid w:val="558513CE"/>
    <w:rsid w:val="597EFF2A"/>
    <w:rsid w:val="5D357DE2"/>
    <w:rsid w:val="5E0916F6"/>
    <w:rsid w:val="71CA376E"/>
  </w:rsids>
  <m:mathPr>
    <m:mathFont m:val="Cambria Math"/>
    <m:brkBin m:val="before"/>
    <m:brkBinSub m:val="--"/>
    <m:smallFrac/>
    <m:dispDef/>
    <m:lMargin m:val="1440"/>
    <m:rMargin m:val="144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6345"/>
  <w15:docId w15:val="{782B30EF-78AF-48C0-96B9-A129C273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spacing w:before="40" w:after="0"/>
      <w:outlineLvl w:val="5"/>
    </w:pPr>
    <w:rPr>
      <w:rFonts w:eastAsiaTheme="majorEastAsia" w:cstheme="majorBidi"/>
      <w:i/>
      <w:color w:val="5A5A5A" w:themeColor="text1" w:themeTint="A5"/>
    </w:rPr>
  </w:style>
  <w:style w:type="paragraph" w:styleId="Heading7">
    <w:name w:val="heading 7"/>
    <w:basedOn w:val="Normal"/>
    <w:next w:val="Normal"/>
    <w:link w:val="Heading7Char"/>
    <w:uiPriority w:val="9"/>
    <w:semiHidden/>
    <w:unhideWhenUsed/>
    <w:qFormat/>
    <w:pPr>
      <w:spacing w:before="40" w:after="0"/>
      <w:outlineLvl w:val="6"/>
    </w:pPr>
    <w:rPr>
      <w:rFonts w:eastAsiaTheme="majorEastAsia" w:cstheme="majorBidi"/>
      <w:color w:val="5A5A5A" w:themeColor="text1" w:themeTint="A5"/>
    </w:rPr>
  </w:style>
  <w:style w:type="paragraph" w:styleId="Heading8">
    <w:name w:val="heading 8"/>
    <w:basedOn w:val="Normal"/>
    <w:next w:val="Normal"/>
    <w:link w:val="Heading8Char"/>
    <w:uiPriority w:val="9"/>
    <w:semiHidden/>
    <w:unhideWhenUsed/>
    <w:qFormat/>
    <w:pPr>
      <w:spacing w:before="0"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pPr>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A5A5A" w:themeColor="text1" w:themeTint="A5"/>
      <w:spacing w:val="15"/>
      <w:sz w:val="28"/>
      <w:szCs w:val="28"/>
    </w:rPr>
  </w:style>
  <w:style w:type="character" w:styleId="IntenseEmphasis">
    <w:name w:val="Intense Emphasis"/>
    <w:basedOn w:val="DefaultParagraphFont"/>
    <w:uiPriority w:val="21"/>
    <w:qFormat/>
    <w:rPr>
      <w:i/>
      <w:color w:val="0F4761" w:themeColor="accent1" w:themeShade="BF"/>
      <w:shd w:val="clear" w:color="auto" w:fill="auto"/>
    </w:rPr>
  </w:style>
  <w:style w:type="paragraph" w:styleId="Quote">
    <w:name w:val="Quote"/>
    <w:basedOn w:val="Normal"/>
    <w:next w:val="Normal"/>
    <w:link w:val="QuoteChar"/>
    <w:uiPriority w:val="29"/>
    <w:qFormat/>
    <w:pPr>
      <w:spacing w:before="160" w:after="160"/>
      <w:jc w:val="center"/>
    </w:pPr>
    <w:rPr>
      <w:i/>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styleId="IntenseReference">
    <w:name w:val="Intense Reference"/>
    <w:basedOn w:val="DefaultParagraphFont"/>
    <w:uiPriority w:val="32"/>
    <w:qFormat/>
    <w:rPr>
      <w:b/>
      <w:smallCaps/>
      <w:color w:val="0F4761" w:themeColor="accent1" w:themeShade="BF"/>
      <w:spacing w:val="5"/>
      <w:shd w:val="clear" w:color="auto" w:fill="aut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shd w:val="clear" w:color="auto" w:fill="aut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shd w:val="clear" w:color="auto" w:fill="auto"/>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shd w:val="clear" w:color="auto" w:fill="auto"/>
    </w:rPr>
  </w:style>
  <w:style w:type="character" w:customStyle="1" w:styleId="Heading4Char">
    <w:name w:val="Heading 4 Char"/>
    <w:basedOn w:val="DefaultParagraphFont"/>
    <w:link w:val="Heading4"/>
    <w:uiPriority w:val="9"/>
    <w:semiHidden/>
    <w:rPr>
      <w:rFonts w:eastAsiaTheme="majorEastAsia" w:cstheme="majorBidi"/>
      <w:i/>
      <w:color w:val="0F4761" w:themeColor="accent1" w:themeShade="BF"/>
      <w:shd w:val="clear" w:color="auto" w:fill="auto"/>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shd w:val="clear" w:color="auto" w:fill="auto"/>
    </w:rPr>
  </w:style>
  <w:style w:type="character" w:customStyle="1" w:styleId="Heading6Char">
    <w:name w:val="Heading 6 Char"/>
    <w:basedOn w:val="DefaultParagraphFont"/>
    <w:link w:val="Heading6"/>
    <w:uiPriority w:val="9"/>
    <w:semiHidden/>
    <w:rPr>
      <w:rFonts w:eastAsiaTheme="majorEastAsia" w:cstheme="majorBidi"/>
      <w:i/>
      <w:color w:val="5A5A5A" w:themeColor="text1" w:themeTint="A5"/>
      <w:shd w:val="clear" w:color="auto" w:fill="auto"/>
    </w:rPr>
  </w:style>
  <w:style w:type="character" w:customStyle="1" w:styleId="Heading7Char">
    <w:name w:val="Heading 7 Char"/>
    <w:basedOn w:val="DefaultParagraphFont"/>
    <w:link w:val="Heading7"/>
    <w:uiPriority w:val="9"/>
    <w:semiHidden/>
    <w:rPr>
      <w:rFonts w:eastAsiaTheme="majorEastAsia" w:cstheme="majorBidi"/>
      <w:color w:val="5A5A5A" w:themeColor="text1" w:themeTint="A5"/>
      <w:shd w:val="clear" w:color="auto" w:fill="auto"/>
    </w:rPr>
  </w:style>
  <w:style w:type="character" w:customStyle="1" w:styleId="Heading8Char">
    <w:name w:val="Heading 8 Char"/>
    <w:basedOn w:val="DefaultParagraphFont"/>
    <w:link w:val="Heading8"/>
    <w:uiPriority w:val="9"/>
    <w:semiHidden/>
    <w:rPr>
      <w:rFonts w:eastAsiaTheme="majorEastAsia" w:cstheme="majorBidi"/>
      <w:i/>
      <w:color w:val="272727" w:themeColor="text1" w:themeTint="D8"/>
      <w:shd w:val="clear" w:color="auto" w:fill="auto"/>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hd w:val="clear" w:color="auto" w:fill="auto"/>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shd w:val="clear" w:color="auto" w:fill="auto"/>
    </w:rPr>
  </w:style>
  <w:style w:type="character" w:customStyle="1" w:styleId="SubtitleChar">
    <w:name w:val="Subtitle Char"/>
    <w:basedOn w:val="DefaultParagraphFont"/>
    <w:link w:val="Subtitle"/>
    <w:uiPriority w:val="11"/>
    <w:rPr>
      <w:rFonts w:eastAsiaTheme="majorEastAsia" w:cstheme="majorBidi"/>
      <w:color w:val="5A5A5A" w:themeColor="text1" w:themeTint="A5"/>
      <w:spacing w:val="15"/>
      <w:sz w:val="28"/>
      <w:szCs w:val="28"/>
      <w:shd w:val="clear" w:color="auto" w:fill="auto"/>
    </w:rPr>
  </w:style>
  <w:style w:type="character" w:customStyle="1" w:styleId="QuoteChar">
    <w:name w:val="Quote Char"/>
    <w:basedOn w:val="DefaultParagraphFont"/>
    <w:link w:val="Quote"/>
    <w:uiPriority w:val="29"/>
    <w:rPr>
      <w:i/>
      <w:color w:val="404040" w:themeColor="text1" w:themeTint="BF"/>
      <w:shd w:val="clear" w:color="auto" w:fill="auto"/>
    </w:rPr>
  </w:style>
  <w:style w:type="character" w:customStyle="1" w:styleId="IntenseQuoteChar">
    <w:name w:val="Intense Quote Char"/>
    <w:basedOn w:val="DefaultParagraphFont"/>
    <w:link w:val="IntenseQuote"/>
    <w:uiPriority w:val="30"/>
    <w:rPr>
      <w:i/>
      <w:color w:val="0F4761" w:themeColor="accent1" w:themeShade="BF"/>
      <w:shd w:val="clear" w:color="auto" w:fill="auto"/>
    </w:rPr>
  </w:style>
  <w:style w:type="paragraph" w:styleId="Header">
    <w:name w:val="header"/>
    <w:basedOn w:val="Normal"/>
    <w:link w:val="HeaderChar"/>
    <w:uiPriority w:val="99"/>
    <w:unhideWhenUsed/>
    <w:pPr>
      <w:tabs>
        <w:tab w:val="center" w:pos="4513"/>
        <w:tab w:val="right" w:pos="9026"/>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pPr>
      <w:spacing w:before="0" w:beforeAutospacing="0" w:after="200" w:afterAutospacing="0" w:line="240" w:lineRule="auto"/>
    </w:pPr>
    <w:rPr>
      <w:rFonts w:eastAsiaTheme="minorEastAsia"/>
      <w:sz w:val="20"/>
      <w:szCs w:val="20"/>
      <w:lang w:val="mk-MK" w:eastAsia="mk-MK"/>
    </w:rPr>
  </w:style>
  <w:style w:type="character" w:customStyle="1" w:styleId="CommentTextChar">
    <w:name w:val="Comment Text Char"/>
    <w:basedOn w:val="DefaultParagraphFont"/>
    <w:link w:val="CommentText"/>
    <w:uiPriority w:val="99"/>
    <w:rPr>
      <w:rFonts w:eastAsiaTheme="minorEastAsia"/>
      <w:sz w:val="20"/>
      <w:szCs w:val="20"/>
      <w:shd w:val="clear" w:color="auto" w:fill="auto"/>
      <w:lang w:val="mk-MK" w:eastAsia="mk-MK"/>
    </w:rPr>
  </w:style>
  <w:style w:type="paragraph" w:styleId="ListBullet">
    <w:name w:val="List Bullet"/>
    <w:basedOn w:val="Normal"/>
    <w:pPr>
      <w:numPr>
        <w:numId w:val="2"/>
      </w:numPr>
      <w:autoSpaceDN w:val="0"/>
      <w:spacing w:before="0" w:beforeAutospacing="0" w:after="240" w:afterAutospacing="0" w:line="240" w:lineRule="auto"/>
      <w:jc w:val="both"/>
    </w:pPr>
    <w:rPr>
      <w:rFonts w:ascii="Times New Roman" w:eastAsia="Times New Roman" w:hAnsi="Times New Roman" w:cs="Times New Roman"/>
      <w:sz w:val="24"/>
      <w:szCs w:val="24"/>
      <w:lang w:val="en-GB"/>
    </w:rPr>
  </w:style>
  <w:style w:type="numbering" w:customStyle="1" w:styleId="LFO1">
    <w:name w:val="LFO1"/>
    <w:basedOn w:val="NoList"/>
  </w:style>
  <w:style w:type="paragraph" w:styleId="CommentSubject">
    <w:name w:val="annotation subject"/>
    <w:basedOn w:val="CommentText"/>
    <w:next w:val="CommentText"/>
    <w:link w:val="CommentSubjectChar"/>
    <w:uiPriority w:val="99"/>
    <w:semiHidden/>
    <w:unhideWhenUsed/>
    <w:pPr>
      <w:spacing w:before="100" w:beforeAutospacing="1" w:after="100" w:afterAutospacing="1"/>
    </w:pPr>
    <w:rPr>
      <w:rFonts w:eastAsiaTheme="minorHAnsi"/>
      <w:b/>
      <w:lang w:val="en-IE" w:eastAsia="en-US"/>
    </w:rPr>
  </w:style>
  <w:style w:type="character" w:customStyle="1" w:styleId="CommentSubjectChar">
    <w:name w:val="Comment Subject Char"/>
    <w:basedOn w:val="CommentTextChar"/>
    <w:link w:val="CommentSubject"/>
    <w:uiPriority w:val="99"/>
    <w:semiHidden/>
    <w:rPr>
      <w:rFonts w:eastAsiaTheme="minorEastAsia"/>
      <w:b/>
      <w:sz w:val="20"/>
      <w:szCs w:val="20"/>
      <w:shd w:val="clear" w:color="auto" w:fill="auto"/>
      <w:lang w:val="mk-MK" w:eastAsia="mk-MK"/>
    </w:rPr>
  </w:style>
  <w:style w:type="paragraph" w:styleId="Revision">
    <w:name w:val="Revision"/>
    <w:uiPriority w:val="99"/>
    <w:semiHidden/>
    <w:pPr>
      <w:spacing w:before="0" w:beforeAutospacing="0" w:after="0" w:afterAutospacing="0" w:line="240" w:lineRule="auto"/>
    </w:p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5818">
      <w:bodyDiv w:val="1"/>
      <w:marLeft w:val="0"/>
      <w:marRight w:val="0"/>
      <w:marTop w:val="0"/>
      <w:marBottom w:val="0"/>
      <w:divBdr>
        <w:top w:val="none" w:sz="0" w:space="0" w:color="auto"/>
        <w:left w:val="none" w:sz="0" w:space="0" w:color="auto"/>
        <w:bottom w:val="none" w:sz="0" w:space="0" w:color="auto"/>
        <w:right w:val="none" w:sz="0" w:space="0" w:color="auto"/>
      </w:divBdr>
    </w:div>
    <w:div w:id="16481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b61515-1f73-49a6-a0eb-13fb9d970b3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d30b571-8f02-4bf1-8906-57eb7cc25f7f" xsi:nil="true"/>
    <Comments xmlns="e5b61515-1f73-49a6-a0eb-13fb9d970b3c" xsi:nil="true"/>
    <Relevantlinks xmlns="e5b61515-1f73-49a6-a0eb-13fb9d970b3c">
      <Url xsi:nil="true"/>
      <Description xsi:nil="true"/>
    </Relevantlink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BABB5C232B419ADCB0E5A5E0BBF7" ma:contentTypeVersion="16" ma:contentTypeDescription="Create a new document." ma:contentTypeScope="" ma:versionID="d87fd864792a9a09ab8a8433a909857c">
  <xsd:schema xmlns:xsd="http://www.w3.org/2001/XMLSchema" xmlns:xs="http://www.w3.org/2001/XMLSchema" xmlns:p="http://schemas.microsoft.com/office/2006/metadata/properties" xmlns:ns2="e5b61515-1f73-49a6-a0eb-13fb9d970b3c" xmlns:ns3="ad30b571-8f02-4bf1-8906-57eb7cc25f7f" targetNamespace="http://schemas.microsoft.com/office/2006/metadata/properties" ma:root="true" ma:fieldsID="95b996cc7897bf7f1d01b7b7ec9e472a" ns2:_="" ns3:_="">
    <xsd:import namespace="e5b61515-1f73-49a6-a0eb-13fb9d970b3c"/>
    <xsd:import namespace="ad30b571-8f02-4bf1-8906-57eb7cc25f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Relevantlinks" minOccurs="0"/>
                <xsd:element ref="ns2:Comme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61515-1f73-49a6-a0eb-13fb9d970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Relevantlinks" ma:index="14" nillable="true" ma:displayName="Relevant links" ma:format="Hyperlink" ma:internalName="Relevantlinks">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15" nillable="true" ma:displayName="Comments" ma:format="Dropdown" ma:internalName="Comment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0b571-8f02-4bf1-8906-57eb7cc25f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fcde47-355b-4cea-b1cb-d1dc12ed416d}" ma:internalName="TaxCatchAll" ma:showField="CatchAllData" ma:web="ad30b571-8f02-4bf1-8906-57eb7cc25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6973E-90B2-4D46-8636-7197EA9DE572}">
  <ds:schemaRefs>
    <ds:schemaRef ds:uri="http://schemas.microsoft.com/sharepoint/v3/contenttype/forms"/>
  </ds:schemaRefs>
</ds:datastoreItem>
</file>

<file path=customXml/itemProps2.xml><?xml version="1.0" encoding="utf-8"?>
<ds:datastoreItem xmlns:ds="http://schemas.openxmlformats.org/officeDocument/2006/customXml" ds:itemID="{39903582-694A-4BA6-8FCB-2B5269040E00}">
  <ds:schemaRefs>
    <ds:schemaRef ds:uri="http://schemas.microsoft.com/office/2006/metadata/properties"/>
    <ds:schemaRef ds:uri="http://schemas.microsoft.com/office/infopath/2007/PartnerControls"/>
    <ds:schemaRef ds:uri="e5b61515-1f73-49a6-a0eb-13fb9d970b3c"/>
    <ds:schemaRef ds:uri="ad30b571-8f02-4bf1-8906-57eb7cc25f7f"/>
  </ds:schemaRefs>
</ds:datastoreItem>
</file>

<file path=customXml/itemProps3.xml><?xml version="1.0" encoding="utf-8"?>
<ds:datastoreItem xmlns:ds="http://schemas.openxmlformats.org/officeDocument/2006/customXml" ds:itemID="{ED4AEE28-FEB5-48E1-9F1E-54AB7A96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61515-1f73-49a6-a0eb-13fb9d970b3c"/>
    <ds:schemaRef ds:uri="ad30b571-8f02-4bf1-8906-57eb7cc2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2066</Words>
  <Characters>11827</Characters>
  <Application>Microsoft Office Word</Application>
  <DocSecurity>0</DocSecurity>
  <Lines>98</Lines>
  <Paragraphs>27</Paragraphs>
  <MMClips>0</MMClip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IACOVO Silvia (ENEST)</dc:creator>
  <cp:keywords/>
  <cp:lastModifiedBy>Hristina Koneska-Beroska</cp:lastModifiedBy>
  <cp:revision>36</cp:revision>
  <cp:lastPrinted>2025-07-05T20:43:00Z</cp:lastPrinted>
  <dcterms:created xsi:type="dcterms:W3CDTF">2025-07-24T00:59:00Z</dcterms:created>
  <dcterms:modified xsi:type="dcterms:W3CDTF">2025-10-16T14:36:00Z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2025-06-27T16:48:08Z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24a55f23-daea-4a4e-b2b6-a149f5e9f30a</vt:lpwstr>
  </property>
  <property fmtid="{D5CDD505-2E9C-101B-9397-08002B2CF9AE}" pid="8" name="MSIP_Label_6bd9ddd1-4d20-43f6-abfa-fc3c07406f94_ContentBits">
    <vt:lpwstr>0</vt:lpwstr>
  </property>
  <property fmtid="{D5CDD505-2E9C-101B-9397-08002B2CF9AE}" pid="9" name="ContentTypeId">
    <vt:lpwstr>0x0101009536BABB5C232B419ADCB0E5A5E0BBF7</vt:lpwstr>
  </property>
  <property fmtid="{D5CDD505-2E9C-101B-9397-08002B2CF9AE}" pid="10" name="MediaServiceImageTags">
    <vt:lpwstr/>
  </property>
</Properties>
</file>