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4608B" w14:textId="77777777" w:rsidR="009765C7" w:rsidRDefault="009765C7"/>
    <w:tbl>
      <w:tblPr>
        <w:tblStyle w:val="PlainTable1"/>
        <w:tblW w:w="5000" w:type="pct"/>
        <w:tblLook w:val="04A0" w:firstRow="1" w:lastRow="0" w:firstColumn="1" w:lastColumn="0" w:noHBand="0" w:noVBand="1"/>
      </w:tblPr>
      <w:tblGrid>
        <w:gridCol w:w="880"/>
        <w:gridCol w:w="4058"/>
        <w:gridCol w:w="3716"/>
        <w:gridCol w:w="4522"/>
      </w:tblGrid>
      <w:tr w:rsidR="009765C7" w:rsidRPr="008F2816" w14:paraId="201B0644" w14:textId="77777777" w:rsidTr="00976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62BAEEF9" w14:textId="77777777" w:rsidR="009765C7" w:rsidRDefault="009765C7" w:rsidP="009765C7">
            <w:pPr>
              <w:jc w:val="center"/>
              <w:rPr>
                <w:rFonts w:ascii="Times New Roman" w:hAnsi="Times New Roman" w:cs="Times New Roman"/>
                <w:sz w:val="24"/>
                <w:szCs w:val="24"/>
                <w:lang w:val="mk-MK"/>
              </w:rPr>
            </w:pPr>
          </w:p>
          <w:p w14:paraId="1E786A12" w14:textId="77777777" w:rsidR="009765C7" w:rsidRPr="009765C7" w:rsidRDefault="009765C7" w:rsidP="009765C7">
            <w:pPr>
              <w:jc w:val="center"/>
              <w:rPr>
                <w:rFonts w:ascii="Times New Roman" w:hAnsi="Times New Roman" w:cs="Times New Roman"/>
                <w:sz w:val="24"/>
                <w:szCs w:val="24"/>
                <w:lang w:val="mk-MK"/>
              </w:rPr>
            </w:pPr>
            <w:r w:rsidRPr="009765C7">
              <w:rPr>
                <w:rFonts w:ascii="Times New Roman" w:hAnsi="Times New Roman" w:cs="Times New Roman"/>
                <w:sz w:val="24"/>
                <w:szCs w:val="24"/>
                <w:lang w:val="mk-MK"/>
              </w:rPr>
              <w:t>П</w:t>
            </w:r>
            <w:proofErr w:type="spellStart"/>
            <w:r w:rsidRPr="009765C7">
              <w:rPr>
                <w:rFonts w:ascii="Times New Roman" w:hAnsi="Times New Roman" w:cs="Times New Roman"/>
                <w:sz w:val="24"/>
                <w:szCs w:val="24"/>
              </w:rPr>
              <w:t>рашањата</w:t>
            </w:r>
            <w:proofErr w:type="spellEnd"/>
            <w:r w:rsidRPr="009765C7">
              <w:rPr>
                <w:rFonts w:ascii="Times New Roman" w:hAnsi="Times New Roman" w:cs="Times New Roman"/>
                <w:sz w:val="24"/>
                <w:szCs w:val="24"/>
              </w:rPr>
              <w:t xml:space="preserve"> и </w:t>
            </w:r>
            <w:proofErr w:type="spellStart"/>
            <w:r w:rsidRPr="009765C7">
              <w:rPr>
                <w:rFonts w:ascii="Times New Roman" w:hAnsi="Times New Roman" w:cs="Times New Roman"/>
                <w:sz w:val="24"/>
                <w:szCs w:val="24"/>
              </w:rPr>
              <w:t>одговори</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поврзани</w:t>
            </w:r>
            <w:proofErr w:type="spellEnd"/>
            <w:r w:rsidRPr="009765C7">
              <w:rPr>
                <w:rFonts w:ascii="Times New Roman" w:hAnsi="Times New Roman" w:cs="Times New Roman"/>
                <w:sz w:val="24"/>
                <w:szCs w:val="24"/>
              </w:rPr>
              <w:t xml:space="preserve"> со </w:t>
            </w:r>
            <w:proofErr w:type="spellStart"/>
            <w:r w:rsidRPr="009765C7">
              <w:rPr>
                <w:rFonts w:ascii="Times New Roman" w:hAnsi="Times New Roman" w:cs="Times New Roman"/>
                <w:sz w:val="24"/>
                <w:szCs w:val="24"/>
              </w:rPr>
              <w:t>примена</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на</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Законот</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за</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забрана</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на</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нефер</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трговски</w:t>
            </w:r>
            <w:proofErr w:type="spellEnd"/>
            <w:r w:rsidRPr="009765C7">
              <w:rPr>
                <w:rFonts w:ascii="Times New Roman" w:hAnsi="Times New Roman" w:cs="Times New Roman"/>
                <w:sz w:val="24"/>
                <w:szCs w:val="24"/>
              </w:rPr>
              <w:t xml:space="preserve"> </w:t>
            </w:r>
            <w:proofErr w:type="spellStart"/>
            <w:r w:rsidRPr="009765C7">
              <w:rPr>
                <w:rFonts w:ascii="Times New Roman" w:hAnsi="Times New Roman" w:cs="Times New Roman"/>
                <w:sz w:val="24"/>
                <w:szCs w:val="24"/>
              </w:rPr>
              <w:t>практики</w:t>
            </w:r>
            <w:proofErr w:type="spellEnd"/>
          </w:p>
          <w:p w14:paraId="1C0C54B9" w14:textId="4D716033" w:rsidR="009765C7" w:rsidRPr="009765C7" w:rsidRDefault="009765C7" w:rsidP="009765C7">
            <w:pPr>
              <w:jc w:val="center"/>
              <w:rPr>
                <w:rFonts w:ascii="Times New Roman" w:hAnsi="Times New Roman" w:cs="Times New Roman"/>
                <w:sz w:val="24"/>
                <w:szCs w:val="24"/>
                <w:lang w:val="mk-MK"/>
              </w:rPr>
            </w:pPr>
          </w:p>
        </w:tc>
      </w:tr>
      <w:tr w:rsidR="00A53091" w:rsidRPr="008F2816" w14:paraId="17AB96FB" w14:textId="215CDE21" w:rsidTr="008F2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 w:type="pct"/>
            <w:vAlign w:val="center"/>
          </w:tcPr>
          <w:p w14:paraId="6B97A74D" w14:textId="4BE580E2" w:rsidR="00C41AF1" w:rsidRPr="008F2816" w:rsidRDefault="00C41AF1" w:rsidP="008F2816">
            <w:pPr>
              <w:jc w:val="center"/>
              <w:rPr>
                <w:rFonts w:ascii="Times New Roman" w:hAnsi="Times New Roman" w:cs="Times New Roman"/>
                <w:bCs w:val="0"/>
                <w:sz w:val="24"/>
                <w:szCs w:val="24"/>
                <w:lang w:val="mk-MK"/>
              </w:rPr>
            </w:pPr>
            <w:r w:rsidRPr="008F2816">
              <w:rPr>
                <w:rFonts w:ascii="Times New Roman" w:hAnsi="Times New Roman" w:cs="Times New Roman"/>
                <w:sz w:val="24"/>
                <w:szCs w:val="24"/>
                <w:lang w:val="mk-MK"/>
              </w:rPr>
              <w:t>Реден број</w:t>
            </w:r>
          </w:p>
        </w:tc>
        <w:tc>
          <w:tcPr>
            <w:tcW w:w="1540" w:type="pct"/>
            <w:vAlign w:val="center"/>
          </w:tcPr>
          <w:p w14:paraId="33FA2C56" w14:textId="31325543" w:rsidR="00C41AF1" w:rsidRPr="008F2816" w:rsidRDefault="00C41AF1" w:rsidP="008F281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mk-MK"/>
              </w:rPr>
            </w:pPr>
            <w:r w:rsidRPr="008F2816">
              <w:rPr>
                <w:rFonts w:ascii="Times New Roman" w:hAnsi="Times New Roman" w:cs="Times New Roman"/>
                <w:sz w:val="24"/>
                <w:szCs w:val="24"/>
                <w:lang w:val="mk-MK"/>
              </w:rPr>
              <w:t>Барање</w:t>
            </w:r>
          </w:p>
        </w:tc>
        <w:tc>
          <w:tcPr>
            <w:tcW w:w="1410" w:type="pct"/>
            <w:vAlign w:val="center"/>
          </w:tcPr>
          <w:p w14:paraId="2B48045B" w14:textId="5C3A807A" w:rsidR="00C41AF1" w:rsidRPr="008F2816" w:rsidRDefault="00C41AF1" w:rsidP="008F281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mk-MK"/>
              </w:rPr>
            </w:pPr>
            <w:r w:rsidRPr="008F2816">
              <w:rPr>
                <w:rFonts w:ascii="Times New Roman" w:hAnsi="Times New Roman" w:cs="Times New Roman"/>
                <w:sz w:val="24"/>
                <w:szCs w:val="24"/>
                <w:lang w:val="mk-MK"/>
              </w:rPr>
              <w:t>Образложение</w:t>
            </w:r>
          </w:p>
        </w:tc>
        <w:tc>
          <w:tcPr>
            <w:tcW w:w="1716" w:type="pct"/>
            <w:vAlign w:val="center"/>
          </w:tcPr>
          <w:p w14:paraId="1F83A05B" w14:textId="10D3E013" w:rsidR="00C41AF1" w:rsidRPr="008F2816" w:rsidRDefault="00C41AF1" w:rsidP="008F281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mk-MK"/>
              </w:rPr>
            </w:pPr>
            <w:r w:rsidRPr="008F2816">
              <w:rPr>
                <w:rFonts w:ascii="Times New Roman" w:hAnsi="Times New Roman" w:cs="Times New Roman"/>
                <w:sz w:val="24"/>
                <w:szCs w:val="24"/>
                <w:lang w:val="mk-MK"/>
              </w:rPr>
              <w:t>Заклучок од состанок</w:t>
            </w:r>
          </w:p>
        </w:tc>
      </w:tr>
      <w:tr w:rsidR="00A53091" w:rsidRPr="008F2816" w14:paraId="13AD7A53" w14:textId="40E74F5B" w:rsidTr="008F2816">
        <w:tc>
          <w:tcPr>
            <w:cnfStyle w:val="001000000000" w:firstRow="0" w:lastRow="0" w:firstColumn="1" w:lastColumn="0" w:oddVBand="0" w:evenVBand="0" w:oddHBand="0" w:evenHBand="0" w:firstRowFirstColumn="0" w:firstRowLastColumn="0" w:lastRowFirstColumn="0" w:lastRowLastColumn="0"/>
            <w:tcW w:w="334" w:type="pct"/>
          </w:tcPr>
          <w:p w14:paraId="2D15BDEF" w14:textId="77777777" w:rsidR="00C41AF1" w:rsidRPr="008F2816" w:rsidRDefault="00C41AF1" w:rsidP="001535DF">
            <w:pPr>
              <w:jc w:val="both"/>
              <w:rPr>
                <w:rFonts w:ascii="Times New Roman" w:hAnsi="Times New Roman" w:cs="Times New Roman"/>
                <w:b w:val="0"/>
                <w:sz w:val="24"/>
                <w:szCs w:val="24"/>
                <w:lang w:val="mk-MK"/>
              </w:rPr>
            </w:pPr>
          </w:p>
          <w:p w14:paraId="2CCBDF72" w14:textId="1016AAB7" w:rsidR="00793BE8" w:rsidRPr="008F2816" w:rsidRDefault="004C4C9F" w:rsidP="001535DF">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1.</w:t>
            </w:r>
          </w:p>
        </w:tc>
        <w:tc>
          <w:tcPr>
            <w:tcW w:w="1540" w:type="pct"/>
          </w:tcPr>
          <w:p w14:paraId="059CAFF0" w14:textId="77777777" w:rsidR="00CE5389" w:rsidRPr="008F2816" w:rsidRDefault="00CE5389"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p>
          <w:p w14:paraId="79433865" w14:textId="79EFF526" w:rsidR="00CE5389" w:rsidRPr="008F2816" w:rsidRDefault="00CE5389"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b/>
                <w:bCs/>
                <w:sz w:val="20"/>
                <w:szCs w:val="20"/>
                <w:lang w:val="mk-MK"/>
              </w:rPr>
              <w:t xml:space="preserve">Дилеми и предизвици поврзани со примена на </w:t>
            </w:r>
            <w:r w:rsidRPr="008F2816">
              <w:rPr>
                <w:rFonts w:ascii="Times New Roman" w:hAnsi="Times New Roman" w:cs="Times New Roman"/>
                <w:b/>
                <w:bCs/>
                <w:sz w:val="20"/>
                <w:szCs w:val="20"/>
                <w:lang w:val="ru-RU"/>
              </w:rPr>
              <w:t xml:space="preserve"> ставот 6 од членот 8 на Законот</w:t>
            </w:r>
            <w:r w:rsidRPr="008F2816">
              <w:rPr>
                <w:rFonts w:ascii="Times New Roman" w:hAnsi="Times New Roman" w:cs="Times New Roman"/>
                <w:b/>
                <w:bCs/>
                <w:sz w:val="20"/>
                <w:szCs w:val="20"/>
                <w:lang w:val="mk-MK"/>
              </w:rPr>
              <w:t xml:space="preserve"> (10%):</w:t>
            </w:r>
          </w:p>
          <w:p w14:paraId="40A94852" w14:textId="3A260403" w:rsidR="00CE5389" w:rsidRPr="008F2816" w:rsidRDefault="00CE5389" w:rsidP="009C7CEC">
            <w:pPr>
              <w:pStyle w:val="ListParagraph"/>
              <w:numPr>
                <w:ilvl w:val="1"/>
                <w:numId w:val="12"/>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r w:rsidRPr="008F2816">
              <w:rPr>
                <w:rFonts w:ascii="Times New Roman" w:hAnsi="Times New Roman" w:cs="Times New Roman"/>
                <w:b/>
                <w:bCs/>
                <w:sz w:val="20"/>
                <w:szCs w:val="20"/>
                <w:lang w:val="mk-MK"/>
              </w:rPr>
              <w:t>На кој начин може субјектите самостојно да се договараат за одредени услуги и</w:t>
            </w:r>
            <w:r w:rsidRPr="008F2816">
              <w:rPr>
                <w:rFonts w:ascii="Times New Roman" w:hAnsi="Times New Roman" w:cs="Times New Roman"/>
                <w:b/>
                <w:bCs/>
                <w:sz w:val="20"/>
                <w:szCs w:val="20"/>
                <w:lang w:val="ru-RU"/>
              </w:rPr>
              <w:t xml:space="preserve"> условите на соработка во пазарната економија</w:t>
            </w:r>
            <w:r w:rsidRPr="008F2816">
              <w:rPr>
                <w:rFonts w:ascii="Times New Roman" w:hAnsi="Times New Roman" w:cs="Times New Roman"/>
                <w:b/>
                <w:bCs/>
                <w:sz w:val="20"/>
                <w:szCs w:val="20"/>
                <w:lang w:val="mk-MK"/>
              </w:rPr>
              <w:t>, како во одредени ситуации би договриле давања (рабати и надоместоци) кои го надминуваат овој процент (на пример во случај кога се направени на барање на добавувачот и дефинирани и одобрени со писмен договор)</w:t>
            </w:r>
          </w:p>
          <w:p w14:paraId="230EEDBE" w14:textId="53F995D6" w:rsidR="00CE5389" w:rsidRPr="008F2816" w:rsidRDefault="00CE5389" w:rsidP="009C7CEC">
            <w:pPr>
              <w:pStyle w:val="ListParagraph"/>
              <w:numPr>
                <w:ilvl w:val="1"/>
                <w:numId w:val="12"/>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r w:rsidRPr="008F2816">
              <w:rPr>
                <w:rFonts w:ascii="Times New Roman" w:hAnsi="Times New Roman" w:cs="Times New Roman"/>
                <w:b/>
                <w:bCs/>
                <w:sz w:val="20"/>
                <w:szCs w:val="20"/>
                <w:lang w:val="mk-MK"/>
              </w:rPr>
              <w:t>Кои се очекуваните ефекти од оваа одредба</w:t>
            </w:r>
            <w:r w:rsidRPr="008F2816">
              <w:rPr>
                <w:rFonts w:ascii="Times New Roman" w:hAnsi="Times New Roman" w:cs="Times New Roman"/>
                <w:b/>
                <w:bCs/>
                <w:sz w:val="20"/>
                <w:szCs w:val="20"/>
                <w:lang w:val="ru-RU"/>
              </w:rPr>
              <w:t xml:space="preserve">? </w:t>
            </w:r>
            <w:r w:rsidRPr="008F2816">
              <w:rPr>
                <w:rFonts w:ascii="Times New Roman" w:hAnsi="Times New Roman" w:cs="Times New Roman"/>
                <w:b/>
                <w:bCs/>
                <w:sz w:val="20"/>
                <w:szCs w:val="20"/>
                <w:lang w:val="mk-MK"/>
              </w:rPr>
              <w:t>Самото ограничување на надоместоците и рабатите, не значи и крајно на</w:t>
            </w:r>
            <w:r w:rsidRPr="008F2816">
              <w:rPr>
                <w:rFonts w:ascii="Times New Roman" w:hAnsi="Times New Roman" w:cs="Times New Roman"/>
                <w:b/>
                <w:bCs/>
                <w:sz w:val="20"/>
                <w:szCs w:val="20"/>
                <w:lang w:val="ru-RU"/>
              </w:rPr>
              <w:t>малување на малопродажните цени на производите.</w:t>
            </w:r>
          </w:p>
          <w:p w14:paraId="787E40EE" w14:textId="4EB01974" w:rsidR="00CE5389" w:rsidRPr="008F2816" w:rsidRDefault="00CE5389" w:rsidP="009C7CEC">
            <w:pPr>
              <w:pStyle w:val="ListParagraph"/>
              <w:numPr>
                <w:ilvl w:val="1"/>
                <w:numId w:val="12"/>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r w:rsidRPr="008F2816">
              <w:rPr>
                <w:rFonts w:ascii="Times New Roman" w:hAnsi="Times New Roman" w:cs="Times New Roman"/>
                <w:b/>
                <w:bCs/>
                <w:sz w:val="20"/>
                <w:szCs w:val="20"/>
                <w:lang w:val="ru-RU"/>
              </w:rPr>
              <w:t xml:space="preserve">Не е јасно како законодавецот ја одредил висината на процентот </w:t>
            </w:r>
            <w:r w:rsidRPr="008F2816">
              <w:rPr>
                <w:rFonts w:ascii="Times New Roman" w:hAnsi="Times New Roman" w:cs="Times New Roman"/>
                <w:b/>
                <w:bCs/>
                <w:sz w:val="20"/>
                <w:szCs w:val="20"/>
                <w:lang w:val="mk-MK"/>
              </w:rPr>
              <w:t xml:space="preserve">(10%) </w:t>
            </w:r>
            <w:r w:rsidRPr="008F2816">
              <w:rPr>
                <w:rFonts w:ascii="Times New Roman" w:hAnsi="Times New Roman" w:cs="Times New Roman"/>
                <w:b/>
                <w:bCs/>
                <w:sz w:val="20"/>
                <w:szCs w:val="20"/>
                <w:lang w:val="ru-RU"/>
              </w:rPr>
              <w:t xml:space="preserve">и кои надоместоци и рабати ги опфаќа истиот. </w:t>
            </w:r>
            <w:r w:rsidRPr="008F2816">
              <w:rPr>
                <w:rFonts w:ascii="Times New Roman" w:hAnsi="Times New Roman" w:cs="Times New Roman"/>
                <w:sz w:val="20"/>
                <w:szCs w:val="20"/>
                <w:lang w:val="ru-RU"/>
              </w:rPr>
              <w:t xml:space="preserve">Купувачите и добавувачите во фаза на преговарање на условите за соработка не </w:t>
            </w:r>
            <w:r w:rsidRPr="008F2816">
              <w:rPr>
                <w:rFonts w:ascii="Times New Roman" w:hAnsi="Times New Roman" w:cs="Times New Roman"/>
                <w:sz w:val="20"/>
                <w:szCs w:val="20"/>
                <w:lang w:val="mk-MK"/>
              </w:rPr>
              <w:t xml:space="preserve">секогаш </w:t>
            </w:r>
            <w:r w:rsidRPr="008F2816">
              <w:rPr>
                <w:rFonts w:ascii="Times New Roman" w:hAnsi="Times New Roman" w:cs="Times New Roman"/>
                <w:sz w:val="20"/>
                <w:szCs w:val="20"/>
                <w:lang w:val="ru-RU"/>
              </w:rPr>
              <w:t xml:space="preserve">може со сигурност однапред да ги предвидат сите трошоци и потреби, за да по завршување на тековна година да пресметуваат % од остварен промет како што предвидува одредбата. </w:t>
            </w:r>
          </w:p>
          <w:p w14:paraId="2447DE19" w14:textId="50CBD21F" w:rsidR="00C41AF1" w:rsidRPr="008F2816" w:rsidRDefault="00CE5389" w:rsidP="00CE5389">
            <w:pPr>
              <w:pStyle w:val="ListParagraph"/>
              <w:numPr>
                <w:ilvl w:val="1"/>
                <w:numId w:val="13"/>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sz w:val="20"/>
                <w:szCs w:val="20"/>
                <w:lang w:val="mk-MK"/>
              </w:rPr>
              <w:t xml:space="preserve">Од аспект на начинот на контрола на 10% по истек на деловната година, </w:t>
            </w:r>
            <w:r w:rsidRPr="008F2816">
              <w:rPr>
                <w:rFonts w:ascii="Times New Roman" w:hAnsi="Times New Roman" w:cs="Times New Roman"/>
                <w:b/>
                <w:bCs/>
                <w:sz w:val="20"/>
                <w:szCs w:val="20"/>
                <w:lang w:val="mk-MK"/>
              </w:rPr>
              <w:t xml:space="preserve">неспорно е дека законот се однесува на </w:t>
            </w:r>
            <w:r w:rsidRPr="008F2816">
              <w:rPr>
                <w:rFonts w:ascii="Times New Roman" w:hAnsi="Times New Roman" w:cs="Times New Roman"/>
                <w:b/>
                <w:bCs/>
                <w:sz w:val="20"/>
                <w:szCs w:val="20"/>
                <w:lang w:val="ru-RU"/>
              </w:rPr>
              <w:t xml:space="preserve"> 10% од </w:t>
            </w:r>
            <w:r w:rsidRPr="008F2816">
              <w:rPr>
                <w:rFonts w:ascii="Times New Roman" w:hAnsi="Times New Roman" w:cs="Times New Roman"/>
                <w:b/>
                <w:bCs/>
                <w:sz w:val="20"/>
                <w:szCs w:val="20"/>
                <w:lang w:val="mk-MK"/>
              </w:rPr>
              <w:t>вкупниот остварен промет помеѓу правните субјекти на ниво на деловна година</w:t>
            </w:r>
            <w:r w:rsidRPr="008F2816">
              <w:rPr>
                <w:rFonts w:ascii="Times New Roman" w:hAnsi="Times New Roman" w:cs="Times New Roman"/>
                <w:sz w:val="20"/>
                <w:szCs w:val="20"/>
                <w:lang w:val="mk-MK"/>
              </w:rPr>
              <w:t xml:space="preserve"> (само за прехранбении </w:t>
            </w:r>
            <w:r w:rsidRPr="008F2816">
              <w:rPr>
                <w:rFonts w:ascii="Times New Roman" w:hAnsi="Times New Roman" w:cs="Times New Roman"/>
                <w:sz w:val="20"/>
                <w:szCs w:val="20"/>
                <w:lang w:val="mk-MK"/>
              </w:rPr>
              <w:lastRenderedPageBreak/>
              <w:t>земјоделски производи), па молиме за потврда дека прометот не се пресметува на остварен промет на ниво на принципал/производ и сл.</w:t>
            </w:r>
          </w:p>
        </w:tc>
        <w:tc>
          <w:tcPr>
            <w:tcW w:w="1410" w:type="pct"/>
          </w:tcPr>
          <w:p w14:paraId="5D425DAB" w14:textId="77777777" w:rsidR="00CE5389" w:rsidRPr="008F2816" w:rsidRDefault="00CE5389"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6565ABF4" w14:textId="67164AD9" w:rsidR="00CE5389" w:rsidRPr="008F2816" w:rsidRDefault="00CE5389"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Со оваа</w:t>
            </w:r>
            <w:r w:rsidRPr="008F2816">
              <w:rPr>
                <w:rFonts w:ascii="Times New Roman" w:hAnsi="Times New Roman" w:cs="Times New Roman"/>
                <w:sz w:val="20"/>
                <w:szCs w:val="20"/>
                <w:lang w:val="ru-RU"/>
              </w:rPr>
              <w:t xml:space="preserve"> одредба се предвидува ограничување да давањата (во форма на надоместоци и рабати) кои добавувачите ги имаат спрема купувачите. Ваквите давања се однесуваат на исклучоците од ставот (5) на овој член (а тоа се складирање/позиции на полици, реклама, маркетинг, персонал)</w:t>
            </w:r>
            <w:r w:rsidRPr="008F2816">
              <w:rPr>
                <w:rFonts w:ascii="Times New Roman" w:hAnsi="Times New Roman" w:cs="Times New Roman"/>
                <w:sz w:val="20"/>
                <w:szCs w:val="20"/>
                <w:lang w:val="mk-MK"/>
              </w:rPr>
              <w:t>, како</w:t>
            </w:r>
            <w:r w:rsidRPr="008F2816">
              <w:rPr>
                <w:rFonts w:ascii="Times New Roman" w:hAnsi="Times New Roman" w:cs="Times New Roman"/>
                <w:sz w:val="20"/>
                <w:szCs w:val="20"/>
                <w:lang w:val="ru-RU"/>
              </w:rPr>
              <w:t xml:space="preserve"> и рабатот којшто добавувачот ќе му го одобри на купувачот. Сите овие надоместоци и рабати не смеат да бидат повисоки од 10% од остварениот промет во тековната година и јасно мора да бидат содржани во договорите за снабдување со земјоделски и прехранбени производи.</w:t>
            </w:r>
          </w:p>
          <w:p w14:paraId="088292B3" w14:textId="77777777" w:rsidR="00CE5389" w:rsidRPr="008F2816" w:rsidRDefault="00CE5389"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p>
          <w:p w14:paraId="14429574" w14:textId="77777777" w:rsidR="00CE5389" w:rsidRPr="008F2816" w:rsidRDefault="00CE5389"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Оваа одредба и ограничување претставува директно мешање по слободата на договарање помеѓу добавувачите и купувачите на пазарот со земјоделски и прехранбени производи. Особено што вакво ограничување не е предвидено во директивата, а по направените компаративни анализи не е придвидено ниту во било која друга европска држава која го има уредено ова прашање на национално ниво согласно донесената директива.</w:t>
            </w:r>
          </w:p>
          <w:p w14:paraId="03D486F9" w14:textId="52C61F6F" w:rsidR="00A246CA" w:rsidRPr="008F2816" w:rsidRDefault="00A246CA" w:rsidP="00CE53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p>
        </w:tc>
        <w:tc>
          <w:tcPr>
            <w:tcW w:w="1716" w:type="pct"/>
          </w:tcPr>
          <w:p w14:paraId="0BAC4865" w14:textId="70536F02" w:rsidR="00A84FC3" w:rsidRPr="008F2816" w:rsidRDefault="00A84FC3" w:rsidP="009C7CEC">
            <w:pPr>
              <w:pStyle w:val="ListParagraph"/>
              <w:numPr>
                <w:ilvl w:val="1"/>
                <w:numId w:val="14"/>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Во однос на начинот на договорање на одредени рабати и надоместоци кои го надминуваат ограничувањето од 10%, дури и кога се на барање на добавувачот, надминување не е дозволено. Примената на член 8 останува иста</w:t>
            </w:r>
            <w:r w:rsidR="004D282B" w:rsidRPr="008F2816">
              <w:rPr>
                <w:rFonts w:ascii="Times New Roman" w:hAnsi="Times New Roman" w:cs="Times New Roman"/>
                <w:sz w:val="20"/>
                <w:szCs w:val="20"/>
                <w:lang w:val="mk-MK"/>
              </w:rPr>
              <w:t>,</w:t>
            </w:r>
            <w:r w:rsidR="00E528FE" w:rsidRPr="008F2816">
              <w:rPr>
                <w:rFonts w:ascii="Times New Roman" w:hAnsi="Times New Roman" w:cs="Times New Roman"/>
                <w:sz w:val="20"/>
                <w:szCs w:val="20"/>
                <w:lang w:val="mk-MK"/>
              </w:rPr>
              <w:t xml:space="preserve"> односно во 10% не се вбр</w:t>
            </w:r>
            <w:r w:rsidR="0042282F">
              <w:rPr>
                <w:rFonts w:ascii="Times New Roman" w:hAnsi="Times New Roman" w:cs="Times New Roman"/>
                <w:sz w:val="20"/>
                <w:szCs w:val="20"/>
                <w:lang w:val="mk-MK"/>
              </w:rPr>
              <w:t>о</w:t>
            </w:r>
            <w:r w:rsidR="00E528FE" w:rsidRPr="008F2816">
              <w:rPr>
                <w:rFonts w:ascii="Times New Roman" w:hAnsi="Times New Roman" w:cs="Times New Roman"/>
                <w:sz w:val="20"/>
                <w:szCs w:val="20"/>
                <w:lang w:val="mk-MK"/>
              </w:rPr>
              <w:t xml:space="preserve">јува единствено надоместокот во случај на сопствена дистрибуција со сопствени средства и ресурси од страна на купувачот (чл.8, ст.1, точка 15) и </w:t>
            </w:r>
            <w:r w:rsidR="00DC14AD" w:rsidRPr="008F2816">
              <w:rPr>
                <w:rFonts w:ascii="Times New Roman" w:hAnsi="Times New Roman" w:cs="Times New Roman"/>
                <w:sz w:val="20"/>
                <w:szCs w:val="20"/>
                <w:lang w:val="mk-MK"/>
              </w:rPr>
              <w:t>попустот</w:t>
            </w:r>
            <w:r w:rsidR="00E528FE" w:rsidRPr="008F2816">
              <w:rPr>
                <w:rFonts w:ascii="Times New Roman" w:hAnsi="Times New Roman" w:cs="Times New Roman"/>
                <w:sz w:val="20"/>
                <w:szCs w:val="20"/>
                <w:lang w:val="mk-MK"/>
              </w:rPr>
              <w:t xml:space="preserve"> даден од страна на добавувачот по основ на </w:t>
            </w:r>
            <w:r w:rsidR="004D282B" w:rsidRPr="008F2816">
              <w:rPr>
                <w:rFonts w:ascii="Times New Roman" w:hAnsi="Times New Roman" w:cs="Times New Roman"/>
                <w:sz w:val="20"/>
                <w:szCs w:val="20"/>
                <w:lang w:val="mk-MK"/>
              </w:rPr>
              <w:t>промотивни активности</w:t>
            </w:r>
            <w:r w:rsidR="00E528FE" w:rsidRPr="008F2816">
              <w:rPr>
                <w:rFonts w:ascii="Times New Roman" w:hAnsi="Times New Roman" w:cs="Times New Roman"/>
                <w:sz w:val="20"/>
                <w:szCs w:val="20"/>
                <w:lang w:val="mk-MK"/>
              </w:rPr>
              <w:t xml:space="preserve"> (чл.8,ст.2)</w:t>
            </w:r>
          </w:p>
          <w:p w14:paraId="413756F4" w14:textId="13FED1BA" w:rsidR="004D282B" w:rsidRPr="008F2816" w:rsidRDefault="004D282B" w:rsidP="004D282B">
            <w:pPr>
              <w:pStyle w:val="ListParagraph"/>
              <w:spacing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Доколку купувачот го надмине процентот од 10% за исклучоците предвидени во Законот, купувачот има обврска разликата за уплатени надоместоци и дадени рабати над 10% да ја врати на добавувачот.</w:t>
            </w:r>
          </w:p>
          <w:p w14:paraId="614F3866" w14:textId="2C4E5E68" w:rsidR="00A84FC3" w:rsidRPr="008F2816" w:rsidRDefault="0073721A" w:rsidP="009C7CEC">
            <w:pPr>
              <w:pStyle w:val="ListParagraph"/>
              <w:numPr>
                <w:ilvl w:val="1"/>
                <w:numId w:val="14"/>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Да </w:t>
            </w:r>
            <w:r w:rsidR="00F579CF">
              <w:rPr>
                <w:rFonts w:ascii="Times New Roman" w:hAnsi="Times New Roman" w:cs="Times New Roman"/>
                <w:sz w:val="20"/>
                <w:szCs w:val="20"/>
                <w:lang w:val="mk-MK"/>
              </w:rPr>
              <w:t xml:space="preserve">ја </w:t>
            </w:r>
            <w:r w:rsidRPr="008F2816">
              <w:rPr>
                <w:rFonts w:ascii="Times New Roman" w:hAnsi="Times New Roman" w:cs="Times New Roman"/>
                <w:sz w:val="20"/>
                <w:szCs w:val="20"/>
                <w:lang w:val="mk-MK"/>
              </w:rPr>
              <w:t>стави во рамка висината на трошоците кои ги имаат добавувачите, кои досега биле многу повисоки и неоправдани</w:t>
            </w:r>
            <w:r w:rsidR="00E5018A" w:rsidRPr="008F2816">
              <w:rPr>
                <w:rFonts w:ascii="Times New Roman" w:hAnsi="Times New Roman" w:cs="Times New Roman"/>
                <w:sz w:val="20"/>
                <w:szCs w:val="20"/>
                <w:lang w:val="mk-MK"/>
              </w:rPr>
              <w:t>, а влијаеле негативно на малопродажните цени.</w:t>
            </w:r>
          </w:p>
          <w:p w14:paraId="5BEEBD53" w14:textId="02F630A5" w:rsidR="00E528FE" w:rsidRPr="008F2816" w:rsidRDefault="004D282B" w:rsidP="004D282B">
            <w:pPr>
              <w:pStyle w:val="ListParagraph"/>
              <w:numPr>
                <w:ilvl w:val="1"/>
                <w:numId w:val="14"/>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Според направените анализи пред донесување на </w:t>
            </w:r>
            <w:r w:rsidR="002A2B7E" w:rsidRPr="008F2816">
              <w:rPr>
                <w:rFonts w:ascii="Times New Roman" w:hAnsi="Times New Roman" w:cs="Times New Roman"/>
                <w:sz w:val="20"/>
                <w:szCs w:val="20"/>
                <w:lang w:val="mk-MK"/>
              </w:rPr>
              <w:t>З</w:t>
            </w:r>
            <w:r w:rsidRPr="008F2816">
              <w:rPr>
                <w:rFonts w:ascii="Times New Roman" w:hAnsi="Times New Roman" w:cs="Times New Roman"/>
                <w:sz w:val="20"/>
                <w:szCs w:val="20"/>
                <w:lang w:val="mk-MK"/>
              </w:rPr>
              <w:t xml:space="preserve">аконот, на надоместоци и рабати кои биле плаќани од страна на добавувачите, оценето е дека истите се превисоки и неоправдани и на база на статискичките податоци и спроведените анализи, утврдено е </w:t>
            </w:r>
            <w:r w:rsidR="00BE087B">
              <w:rPr>
                <w:rFonts w:ascii="Times New Roman" w:hAnsi="Times New Roman" w:cs="Times New Roman"/>
                <w:sz w:val="20"/>
                <w:szCs w:val="20"/>
                <w:lang w:val="mk-MK"/>
              </w:rPr>
              <w:t xml:space="preserve">дека </w:t>
            </w:r>
            <w:r w:rsidR="00D6101A" w:rsidRPr="008F2816">
              <w:rPr>
                <w:rFonts w:ascii="Times New Roman" w:hAnsi="Times New Roman" w:cs="Times New Roman"/>
                <w:sz w:val="20"/>
                <w:szCs w:val="20"/>
                <w:lang w:val="mk-MK"/>
              </w:rPr>
              <w:t>10 % е</w:t>
            </w:r>
            <w:r w:rsidRPr="008F2816">
              <w:rPr>
                <w:rFonts w:ascii="Times New Roman" w:hAnsi="Times New Roman" w:cs="Times New Roman"/>
                <w:sz w:val="20"/>
                <w:szCs w:val="20"/>
                <w:lang w:val="mk-MK"/>
              </w:rPr>
              <w:t xml:space="preserve"> соодветно решение за да се постигне </w:t>
            </w:r>
            <w:r w:rsidR="00D6101A" w:rsidRPr="008F2816">
              <w:rPr>
                <w:rFonts w:ascii="Times New Roman" w:hAnsi="Times New Roman" w:cs="Times New Roman"/>
                <w:sz w:val="20"/>
                <w:szCs w:val="20"/>
                <w:lang w:val="mk-MK"/>
              </w:rPr>
              <w:t xml:space="preserve">очекуваниот </w:t>
            </w:r>
            <w:r w:rsidRPr="008F2816">
              <w:rPr>
                <w:rFonts w:ascii="Times New Roman" w:hAnsi="Times New Roman" w:cs="Times New Roman"/>
                <w:sz w:val="20"/>
                <w:szCs w:val="20"/>
                <w:lang w:val="mk-MK"/>
              </w:rPr>
              <w:t xml:space="preserve">ефект на законското решение. </w:t>
            </w:r>
          </w:p>
          <w:p w14:paraId="74203C12" w14:textId="00034788" w:rsidR="00E528FE" w:rsidRPr="008F2816" w:rsidRDefault="00E528FE" w:rsidP="009C7CEC">
            <w:pPr>
              <w:pStyle w:val="ListParagraph"/>
              <w:numPr>
                <w:ilvl w:val="1"/>
                <w:numId w:val="14"/>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При контролата на износот на рабати и надоместоци кои се ограничени на 10%</w:t>
            </w:r>
            <w:r w:rsidR="00D6101A" w:rsidRPr="008F2816">
              <w:rPr>
                <w:rFonts w:ascii="Times New Roman" w:hAnsi="Times New Roman" w:cs="Times New Roman"/>
                <w:sz w:val="20"/>
                <w:szCs w:val="20"/>
                <w:lang w:val="mk-MK"/>
              </w:rPr>
              <w:t xml:space="preserve"> на годишно ниво</w:t>
            </w:r>
            <w:r w:rsidRPr="008F2816">
              <w:rPr>
                <w:rFonts w:ascii="Times New Roman" w:hAnsi="Times New Roman" w:cs="Times New Roman"/>
                <w:sz w:val="20"/>
                <w:szCs w:val="20"/>
                <w:lang w:val="mk-MK"/>
              </w:rPr>
              <w:t xml:space="preserve">, ограничувањето се однесува  </w:t>
            </w:r>
            <w:r w:rsidR="00D6101A" w:rsidRPr="008F2816">
              <w:rPr>
                <w:rFonts w:ascii="Times New Roman" w:hAnsi="Times New Roman" w:cs="Times New Roman"/>
                <w:sz w:val="20"/>
                <w:szCs w:val="20"/>
                <w:lang w:val="mk-MK"/>
              </w:rPr>
              <w:t xml:space="preserve">единствено на </w:t>
            </w:r>
            <w:r w:rsidRPr="008F2816">
              <w:rPr>
                <w:rFonts w:ascii="Times New Roman" w:hAnsi="Times New Roman" w:cs="Times New Roman"/>
                <w:sz w:val="20"/>
                <w:szCs w:val="20"/>
                <w:lang w:val="mk-MK"/>
              </w:rPr>
              <w:t xml:space="preserve">прометот на годишно ниво </w:t>
            </w:r>
            <w:r w:rsidR="004C0D0F" w:rsidRPr="008F2816">
              <w:rPr>
                <w:rFonts w:ascii="Times New Roman" w:hAnsi="Times New Roman" w:cs="Times New Roman"/>
                <w:sz w:val="20"/>
                <w:szCs w:val="20"/>
                <w:lang w:val="mk-MK"/>
              </w:rPr>
              <w:t xml:space="preserve">во текот на годината </w:t>
            </w:r>
            <w:r w:rsidRPr="008F2816">
              <w:rPr>
                <w:rFonts w:ascii="Times New Roman" w:hAnsi="Times New Roman" w:cs="Times New Roman"/>
                <w:sz w:val="20"/>
                <w:szCs w:val="20"/>
                <w:lang w:val="mk-MK"/>
              </w:rPr>
              <w:t>помеѓу добавувачот и купувачот за</w:t>
            </w:r>
            <w:r w:rsidR="009C7CEC" w:rsidRPr="008F2816">
              <w:rPr>
                <w:rFonts w:ascii="Times New Roman" w:hAnsi="Times New Roman" w:cs="Times New Roman"/>
                <w:sz w:val="20"/>
                <w:szCs w:val="20"/>
                <w:lang w:val="en-US"/>
              </w:rPr>
              <w:t xml:space="preserve"> </w:t>
            </w:r>
            <w:r w:rsidR="009C7CEC" w:rsidRPr="008F2816">
              <w:rPr>
                <w:rFonts w:ascii="Times New Roman" w:hAnsi="Times New Roman" w:cs="Times New Roman"/>
                <w:sz w:val="20"/>
                <w:szCs w:val="20"/>
                <w:lang w:val="mk-MK"/>
              </w:rPr>
              <w:t xml:space="preserve">целокупното портфолио на </w:t>
            </w:r>
            <w:r w:rsidRPr="008F2816">
              <w:rPr>
                <w:rFonts w:ascii="Times New Roman" w:hAnsi="Times New Roman" w:cs="Times New Roman"/>
                <w:sz w:val="20"/>
                <w:szCs w:val="20"/>
                <w:lang w:val="mk-MK"/>
              </w:rPr>
              <w:t>земјоделски и прехранбени производи</w:t>
            </w:r>
            <w:r w:rsidR="00D6101A" w:rsidRPr="008F2816">
              <w:rPr>
                <w:rFonts w:ascii="Times New Roman" w:hAnsi="Times New Roman" w:cs="Times New Roman"/>
                <w:sz w:val="20"/>
                <w:szCs w:val="20"/>
                <w:lang w:val="mk-MK"/>
              </w:rPr>
              <w:t xml:space="preserve"> опфатени со Листата на земјоделски и </w:t>
            </w:r>
            <w:r w:rsidR="00D6101A" w:rsidRPr="008F2816">
              <w:rPr>
                <w:rFonts w:ascii="Times New Roman" w:hAnsi="Times New Roman" w:cs="Times New Roman"/>
                <w:sz w:val="20"/>
                <w:szCs w:val="20"/>
                <w:lang w:val="mk-MK"/>
              </w:rPr>
              <w:lastRenderedPageBreak/>
              <w:t>прехранбени производи ... дон</w:t>
            </w:r>
            <w:r w:rsidR="00BE087B">
              <w:rPr>
                <w:rFonts w:ascii="Times New Roman" w:hAnsi="Times New Roman" w:cs="Times New Roman"/>
                <w:sz w:val="20"/>
                <w:szCs w:val="20"/>
                <w:lang w:val="mk-MK"/>
              </w:rPr>
              <w:t>е</w:t>
            </w:r>
            <w:r w:rsidR="00D6101A" w:rsidRPr="008F2816">
              <w:rPr>
                <w:rFonts w:ascii="Times New Roman" w:hAnsi="Times New Roman" w:cs="Times New Roman"/>
                <w:sz w:val="20"/>
                <w:szCs w:val="20"/>
                <w:lang w:val="mk-MK"/>
              </w:rPr>
              <w:t xml:space="preserve">сена од страна на Министерот, </w:t>
            </w:r>
            <w:r w:rsidR="009C7CEC" w:rsidRPr="008F2816">
              <w:rPr>
                <w:rFonts w:ascii="Times New Roman" w:hAnsi="Times New Roman" w:cs="Times New Roman"/>
                <w:sz w:val="20"/>
                <w:szCs w:val="20"/>
                <w:lang w:val="mk-MK"/>
              </w:rPr>
              <w:t>а не се анализира по трговска марка/бренд/принципал</w:t>
            </w:r>
            <w:r w:rsidRPr="008F2816">
              <w:rPr>
                <w:rFonts w:ascii="Times New Roman" w:hAnsi="Times New Roman" w:cs="Times New Roman"/>
                <w:sz w:val="20"/>
                <w:szCs w:val="20"/>
                <w:lang w:val="mk-MK"/>
              </w:rPr>
              <w:t>.</w:t>
            </w:r>
          </w:p>
        </w:tc>
      </w:tr>
      <w:tr w:rsidR="005977C5" w:rsidRPr="008F2816" w14:paraId="410F5D22" w14:textId="77777777" w:rsidTr="008F2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 w:type="pct"/>
          </w:tcPr>
          <w:p w14:paraId="31BD3E42" w14:textId="36CFEF29" w:rsidR="005977C5" w:rsidRPr="008F2816" w:rsidRDefault="00CE5389" w:rsidP="001535DF">
            <w:pPr>
              <w:jc w:val="both"/>
              <w:rPr>
                <w:rFonts w:ascii="Times New Roman" w:hAnsi="Times New Roman" w:cs="Times New Roman"/>
                <w:b w:val="0"/>
                <w:sz w:val="24"/>
                <w:szCs w:val="24"/>
              </w:rPr>
            </w:pPr>
            <w:r w:rsidRPr="008F2816">
              <w:rPr>
                <w:rFonts w:ascii="Times New Roman" w:hAnsi="Times New Roman" w:cs="Times New Roman"/>
                <w:b w:val="0"/>
                <w:sz w:val="24"/>
                <w:szCs w:val="24"/>
              </w:rPr>
              <w:lastRenderedPageBreak/>
              <w:t>2.</w:t>
            </w:r>
          </w:p>
        </w:tc>
        <w:tc>
          <w:tcPr>
            <w:tcW w:w="1540" w:type="pct"/>
          </w:tcPr>
          <w:p w14:paraId="29976795" w14:textId="4D925EB2" w:rsidR="00CE5389" w:rsidRPr="008F2816" w:rsidRDefault="00CE5389" w:rsidP="00CE53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b/>
                <w:bCs/>
                <w:sz w:val="20"/>
                <w:szCs w:val="20"/>
                <w:lang w:val="mk-MK"/>
              </w:rPr>
              <w:t>ХОРЕКА објекти</w:t>
            </w:r>
            <w:r w:rsidRPr="008F2816">
              <w:rPr>
                <w:rFonts w:ascii="Times New Roman" w:hAnsi="Times New Roman" w:cs="Times New Roman"/>
                <w:sz w:val="20"/>
                <w:szCs w:val="20"/>
                <w:lang w:val="mk-MK"/>
              </w:rPr>
              <w:t xml:space="preserve"> кои се сопственост на самите Купувачи, дали се третираат посебно, надвор од законот, бидејќи с</w:t>
            </w:r>
            <w:r w:rsidR="007F49ED" w:rsidRPr="008F2816">
              <w:rPr>
                <w:rFonts w:ascii="Times New Roman" w:hAnsi="Times New Roman" w:cs="Times New Roman"/>
                <w:sz w:val="20"/>
                <w:szCs w:val="20"/>
                <w:lang w:val="mk-MK"/>
              </w:rPr>
              <w:t>е споени субјекти со Купувачите.</w:t>
            </w:r>
          </w:p>
          <w:p w14:paraId="306D7F32" w14:textId="77777777" w:rsidR="00CE5389" w:rsidRPr="008F2816" w:rsidRDefault="00CE5389" w:rsidP="00CE53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73B56040" w14:textId="77777777" w:rsidR="00CE5389" w:rsidRPr="008F2816" w:rsidRDefault="00CE5389" w:rsidP="00CE53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Станува збор за подружници, кои немаат правен субјективитет, а генерално прометот може да се оддели од прометот при анализа за 10% на годишно ниво.</w:t>
            </w:r>
          </w:p>
          <w:p w14:paraId="440A3A60" w14:textId="77777777" w:rsidR="005977C5" w:rsidRPr="008F2816" w:rsidRDefault="005977C5" w:rsidP="00A9069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mk-MK"/>
              </w:rPr>
            </w:pPr>
          </w:p>
        </w:tc>
        <w:tc>
          <w:tcPr>
            <w:tcW w:w="1410" w:type="pct"/>
          </w:tcPr>
          <w:p w14:paraId="48710454" w14:textId="77777777" w:rsidR="00CE5389" w:rsidRPr="008F2816" w:rsidRDefault="00CE5389" w:rsidP="00CE53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Законот за забрана на нефер трговски практики не се однесува и применува на ХОРЕКА каналот. </w:t>
            </w:r>
          </w:p>
          <w:p w14:paraId="576E4AE4" w14:textId="77777777" w:rsidR="005977C5" w:rsidRPr="008F2816" w:rsidRDefault="005977C5" w:rsidP="00A9069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tc>
        <w:tc>
          <w:tcPr>
            <w:tcW w:w="1716" w:type="pct"/>
          </w:tcPr>
          <w:p w14:paraId="20093CFC" w14:textId="580F5DAF" w:rsidR="005977C5" w:rsidRPr="008F2816" w:rsidRDefault="00E528FE" w:rsidP="00D6101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ХОРЕКА објекти</w:t>
            </w:r>
            <w:r w:rsidR="005A00F4" w:rsidRPr="008F2816">
              <w:rPr>
                <w:rFonts w:ascii="Times New Roman" w:hAnsi="Times New Roman" w:cs="Times New Roman"/>
                <w:sz w:val="20"/>
                <w:szCs w:val="20"/>
                <w:lang w:val="mk-MK"/>
              </w:rPr>
              <w:t xml:space="preserve"> (хотели, ресторани, кафичи) </w:t>
            </w:r>
            <w:r w:rsidRPr="008F2816">
              <w:rPr>
                <w:rFonts w:ascii="Times New Roman" w:hAnsi="Times New Roman" w:cs="Times New Roman"/>
                <w:sz w:val="20"/>
                <w:szCs w:val="20"/>
                <w:lang w:val="mk-MK"/>
              </w:rPr>
              <w:t xml:space="preserve"> кои се сопственост на самите Купувачи (</w:t>
            </w:r>
            <w:r w:rsidR="007A4830" w:rsidRPr="008F2816">
              <w:rPr>
                <w:rFonts w:ascii="Times New Roman" w:hAnsi="Times New Roman" w:cs="Times New Roman"/>
                <w:sz w:val="20"/>
                <w:szCs w:val="20"/>
                <w:lang w:val="mk-MK"/>
              </w:rPr>
              <w:t xml:space="preserve">вклучително и </w:t>
            </w:r>
            <w:r w:rsidRPr="008F2816">
              <w:rPr>
                <w:rFonts w:ascii="Times New Roman" w:hAnsi="Times New Roman" w:cs="Times New Roman"/>
                <w:sz w:val="20"/>
                <w:szCs w:val="20"/>
                <w:lang w:val="mk-MK"/>
              </w:rPr>
              <w:t>подружници</w:t>
            </w:r>
            <w:r w:rsidR="007A4830" w:rsidRPr="008F2816">
              <w:rPr>
                <w:rFonts w:ascii="Times New Roman" w:hAnsi="Times New Roman" w:cs="Times New Roman"/>
                <w:sz w:val="20"/>
                <w:szCs w:val="20"/>
                <w:lang w:val="mk-MK"/>
              </w:rPr>
              <w:t xml:space="preserve"> на Купувачите</w:t>
            </w:r>
            <w:r w:rsidRPr="008F2816">
              <w:rPr>
                <w:rFonts w:ascii="Times New Roman" w:hAnsi="Times New Roman" w:cs="Times New Roman"/>
                <w:sz w:val="20"/>
                <w:szCs w:val="20"/>
                <w:lang w:val="mk-MK"/>
              </w:rPr>
              <w:t xml:space="preserve"> кои</w:t>
            </w:r>
            <w:r w:rsidR="007A4830" w:rsidRPr="008F2816">
              <w:rPr>
                <w:rFonts w:ascii="Times New Roman" w:hAnsi="Times New Roman" w:cs="Times New Roman"/>
                <w:sz w:val="20"/>
                <w:szCs w:val="20"/>
                <w:lang w:val="mk-MK"/>
              </w:rPr>
              <w:t xml:space="preserve"> подружници</w:t>
            </w:r>
            <w:r w:rsidRPr="008F2816">
              <w:rPr>
                <w:rFonts w:ascii="Times New Roman" w:hAnsi="Times New Roman" w:cs="Times New Roman"/>
                <w:sz w:val="20"/>
                <w:szCs w:val="20"/>
                <w:lang w:val="mk-MK"/>
              </w:rPr>
              <w:t xml:space="preserve"> немаат правен субјективитет</w:t>
            </w:r>
            <w:r w:rsidR="00C26AFF" w:rsidRPr="008F2816">
              <w:rPr>
                <w:rFonts w:ascii="Times New Roman" w:hAnsi="Times New Roman" w:cs="Times New Roman"/>
                <w:sz w:val="20"/>
                <w:szCs w:val="20"/>
                <w:lang w:val="mk-MK"/>
              </w:rPr>
              <w:t>, а се регистрирани во тековна состојба на субјектот</w:t>
            </w:r>
            <w:r w:rsidRPr="008F2816">
              <w:rPr>
                <w:rFonts w:ascii="Times New Roman" w:hAnsi="Times New Roman" w:cs="Times New Roman"/>
                <w:sz w:val="20"/>
                <w:szCs w:val="20"/>
                <w:lang w:val="mk-MK"/>
              </w:rPr>
              <w:t>) не се предмет на примена и уредување со Законот за забрана на нефер трговски практики во синџирот на снабдување со земјоделски и прехранбени производи. Спроведените маркетинг и рекламни активности, како и останатите рабати</w:t>
            </w:r>
            <w:r w:rsidR="009C7CEC" w:rsidRPr="008F2816">
              <w:rPr>
                <w:rFonts w:ascii="Times New Roman" w:hAnsi="Times New Roman" w:cs="Times New Roman"/>
                <w:sz w:val="20"/>
                <w:szCs w:val="20"/>
                <w:lang w:val="mk-MK"/>
              </w:rPr>
              <w:t xml:space="preserve"> и надоместоци</w:t>
            </w:r>
            <w:r w:rsidRPr="008F2816">
              <w:rPr>
                <w:rFonts w:ascii="Times New Roman" w:hAnsi="Times New Roman" w:cs="Times New Roman"/>
                <w:sz w:val="20"/>
                <w:szCs w:val="20"/>
                <w:lang w:val="mk-MK"/>
              </w:rPr>
              <w:t xml:space="preserve"> кои добавувачот ги дава на купувачот конкретно за овие ХОРЕКА објекти нема да </w:t>
            </w:r>
            <w:r w:rsidR="00AE6CC7" w:rsidRPr="008F2816">
              <w:rPr>
                <w:rFonts w:ascii="Times New Roman" w:hAnsi="Times New Roman" w:cs="Times New Roman"/>
                <w:sz w:val="20"/>
                <w:szCs w:val="20"/>
                <w:lang w:val="mk-MK"/>
              </w:rPr>
              <w:t>с</w:t>
            </w:r>
            <w:r w:rsidR="009C7CEC" w:rsidRPr="008F2816">
              <w:rPr>
                <w:rFonts w:ascii="Times New Roman" w:hAnsi="Times New Roman" w:cs="Times New Roman"/>
                <w:sz w:val="20"/>
                <w:szCs w:val="20"/>
                <w:lang w:val="mk-MK"/>
              </w:rPr>
              <w:t>е</w:t>
            </w:r>
            <w:r w:rsidRPr="008F2816">
              <w:rPr>
                <w:rFonts w:ascii="Times New Roman" w:hAnsi="Times New Roman" w:cs="Times New Roman"/>
                <w:sz w:val="20"/>
                <w:szCs w:val="20"/>
                <w:lang w:val="mk-MK"/>
              </w:rPr>
              <w:t xml:space="preserve"> предмет на ограничувањата кои ги предвидува Законот</w:t>
            </w:r>
            <w:r w:rsidR="009C7CEC" w:rsidRPr="008F2816">
              <w:rPr>
                <w:rFonts w:ascii="Times New Roman" w:hAnsi="Times New Roman" w:cs="Times New Roman"/>
                <w:sz w:val="20"/>
                <w:szCs w:val="20"/>
                <w:lang w:val="mk-MK"/>
              </w:rPr>
              <w:t xml:space="preserve">, ниту се </w:t>
            </w:r>
            <w:r w:rsidR="009838CB" w:rsidRPr="008F2816">
              <w:rPr>
                <w:rFonts w:ascii="Times New Roman" w:hAnsi="Times New Roman" w:cs="Times New Roman"/>
                <w:sz w:val="20"/>
                <w:szCs w:val="20"/>
                <w:lang w:val="mk-MK"/>
              </w:rPr>
              <w:t>з</w:t>
            </w:r>
            <w:r w:rsidR="000B1239">
              <w:rPr>
                <w:rFonts w:ascii="Times New Roman" w:hAnsi="Times New Roman" w:cs="Times New Roman"/>
                <w:sz w:val="20"/>
                <w:szCs w:val="20"/>
                <w:lang w:val="mk-MK"/>
              </w:rPr>
              <w:t>е</w:t>
            </w:r>
            <w:r w:rsidR="009C7CEC" w:rsidRPr="008F2816">
              <w:rPr>
                <w:rFonts w:ascii="Times New Roman" w:hAnsi="Times New Roman" w:cs="Times New Roman"/>
                <w:sz w:val="20"/>
                <w:szCs w:val="20"/>
                <w:lang w:val="mk-MK"/>
              </w:rPr>
              <w:t>маат во предвид при пресметка на прометот на годишно ниво остварен од продажба на земјоделски и прехранбени производи</w:t>
            </w:r>
            <w:r w:rsidRPr="008F2816">
              <w:rPr>
                <w:rFonts w:ascii="Times New Roman" w:hAnsi="Times New Roman" w:cs="Times New Roman"/>
                <w:sz w:val="20"/>
                <w:szCs w:val="20"/>
                <w:lang w:val="mk-MK"/>
              </w:rPr>
              <w:t>.</w:t>
            </w:r>
          </w:p>
          <w:p w14:paraId="3D3BFAC0" w14:textId="71AB9FBD" w:rsidR="009C7CEC" w:rsidRPr="008F2816" w:rsidRDefault="007F49ED" w:rsidP="008F281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Заради ефикасна примена на Законот, потребно е набавките и плаќањата </w:t>
            </w:r>
            <w:r w:rsidR="008F2816" w:rsidRPr="008F2816">
              <w:rPr>
                <w:rFonts w:ascii="Times New Roman" w:hAnsi="Times New Roman" w:cs="Times New Roman"/>
                <w:sz w:val="20"/>
                <w:szCs w:val="20"/>
                <w:lang w:val="mk-MK"/>
              </w:rPr>
              <w:t xml:space="preserve">од/кон исти Добавувачи, </w:t>
            </w:r>
            <w:r w:rsidRPr="008F2816">
              <w:rPr>
                <w:rFonts w:ascii="Times New Roman" w:hAnsi="Times New Roman" w:cs="Times New Roman"/>
                <w:sz w:val="20"/>
                <w:szCs w:val="20"/>
                <w:lang w:val="mk-MK"/>
              </w:rPr>
              <w:t xml:space="preserve">кои се вршат за потребите на ХОРЕКА објектите во сопственост на самите Купувачи, да бидат сметководствено/евиденционо одделени од набавките и плаќањата кои се вршат за потребите на самите Купувачи. Ова е со цел да се избегнат случаи на утврдување на прекршок </w:t>
            </w:r>
            <w:r w:rsidR="008F2816" w:rsidRPr="008F2816">
              <w:rPr>
                <w:rFonts w:ascii="Times New Roman" w:hAnsi="Times New Roman" w:cs="Times New Roman"/>
                <w:sz w:val="20"/>
                <w:szCs w:val="20"/>
                <w:lang w:val="mk-MK"/>
              </w:rPr>
              <w:t>против</w:t>
            </w:r>
            <w:r w:rsidRPr="008F2816">
              <w:rPr>
                <w:rFonts w:ascii="Times New Roman" w:hAnsi="Times New Roman" w:cs="Times New Roman"/>
                <w:sz w:val="20"/>
                <w:szCs w:val="20"/>
                <w:lang w:val="mk-MK"/>
              </w:rPr>
              <w:t xml:space="preserve"> Купувач</w:t>
            </w:r>
            <w:r w:rsidR="008F2816" w:rsidRPr="008F2816">
              <w:rPr>
                <w:rFonts w:ascii="Times New Roman" w:hAnsi="Times New Roman" w:cs="Times New Roman"/>
                <w:sz w:val="20"/>
                <w:szCs w:val="20"/>
                <w:lang w:val="mk-MK"/>
              </w:rPr>
              <w:t>ите кои се сопст</w:t>
            </w:r>
            <w:r w:rsidRPr="008F2816">
              <w:rPr>
                <w:rFonts w:ascii="Times New Roman" w:hAnsi="Times New Roman" w:cs="Times New Roman"/>
                <w:sz w:val="20"/>
                <w:szCs w:val="20"/>
                <w:lang w:val="mk-MK"/>
              </w:rPr>
              <w:t xml:space="preserve">веници на ХОРЕКА објекти, </w:t>
            </w:r>
            <w:r w:rsidR="008F2816" w:rsidRPr="008F2816">
              <w:rPr>
                <w:rFonts w:ascii="Times New Roman" w:hAnsi="Times New Roman" w:cs="Times New Roman"/>
                <w:sz w:val="20"/>
                <w:szCs w:val="20"/>
                <w:lang w:val="mk-MK"/>
              </w:rPr>
              <w:t>а поради</w:t>
            </w:r>
            <w:r w:rsidRPr="008F2816">
              <w:rPr>
                <w:rFonts w:ascii="Times New Roman" w:hAnsi="Times New Roman" w:cs="Times New Roman"/>
                <w:sz w:val="20"/>
                <w:szCs w:val="20"/>
                <w:lang w:val="mk-MK"/>
              </w:rPr>
              <w:t xml:space="preserve">  </w:t>
            </w:r>
            <w:r w:rsidR="008F2816" w:rsidRPr="008F2816">
              <w:rPr>
                <w:rFonts w:ascii="Times New Roman" w:hAnsi="Times New Roman" w:cs="Times New Roman"/>
                <w:sz w:val="20"/>
                <w:szCs w:val="20"/>
                <w:lang w:val="mk-MK"/>
              </w:rPr>
              <w:t>заедничко</w:t>
            </w:r>
            <w:r w:rsidRPr="008F2816">
              <w:rPr>
                <w:rFonts w:ascii="Times New Roman" w:hAnsi="Times New Roman" w:cs="Times New Roman"/>
                <w:sz w:val="20"/>
                <w:szCs w:val="20"/>
                <w:lang w:val="mk-MK"/>
              </w:rPr>
              <w:t xml:space="preserve"> </w:t>
            </w:r>
            <w:r w:rsidR="008F2816" w:rsidRPr="008F2816">
              <w:rPr>
                <w:rFonts w:ascii="Times New Roman" w:hAnsi="Times New Roman" w:cs="Times New Roman"/>
                <w:sz w:val="20"/>
                <w:szCs w:val="20"/>
                <w:lang w:val="mk-MK"/>
              </w:rPr>
              <w:t xml:space="preserve">сметководствено </w:t>
            </w:r>
            <w:r w:rsidRPr="008F2816">
              <w:rPr>
                <w:rFonts w:ascii="Times New Roman" w:hAnsi="Times New Roman" w:cs="Times New Roman"/>
                <w:sz w:val="20"/>
                <w:szCs w:val="20"/>
                <w:lang w:val="mk-MK"/>
              </w:rPr>
              <w:t>евидентирање на набавки/плаќања/рабати и други надоместоци</w:t>
            </w:r>
            <w:r w:rsidR="008F2816" w:rsidRPr="008F2816">
              <w:rPr>
                <w:rFonts w:ascii="Times New Roman" w:hAnsi="Times New Roman" w:cs="Times New Roman"/>
                <w:sz w:val="20"/>
                <w:szCs w:val="20"/>
                <w:lang w:val="mk-MK"/>
              </w:rPr>
              <w:t>.</w:t>
            </w:r>
          </w:p>
        </w:tc>
      </w:tr>
      <w:tr w:rsidR="00FE5C11" w:rsidRPr="008F2816" w14:paraId="0DB9D754" w14:textId="77777777" w:rsidTr="008F2816">
        <w:tc>
          <w:tcPr>
            <w:cnfStyle w:val="001000000000" w:firstRow="0" w:lastRow="0" w:firstColumn="1" w:lastColumn="0" w:oddVBand="0" w:evenVBand="0" w:oddHBand="0" w:evenHBand="0" w:firstRowFirstColumn="0" w:firstRowLastColumn="0" w:lastRowFirstColumn="0" w:lastRowLastColumn="0"/>
            <w:tcW w:w="334" w:type="pct"/>
          </w:tcPr>
          <w:p w14:paraId="650274FC" w14:textId="7A457C5E" w:rsidR="00FE5C11" w:rsidRPr="008F2816" w:rsidRDefault="004C4C9F" w:rsidP="00FE5C11">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3.</w:t>
            </w:r>
          </w:p>
        </w:tc>
        <w:tc>
          <w:tcPr>
            <w:tcW w:w="1540" w:type="pct"/>
          </w:tcPr>
          <w:p w14:paraId="2A4ECC07" w14:textId="7B92573A" w:rsidR="00FE5C11" w:rsidRPr="008F2816" w:rsidRDefault="00FE5C11" w:rsidP="00FE5C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r w:rsidRPr="008F2816">
              <w:rPr>
                <w:rFonts w:ascii="Times New Roman" w:hAnsi="Times New Roman" w:cs="Times New Roman"/>
                <w:sz w:val="20"/>
                <w:szCs w:val="20"/>
                <w:lang w:val="mk-MK"/>
              </w:rPr>
              <w:t xml:space="preserve">Дали е дозволено </w:t>
            </w:r>
            <w:r w:rsidRPr="008F2816">
              <w:rPr>
                <w:rFonts w:ascii="Times New Roman" w:hAnsi="Times New Roman" w:cs="Times New Roman"/>
                <w:b/>
                <w:bCs/>
                <w:sz w:val="20"/>
                <w:szCs w:val="20"/>
                <w:lang w:val="mk-MK"/>
              </w:rPr>
              <w:t>договарање на асортиман</w:t>
            </w:r>
            <w:r w:rsidRPr="008F2816">
              <w:rPr>
                <w:rFonts w:ascii="Times New Roman" w:hAnsi="Times New Roman" w:cs="Times New Roman"/>
                <w:sz w:val="20"/>
                <w:szCs w:val="20"/>
                <w:lang w:val="mk-MK"/>
              </w:rPr>
              <w:t xml:space="preserve"> и доколку да, дали надоместокот исплатен по тој основ се калкулира во 10% промет на годишно ниво? </w:t>
            </w:r>
          </w:p>
        </w:tc>
        <w:tc>
          <w:tcPr>
            <w:tcW w:w="1410" w:type="pct"/>
          </w:tcPr>
          <w:p w14:paraId="2BF5F246" w14:textId="2E1B6395" w:rsidR="00781E20" w:rsidRPr="008F2816" w:rsidRDefault="00FE5C11" w:rsidP="00B62D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Законот на повеќе места се осврнув</w:t>
            </w:r>
            <w:r w:rsidRPr="008F2816">
              <w:rPr>
                <w:rFonts w:ascii="Times New Roman" w:hAnsi="Times New Roman" w:cs="Times New Roman"/>
                <w:sz w:val="20"/>
                <w:szCs w:val="20"/>
              </w:rPr>
              <w:t>a</w:t>
            </w:r>
            <w:r w:rsidRPr="008F2816">
              <w:rPr>
                <w:rFonts w:ascii="Times New Roman" w:hAnsi="Times New Roman" w:cs="Times New Roman"/>
                <w:sz w:val="20"/>
                <w:szCs w:val="20"/>
                <w:lang w:val="mk-MK"/>
              </w:rPr>
              <w:t xml:space="preserve"> на договорен асортиман и како категорија ваквиот асортиман е дозволен</w:t>
            </w:r>
            <w:r w:rsidR="003B5F42" w:rsidRPr="008F2816">
              <w:rPr>
                <w:rFonts w:ascii="Times New Roman" w:hAnsi="Times New Roman" w:cs="Times New Roman"/>
                <w:sz w:val="20"/>
                <w:szCs w:val="20"/>
                <w:lang w:val="mk-MK"/>
              </w:rPr>
              <w:t>.</w:t>
            </w:r>
            <w:r w:rsidRPr="008F2816">
              <w:rPr>
                <w:rFonts w:ascii="Times New Roman" w:hAnsi="Times New Roman" w:cs="Times New Roman"/>
                <w:sz w:val="20"/>
                <w:szCs w:val="20"/>
                <w:lang w:val="mk-MK"/>
              </w:rPr>
              <w:t xml:space="preserve"> </w:t>
            </w:r>
            <w:r w:rsidR="003B5F42" w:rsidRPr="008F2816">
              <w:rPr>
                <w:rFonts w:ascii="Times New Roman" w:hAnsi="Times New Roman" w:cs="Times New Roman"/>
                <w:sz w:val="20"/>
                <w:szCs w:val="20"/>
                <w:lang w:val="mk-MK"/>
              </w:rPr>
              <w:t>Н</w:t>
            </w:r>
            <w:r w:rsidRPr="008F2816">
              <w:rPr>
                <w:rFonts w:ascii="Times New Roman" w:hAnsi="Times New Roman" w:cs="Times New Roman"/>
                <w:sz w:val="20"/>
                <w:szCs w:val="20"/>
                <w:lang w:val="mk-MK"/>
              </w:rPr>
              <w:t>о</w:t>
            </w:r>
            <w:r w:rsidR="003B5F42" w:rsidRPr="008F2816">
              <w:rPr>
                <w:rFonts w:ascii="Times New Roman" w:hAnsi="Times New Roman" w:cs="Times New Roman"/>
                <w:sz w:val="20"/>
                <w:szCs w:val="20"/>
                <w:lang w:val="mk-MK"/>
              </w:rPr>
              <w:t>,</w:t>
            </w:r>
            <w:r w:rsidRPr="008F2816">
              <w:rPr>
                <w:rFonts w:ascii="Times New Roman" w:hAnsi="Times New Roman" w:cs="Times New Roman"/>
                <w:sz w:val="20"/>
                <w:szCs w:val="20"/>
                <w:lang w:val="mk-MK"/>
              </w:rPr>
              <w:t xml:space="preserve"> се наметнува прашањето </w:t>
            </w:r>
            <w:r w:rsidRPr="008F2816">
              <w:rPr>
                <w:rFonts w:ascii="Times New Roman" w:hAnsi="Times New Roman" w:cs="Times New Roman"/>
                <w:b/>
                <w:bCs/>
                <w:sz w:val="20"/>
                <w:szCs w:val="20"/>
                <w:lang w:val="mk-MK"/>
              </w:rPr>
              <w:t>дали смее да се врши плаќање по тој основ и како се третира истото во смисла на</w:t>
            </w:r>
            <w:r w:rsidR="00781E20" w:rsidRPr="008F2816">
              <w:rPr>
                <w:rFonts w:ascii="Times New Roman" w:hAnsi="Times New Roman" w:cs="Times New Roman"/>
                <w:b/>
                <w:bCs/>
                <w:sz w:val="20"/>
                <w:szCs w:val="20"/>
                <w:lang w:val="mk-MK"/>
              </w:rPr>
              <w:t xml:space="preserve"> о</w:t>
            </w:r>
            <w:r w:rsidRPr="008F2816">
              <w:rPr>
                <w:rFonts w:ascii="Times New Roman" w:hAnsi="Times New Roman" w:cs="Times New Roman"/>
                <w:b/>
                <w:bCs/>
                <w:sz w:val="20"/>
                <w:szCs w:val="20"/>
                <w:lang w:val="mk-MK"/>
              </w:rPr>
              <w:t>граничување</w:t>
            </w:r>
            <w:r w:rsidRPr="008F2816">
              <w:rPr>
                <w:rFonts w:ascii="Times New Roman" w:hAnsi="Times New Roman" w:cs="Times New Roman"/>
                <w:sz w:val="20"/>
                <w:szCs w:val="20"/>
                <w:lang w:val="mk-MK"/>
              </w:rPr>
              <w:t xml:space="preserve"> на рабатите и надоместоците предвидени во законот (10%)</w:t>
            </w:r>
            <w:r w:rsidR="00EF4FD0" w:rsidRPr="008F2816">
              <w:rPr>
                <w:rFonts w:ascii="Times New Roman" w:hAnsi="Times New Roman" w:cs="Times New Roman"/>
                <w:sz w:val="20"/>
                <w:szCs w:val="20"/>
                <w:lang w:val="mk-MK"/>
              </w:rPr>
              <w:t>.</w:t>
            </w:r>
          </w:p>
        </w:tc>
        <w:tc>
          <w:tcPr>
            <w:tcW w:w="1716" w:type="pct"/>
          </w:tcPr>
          <w:p w14:paraId="155C3715" w14:textId="61277A22" w:rsidR="00FE5C11" w:rsidRPr="008F2816" w:rsidRDefault="007A4830" w:rsidP="00FE5C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Договарањето на асортиман помеѓу добавувачот и купувачот е дозволено, но надоместокот кој добавувачот </w:t>
            </w:r>
            <w:r w:rsidR="000B4CCC" w:rsidRPr="008F2816">
              <w:rPr>
                <w:rFonts w:ascii="Times New Roman" w:hAnsi="Times New Roman" w:cs="Times New Roman"/>
                <w:sz w:val="20"/>
                <w:szCs w:val="20"/>
                <w:lang w:val="mk-MK"/>
              </w:rPr>
              <w:t xml:space="preserve">би </w:t>
            </w:r>
            <w:r w:rsidRPr="008F2816">
              <w:rPr>
                <w:rFonts w:ascii="Times New Roman" w:hAnsi="Times New Roman" w:cs="Times New Roman"/>
                <w:sz w:val="20"/>
                <w:szCs w:val="20"/>
                <w:lang w:val="mk-MK"/>
              </w:rPr>
              <w:t>му го исплати</w:t>
            </w:r>
            <w:r w:rsidR="000B4CCC" w:rsidRPr="008F2816">
              <w:rPr>
                <w:rFonts w:ascii="Times New Roman" w:hAnsi="Times New Roman" w:cs="Times New Roman"/>
                <w:sz w:val="20"/>
                <w:szCs w:val="20"/>
                <w:lang w:val="mk-MK"/>
              </w:rPr>
              <w:t>л</w:t>
            </w:r>
            <w:r w:rsidRPr="008F2816">
              <w:rPr>
                <w:rFonts w:ascii="Times New Roman" w:hAnsi="Times New Roman" w:cs="Times New Roman"/>
                <w:sz w:val="20"/>
                <w:szCs w:val="20"/>
                <w:lang w:val="mk-MK"/>
              </w:rPr>
              <w:t xml:space="preserve"> на купувачот по овој основ се калкулира</w:t>
            </w:r>
            <w:r w:rsidR="001952E4" w:rsidRPr="008F2816">
              <w:rPr>
                <w:rFonts w:ascii="Times New Roman" w:hAnsi="Times New Roman" w:cs="Times New Roman"/>
                <w:sz w:val="20"/>
                <w:szCs w:val="20"/>
                <w:lang w:val="mk-MK"/>
              </w:rPr>
              <w:t xml:space="preserve"> и е вклучен</w:t>
            </w:r>
            <w:r w:rsidRPr="008F2816">
              <w:rPr>
                <w:rFonts w:ascii="Times New Roman" w:hAnsi="Times New Roman" w:cs="Times New Roman"/>
                <w:sz w:val="20"/>
                <w:szCs w:val="20"/>
                <w:lang w:val="mk-MK"/>
              </w:rPr>
              <w:t xml:space="preserve"> во смисла на ограничувањето определено во Законот </w:t>
            </w:r>
            <w:r w:rsidR="000B4CCC" w:rsidRPr="008F2816">
              <w:rPr>
                <w:rFonts w:ascii="Times New Roman" w:hAnsi="Times New Roman" w:cs="Times New Roman"/>
                <w:sz w:val="20"/>
                <w:szCs w:val="20"/>
                <w:lang w:val="mk-MK"/>
              </w:rPr>
              <w:t>до</w:t>
            </w:r>
            <w:r w:rsidRPr="008F2816">
              <w:rPr>
                <w:rFonts w:ascii="Times New Roman" w:hAnsi="Times New Roman" w:cs="Times New Roman"/>
                <w:sz w:val="20"/>
                <w:szCs w:val="20"/>
                <w:lang w:val="mk-MK"/>
              </w:rPr>
              <w:t xml:space="preserve"> 10%</w:t>
            </w:r>
            <w:r w:rsidR="001952E4" w:rsidRPr="008F2816">
              <w:rPr>
                <w:rFonts w:ascii="Times New Roman" w:hAnsi="Times New Roman" w:cs="Times New Roman"/>
                <w:sz w:val="20"/>
                <w:szCs w:val="20"/>
                <w:lang w:val="mk-MK"/>
              </w:rPr>
              <w:t>.</w:t>
            </w:r>
          </w:p>
        </w:tc>
      </w:tr>
      <w:tr w:rsidR="000739DB" w:rsidRPr="008F2816" w14:paraId="09072DF3" w14:textId="77777777" w:rsidTr="008F2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 w:type="pct"/>
          </w:tcPr>
          <w:p w14:paraId="3F285035" w14:textId="4AD6C270" w:rsidR="00AA2ACD" w:rsidRPr="008F2816" w:rsidRDefault="004C4C9F" w:rsidP="001535DF">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4.</w:t>
            </w:r>
          </w:p>
        </w:tc>
        <w:tc>
          <w:tcPr>
            <w:tcW w:w="1540" w:type="pct"/>
          </w:tcPr>
          <w:p w14:paraId="07B5FB97" w14:textId="20933F12" w:rsidR="00AA2ACD" w:rsidRPr="008F2816" w:rsidRDefault="00AA2ACD" w:rsidP="00AA2ACD">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sz w:val="20"/>
                <w:szCs w:val="20"/>
                <w:lang w:val="ru-RU"/>
              </w:rPr>
              <w:t xml:space="preserve">Да се преиспита и измени решението од член 8 став 1 точка 17, од аспект на </w:t>
            </w:r>
            <w:r w:rsidRPr="008F2816">
              <w:rPr>
                <w:rFonts w:ascii="Times New Roman" w:hAnsi="Times New Roman" w:cs="Times New Roman"/>
                <w:b/>
                <w:bCs/>
                <w:sz w:val="20"/>
                <w:szCs w:val="20"/>
                <w:lang w:val="ru-RU"/>
              </w:rPr>
              <w:t xml:space="preserve">еднострано бришење на  производите од </w:t>
            </w:r>
            <w:r w:rsidRPr="008F2816">
              <w:rPr>
                <w:rFonts w:ascii="Times New Roman" w:hAnsi="Times New Roman" w:cs="Times New Roman"/>
                <w:b/>
                <w:bCs/>
                <w:sz w:val="20"/>
                <w:szCs w:val="20"/>
                <w:lang w:val="ru-RU"/>
              </w:rPr>
              <w:lastRenderedPageBreak/>
              <w:t>списокот на договорени производи</w:t>
            </w:r>
            <w:r w:rsidR="00270579" w:rsidRPr="008F2816">
              <w:rPr>
                <w:rFonts w:ascii="Times New Roman" w:hAnsi="Times New Roman" w:cs="Times New Roman"/>
                <w:b/>
                <w:bCs/>
                <w:sz w:val="20"/>
                <w:szCs w:val="20"/>
                <w:lang w:val="mk-MK"/>
              </w:rPr>
              <w:t xml:space="preserve"> (</w:t>
            </w:r>
            <w:r w:rsidR="00BC13C2" w:rsidRPr="008F2816">
              <w:rPr>
                <w:rFonts w:ascii="Times New Roman" w:hAnsi="Times New Roman" w:cs="Times New Roman"/>
                <w:b/>
                <w:bCs/>
                <w:sz w:val="20"/>
                <w:szCs w:val="20"/>
                <w:lang w:val="mk-MK"/>
              </w:rPr>
              <w:t>делистирање)</w:t>
            </w:r>
            <w:r w:rsidR="001C5FA9" w:rsidRPr="008F2816">
              <w:rPr>
                <w:rFonts w:ascii="Times New Roman" w:hAnsi="Times New Roman" w:cs="Times New Roman"/>
                <w:b/>
                <w:bCs/>
                <w:sz w:val="20"/>
                <w:szCs w:val="20"/>
                <w:lang w:val="mk-MK"/>
              </w:rPr>
              <w:t xml:space="preserve"> и прецизирање на термините.</w:t>
            </w:r>
          </w:p>
          <w:p w14:paraId="10A3E802" w14:textId="77777777" w:rsidR="009C7CEC" w:rsidRPr="008F2816" w:rsidRDefault="009C7CEC" w:rsidP="00AA2ACD">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ru-RU"/>
              </w:rPr>
            </w:pPr>
          </w:p>
          <w:p w14:paraId="730C0A31" w14:textId="6E3446B4" w:rsidR="001C5FA9" w:rsidRPr="008F2816" w:rsidRDefault="001C5FA9" w:rsidP="009C7CEC">
            <w:pPr>
              <w:pStyle w:val="ListParagraph"/>
              <w:numPr>
                <w:ilvl w:val="1"/>
                <w:numId w:val="15"/>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ru-RU"/>
              </w:rPr>
              <w:t xml:space="preserve">Предлагаме терминот </w:t>
            </w:r>
            <w:r w:rsidRPr="008F2816">
              <w:rPr>
                <w:rFonts w:ascii="Times New Roman" w:hAnsi="Times New Roman" w:cs="Times New Roman"/>
                <w:b/>
                <w:bCs/>
                <w:sz w:val="20"/>
                <w:szCs w:val="20"/>
                <w:lang w:val="ru-RU"/>
              </w:rPr>
              <w:t xml:space="preserve">значително </w:t>
            </w:r>
            <w:r w:rsidRPr="008F2816">
              <w:rPr>
                <w:rFonts w:ascii="Times New Roman" w:hAnsi="Times New Roman" w:cs="Times New Roman"/>
                <w:sz w:val="20"/>
                <w:szCs w:val="20"/>
                <w:lang w:val="ru-RU"/>
              </w:rPr>
              <w:t xml:space="preserve">да се прецизира, заради поголема правна сигурност. </w:t>
            </w:r>
          </w:p>
          <w:p w14:paraId="50A14273" w14:textId="77777777" w:rsidR="00E856CC" w:rsidRPr="008F2816" w:rsidRDefault="00E856CC" w:rsidP="00E856C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61630333" w14:textId="18D8D56B" w:rsidR="00DE5825" w:rsidRPr="008F2816" w:rsidRDefault="00DE5825" w:rsidP="009C7CEC">
            <w:pPr>
              <w:pStyle w:val="ListParagraph"/>
              <w:numPr>
                <w:ilvl w:val="1"/>
                <w:numId w:val="15"/>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Р</w:t>
            </w:r>
            <w:r w:rsidRPr="008F2816">
              <w:rPr>
                <w:rFonts w:ascii="Times New Roman" w:hAnsi="Times New Roman" w:cs="Times New Roman"/>
                <w:sz w:val="20"/>
                <w:szCs w:val="20"/>
                <w:lang w:val="ru-RU"/>
              </w:rPr>
              <w:t xml:space="preserve">окот од </w:t>
            </w:r>
            <w:r w:rsidRPr="008F2816">
              <w:rPr>
                <w:rFonts w:ascii="Times New Roman" w:hAnsi="Times New Roman" w:cs="Times New Roman"/>
                <w:b/>
                <w:bCs/>
                <w:sz w:val="20"/>
                <w:szCs w:val="20"/>
                <w:lang w:val="ru-RU"/>
              </w:rPr>
              <w:t xml:space="preserve">30 дена да се зголеми на минимум 90 дена, или да се остави простор договорните страни меѓусебно да го утврдат рокот </w:t>
            </w:r>
            <w:r w:rsidRPr="008F2816">
              <w:rPr>
                <w:rFonts w:ascii="Times New Roman" w:hAnsi="Times New Roman" w:cs="Times New Roman"/>
                <w:sz w:val="20"/>
                <w:szCs w:val="20"/>
                <w:lang w:val="ru-RU"/>
              </w:rPr>
              <w:t>во зависност од природата на производите</w:t>
            </w:r>
            <w:r w:rsidRPr="008F2816">
              <w:rPr>
                <w:rFonts w:ascii="Times New Roman" w:hAnsi="Times New Roman" w:cs="Times New Roman"/>
                <w:sz w:val="20"/>
                <w:szCs w:val="20"/>
                <w:lang w:val="mk-MK"/>
              </w:rPr>
              <w:t>.</w:t>
            </w:r>
          </w:p>
          <w:p w14:paraId="0899C777" w14:textId="77777777" w:rsidR="00AA2ACD" w:rsidRPr="008F2816" w:rsidRDefault="00AA2ACD" w:rsidP="00AA2A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ru-RU"/>
              </w:rPr>
            </w:pPr>
          </w:p>
        </w:tc>
        <w:tc>
          <w:tcPr>
            <w:tcW w:w="1410" w:type="pct"/>
          </w:tcPr>
          <w:p w14:paraId="01184520" w14:textId="54CF9ADC" w:rsidR="00AA2ACD" w:rsidRPr="008F2816" w:rsidRDefault="00EF4FD0" w:rsidP="00AA2A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mk-MK"/>
              </w:rPr>
              <w:lastRenderedPageBreak/>
              <w:t>С</w:t>
            </w:r>
            <w:r w:rsidR="00AA2ACD" w:rsidRPr="008F2816">
              <w:rPr>
                <w:rFonts w:ascii="Times New Roman" w:hAnsi="Times New Roman" w:cs="Times New Roman"/>
                <w:sz w:val="20"/>
                <w:szCs w:val="20"/>
                <w:lang w:val="ru-RU"/>
              </w:rPr>
              <w:t xml:space="preserve">о оваа точка предвидена е забрана купувачот еднострано да ги брише производите од списокот на договорени производи кои добавувачот ги </w:t>
            </w:r>
            <w:r w:rsidR="00AA2ACD" w:rsidRPr="008F2816">
              <w:rPr>
                <w:rFonts w:ascii="Times New Roman" w:hAnsi="Times New Roman" w:cs="Times New Roman"/>
                <w:sz w:val="20"/>
                <w:szCs w:val="20"/>
                <w:lang w:val="ru-RU"/>
              </w:rPr>
              <w:lastRenderedPageBreak/>
              <w:t xml:space="preserve">испорачува на купувачот или значително ги намалува нарачките на поединечни земјоделски прехрамбени производи, без претходно писмено да го извести добавувачот во период пократок од 30 дена. </w:t>
            </w:r>
          </w:p>
          <w:p w14:paraId="0E85DB47" w14:textId="225D505A" w:rsidR="00DE5825" w:rsidRPr="008F2816" w:rsidRDefault="00AA2ACD" w:rsidP="00AA2A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ru-RU"/>
              </w:rPr>
              <w:t xml:space="preserve">Доколку задолжително мора да постои рок за еднострано бришење на производи кои не се лесно расипливи, предлагаме рокот од </w:t>
            </w:r>
            <w:r w:rsidRPr="008F2816">
              <w:rPr>
                <w:rFonts w:ascii="Times New Roman" w:hAnsi="Times New Roman" w:cs="Times New Roman"/>
                <w:b/>
                <w:bCs/>
                <w:sz w:val="20"/>
                <w:szCs w:val="20"/>
                <w:lang w:val="ru-RU"/>
              </w:rPr>
              <w:t xml:space="preserve">30 дена да се зголеми на минимум 90 дена, или да се остави простор договорните страни меѓусебно да го утврдат рокот </w:t>
            </w:r>
            <w:r w:rsidRPr="008F2816">
              <w:rPr>
                <w:rFonts w:ascii="Times New Roman" w:hAnsi="Times New Roman" w:cs="Times New Roman"/>
                <w:sz w:val="20"/>
                <w:szCs w:val="20"/>
                <w:lang w:val="ru-RU"/>
              </w:rPr>
              <w:t>во зависност од природата на производите, пред се заради залихите на производи кои се претходно набавени од страна на добавувачите и нивно соодветно распределување на пазарот. Рокот од 30 дена е прекраток и изедначен со откажување на нарачки на расипливи производи, што секако не е ни целта на законодавецот.</w:t>
            </w:r>
          </w:p>
        </w:tc>
        <w:tc>
          <w:tcPr>
            <w:tcW w:w="1716" w:type="pct"/>
          </w:tcPr>
          <w:p w14:paraId="41F33D5E" w14:textId="142AD593" w:rsidR="00AA2ACD" w:rsidRPr="008F2816" w:rsidRDefault="001952E4" w:rsidP="009C7CEC">
            <w:pPr>
              <w:pStyle w:val="ListParagraph"/>
              <w:numPr>
                <w:ilvl w:val="1"/>
                <w:numId w:val="16"/>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lastRenderedPageBreak/>
              <w:t xml:space="preserve">Под поимот </w:t>
            </w:r>
            <w:r w:rsidRPr="008F2816">
              <w:rPr>
                <w:rFonts w:ascii="Times New Roman" w:hAnsi="Times New Roman" w:cs="Times New Roman"/>
                <w:b/>
                <w:bCs/>
                <w:sz w:val="20"/>
                <w:szCs w:val="20"/>
                <w:lang w:val="mk-MK"/>
              </w:rPr>
              <w:t xml:space="preserve">значително </w:t>
            </w:r>
            <w:r w:rsidRPr="008F2816">
              <w:rPr>
                <w:rFonts w:ascii="Times New Roman" w:hAnsi="Times New Roman" w:cs="Times New Roman"/>
                <w:sz w:val="20"/>
                <w:szCs w:val="20"/>
                <w:lang w:val="mk-MK"/>
              </w:rPr>
              <w:t xml:space="preserve">употребен во член 8 ст.1 точка 17, се подразбира </w:t>
            </w:r>
            <w:r w:rsidRPr="008F2816">
              <w:rPr>
                <w:rFonts w:ascii="Times New Roman" w:hAnsi="Times New Roman" w:cs="Times New Roman"/>
                <w:sz w:val="20"/>
                <w:szCs w:val="20"/>
                <w:lang w:val="ru-RU"/>
              </w:rPr>
              <w:t xml:space="preserve">намалување на нарачките на поединечни земјоделски и прехранбени производи </w:t>
            </w:r>
            <w:r w:rsidR="0050692C" w:rsidRPr="008F2816">
              <w:rPr>
                <w:rFonts w:ascii="Times New Roman" w:hAnsi="Times New Roman" w:cs="Times New Roman"/>
                <w:sz w:val="20"/>
                <w:szCs w:val="20"/>
                <w:lang w:val="ru-RU"/>
              </w:rPr>
              <w:t xml:space="preserve">кои значително </w:t>
            </w:r>
            <w:r w:rsidR="0050692C" w:rsidRPr="008F2816">
              <w:rPr>
                <w:rFonts w:ascii="Times New Roman" w:hAnsi="Times New Roman" w:cs="Times New Roman"/>
                <w:sz w:val="20"/>
                <w:szCs w:val="20"/>
                <w:lang w:val="ru-RU"/>
              </w:rPr>
              <w:lastRenderedPageBreak/>
              <w:t xml:space="preserve">влијааат на </w:t>
            </w:r>
            <w:r w:rsidR="00843295" w:rsidRPr="008F2816">
              <w:rPr>
                <w:rFonts w:ascii="Times New Roman" w:hAnsi="Times New Roman" w:cs="Times New Roman"/>
                <w:sz w:val="20"/>
                <w:szCs w:val="20"/>
                <w:lang w:val="ru-RU"/>
              </w:rPr>
              <w:t>работењето на добавувачот и го нарушуваат вообичаениот тек на нарачките, а негативно влијаат на резултатите на добавувачот</w:t>
            </w:r>
            <w:r w:rsidRPr="008F2816">
              <w:rPr>
                <w:rFonts w:ascii="Times New Roman" w:hAnsi="Times New Roman" w:cs="Times New Roman"/>
                <w:sz w:val="20"/>
                <w:szCs w:val="20"/>
                <w:lang w:val="ru-RU"/>
              </w:rPr>
              <w:t xml:space="preserve">. </w:t>
            </w:r>
          </w:p>
          <w:p w14:paraId="7A1D1830" w14:textId="77777777" w:rsidR="005E30E3" w:rsidRPr="008F2816" w:rsidRDefault="005E30E3" w:rsidP="005E30E3">
            <w:pPr>
              <w:pStyle w:val="ListParagraph"/>
              <w:spacing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4039EB5D" w14:textId="393B395E" w:rsidR="001952E4" w:rsidRPr="008F2816" w:rsidRDefault="001952E4" w:rsidP="009C7CEC">
            <w:pPr>
              <w:pStyle w:val="ListParagraph"/>
              <w:numPr>
                <w:ilvl w:val="1"/>
                <w:numId w:val="16"/>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Рокот од 30 дена останува непроменет и не се прифаќа негово продолжување поради </w:t>
            </w:r>
            <w:r w:rsidR="00F87E70" w:rsidRPr="008F2816">
              <w:rPr>
                <w:rFonts w:ascii="Times New Roman" w:hAnsi="Times New Roman" w:cs="Times New Roman"/>
                <w:sz w:val="20"/>
                <w:szCs w:val="20"/>
                <w:lang w:val="mk-MK"/>
              </w:rPr>
              <w:t xml:space="preserve">тоа што вака поставениот рок е усогласен </w:t>
            </w:r>
            <w:r w:rsidR="00FD7181" w:rsidRPr="008F2816">
              <w:rPr>
                <w:rFonts w:ascii="Times New Roman" w:hAnsi="Times New Roman" w:cs="Times New Roman"/>
                <w:sz w:val="20"/>
                <w:szCs w:val="20"/>
                <w:lang w:val="mk-MK"/>
              </w:rPr>
              <w:t>с</w:t>
            </w:r>
            <w:r w:rsidR="00F87E70" w:rsidRPr="008F2816">
              <w:rPr>
                <w:rFonts w:ascii="Times New Roman" w:hAnsi="Times New Roman" w:cs="Times New Roman"/>
                <w:sz w:val="20"/>
                <w:szCs w:val="20"/>
                <w:lang w:val="mk-MK"/>
              </w:rPr>
              <w:t>о директивата</w:t>
            </w:r>
            <w:r w:rsidR="00FD7181" w:rsidRPr="008F2816">
              <w:rPr>
                <w:rFonts w:ascii="Times New Roman" w:hAnsi="Times New Roman" w:cs="Times New Roman"/>
                <w:sz w:val="20"/>
                <w:szCs w:val="20"/>
                <w:lang w:val="mk-MK"/>
              </w:rPr>
              <w:t xml:space="preserve"> (ЕУ) 2019/633</w:t>
            </w:r>
            <w:r w:rsidR="00F87E70" w:rsidRPr="008F2816">
              <w:rPr>
                <w:rFonts w:ascii="Times New Roman" w:hAnsi="Times New Roman" w:cs="Times New Roman"/>
                <w:sz w:val="20"/>
                <w:szCs w:val="20"/>
                <w:lang w:val="mk-MK"/>
              </w:rPr>
              <w:t>.</w:t>
            </w:r>
          </w:p>
        </w:tc>
      </w:tr>
      <w:tr w:rsidR="000739DB" w:rsidRPr="008F2816" w14:paraId="0047FD76" w14:textId="77777777" w:rsidTr="008F2816">
        <w:tc>
          <w:tcPr>
            <w:cnfStyle w:val="001000000000" w:firstRow="0" w:lastRow="0" w:firstColumn="1" w:lastColumn="0" w:oddVBand="0" w:evenVBand="0" w:oddHBand="0" w:evenHBand="0" w:firstRowFirstColumn="0" w:firstRowLastColumn="0" w:lastRowFirstColumn="0" w:lastRowLastColumn="0"/>
            <w:tcW w:w="334" w:type="pct"/>
          </w:tcPr>
          <w:p w14:paraId="14B57719" w14:textId="6A86C4AB" w:rsidR="00AA2ACD" w:rsidRPr="008F2816" w:rsidRDefault="004C4C9F" w:rsidP="001535DF">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lastRenderedPageBreak/>
              <w:t>5.</w:t>
            </w:r>
          </w:p>
        </w:tc>
        <w:tc>
          <w:tcPr>
            <w:tcW w:w="1540" w:type="pct"/>
          </w:tcPr>
          <w:p w14:paraId="23744565" w14:textId="77777777" w:rsidR="00AA2ACD" w:rsidRPr="008F2816" w:rsidRDefault="00AA2ACD" w:rsidP="00AA2A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r w:rsidRPr="008F2816">
              <w:rPr>
                <w:rFonts w:ascii="Times New Roman" w:hAnsi="Times New Roman" w:cs="Times New Roman"/>
                <w:b/>
                <w:bCs/>
                <w:sz w:val="20"/>
                <w:szCs w:val="20"/>
                <w:lang w:val="mk-MK"/>
              </w:rPr>
              <w:t>Објавување на пра</w:t>
            </w:r>
            <w:r w:rsidR="00781F17" w:rsidRPr="008F2816">
              <w:rPr>
                <w:rFonts w:ascii="Times New Roman" w:hAnsi="Times New Roman" w:cs="Times New Roman"/>
                <w:b/>
                <w:bCs/>
                <w:sz w:val="20"/>
                <w:szCs w:val="20"/>
                <w:lang w:val="mk-MK"/>
              </w:rPr>
              <w:t>ш</w:t>
            </w:r>
            <w:r w:rsidRPr="008F2816">
              <w:rPr>
                <w:rFonts w:ascii="Times New Roman" w:hAnsi="Times New Roman" w:cs="Times New Roman"/>
                <w:b/>
                <w:bCs/>
                <w:sz w:val="20"/>
                <w:szCs w:val="20"/>
                <w:lang w:val="mk-MK"/>
              </w:rPr>
              <w:t>а</w:t>
            </w:r>
            <w:r w:rsidR="00793BE8" w:rsidRPr="008F2816">
              <w:rPr>
                <w:rFonts w:ascii="Times New Roman" w:hAnsi="Times New Roman" w:cs="Times New Roman"/>
                <w:b/>
                <w:bCs/>
                <w:sz w:val="20"/>
                <w:szCs w:val="20"/>
                <w:lang w:val="mk-MK"/>
              </w:rPr>
              <w:t>њ</w:t>
            </w:r>
            <w:r w:rsidRPr="008F2816">
              <w:rPr>
                <w:rFonts w:ascii="Times New Roman" w:hAnsi="Times New Roman" w:cs="Times New Roman"/>
                <w:b/>
                <w:bCs/>
                <w:sz w:val="20"/>
                <w:szCs w:val="20"/>
                <w:lang w:val="mk-MK"/>
              </w:rPr>
              <w:t xml:space="preserve">а и одговори поставени во врска со примена на Законот </w:t>
            </w:r>
          </w:p>
          <w:p w14:paraId="3F31E2A7" w14:textId="77777777" w:rsidR="00927718" w:rsidRPr="008F2816" w:rsidRDefault="00927718" w:rsidP="00AA2A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p>
          <w:p w14:paraId="77D106CB" w14:textId="7207C272" w:rsidR="00927718" w:rsidRPr="008F2816" w:rsidRDefault="00927718" w:rsidP="009277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mk-MK"/>
              </w:rPr>
              <w:t xml:space="preserve">Дали КЗК има изградено став во однос на тоа дали и </w:t>
            </w:r>
            <w:r w:rsidRPr="008F2816">
              <w:rPr>
                <w:rFonts w:ascii="Times New Roman" w:hAnsi="Times New Roman" w:cs="Times New Roman"/>
                <w:b/>
                <w:bCs/>
                <w:sz w:val="20"/>
                <w:szCs w:val="20"/>
                <w:lang w:val="mk-MK"/>
              </w:rPr>
              <w:t>во која мера ќе ги применува јавно дадените одговори на прашањата за примена на ЗНТП од страната на Министерството за економија</w:t>
            </w:r>
          </w:p>
          <w:p w14:paraId="10A6A9E4" w14:textId="0822F160" w:rsidR="00927718" w:rsidRPr="008F2816" w:rsidRDefault="00927718" w:rsidP="00AA2A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p>
        </w:tc>
        <w:tc>
          <w:tcPr>
            <w:tcW w:w="1410" w:type="pct"/>
          </w:tcPr>
          <w:p w14:paraId="64D03EF5" w14:textId="3D1E17AB" w:rsidR="00AA2ACD" w:rsidRPr="008F2816" w:rsidRDefault="00AA2ACD" w:rsidP="00AA2A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П</w:t>
            </w:r>
            <w:r w:rsidRPr="008F2816">
              <w:rPr>
                <w:rFonts w:ascii="Times New Roman" w:hAnsi="Times New Roman" w:cs="Times New Roman"/>
                <w:sz w:val="20"/>
                <w:szCs w:val="20"/>
                <w:lang w:val="ru-RU"/>
              </w:rPr>
              <w:t>редлагаме</w:t>
            </w:r>
            <w:r w:rsidRPr="008F2816">
              <w:rPr>
                <w:rFonts w:ascii="Times New Roman" w:hAnsi="Times New Roman" w:cs="Times New Roman"/>
                <w:sz w:val="20"/>
                <w:szCs w:val="20"/>
                <w:lang w:val="mk-MK"/>
              </w:rPr>
              <w:t xml:space="preserve"> Министерствотот за економија и труд и</w:t>
            </w:r>
            <w:r w:rsidRPr="008F2816">
              <w:rPr>
                <w:rFonts w:ascii="Times New Roman" w:hAnsi="Times New Roman" w:cs="Times New Roman"/>
                <w:sz w:val="20"/>
                <w:szCs w:val="20"/>
                <w:lang w:val="ru-RU"/>
              </w:rPr>
              <w:t xml:space="preserve"> Комисијата за заштита на конкуренцијата, која е надлежна за надзор над спроведувањето на одредбите од овој Закон, </w:t>
            </w:r>
            <w:r w:rsidRPr="008F2816">
              <w:rPr>
                <w:rFonts w:ascii="Times New Roman" w:hAnsi="Times New Roman" w:cs="Times New Roman"/>
                <w:b/>
                <w:bCs/>
                <w:sz w:val="20"/>
                <w:szCs w:val="20"/>
                <w:lang w:val="ru-RU"/>
              </w:rPr>
              <w:t>да донес</w:t>
            </w:r>
            <w:r w:rsidRPr="008F2816">
              <w:rPr>
                <w:rFonts w:ascii="Times New Roman" w:hAnsi="Times New Roman" w:cs="Times New Roman"/>
                <w:b/>
                <w:bCs/>
                <w:sz w:val="20"/>
                <w:szCs w:val="20"/>
                <w:lang w:val="mk-MK"/>
              </w:rPr>
              <w:t>а</w:t>
            </w:r>
            <w:r w:rsidR="00793BE8" w:rsidRPr="008F2816">
              <w:rPr>
                <w:rFonts w:ascii="Times New Roman" w:hAnsi="Times New Roman" w:cs="Times New Roman"/>
                <w:b/>
                <w:bCs/>
                <w:sz w:val="20"/>
                <w:szCs w:val="20"/>
                <w:lang w:val="mk-MK"/>
              </w:rPr>
              <w:t>т</w:t>
            </w:r>
            <w:r w:rsidRPr="008F2816">
              <w:rPr>
                <w:rFonts w:ascii="Times New Roman" w:hAnsi="Times New Roman" w:cs="Times New Roman"/>
                <w:b/>
                <w:bCs/>
                <w:sz w:val="20"/>
                <w:szCs w:val="20"/>
                <w:lang w:val="ru-RU"/>
              </w:rPr>
              <w:t xml:space="preserve"> </w:t>
            </w:r>
            <w:r w:rsidR="00793BE8" w:rsidRPr="008F2816">
              <w:rPr>
                <w:rFonts w:ascii="Times New Roman" w:hAnsi="Times New Roman" w:cs="Times New Roman"/>
                <w:b/>
                <w:bCs/>
                <w:sz w:val="20"/>
                <w:szCs w:val="20"/>
                <w:lang w:val="mk-MK"/>
              </w:rPr>
              <w:t>насоки</w:t>
            </w:r>
            <w:r w:rsidRPr="008F2816">
              <w:rPr>
                <w:rFonts w:ascii="Times New Roman" w:hAnsi="Times New Roman" w:cs="Times New Roman"/>
                <w:b/>
                <w:bCs/>
                <w:sz w:val="20"/>
                <w:szCs w:val="20"/>
                <w:lang w:val="ru-RU"/>
              </w:rPr>
              <w:t xml:space="preserve"> за примена</w:t>
            </w:r>
            <w:r w:rsidRPr="008F2816">
              <w:rPr>
                <w:rFonts w:ascii="Times New Roman" w:hAnsi="Times New Roman" w:cs="Times New Roman"/>
                <w:sz w:val="20"/>
                <w:szCs w:val="20"/>
                <w:lang w:val="ru-RU"/>
              </w:rPr>
              <w:t xml:space="preserve"> на Законот по примерот на Законот за заштита на конкуренцијата</w:t>
            </w:r>
            <w:r w:rsidRPr="008F2816">
              <w:rPr>
                <w:rFonts w:ascii="Times New Roman" w:hAnsi="Times New Roman" w:cs="Times New Roman"/>
                <w:sz w:val="20"/>
                <w:szCs w:val="20"/>
                <w:lang w:val="mk-MK"/>
              </w:rPr>
              <w:t xml:space="preserve"> и </w:t>
            </w:r>
            <w:r w:rsidRPr="008F2816">
              <w:rPr>
                <w:rFonts w:ascii="Times New Roman" w:hAnsi="Times New Roman" w:cs="Times New Roman"/>
                <w:b/>
                <w:bCs/>
                <w:sz w:val="20"/>
                <w:szCs w:val="20"/>
                <w:lang w:val="mk-MK"/>
              </w:rPr>
              <w:t>прашањата кои се поставуваат во врска со примена на законот</w:t>
            </w:r>
            <w:r w:rsidR="005E12B9" w:rsidRPr="008F2816">
              <w:rPr>
                <w:rFonts w:ascii="Times New Roman" w:hAnsi="Times New Roman" w:cs="Times New Roman"/>
                <w:b/>
                <w:bCs/>
                <w:sz w:val="20"/>
                <w:szCs w:val="20"/>
                <w:lang w:val="mk-MK"/>
              </w:rPr>
              <w:t xml:space="preserve"> и нивните одговори</w:t>
            </w:r>
            <w:r w:rsidRPr="008F2816">
              <w:rPr>
                <w:rFonts w:ascii="Times New Roman" w:hAnsi="Times New Roman" w:cs="Times New Roman"/>
                <w:b/>
                <w:bCs/>
                <w:sz w:val="20"/>
                <w:szCs w:val="20"/>
                <w:lang w:val="mk-MK"/>
              </w:rPr>
              <w:t xml:space="preserve"> да ги објавуваат</w:t>
            </w:r>
            <w:r w:rsidRPr="008F2816">
              <w:rPr>
                <w:rFonts w:ascii="Times New Roman" w:hAnsi="Times New Roman" w:cs="Times New Roman"/>
                <w:sz w:val="20"/>
                <w:szCs w:val="20"/>
                <w:lang w:val="mk-MK"/>
              </w:rPr>
              <w:t xml:space="preserve"> на интернет страницата</w:t>
            </w:r>
            <w:r w:rsidR="00C320ED" w:rsidRPr="008F2816">
              <w:rPr>
                <w:rFonts w:ascii="Times New Roman" w:hAnsi="Times New Roman" w:cs="Times New Roman"/>
                <w:sz w:val="20"/>
                <w:szCs w:val="20"/>
                <w:lang w:val="mk-MK"/>
              </w:rPr>
              <w:t xml:space="preserve"> </w:t>
            </w:r>
            <w:r w:rsidRPr="008F2816">
              <w:rPr>
                <w:rFonts w:ascii="Times New Roman" w:hAnsi="Times New Roman" w:cs="Times New Roman"/>
                <w:sz w:val="20"/>
                <w:szCs w:val="20"/>
                <w:lang w:val="mk-MK"/>
              </w:rPr>
              <w:t xml:space="preserve">на двете институции и транспарентно да бидат достапни за сите субјекти. Досега се објавени само првичните прашања и </w:t>
            </w:r>
            <w:r w:rsidR="000B27CA" w:rsidRPr="008F2816">
              <w:rPr>
                <w:rFonts w:ascii="Times New Roman" w:hAnsi="Times New Roman" w:cs="Times New Roman"/>
                <w:sz w:val="20"/>
                <w:szCs w:val="20"/>
                <w:lang w:val="mk-MK"/>
              </w:rPr>
              <w:t>о</w:t>
            </w:r>
            <w:r w:rsidRPr="008F2816">
              <w:rPr>
                <w:rFonts w:ascii="Times New Roman" w:hAnsi="Times New Roman" w:cs="Times New Roman"/>
                <w:sz w:val="20"/>
                <w:szCs w:val="20"/>
                <w:lang w:val="mk-MK"/>
              </w:rPr>
              <w:t>дговори на веб страната на М</w:t>
            </w:r>
            <w:r w:rsidR="008F2816" w:rsidRPr="008F2816">
              <w:rPr>
                <w:rFonts w:ascii="Times New Roman" w:hAnsi="Times New Roman" w:cs="Times New Roman"/>
                <w:sz w:val="20"/>
                <w:szCs w:val="20"/>
                <w:lang w:val="mk-MK"/>
              </w:rPr>
              <w:t>инистерството</w:t>
            </w:r>
            <w:r w:rsidR="00145F20" w:rsidRPr="008F2816">
              <w:rPr>
                <w:rFonts w:ascii="Times New Roman" w:hAnsi="Times New Roman" w:cs="Times New Roman"/>
                <w:sz w:val="20"/>
                <w:szCs w:val="20"/>
                <w:lang w:val="mk-MK"/>
              </w:rPr>
              <w:t xml:space="preserve"> за економија</w:t>
            </w:r>
            <w:r w:rsidRPr="008F2816">
              <w:rPr>
                <w:rFonts w:ascii="Times New Roman" w:hAnsi="Times New Roman" w:cs="Times New Roman"/>
                <w:sz w:val="20"/>
                <w:szCs w:val="20"/>
                <w:lang w:val="mk-MK"/>
              </w:rPr>
              <w:t xml:space="preserve">. </w:t>
            </w:r>
          </w:p>
        </w:tc>
        <w:tc>
          <w:tcPr>
            <w:tcW w:w="1716" w:type="pct"/>
          </w:tcPr>
          <w:p w14:paraId="64D19B06" w14:textId="77777777" w:rsidR="00AA2ACD" w:rsidRPr="008F2816" w:rsidRDefault="009C7CEC" w:rsidP="004047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Како и претходно дадените одговори на прашањата, така и за останатите прашања, Министерството за економија и труд подготвените одговори ќе ги објавува на својата веб страна. </w:t>
            </w:r>
          </w:p>
          <w:p w14:paraId="200F9CB7" w14:textId="77777777" w:rsidR="00FB36BE" w:rsidRPr="008F2816" w:rsidRDefault="00FB36BE" w:rsidP="004047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p>
          <w:p w14:paraId="240C2083" w14:textId="605CBA56" w:rsidR="009C7CEC" w:rsidRPr="008F2816" w:rsidRDefault="009C7CEC" w:rsidP="004047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Одговори на поставени прашања доставени до Комисијата за заштита на конкуренцијата исто така ќе се објавуваат на нивната веб страна</w:t>
            </w:r>
            <w:r w:rsidR="00DA170A" w:rsidRPr="008F2816">
              <w:rPr>
                <w:rFonts w:ascii="Times New Roman" w:hAnsi="Times New Roman" w:cs="Times New Roman"/>
                <w:sz w:val="20"/>
                <w:szCs w:val="20"/>
                <w:lang w:val="mk-MK"/>
              </w:rPr>
              <w:t xml:space="preserve"> и целата активност ќе се спроведува во соработка на двете институции, со цел </w:t>
            </w:r>
            <w:r w:rsidR="00D6101A" w:rsidRPr="008F2816">
              <w:rPr>
                <w:rFonts w:ascii="Times New Roman" w:hAnsi="Times New Roman" w:cs="Times New Roman"/>
                <w:sz w:val="20"/>
                <w:szCs w:val="20"/>
                <w:lang w:val="mk-MK"/>
              </w:rPr>
              <w:t>во</w:t>
            </w:r>
            <w:r w:rsidR="00DA170A" w:rsidRPr="008F2816">
              <w:rPr>
                <w:rFonts w:ascii="Times New Roman" w:hAnsi="Times New Roman" w:cs="Times New Roman"/>
                <w:sz w:val="20"/>
                <w:szCs w:val="20"/>
                <w:lang w:val="mk-MK"/>
              </w:rPr>
              <w:t xml:space="preserve">едначен пристап од аспект на примена на Законот. </w:t>
            </w:r>
          </w:p>
        </w:tc>
      </w:tr>
      <w:tr w:rsidR="00E856CC" w:rsidRPr="008F2816" w14:paraId="7EA5A281" w14:textId="5953A4D8" w:rsidTr="008F2816">
        <w:trPr>
          <w:cnfStyle w:val="000000100000" w:firstRow="0" w:lastRow="0" w:firstColumn="0" w:lastColumn="0" w:oddVBand="0" w:evenVBand="0" w:oddHBand="1" w:evenHBand="0" w:firstRowFirstColumn="0" w:firstRowLastColumn="0" w:lastRowFirstColumn="0" w:lastRowLastColumn="0"/>
          <w:trHeight w:val="20008"/>
        </w:trPr>
        <w:tc>
          <w:tcPr>
            <w:cnfStyle w:val="001000000000" w:firstRow="0" w:lastRow="0" w:firstColumn="1" w:lastColumn="0" w:oddVBand="0" w:evenVBand="0" w:oddHBand="0" w:evenHBand="0" w:firstRowFirstColumn="0" w:firstRowLastColumn="0" w:lastRowFirstColumn="0" w:lastRowLastColumn="0"/>
            <w:tcW w:w="334" w:type="pct"/>
          </w:tcPr>
          <w:p w14:paraId="013A7854" w14:textId="0B36DAE9" w:rsidR="00E856CC" w:rsidRPr="008F2816" w:rsidRDefault="00BE7ED1" w:rsidP="001535DF">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lastRenderedPageBreak/>
              <w:t>6.</w:t>
            </w:r>
          </w:p>
        </w:tc>
        <w:tc>
          <w:tcPr>
            <w:tcW w:w="1540" w:type="pct"/>
          </w:tcPr>
          <w:p w14:paraId="4F6EF9A2" w14:textId="75C372FB"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sz w:val="20"/>
                <w:szCs w:val="20"/>
                <w:lang w:val="mk-MK"/>
              </w:rPr>
              <w:t xml:space="preserve">Редефинирање на членот 8, став 1 точка 20 кој вели „20.   Ги враќа на добавувачот непродадените земјоделски и прехранбени производи кои се испорачани без да ги плати или без да плати за отстранување на тие производи;“ </w:t>
            </w:r>
            <w:r w:rsidRPr="008F2816">
              <w:rPr>
                <w:rFonts w:ascii="Times New Roman" w:hAnsi="Times New Roman" w:cs="Times New Roman"/>
                <w:b/>
                <w:bCs/>
                <w:sz w:val="20"/>
                <w:szCs w:val="20"/>
                <w:lang w:val="mk-MK"/>
              </w:rPr>
              <w:t>(ПОВРАТ)</w:t>
            </w:r>
          </w:p>
          <w:p w14:paraId="0FA7BE77" w14:textId="77777777"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32A9B840" w14:textId="7D49D154" w:rsidR="00E856CC" w:rsidRPr="008F2816" w:rsidRDefault="00E856CC" w:rsidP="00DA170A">
            <w:pPr>
              <w:pStyle w:val="ListParagraph"/>
              <w:numPr>
                <w:ilvl w:val="1"/>
                <w:numId w:val="17"/>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Потреба од прецизирање на ситуациите во кои е дозволен повратот на барање на добавувачот (сезонски производи или производи за кои постои договорна обрска со производителот, исклучоци за расипливи прехранбени и земјоделски производи, одреден минимален процент за поврат на роба на барање на добавувач, иновации и сл.)</w:t>
            </w:r>
          </w:p>
          <w:p w14:paraId="7225412D" w14:textId="77777777" w:rsidR="00E856CC" w:rsidRPr="008F2816" w:rsidRDefault="00E856CC" w:rsidP="00E856C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2A04573A" w14:textId="44EA1EB9" w:rsidR="00E856CC" w:rsidRPr="008F2816" w:rsidRDefault="00E856CC" w:rsidP="00DA170A">
            <w:pPr>
              <w:pStyle w:val="ListParagraph"/>
              <w:numPr>
                <w:ilvl w:val="1"/>
                <w:numId w:val="17"/>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Начинот на негово евидентирање кое би било усогласено со Зак</w:t>
            </w:r>
            <w:r w:rsidR="00D6101A" w:rsidRPr="008F2816">
              <w:rPr>
                <w:rFonts w:ascii="Times New Roman" w:hAnsi="Times New Roman" w:cs="Times New Roman"/>
                <w:sz w:val="20"/>
                <w:szCs w:val="20"/>
                <w:lang w:val="mk-MK"/>
              </w:rPr>
              <w:t>о</w:t>
            </w:r>
            <w:r w:rsidRPr="008F2816">
              <w:rPr>
                <w:rFonts w:ascii="Times New Roman" w:hAnsi="Times New Roman" w:cs="Times New Roman"/>
                <w:sz w:val="20"/>
                <w:szCs w:val="20"/>
                <w:lang w:val="mk-MK"/>
              </w:rPr>
              <w:t>нот (во смисла дали ќе се намали обрската на купувачот во случај на поврат)</w:t>
            </w:r>
          </w:p>
          <w:p w14:paraId="7AC28FCD" w14:textId="77777777" w:rsidR="00E856CC" w:rsidRPr="008F2816" w:rsidRDefault="00E856CC" w:rsidP="00E856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178330E8" w14:textId="1E87FFBB" w:rsidR="00E856CC" w:rsidRPr="008F2816" w:rsidRDefault="00E856CC" w:rsidP="00DA170A">
            <w:pPr>
              <w:pStyle w:val="ListParagraph"/>
              <w:numPr>
                <w:ilvl w:val="1"/>
                <w:numId w:val="17"/>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Дали е дозволен поврат кога истиот е на исклучиво барање на добавувачот и кога добавувачот е согласен повратот да се врши без купувачот да плати за производите, а само за истата услуга му фактурира на купувачот надоместок кој добавувачот сам ќе го определи?</w:t>
            </w:r>
          </w:p>
          <w:p w14:paraId="1EF7F7CB" w14:textId="77777777" w:rsidR="00E856CC" w:rsidRPr="008F2816" w:rsidRDefault="00E856CC" w:rsidP="00E856C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350B376F" w14:textId="763E0CFA" w:rsidR="00E856CC" w:rsidRPr="008F2816" w:rsidRDefault="00E856CC" w:rsidP="00DA170A">
            <w:pPr>
              <w:pStyle w:val="ListParagraph"/>
              <w:numPr>
                <w:ilvl w:val="1"/>
                <w:numId w:val="17"/>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Дали по истекот на одреден број денови од приемот на робата, се утврди дека истата е со пократок рок од договорениот (што не претставува скриен недостаток) или се контатира некој друг недостаток  на робата може да се прави поврат или замена на робата со подобар датум/неоштетена и сл.?</w:t>
            </w:r>
          </w:p>
          <w:p w14:paraId="49FF4A6C" w14:textId="77777777"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0F07926E" w14:textId="77777777"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1A0BBF45" w14:textId="77777777"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7F6051D8" w14:textId="77777777"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43923C33" w14:textId="77777777"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3B26EE81" w14:textId="16414BF8" w:rsidR="00E856CC" w:rsidRPr="008F2816" w:rsidRDefault="00E856CC" w:rsidP="006F6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tc>
        <w:tc>
          <w:tcPr>
            <w:tcW w:w="1410" w:type="pct"/>
          </w:tcPr>
          <w:p w14:paraId="6EC4DF91" w14:textId="77777777" w:rsidR="00E856CC" w:rsidRPr="008F2816" w:rsidRDefault="00E856CC" w:rsidP="00492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sz w:val="20"/>
                <w:szCs w:val="20"/>
                <w:lang w:val="mk-MK"/>
              </w:rPr>
              <w:t>Одредбата на начинот на кој е дефинирана остава простор за различни толкувања и примена (од целосна забрана да се прави поврат, до можност истиот да се договоара во исклучителни ситуации, а не е јасно кои се исклучоците и начинот на евидентирање и спроведување на било каков поврат онака како што е наведено во Законот.</w:t>
            </w:r>
            <w:r w:rsidRPr="008F2816">
              <w:rPr>
                <w:rFonts w:ascii="Times New Roman" w:hAnsi="Times New Roman" w:cs="Times New Roman"/>
                <w:b/>
                <w:bCs/>
                <w:sz w:val="20"/>
                <w:szCs w:val="20"/>
                <w:lang w:val="mk-MK"/>
              </w:rPr>
              <w:t xml:space="preserve"> </w:t>
            </w:r>
          </w:p>
          <w:p w14:paraId="759AF755" w14:textId="10DEBFC6" w:rsidR="00E856CC" w:rsidRPr="008F2816" w:rsidRDefault="00E856CC" w:rsidP="007C01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Не ретко се случува во пракса да се инсистира на поврат, но страните да не знаат точно како да го спроведат посебно во случај кога</w:t>
            </w:r>
            <w:r w:rsidRPr="008F2816">
              <w:rPr>
                <w:rFonts w:ascii="Times New Roman" w:hAnsi="Times New Roman" w:cs="Times New Roman"/>
                <w:sz w:val="20"/>
                <w:szCs w:val="20"/>
                <w:lang w:val="ru-RU"/>
              </w:rPr>
              <w:t xml:space="preserve"> постојат оправдани причини за истото, како на пример претходно договорена обврска на добавувачот спрема производителот</w:t>
            </w:r>
            <w:r w:rsidRPr="008F2816">
              <w:rPr>
                <w:rFonts w:ascii="Times New Roman" w:hAnsi="Times New Roman" w:cs="Times New Roman"/>
                <w:sz w:val="20"/>
                <w:szCs w:val="20"/>
                <w:lang w:val="mk-MK"/>
              </w:rPr>
              <w:t xml:space="preserve"> (принципалот)</w:t>
            </w:r>
            <w:r w:rsidRPr="008F2816">
              <w:rPr>
                <w:rFonts w:ascii="Times New Roman" w:hAnsi="Times New Roman" w:cs="Times New Roman"/>
                <w:sz w:val="20"/>
                <w:szCs w:val="20"/>
                <w:lang w:val="ru-RU"/>
              </w:rPr>
              <w:t xml:space="preserve"> одредени производи да ги повлече од пазарот во одреден рок или пак станува збор за сезонски или тематски производи (Велигденски, Новогодишни и сл.). Ваквиот исклучок </w:t>
            </w:r>
            <w:r w:rsidRPr="008F2816">
              <w:rPr>
                <w:rFonts w:ascii="Times New Roman" w:hAnsi="Times New Roman" w:cs="Times New Roman"/>
                <w:sz w:val="20"/>
                <w:szCs w:val="20"/>
                <w:lang w:val="mk-MK"/>
              </w:rPr>
              <w:t xml:space="preserve">треба </w:t>
            </w:r>
            <w:r w:rsidRPr="008F2816">
              <w:rPr>
                <w:rFonts w:ascii="Times New Roman" w:hAnsi="Times New Roman" w:cs="Times New Roman"/>
                <w:sz w:val="20"/>
                <w:szCs w:val="20"/>
                <w:lang w:val="ru-RU"/>
              </w:rPr>
              <w:t>да е однапред договорен и потврден во писмена форма меѓу добавувачот и купувачот.</w:t>
            </w:r>
            <w:r w:rsidRPr="008F2816">
              <w:rPr>
                <w:rFonts w:ascii="Times New Roman" w:hAnsi="Times New Roman" w:cs="Times New Roman"/>
                <w:sz w:val="20"/>
                <w:szCs w:val="20"/>
                <w:lang w:val="mk-MK"/>
              </w:rPr>
              <w:t xml:space="preserve"> По примерот на Хрватска, ваквото постапување е дозволено, како и за производи</w:t>
            </w:r>
            <w:r w:rsidRPr="008F2816">
              <w:rPr>
                <w:rFonts w:ascii="Times New Roman" w:hAnsi="Times New Roman" w:cs="Times New Roman"/>
                <w:sz w:val="20"/>
                <w:szCs w:val="20"/>
                <w:lang w:val="ru-RU"/>
              </w:rPr>
              <w:t xml:space="preserve"> (</w:t>
            </w:r>
            <w:r w:rsidRPr="008F2816">
              <w:rPr>
                <w:rFonts w:ascii="Times New Roman" w:hAnsi="Times New Roman" w:cs="Times New Roman"/>
                <w:sz w:val="20"/>
                <w:szCs w:val="20"/>
                <w:lang w:val="mk-MK"/>
              </w:rPr>
              <w:t xml:space="preserve">прилог мислење на хрватска агенција). </w:t>
            </w:r>
          </w:p>
          <w:p w14:paraId="550F6B31" w14:textId="77777777" w:rsidR="00E856CC" w:rsidRPr="008F2816" w:rsidRDefault="00E856CC" w:rsidP="007C01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Актуелното решение не е прецизно и остава простор за различни толкувања за условите под кои може да се врати непродадена роба и последиците од истото.  </w:t>
            </w:r>
          </w:p>
          <w:p w14:paraId="7D4FB335" w14:textId="77777777" w:rsidR="00E856CC" w:rsidRPr="008F2816" w:rsidRDefault="00E856CC" w:rsidP="00492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0B1DA01B" w14:textId="75732B54" w:rsidR="00E856CC" w:rsidRPr="008F2816" w:rsidRDefault="00E856CC" w:rsidP="00C10C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Членот 8, став 1 точка 20 предвидува забрана за купувачот да ги враќа на добавувачот непродадените земјоделски и прехранбени производи кои се испорачани без да ги плати или без да плати за отстранување на тие производи. Истата е нејасна и вака како што е напишана остава простор за избор на една од понудените опсии (или да се плати робата или да се платат трошоците за отстранување на производите, односно две алтернативни дејствија кои не мора кумулативно да </w:t>
            </w:r>
            <w:r w:rsidRPr="008F2816">
              <w:rPr>
                <w:rFonts w:ascii="Times New Roman" w:hAnsi="Times New Roman" w:cs="Times New Roman"/>
                <w:sz w:val="20"/>
                <w:szCs w:val="20"/>
                <w:lang w:val="mk-MK"/>
              </w:rPr>
              <w:lastRenderedPageBreak/>
              <w:t>бидат исполнети)</w:t>
            </w:r>
          </w:p>
          <w:p w14:paraId="0A93EBA7" w14:textId="77777777" w:rsidR="00E856CC" w:rsidRPr="008F2816" w:rsidRDefault="00E856CC" w:rsidP="00C10C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67C40FDA" w14:textId="793FECFB" w:rsidR="00E856CC" w:rsidRPr="008F2816" w:rsidRDefault="00E856CC" w:rsidP="00C10C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Со Директивата (ЕУ) 2019/633, во членот 3 став 2 е предвидено дека повратот треба да биде уреден јасно во договорот за снабдување, а другото е дека за самиот поврат се дава алтернатива да се избере дали ќе биде производот платен или пак ќе биде само платен надоместокот, или третата алтернативна е да се уреди задолжително исполнување на двата услови. </w:t>
            </w:r>
          </w:p>
          <w:p w14:paraId="67A10226" w14:textId="119BF456" w:rsidR="00E856CC" w:rsidRPr="008F2816" w:rsidRDefault="00E856CC" w:rsidP="00C10C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mk-MK"/>
              </w:rPr>
              <w:t xml:space="preserve"> </w:t>
            </w:r>
          </w:p>
          <w:p w14:paraId="26DC517C" w14:textId="77777777" w:rsidR="00E856CC" w:rsidRPr="008F2816" w:rsidRDefault="00E856CC" w:rsidP="00C10C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Дополнително, подолу цитираниот извадок од директивата јасно го става повратот со ист третман како исклучоците од член 8, став 5 кои се исто така цитирани подолу во директивата.</w:t>
            </w:r>
          </w:p>
          <w:p w14:paraId="6D2EC82D"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rPr>
              <w:t>“Article 3</w:t>
            </w:r>
          </w:p>
          <w:p w14:paraId="36C26726"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rPr>
              <w:t>……………</w:t>
            </w:r>
          </w:p>
          <w:p w14:paraId="5AFBFFEF"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8F2816">
              <w:rPr>
                <w:rFonts w:ascii="Times New Roman" w:hAnsi="Times New Roman" w:cs="Times New Roman"/>
                <w:sz w:val="20"/>
                <w:szCs w:val="20"/>
              </w:rPr>
              <w:t xml:space="preserve">2.   </w:t>
            </w:r>
            <w:r w:rsidRPr="008F2816">
              <w:rPr>
                <w:rFonts w:ascii="Times New Roman" w:hAnsi="Times New Roman" w:cs="Times New Roman"/>
                <w:sz w:val="20"/>
                <w:szCs w:val="20"/>
                <w:highlight w:val="yellow"/>
              </w:rPr>
              <w:t>Member States shall ensure that at least all the following trading practices are prohibited, unless they have been previously agreed in clear and unambiguous terms in the supply agreement or in a subsequent agreement between the supplier and the buyer:</w:t>
            </w:r>
          </w:p>
          <w:p w14:paraId="10965994"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highlight w:val="yellow"/>
              </w:rPr>
              <w:t>(a)</w:t>
            </w:r>
            <w:r w:rsidRPr="008F2816">
              <w:rPr>
                <w:rFonts w:ascii="Times New Roman" w:hAnsi="Times New Roman" w:cs="Times New Roman"/>
                <w:sz w:val="20"/>
                <w:szCs w:val="20"/>
                <w:highlight w:val="yellow"/>
              </w:rPr>
              <w:tab/>
              <w:t>the buyer returns unsold agricultural and food products to the supplier without paying for those unsold products or without paying for the disposal of those products, or both;</w:t>
            </w:r>
          </w:p>
          <w:p w14:paraId="72F74FDD"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rPr>
              <w:t>(b)</w:t>
            </w:r>
            <w:r w:rsidRPr="008F2816">
              <w:rPr>
                <w:rFonts w:ascii="Times New Roman" w:hAnsi="Times New Roman" w:cs="Times New Roman"/>
                <w:sz w:val="20"/>
                <w:szCs w:val="20"/>
              </w:rPr>
              <w:tab/>
              <w:t>the supplier is charged payment as a condition for stocking, displaying or listing its agricultural and food products, or of making such products available on the market;</w:t>
            </w:r>
          </w:p>
          <w:p w14:paraId="14BFCDF8"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rPr>
              <w:t>(c)</w:t>
            </w:r>
            <w:r w:rsidRPr="008F2816">
              <w:rPr>
                <w:rFonts w:ascii="Times New Roman" w:hAnsi="Times New Roman" w:cs="Times New Roman"/>
                <w:sz w:val="20"/>
                <w:szCs w:val="20"/>
              </w:rPr>
              <w:tab/>
              <w:t>the buyer requires the supplier to bear all or part of the cost of any discounts on agricultural and food products that are sold by the buyer as part of a promotion;</w:t>
            </w:r>
          </w:p>
          <w:p w14:paraId="1D4D602A"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rPr>
              <w:t>(d)</w:t>
            </w:r>
            <w:r w:rsidRPr="008F2816">
              <w:rPr>
                <w:rFonts w:ascii="Times New Roman" w:hAnsi="Times New Roman" w:cs="Times New Roman"/>
                <w:sz w:val="20"/>
                <w:szCs w:val="20"/>
              </w:rPr>
              <w:tab/>
              <w:t>the buyer requires the supplier to pay for the advertising by the buyer of agricultural and food products;</w:t>
            </w:r>
          </w:p>
          <w:p w14:paraId="3C6EE028" w14:textId="77777777" w:rsidR="00E856CC" w:rsidRPr="008F2816" w:rsidRDefault="00E856CC" w:rsidP="004B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2816">
              <w:rPr>
                <w:rFonts w:ascii="Times New Roman" w:hAnsi="Times New Roman" w:cs="Times New Roman"/>
                <w:sz w:val="20"/>
                <w:szCs w:val="20"/>
              </w:rPr>
              <w:lastRenderedPageBreak/>
              <w:t>(e)</w:t>
            </w:r>
            <w:r w:rsidRPr="008F2816">
              <w:rPr>
                <w:rFonts w:ascii="Times New Roman" w:hAnsi="Times New Roman" w:cs="Times New Roman"/>
                <w:sz w:val="20"/>
                <w:szCs w:val="20"/>
              </w:rPr>
              <w:tab/>
              <w:t>the buyer requires the supplier to pay for the marketing by the buyer of agricultural and food products;</w:t>
            </w:r>
          </w:p>
          <w:p w14:paraId="369084BC" w14:textId="4AC938D9" w:rsidR="00E856CC" w:rsidRPr="008F2816" w:rsidRDefault="00E856CC" w:rsidP="00345A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rPr>
              <w:t>(f)</w:t>
            </w:r>
            <w:r w:rsidRPr="008F2816">
              <w:rPr>
                <w:rFonts w:ascii="Times New Roman" w:hAnsi="Times New Roman" w:cs="Times New Roman"/>
                <w:sz w:val="20"/>
                <w:szCs w:val="20"/>
              </w:rPr>
              <w:tab/>
              <w:t>the buyer charges the supplier for staff for fitting-out premises used for the sale of the supplier’s products.”</w:t>
            </w:r>
          </w:p>
        </w:tc>
        <w:tc>
          <w:tcPr>
            <w:tcW w:w="1716" w:type="pct"/>
          </w:tcPr>
          <w:p w14:paraId="1F63566A" w14:textId="1B2C5974" w:rsidR="00DA170A" w:rsidRPr="008F2816" w:rsidRDefault="00DA170A" w:rsidP="00DA170A">
            <w:pPr>
              <w:pStyle w:val="ListParagraph"/>
              <w:numPr>
                <w:ilvl w:val="1"/>
                <w:numId w:val="18"/>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lastRenderedPageBreak/>
              <w:t>Имајќи ги предвид покрен</w:t>
            </w:r>
            <w:r w:rsidR="00D6101A" w:rsidRPr="008F2816">
              <w:rPr>
                <w:rFonts w:ascii="Times New Roman" w:hAnsi="Times New Roman" w:cs="Times New Roman"/>
                <w:sz w:val="20"/>
                <w:szCs w:val="20"/>
                <w:lang w:val="mk-MK"/>
              </w:rPr>
              <w:t>ат</w:t>
            </w:r>
            <w:r w:rsidRPr="008F2816">
              <w:rPr>
                <w:rFonts w:ascii="Times New Roman" w:hAnsi="Times New Roman" w:cs="Times New Roman"/>
                <w:sz w:val="20"/>
                <w:szCs w:val="20"/>
                <w:lang w:val="mk-MK"/>
              </w:rPr>
              <w:t>ите дискусии и отворени прашања поврзани со враќање на непродадените производи, Министерството за економија и труд, ќе ја следи примената на Законот, па штом се создадат услови за негова измена, доколку се оцени за потребно дека треба да се интервенира во овој дел од Зак</w:t>
            </w:r>
            <w:r w:rsidR="006867EF" w:rsidRPr="008F2816">
              <w:rPr>
                <w:rFonts w:ascii="Times New Roman" w:hAnsi="Times New Roman" w:cs="Times New Roman"/>
                <w:sz w:val="20"/>
                <w:szCs w:val="20"/>
                <w:lang w:val="mk-MK"/>
              </w:rPr>
              <w:t>о</w:t>
            </w:r>
            <w:r w:rsidRPr="008F2816">
              <w:rPr>
                <w:rFonts w:ascii="Times New Roman" w:hAnsi="Times New Roman" w:cs="Times New Roman"/>
                <w:sz w:val="20"/>
                <w:szCs w:val="20"/>
                <w:lang w:val="mk-MK"/>
              </w:rPr>
              <w:t>нот, ќе се предложат соодветни измени. Законот не го исклучува како можност враќањето на производите, туку предвидува кога е тоа доз</w:t>
            </w:r>
            <w:r w:rsidR="006867EF" w:rsidRPr="008F2816">
              <w:rPr>
                <w:rFonts w:ascii="Times New Roman" w:hAnsi="Times New Roman" w:cs="Times New Roman"/>
                <w:sz w:val="20"/>
                <w:szCs w:val="20"/>
                <w:lang w:val="mk-MK"/>
              </w:rPr>
              <w:t>в</w:t>
            </w:r>
            <w:r w:rsidRPr="008F2816">
              <w:rPr>
                <w:rFonts w:ascii="Times New Roman" w:hAnsi="Times New Roman" w:cs="Times New Roman"/>
                <w:sz w:val="20"/>
                <w:szCs w:val="20"/>
                <w:lang w:val="mk-MK"/>
              </w:rPr>
              <w:t>олено (доколку истите се платени или ако е платено за нивно отстранување).</w:t>
            </w:r>
          </w:p>
          <w:p w14:paraId="6CD8258A" w14:textId="77777777" w:rsidR="008D3FB7" w:rsidRPr="008F2816" w:rsidRDefault="008D3FB7" w:rsidP="008D3FB7">
            <w:pPr>
              <w:pStyle w:val="ListParagraph"/>
              <w:spacing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36E99A21" w14:textId="34D1191F" w:rsidR="00235E3C" w:rsidRPr="008F2816" w:rsidRDefault="00F31922" w:rsidP="00A960F1">
            <w:pPr>
              <w:pStyle w:val="ListParagraph"/>
              <w:numPr>
                <w:ilvl w:val="1"/>
                <w:numId w:val="18"/>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Обврската </w:t>
            </w:r>
            <w:r w:rsidR="006F7095" w:rsidRPr="008F2816">
              <w:rPr>
                <w:rFonts w:ascii="Times New Roman" w:hAnsi="Times New Roman" w:cs="Times New Roman"/>
                <w:sz w:val="20"/>
                <w:szCs w:val="20"/>
                <w:lang w:val="mk-MK"/>
              </w:rPr>
              <w:t xml:space="preserve">на купувачот во случај на поврат нема да се намали, туку единствено се прави  евидентирање на повратот </w:t>
            </w:r>
            <w:r w:rsidR="00650A2E" w:rsidRPr="008F2816">
              <w:rPr>
                <w:rFonts w:ascii="Times New Roman" w:hAnsi="Times New Roman" w:cs="Times New Roman"/>
                <w:sz w:val="20"/>
                <w:szCs w:val="20"/>
                <w:lang w:val="mk-MK"/>
              </w:rPr>
              <w:t>во</w:t>
            </w:r>
            <w:r w:rsidR="006F7095" w:rsidRPr="008F2816">
              <w:rPr>
                <w:rFonts w:ascii="Times New Roman" w:hAnsi="Times New Roman" w:cs="Times New Roman"/>
                <w:sz w:val="20"/>
                <w:szCs w:val="20"/>
                <w:lang w:val="mk-MK"/>
              </w:rPr>
              <w:t xml:space="preserve"> сметководствена евиденција</w:t>
            </w:r>
            <w:r w:rsidR="00847621" w:rsidRPr="008F2816">
              <w:rPr>
                <w:rFonts w:ascii="Times New Roman" w:hAnsi="Times New Roman" w:cs="Times New Roman"/>
                <w:sz w:val="20"/>
                <w:szCs w:val="20"/>
                <w:lang w:val="mk-MK"/>
              </w:rPr>
              <w:t xml:space="preserve">. Добавувачот оценува што ќе прави понатаму со вратените производи (ништење, донација, </w:t>
            </w:r>
            <w:r w:rsidR="00235E3C" w:rsidRPr="008F2816">
              <w:rPr>
                <w:rFonts w:ascii="Times New Roman" w:hAnsi="Times New Roman" w:cs="Times New Roman"/>
                <w:sz w:val="20"/>
                <w:szCs w:val="20"/>
                <w:lang w:val="mk-MK"/>
              </w:rPr>
              <w:t>компускара и сл.</w:t>
            </w:r>
            <w:r w:rsidR="00650A2E" w:rsidRPr="008F2816">
              <w:rPr>
                <w:rFonts w:ascii="Times New Roman" w:hAnsi="Times New Roman" w:cs="Times New Roman"/>
                <w:sz w:val="20"/>
                <w:szCs w:val="20"/>
                <w:lang w:val="mk-MK"/>
              </w:rPr>
              <w:t>)</w:t>
            </w:r>
            <w:r w:rsidR="00235E3C" w:rsidRPr="008F2816">
              <w:rPr>
                <w:rFonts w:ascii="Times New Roman" w:hAnsi="Times New Roman" w:cs="Times New Roman"/>
                <w:sz w:val="20"/>
                <w:szCs w:val="20"/>
                <w:lang w:val="mk-MK"/>
              </w:rPr>
              <w:t>, за што ќе следи сметководствен документ со кој се докажува следењето на количините на вратените производи и нивно финално искористување</w:t>
            </w:r>
            <w:r w:rsidR="00556757" w:rsidRPr="008F2816">
              <w:rPr>
                <w:rFonts w:ascii="Times New Roman" w:hAnsi="Times New Roman" w:cs="Times New Roman"/>
                <w:sz w:val="20"/>
                <w:szCs w:val="20"/>
                <w:lang w:val="mk-MK"/>
              </w:rPr>
              <w:t xml:space="preserve">. </w:t>
            </w:r>
          </w:p>
          <w:p w14:paraId="3ACAA8D9" w14:textId="77777777" w:rsidR="00235E3C" w:rsidRPr="008F2816" w:rsidRDefault="00235E3C" w:rsidP="00235E3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mk-MK"/>
              </w:rPr>
            </w:pPr>
          </w:p>
          <w:p w14:paraId="4D947F58" w14:textId="77777777" w:rsidR="00D35256" w:rsidRPr="008F2816" w:rsidRDefault="00144767" w:rsidP="0086497D">
            <w:pPr>
              <w:pStyle w:val="ListParagraph"/>
              <w:numPr>
                <w:ilvl w:val="1"/>
                <w:numId w:val="18"/>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mk-MK"/>
              </w:rPr>
              <w:t xml:space="preserve">Повратот е дозволен во ситуации кога добавувачот сам го </w:t>
            </w:r>
            <w:r w:rsidR="00591F25" w:rsidRPr="008F2816">
              <w:rPr>
                <w:rFonts w:ascii="Times New Roman" w:hAnsi="Times New Roman" w:cs="Times New Roman"/>
                <w:sz w:val="20"/>
                <w:szCs w:val="20"/>
                <w:lang w:val="mk-MK"/>
              </w:rPr>
              <w:t xml:space="preserve">побара и </w:t>
            </w:r>
            <w:r w:rsidRPr="008F2816">
              <w:rPr>
                <w:rFonts w:ascii="Times New Roman" w:hAnsi="Times New Roman" w:cs="Times New Roman"/>
                <w:sz w:val="20"/>
                <w:szCs w:val="20"/>
                <w:lang w:val="mk-MK"/>
              </w:rPr>
              <w:t>организира преземањето на производите предмет на поврат</w:t>
            </w:r>
            <w:r w:rsidR="005258E2" w:rsidRPr="008F2816">
              <w:rPr>
                <w:rFonts w:ascii="Times New Roman" w:hAnsi="Times New Roman" w:cs="Times New Roman"/>
                <w:sz w:val="20"/>
                <w:szCs w:val="20"/>
                <w:lang w:val="mk-MK"/>
              </w:rPr>
              <w:t xml:space="preserve"> или кога купувачот го прави тоа на ба</w:t>
            </w:r>
            <w:r w:rsidR="00591F25" w:rsidRPr="008F2816">
              <w:rPr>
                <w:rFonts w:ascii="Times New Roman" w:hAnsi="Times New Roman" w:cs="Times New Roman"/>
                <w:sz w:val="20"/>
                <w:szCs w:val="20"/>
                <w:lang w:val="mk-MK"/>
              </w:rPr>
              <w:t>р</w:t>
            </w:r>
            <w:r w:rsidR="005258E2" w:rsidRPr="008F2816">
              <w:rPr>
                <w:rFonts w:ascii="Times New Roman" w:hAnsi="Times New Roman" w:cs="Times New Roman"/>
                <w:sz w:val="20"/>
                <w:szCs w:val="20"/>
                <w:lang w:val="mk-MK"/>
              </w:rPr>
              <w:t xml:space="preserve">ање на добавувачот, за што добавувачот му плаќа одредени трошоци за отстранување на производите. </w:t>
            </w:r>
            <w:r w:rsidR="00AA104F" w:rsidRPr="008F2816">
              <w:rPr>
                <w:rFonts w:ascii="Times New Roman" w:hAnsi="Times New Roman" w:cs="Times New Roman"/>
                <w:sz w:val="20"/>
                <w:szCs w:val="20"/>
                <w:lang w:val="mk-MK"/>
              </w:rPr>
              <w:t>Доколку купувачот самостојно одлучува да ги уни</w:t>
            </w:r>
            <w:r w:rsidR="00262E73" w:rsidRPr="008F2816">
              <w:rPr>
                <w:rFonts w:ascii="Times New Roman" w:hAnsi="Times New Roman" w:cs="Times New Roman"/>
                <w:sz w:val="20"/>
                <w:szCs w:val="20"/>
                <w:lang w:val="mk-MK"/>
              </w:rPr>
              <w:t xml:space="preserve">шти производите кои ги купил од добавувачот, тогаш добавувачот нема никаква обврска спрема купувачот за надоместување на трошоци по овој основ. </w:t>
            </w:r>
            <w:r w:rsidR="00D35256" w:rsidRPr="008F2816">
              <w:rPr>
                <w:rFonts w:ascii="Times New Roman" w:hAnsi="Times New Roman" w:cs="Times New Roman"/>
                <w:sz w:val="20"/>
                <w:szCs w:val="20"/>
                <w:lang w:val="mk-MK"/>
              </w:rPr>
              <w:t xml:space="preserve">Во секој случај, производите задолжително треба да се платени. </w:t>
            </w:r>
          </w:p>
          <w:p w14:paraId="54E62A99" w14:textId="77777777" w:rsidR="00D35256" w:rsidRPr="008F2816" w:rsidRDefault="00D35256" w:rsidP="00D35256">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p>
          <w:p w14:paraId="5F98A959" w14:textId="024C3CA5" w:rsidR="00E856CC" w:rsidRPr="008F2816" w:rsidRDefault="00144767" w:rsidP="00D76694">
            <w:pPr>
              <w:pStyle w:val="ListParagraph"/>
              <w:numPr>
                <w:ilvl w:val="1"/>
                <w:numId w:val="19"/>
              </w:num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Враќањето на производи поради </w:t>
            </w:r>
            <w:r w:rsidR="00510996" w:rsidRPr="008F2816">
              <w:rPr>
                <w:rFonts w:ascii="Times New Roman" w:hAnsi="Times New Roman" w:cs="Times New Roman"/>
                <w:sz w:val="20"/>
                <w:szCs w:val="20"/>
                <w:lang w:val="ru-RU"/>
              </w:rPr>
              <w:t xml:space="preserve">рекламација т.е. </w:t>
            </w:r>
            <w:r w:rsidRPr="008F2816">
              <w:rPr>
                <w:rFonts w:ascii="Times New Roman" w:hAnsi="Times New Roman" w:cs="Times New Roman"/>
                <w:sz w:val="20"/>
                <w:szCs w:val="20"/>
                <w:lang w:val="ru-RU"/>
              </w:rPr>
              <w:t xml:space="preserve">недостаток кој настанал </w:t>
            </w:r>
            <w:r w:rsidR="009762EB" w:rsidRPr="008F2816">
              <w:rPr>
                <w:rFonts w:ascii="Times New Roman" w:hAnsi="Times New Roman" w:cs="Times New Roman"/>
                <w:sz w:val="20"/>
                <w:szCs w:val="20"/>
                <w:lang w:val="ru-RU"/>
              </w:rPr>
              <w:t xml:space="preserve">поради причина </w:t>
            </w:r>
            <w:r w:rsidR="004C70E7" w:rsidRPr="008F2816">
              <w:rPr>
                <w:rFonts w:ascii="Times New Roman" w:hAnsi="Times New Roman" w:cs="Times New Roman"/>
                <w:sz w:val="20"/>
                <w:szCs w:val="20"/>
                <w:lang w:val="ru-RU"/>
              </w:rPr>
              <w:t xml:space="preserve">предизвикана од страна на добавувачот </w:t>
            </w:r>
            <w:r w:rsidR="00FA6C58" w:rsidRPr="008F2816">
              <w:rPr>
                <w:rFonts w:ascii="Times New Roman" w:hAnsi="Times New Roman" w:cs="Times New Roman"/>
                <w:sz w:val="20"/>
                <w:szCs w:val="20"/>
                <w:lang w:val="ru-RU"/>
              </w:rPr>
              <w:t>или скриена мана</w:t>
            </w:r>
            <w:r w:rsidR="007A4E51" w:rsidRPr="008F2816">
              <w:rPr>
                <w:rFonts w:ascii="Times New Roman" w:hAnsi="Times New Roman" w:cs="Times New Roman"/>
                <w:sz w:val="20"/>
                <w:szCs w:val="20"/>
                <w:lang w:val="ru-RU"/>
              </w:rPr>
              <w:t xml:space="preserve"> која ќе се увиди на прием</w:t>
            </w:r>
            <w:r w:rsidR="00061A23" w:rsidRPr="008F2816">
              <w:rPr>
                <w:rFonts w:ascii="Times New Roman" w:hAnsi="Times New Roman" w:cs="Times New Roman"/>
                <w:sz w:val="20"/>
                <w:szCs w:val="20"/>
                <w:lang w:val="ru-RU"/>
              </w:rPr>
              <w:t>, односно непосредно по прием</w:t>
            </w:r>
            <w:r w:rsidR="007A4E51" w:rsidRPr="008F2816">
              <w:rPr>
                <w:rFonts w:ascii="Times New Roman" w:hAnsi="Times New Roman" w:cs="Times New Roman"/>
                <w:sz w:val="20"/>
                <w:szCs w:val="20"/>
                <w:lang w:val="ru-RU"/>
              </w:rPr>
              <w:t xml:space="preserve"> </w:t>
            </w:r>
            <w:r w:rsidR="009762EB" w:rsidRPr="008F2816">
              <w:rPr>
                <w:rFonts w:ascii="Times New Roman" w:hAnsi="Times New Roman" w:cs="Times New Roman"/>
                <w:sz w:val="20"/>
                <w:szCs w:val="20"/>
                <w:lang w:val="ru-RU"/>
              </w:rPr>
              <w:t xml:space="preserve">е дозволен. Поврат поради истек на рок не е дозволен, а </w:t>
            </w:r>
            <w:r w:rsidR="009762EB" w:rsidRPr="008F2816">
              <w:rPr>
                <w:rFonts w:ascii="Times New Roman" w:hAnsi="Times New Roman" w:cs="Times New Roman"/>
                <w:sz w:val="20"/>
                <w:szCs w:val="20"/>
                <w:lang w:val="ru-RU"/>
              </w:rPr>
              <w:lastRenderedPageBreak/>
              <w:t>доколку се работи за договорен рок на траење истото треба да биде проверено/воочен</w:t>
            </w:r>
            <w:r w:rsidR="001A2CB3" w:rsidRPr="008F2816">
              <w:rPr>
                <w:rFonts w:ascii="Times New Roman" w:hAnsi="Times New Roman" w:cs="Times New Roman"/>
                <w:sz w:val="20"/>
                <w:szCs w:val="20"/>
                <w:lang w:val="ru-RU"/>
              </w:rPr>
              <w:t>о</w:t>
            </w:r>
            <w:r w:rsidR="009762EB" w:rsidRPr="008F2816">
              <w:rPr>
                <w:rFonts w:ascii="Times New Roman" w:hAnsi="Times New Roman" w:cs="Times New Roman"/>
                <w:sz w:val="20"/>
                <w:szCs w:val="20"/>
                <w:lang w:val="ru-RU"/>
              </w:rPr>
              <w:t xml:space="preserve"> при самиот прием</w:t>
            </w:r>
            <w:r w:rsidR="00DF0943" w:rsidRPr="008F2816">
              <w:rPr>
                <w:rFonts w:ascii="Times New Roman" w:hAnsi="Times New Roman" w:cs="Times New Roman"/>
                <w:sz w:val="20"/>
                <w:szCs w:val="20"/>
                <w:lang w:val="ru-RU"/>
              </w:rPr>
              <w:t xml:space="preserve">, односно непосредно по прием </w:t>
            </w:r>
            <w:r w:rsidR="009762EB" w:rsidRPr="008F2816">
              <w:rPr>
                <w:rFonts w:ascii="Times New Roman" w:hAnsi="Times New Roman" w:cs="Times New Roman"/>
                <w:sz w:val="20"/>
                <w:szCs w:val="20"/>
                <w:lang w:val="ru-RU"/>
              </w:rPr>
              <w:t>на производите</w:t>
            </w:r>
            <w:r w:rsidR="001A2CB3" w:rsidRPr="008F2816">
              <w:rPr>
                <w:rFonts w:ascii="Times New Roman" w:hAnsi="Times New Roman" w:cs="Times New Roman"/>
                <w:sz w:val="20"/>
                <w:szCs w:val="20"/>
                <w:lang w:val="ru-RU"/>
              </w:rPr>
              <w:t>, а не подоцна.</w:t>
            </w:r>
          </w:p>
        </w:tc>
      </w:tr>
      <w:tr w:rsidR="008B0308" w:rsidRPr="008F2816" w14:paraId="71DA83F3" w14:textId="77777777" w:rsidTr="008F2816">
        <w:trPr>
          <w:trHeight w:val="1325"/>
        </w:trPr>
        <w:tc>
          <w:tcPr>
            <w:cnfStyle w:val="001000000000" w:firstRow="0" w:lastRow="0" w:firstColumn="1" w:lastColumn="0" w:oddVBand="0" w:evenVBand="0" w:oddHBand="0" w:evenHBand="0" w:firstRowFirstColumn="0" w:firstRowLastColumn="0" w:lastRowFirstColumn="0" w:lastRowLastColumn="0"/>
            <w:tcW w:w="334" w:type="pct"/>
          </w:tcPr>
          <w:p w14:paraId="6DB34DC7" w14:textId="77777777" w:rsidR="00BE7ED1" w:rsidRPr="008F2816" w:rsidRDefault="00BE7ED1" w:rsidP="001535DF">
            <w:pPr>
              <w:jc w:val="both"/>
              <w:rPr>
                <w:rFonts w:ascii="Times New Roman" w:hAnsi="Times New Roman" w:cs="Times New Roman"/>
                <w:b w:val="0"/>
                <w:sz w:val="24"/>
                <w:szCs w:val="24"/>
                <w:lang w:val="mk-MK"/>
              </w:rPr>
            </w:pPr>
          </w:p>
          <w:p w14:paraId="08D893E8" w14:textId="747CAAD9" w:rsidR="008B0308" w:rsidRPr="008F2816" w:rsidRDefault="00BE7ED1" w:rsidP="001535DF">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7.</w:t>
            </w:r>
          </w:p>
        </w:tc>
        <w:tc>
          <w:tcPr>
            <w:tcW w:w="1540" w:type="pct"/>
          </w:tcPr>
          <w:p w14:paraId="77AEEA25" w14:textId="3199328A" w:rsidR="008B0308" w:rsidRPr="008F2816" w:rsidRDefault="008B0308" w:rsidP="001535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b/>
                <w:bCs/>
                <w:sz w:val="20"/>
                <w:szCs w:val="20"/>
                <w:lang w:val="mk-MK"/>
              </w:rPr>
              <w:t>Затворање на фактури – рок на пла</w:t>
            </w:r>
            <w:r w:rsidR="0016351D" w:rsidRPr="008F2816">
              <w:rPr>
                <w:rFonts w:ascii="Times New Roman" w:hAnsi="Times New Roman" w:cs="Times New Roman"/>
                <w:b/>
                <w:bCs/>
                <w:sz w:val="20"/>
                <w:szCs w:val="20"/>
                <w:lang w:val="mk-MK"/>
              </w:rPr>
              <w:t>ќ</w:t>
            </w:r>
            <w:r w:rsidRPr="008F2816">
              <w:rPr>
                <w:rFonts w:ascii="Times New Roman" w:hAnsi="Times New Roman" w:cs="Times New Roman"/>
                <w:b/>
                <w:bCs/>
                <w:sz w:val="20"/>
                <w:szCs w:val="20"/>
                <w:lang w:val="mk-MK"/>
              </w:rPr>
              <w:t xml:space="preserve">ање </w:t>
            </w:r>
            <w:r w:rsidR="00BE39A8" w:rsidRPr="008F2816">
              <w:rPr>
                <w:rFonts w:ascii="Times New Roman" w:hAnsi="Times New Roman" w:cs="Times New Roman"/>
                <w:b/>
                <w:bCs/>
                <w:sz w:val="20"/>
                <w:szCs w:val="20"/>
                <w:lang w:val="mk-MK"/>
              </w:rPr>
              <w:t>- толкување</w:t>
            </w:r>
          </w:p>
        </w:tc>
        <w:tc>
          <w:tcPr>
            <w:tcW w:w="1410" w:type="pct"/>
          </w:tcPr>
          <w:p w14:paraId="0C59767F" w14:textId="781CBC3C" w:rsidR="008B0308" w:rsidRPr="008F2816" w:rsidRDefault="00BE39A8" w:rsidP="00C10C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Во пракса се </w:t>
            </w:r>
            <w:r w:rsidR="005272F6" w:rsidRPr="008F2816">
              <w:rPr>
                <w:rFonts w:ascii="Times New Roman" w:hAnsi="Times New Roman" w:cs="Times New Roman"/>
                <w:sz w:val="20"/>
                <w:szCs w:val="20"/>
                <w:lang w:val="mk-MK"/>
              </w:rPr>
              <w:t>случува пла</w:t>
            </w:r>
            <w:r w:rsidR="00120217" w:rsidRPr="008F2816">
              <w:rPr>
                <w:rFonts w:ascii="Times New Roman" w:hAnsi="Times New Roman" w:cs="Times New Roman"/>
                <w:sz w:val="20"/>
                <w:szCs w:val="20"/>
                <w:lang w:val="mk-MK"/>
              </w:rPr>
              <w:t>ќањата по основ на долг од одредени купувачи да</w:t>
            </w:r>
            <w:r w:rsidR="008D3FB7" w:rsidRPr="008F2816">
              <w:rPr>
                <w:rFonts w:ascii="Times New Roman" w:hAnsi="Times New Roman" w:cs="Times New Roman"/>
                <w:sz w:val="20"/>
                <w:szCs w:val="20"/>
                <w:lang w:val="mk-MK"/>
              </w:rPr>
              <w:t xml:space="preserve"> </w:t>
            </w:r>
            <w:r w:rsidR="00120217" w:rsidRPr="008F2816">
              <w:rPr>
                <w:rFonts w:ascii="Times New Roman" w:hAnsi="Times New Roman" w:cs="Times New Roman"/>
                <w:sz w:val="20"/>
                <w:szCs w:val="20"/>
                <w:lang w:val="mk-MK"/>
              </w:rPr>
              <w:t xml:space="preserve">се затвораат ф-ри од постар датум , доколку во самото плаќање не е прецизирана фактурата по која се врши плаќање. </w:t>
            </w:r>
          </w:p>
        </w:tc>
        <w:tc>
          <w:tcPr>
            <w:tcW w:w="1716" w:type="pct"/>
          </w:tcPr>
          <w:p w14:paraId="5F238CB9" w14:textId="64D709CB" w:rsidR="008D3FB7" w:rsidRPr="008F2816" w:rsidRDefault="008D3FB7" w:rsidP="00D766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При </w:t>
            </w:r>
            <w:r w:rsidR="0037469A" w:rsidRPr="008F2816">
              <w:rPr>
                <w:rFonts w:ascii="Times New Roman" w:hAnsi="Times New Roman" w:cs="Times New Roman"/>
                <w:sz w:val="20"/>
                <w:szCs w:val="20"/>
                <w:lang w:val="mk-MK"/>
              </w:rPr>
              <w:t xml:space="preserve">плаќање </w:t>
            </w:r>
            <w:r w:rsidRPr="008F2816">
              <w:rPr>
                <w:rFonts w:ascii="Times New Roman" w:hAnsi="Times New Roman" w:cs="Times New Roman"/>
                <w:sz w:val="20"/>
                <w:szCs w:val="20"/>
                <w:lang w:val="mk-MK"/>
              </w:rPr>
              <w:t>треба да е</w:t>
            </w:r>
            <w:r w:rsidR="0037469A" w:rsidRPr="008F2816">
              <w:rPr>
                <w:rFonts w:ascii="Times New Roman" w:hAnsi="Times New Roman" w:cs="Times New Roman"/>
                <w:sz w:val="20"/>
                <w:szCs w:val="20"/>
                <w:lang w:val="mk-MK"/>
              </w:rPr>
              <w:t xml:space="preserve"> наведено по која фактура се врши уплата, </w:t>
            </w:r>
            <w:r w:rsidRPr="008F2816">
              <w:rPr>
                <w:rFonts w:ascii="Times New Roman" w:hAnsi="Times New Roman" w:cs="Times New Roman"/>
                <w:sz w:val="20"/>
                <w:szCs w:val="20"/>
                <w:lang w:val="mk-MK"/>
              </w:rPr>
              <w:t xml:space="preserve">како би можело соодветно да се прати и дали е испочитувана обврската за конкретна фактура и платено во договорениот рок. Доколку во плаќањето не е назначено која точно обврска се затвора, па добавувачите со конкретната уплата </w:t>
            </w:r>
            <w:r w:rsidR="00652BF8">
              <w:rPr>
                <w:rFonts w:ascii="Times New Roman" w:hAnsi="Times New Roman" w:cs="Times New Roman"/>
                <w:sz w:val="20"/>
                <w:szCs w:val="20"/>
                <w:lang w:val="mk-MK"/>
              </w:rPr>
              <w:t>н</w:t>
            </w:r>
            <w:r w:rsidRPr="008F2816">
              <w:rPr>
                <w:rFonts w:ascii="Times New Roman" w:hAnsi="Times New Roman" w:cs="Times New Roman"/>
                <w:sz w:val="20"/>
                <w:szCs w:val="20"/>
                <w:lang w:val="mk-MK"/>
              </w:rPr>
              <w:t>а</w:t>
            </w:r>
            <w:r w:rsidR="004159AE" w:rsidRPr="008F2816">
              <w:rPr>
                <w:rFonts w:ascii="Times New Roman" w:hAnsi="Times New Roman" w:cs="Times New Roman"/>
                <w:sz w:val="20"/>
                <w:szCs w:val="20"/>
                <w:lang w:val="mk-MK"/>
              </w:rPr>
              <w:t xml:space="preserve"> најстарата доспеана фактура</w:t>
            </w:r>
            <w:r w:rsidRPr="008F2816">
              <w:rPr>
                <w:rFonts w:ascii="Times New Roman" w:hAnsi="Times New Roman" w:cs="Times New Roman"/>
                <w:sz w:val="20"/>
                <w:szCs w:val="20"/>
                <w:lang w:val="mk-MK"/>
              </w:rPr>
              <w:t>, не може да се докаже соодветно исполнувањето на обврските за плаќање во рок за конкретна обврска. Од овие причини, се укажува при плаќањето на обврските, купувачите да наведуваат точно кои обврски / фактури ги плаќаат т.е. затвораат, или доколку станува збор за збирна уплата/налог, да достават спецификација за конкретни обврски т.е. фактури кои се затвораат со соодветното плаќање.</w:t>
            </w:r>
          </w:p>
        </w:tc>
      </w:tr>
      <w:tr w:rsidR="00FC65DA" w:rsidRPr="008F2816" w14:paraId="4DBA8AF9" w14:textId="0CDB1C00" w:rsidTr="008F2816">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34" w:type="pct"/>
          </w:tcPr>
          <w:p w14:paraId="16A0CC1C" w14:textId="77777777" w:rsidR="00BE7ED1" w:rsidRPr="008F2816" w:rsidRDefault="00BE7ED1" w:rsidP="00FC65DA">
            <w:pPr>
              <w:jc w:val="both"/>
              <w:rPr>
                <w:rFonts w:ascii="Times New Roman" w:hAnsi="Times New Roman" w:cs="Times New Roman"/>
                <w:b w:val="0"/>
                <w:sz w:val="24"/>
                <w:szCs w:val="24"/>
                <w:lang w:val="mk-MK"/>
              </w:rPr>
            </w:pPr>
          </w:p>
          <w:p w14:paraId="60E34F27" w14:textId="2A624293" w:rsidR="00FC65DA" w:rsidRPr="008F2816" w:rsidRDefault="00BE7ED1" w:rsidP="00FC65DA">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8.</w:t>
            </w:r>
          </w:p>
        </w:tc>
        <w:tc>
          <w:tcPr>
            <w:tcW w:w="1540" w:type="pct"/>
          </w:tcPr>
          <w:p w14:paraId="0B6063F6" w14:textId="31C30552" w:rsidR="00FC65DA" w:rsidRPr="008F2816"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b/>
                <w:bCs/>
                <w:sz w:val="20"/>
                <w:szCs w:val="20"/>
                <w:lang w:val="mk-MK"/>
              </w:rPr>
              <w:t>Размена на податоци за продажба (</w:t>
            </w:r>
            <w:r w:rsidRPr="008F2816">
              <w:rPr>
                <w:rFonts w:ascii="Times New Roman" w:hAnsi="Times New Roman" w:cs="Times New Roman"/>
                <w:b/>
                <w:bCs/>
                <w:sz w:val="20"/>
                <w:szCs w:val="20"/>
              </w:rPr>
              <w:t>Data</w:t>
            </w:r>
            <w:r w:rsidRPr="008F2816">
              <w:rPr>
                <w:rFonts w:ascii="Times New Roman" w:hAnsi="Times New Roman" w:cs="Times New Roman"/>
                <w:b/>
                <w:bCs/>
                <w:sz w:val="20"/>
                <w:szCs w:val="20"/>
                <w:lang w:val="ru-RU"/>
              </w:rPr>
              <w:t xml:space="preserve"> </w:t>
            </w:r>
            <w:r w:rsidRPr="008F2816">
              <w:rPr>
                <w:rFonts w:ascii="Times New Roman" w:hAnsi="Times New Roman" w:cs="Times New Roman"/>
                <w:b/>
                <w:bCs/>
                <w:sz w:val="20"/>
                <w:szCs w:val="20"/>
              </w:rPr>
              <w:t>share</w:t>
            </w:r>
            <w:r w:rsidRPr="008F2816">
              <w:rPr>
                <w:rFonts w:ascii="Times New Roman" w:hAnsi="Times New Roman" w:cs="Times New Roman"/>
                <w:sz w:val="20"/>
                <w:szCs w:val="20"/>
                <w:lang w:val="ru-RU"/>
              </w:rPr>
              <w:t>)</w:t>
            </w:r>
          </w:p>
        </w:tc>
        <w:tc>
          <w:tcPr>
            <w:tcW w:w="1410" w:type="pct"/>
          </w:tcPr>
          <w:p w14:paraId="19E726AE" w14:textId="51246BCD" w:rsidR="00FC65DA" w:rsidRPr="008F2816"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ru-RU"/>
              </w:rPr>
            </w:pPr>
            <w:r w:rsidRPr="008F2816">
              <w:rPr>
                <w:rFonts w:ascii="Times New Roman" w:hAnsi="Times New Roman" w:cs="Times New Roman"/>
                <w:b/>
                <w:bCs/>
                <w:sz w:val="20"/>
                <w:szCs w:val="20"/>
                <w:lang w:val="mk-MK"/>
              </w:rPr>
              <w:t>Дали влегува во рамките од 10%</w:t>
            </w:r>
            <w:r w:rsidRPr="008F2816">
              <w:rPr>
                <w:rFonts w:ascii="Times New Roman" w:hAnsi="Times New Roman" w:cs="Times New Roman"/>
                <w:b/>
                <w:bCs/>
                <w:sz w:val="20"/>
                <w:szCs w:val="20"/>
                <w:lang w:val="ru-RU"/>
              </w:rPr>
              <w:t xml:space="preserve">? </w:t>
            </w:r>
          </w:p>
          <w:p w14:paraId="53C38F71" w14:textId="77777777" w:rsidR="00FC65DA" w:rsidRPr="008F2816"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mk-MK"/>
              </w:rPr>
            </w:pPr>
            <w:r w:rsidRPr="008F2816">
              <w:rPr>
                <w:rFonts w:ascii="Times New Roman" w:hAnsi="Times New Roman" w:cs="Times New Roman"/>
                <w:b/>
                <w:bCs/>
                <w:sz w:val="20"/>
                <w:szCs w:val="20"/>
                <w:lang w:val="mk-MK"/>
              </w:rPr>
              <w:t xml:space="preserve">Дали е дозволено договарање на услуга </w:t>
            </w:r>
            <w:r w:rsidRPr="008F2816">
              <w:rPr>
                <w:rFonts w:ascii="Times New Roman" w:hAnsi="Times New Roman" w:cs="Times New Roman"/>
                <w:b/>
                <w:bCs/>
                <w:sz w:val="20"/>
                <w:szCs w:val="20"/>
              </w:rPr>
              <w:t>data</w:t>
            </w:r>
            <w:r w:rsidRPr="008F2816">
              <w:rPr>
                <w:rFonts w:ascii="Times New Roman" w:hAnsi="Times New Roman" w:cs="Times New Roman"/>
                <w:b/>
                <w:bCs/>
                <w:sz w:val="20"/>
                <w:szCs w:val="20"/>
                <w:lang w:val="ru-RU"/>
              </w:rPr>
              <w:t xml:space="preserve"> </w:t>
            </w:r>
            <w:r w:rsidRPr="008F2816">
              <w:rPr>
                <w:rFonts w:ascii="Times New Roman" w:hAnsi="Times New Roman" w:cs="Times New Roman"/>
                <w:b/>
                <w:bCs/>
                <w:sz w:val="20"/>
                <w:szCs w:val="20"/>
              </w:rPr>
              <w:t>share</w:t>
            </w:r>
            <w:r w:rsidRPr="008F2816">
              <w:rPr>
                <w:rFonts w:ascii="Times New Roman" w:hAnsi="Times New Roman" w:cs="Times New Roman"/>
                <w:b/>
                <w:bCs/>
                <w:sz w:val="20"/>
                <w:szCs w:val="20"/>
                <w:lang w:val="ru-RU"/>
              </w:rPr>
              <w:t>?</w:t>
            </w:r>
          </w:p>
          <w:p w14:paraId="6F8E5A4E" w14:textId="2FDB472B" w:rsidR="00FC65DA" w:rsidRPr="008F2816"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Нашиот пазар поради големината и сегментацијата е неатрактивен за истражувачки агенции (Нилсен, Валикон, ГФХ и др.), па сите потребни податоци поврзани со категориите, брендовите и сл</w:t>
            </w:r>
            <w:r w:rsidR="00435CCA" w:rsidRPr="008F2816">
              <w:rPr>
                <w:rFonts w:ascii="Times New Roman" w:hAnsi="Times New Roman" w:cs="Times New Roman"/>
                <w:sz w:val="20"/>
                <w:szCs w:val="20"/>
                <w:lang w:val="mk-MK"/>
              </w:rPr>
              <w:t>.</w:t>
            </w:r>
            <w:r w:rsidR="001B7DF8" w:rsidRPr="008F2816">
              <w:rPr>
                <w:rFonts w:ascii="Times New Roman" w:hAnsi="Times New Roman" w:cs="Times New Roman"/>
                <w:sz w:val="20"/>
                <w:szCs w:val="20"/>
                <w:lang w:val="mk-MK"/>
              </w:rPr>
              <w:t xml:space="preserve"> на добавувачот</w:t>
            </w:r>
            <w:r w:rsidRPr="008F2816">
              <w:rPr>
                <w:rFonts w:ascii="Times New Roman" w:hAnsi="Times New Roman" w:cs="Times New Roman"/>
                <w:sz w:val="20"/>
                <w:szCs w:val="20"/>
                <w:lang w:val="mk-MK"/>
              </w:rPr>
              <w:t xml:space="preserve">, се добиваат токму преку податоците добиени од купувачите и се користат за правење на стратегии и мерење на перформансот. Добавувачите ги бараат овие податоци и спремни се да платат надомест на купувачот за истите. </w:t>
            </w:r>
          </w:p>
          <w:p w14:paraId="38B11957" w14:textId="1062BEAA" w:rsidR="00FC65DA" w:rsidRPr="008F2816"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tc>
        <w:tc>
          <w:tcPr>
            <w:tcW w:w="1716" w:type="pct"/>
          </w:tcPr>
          <w:p w14:paraId="1727199C" w14:textId="0A37C034" w:rsidR="004159AE" w:rsidRPr="008F2816" w:rsidRDefault="004159AE"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Размената на податоци/информации е дозволена </w:t>
            </w:r>
            <w:r w:rsidR="001772B3" w:rsidRPr="008F2816">
              <w:rPr>
                <w:rFonts w:ascii="Times New Roman" w:hAnsi="Times New Roman" w:cs="Times New Roman"/>
                <w:sz w:val="20"/>
                <w:szCs w:val="20"/>
                <w:lang w:val="ru-RU"/>
              </w:rPr>
              <w:t xml:space="preserve">и </w:t>
            </w:r>
            <w:r w:rsidR="008D3FB7" w:rsidRPr="008F2816">
              <w:rPr>
                <w:rFonts w:ascii="Times New Roman" w:hAnsi="Times New Roman" w:cs="Times New Roman"/>
                <w:sz w:val="20"/>
                <w:szCs w:val="20"/>
                <w:lang w:val="ru-RU"/>
              </w:rPr>
              <w:t xml:space="preserve">договорните страни </w:t>
            </w:r>
            <w:r w:rsidR="001772B3" w:rsidRPr="008F2816">
              <w:rPr>
                <w:rFonts w:ascii="Times New Roman" w:hAnsi="Times New Roman" w:cs="Times New Roman"/>
                <w:sz w:val="20"/>
                <w:szCs w:val="20"/>
                <w:lang w:val="ru-RU"/>
              </w:rPr>
              <w:t xml:space="preserve">може </w:t>
            </w:r>
            <w:r w:rsidR="008D3FB7" w:rsidRPr="008F2816">
              <w:rPr>
                <w:rFonts w:ascii="Times New Roman" w:hAnsi="Times New Roman" w:cs="Times New Roman"/>
                <w:sz w:val="20"/>
                <w:szCs w:val="20"/>
                <w:lang w:val="ru-RU"/>
              </w:rPr>
              <w:t xml:space="preserve">да ја </w:t>
            </w:r>
            <w:r w:rsidRPr="008F2816">
              <w:rPr>
                <w:rFonts w:ascii="Times New Roman" w:hAnsi="Times New Roman" w:cs="Times New Roman"/>
                <w:sz w:val="20"/>
                <w:szCs w:val="20"/>
                <w:lang w:val="ru-RU"/>
              </w:rPr>
              <w:t>уред</w:t>
            </w:r>
            <w:r w:rsidR="008D3FB7" w:rsidRPr="008F2816">
              <w:rPr>
                <w:rFonts w:ascii="Times New Roman" w:hAnsi="Times New Roman" w:cs="Times New Roman"/>
                <w:sz w:val="20"/>
                <w:szCs w:val="20"/>
                <w:lang w:val="ru-RU"/>
              </w:rPr>
              <w:t>ат</w:t>
            </w:r>
            <w:r w:rsidRPr="008F2816">
              <w:rPr>
                <w:rFonts w:ascii="Times New Roman" w:hAnsi="Times New Roman" w:cs="Times New Roman"/>
                <w:sz w:val="20"/>
                <w:szCs w:val="20"/>
                <w:lang w:val="ru-RU"/>
              </w:rPr>
              <w:t xml:space="preserve"> во самиот договор.</w:t>
            </w:r>
            <w:r w:rsidR="001772B3" w:rsidRPr="008F2816">
              <w:rPr>
                <w:rFonts w:ascii="Times New Roman" w:hAnsi="Times New Roman" w:cs="Times New Roman"/>
                <w:sz w:val="20"/>
                <w:szCs w:val="20"/>
                <w:lang w:val="ru-RU"/>
              </w:rPr>
              <w:t xml:space="preserve"> </w:t>
            </w:r>
            <w:r w:rsidR="00056E38" w:rsidRPr="008F2816">
              <w:rPr>
                <w:rFonts w:ascii="Times New Roman" w:hAnsi="Times New Roman" w:cs="Times New Roman"/>
                <w:sz w:val="20"/>
                <w:szCs w:val="20"/>
                <w:lang w:val="ru-RU"/>
              </w:rPr>
              <w:t>По барање на добавувачот, д</w:t>
            </w:r>
            <w:r w:rsidR="001772B3" w:rsidRPr="008F2816">
              <w:rPr>
                <w:rFonts w:ascii="Times New Roman" w:hAnsi="Times New Roman" w:cs="Times New Roman"/>
                <w:sz w:val="20"/>
                <w:szCs w:val="20"/>
                <w:lang w:val="ru-RU"/>
              </w:rPr>
              <w:t xml:space="preserve">оставувањето на податоци за продажбата на производите од асортиманот </w:t>
            </w:r>
            <w:r w:rsidR="004C70E7" w:rsidRPr="008F2816">
              <w:rPr>
                <w:rFonts w:ascii="Times New Roman" w:hAnsi="Times New Roman" w:cs="Times New Roman"/>
                <w:sz w:val="20"/>
                <w:szCs w:val="20"/>
                <w:lang w:val="ru-RU"/>
              </w:rPr>
              <w:t xml:space="preserve">на земјоделски и прехранбени производи </w:t>
            </w:r>
            <w:r w:rsidR="001772B3" w:rsidRPr="008F2816">
              <w:rPr>
                <w:rFonts w:ascii="Times New Roman" w:hAnsi="Times New Roman" w:cs="Times New Roman"/>
                <w:sz w:val="20"/>
                <w:szCs w:val="20"/>
                <w:lang w:val="ru-RU"/>
              </w:rPr>
              <w:t xml:space="preserve">на добавувачот е обврска на купувачот. </w:t>
            </w:r>
          </w:p>
          <w:p w14:paraId="7F3F488F" w14:textId="19B0EDEA" w:rsidR="004159AE" w:rsidRPr="008F2816" w:rsidRDefault="00AC142F"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Плаќањето на ваков надоместо</w:t>
            </w:r>
            <w:r w:rsidR="00E4245B" w:rsidRPr="008F2816">
              <w:rPr>
                <w:rFonts w:ascii="Times New Roman" w:hAnsi="Times New Roman" w:cs="Times New Roman"/>
                <w:sz w:val="20"/>
                <w:szCs w:val="20"/>
                <w:lang w:val="ru-RU"/>
              </w:rPr>
              <w:t>к е дозволен</w:t>
            </w:r>
            <w:r w:rsidR="001440CF" w:rsidRPr="008F2816">
              <w:rPr>
                <w:rFonts w:ascii="Times New Roman" w:hAnsi="Times New Roman" w:cs="Times New Roman"/>
                <w:sz w:val="20"/>
                <w:szCs w:val="20"/>
                <w:lang w:val="ru-RU"/>
              </w:rPr>
              <w:t>о</w:t>
            </w:r>
            <w:r w:rsidR="00E4245B" w:rsidRPr="008F2816">
              <w:rPr>
                <w:rFonts w:ascii="Times New Roman" w:hAnsi="Times New Roman" w:cs="Times New Roman"/>
                <w:sz w:val="20"/>
                <w:szCs w:val="20"/>
                <w:lang w:val="ru-RU"/>
              </w:rPr>
              <w:t xml:space="preserve"> доколку истиот е во рамки на 10%</w:t>
            </w:r>
            <w:r w:rsidR="00E729E2" w:rsidRPr="008F2816">
              <w:rPr>
                <w:rFonts w:ascii="Times New Roman" w:hAnsi="Times New Roman" w:cs="Times New Roman"/>
                <w:sz w:val="20"/>
                <w:szCs w:val="20"/>
                <w:lang w:val="ru-RU"/>
              </w:rPr>
              <w:t>.</w:t>
            </w:r>
          </w:p>
          <w:p w14:paraId="05D1618C" w14:textId="77777777" w:rsidR="0065095C" w:rsidRPr="008F2816" w:rsidRDefault="0065095C"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0BE79136" w14:textId="5DF36BBE" w:rsidR="009932B3" w:rsidRPr="008F2816" w:rsidRDefault="00CA78CC" w:rsidP="009932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Сите други форми на надоместоци</w:t>
            </w:r>
            <w:r w:rsidR="00B94D11" w:rsidRPr="008F2816">
              <w:rPr>
                <w:rFonts w:ascii="Times New Roman" w:hAnsi="Times New Roman" w:cs="Times New Roman"/>
                <w:sz w:val="20"/>
                <w:szCs w:val="20"/>
                <w:lang w:val="ru-RU"/>
              </w:rPr>
              <w:t xml:space="preserve"> и </w:t>
            </w:r>
            <w:r w:rsidRPr="008F2816">
              <w:rPr>
                <w:rFonts w:ascii="Times New Roman" w:hAnsi="Times New Roman" w:cs="Times New Roman"/>
                <w:sz w:val="20"/>
                <w:szCs w:val="20"/>
                <w:lang w:val="ru-RU"/>
              </w:rPr>
              <w:t xml:space="preserve">било која </w:t>
            </w:r>
            <w:r w:rsidR="00B94D11" w:rsidRPr="008F2816">
              <w:rPr>
                <w:rFonts w:ascii="Times New Roman" w:hAnsi="Times New Roman" w:cs="Times New Roman"/>
                <w:sz w:val="20"/>
                <w:szCs w:val="20"/>
                <w:lang w:val="ru-RU"/>
              </w:rPr>
              <w:t xml:space="preserve">друга </w:t>
            </w:r>
            <w:r w:rsidRPr="008F2816">
              <w:rPr>
                <w:rFonts w:ascii="Times New Roman" w:hAnsi="Times New Roman" w:cs="Times New Roman"/>
                <w:sz w:val="20"/>
                <w:szCs w:val="20"/>
                <w:lang w:val="ru-RU"/>
              </w:rPr>
              <w:t>услуга</w:t>
            </w:r>
            <w:r w:rsidR="00B94D11" w:rsidRPr="008F2816">
              <w:rPr>
                <w:rFonts w:ascii="Times New Roman" w:hAnsi="Times New Roman" w:cs="Times New Roman"/>
                <w:sz w:val="20"/>
                <w:szCs w:val="20"/>
                <w:lang w:val="ru-RU"/>
              </w:rPr>
              <w:t xml:space="preserve"> која добавувачот ќе ја побара од купувачот, не смее да подлежи на дополнителен надоместок и трошок</w:t>
            </w:r>
            <w:r w:rsidR="000E5BE8" w:rsidRPr="008F2816">
              <w:rPr>
                <w:rFonts w:ascii="Times New Roman" w:hAnsi="Times New Roman" w:cs="Times New Roman"/>
                <w:sz w:val="20"/>
                <w:szCs w:val="20"/>
                <w:lang w:val="ru-RU"/>
              </w:rPr>
              <w:t xml:space="preserve"> за добавувачот. К</w:t>
            </w:r>
            <w:r w:rsidR="00B94D11" w:rsidRPr="008F2816">
              <w:rPr>
                <w:rFonts w:ascii="Times New Roman" w:hAnsi="Times New Roman" w:cs="Times New Roman"/>
                <w:sz w:val="20"/>
                <w:szCs w:val="20"/>
                <w:lang w:val="ru-RU"/>
              </w:rPr>
              <w:t xml:space="preserve">упувачот е должен да соработува со добавувачот и </w:t>
            </w:r>
            <w:r w:rsidR="000E5BE8" w:rsidRPr="008F2816">
              <w:rPr>
                <w:rFonts w:ascii="Times New Roman" w:hAnsi="Times New Roman" w:cs="Times New Roman"/>
                <w:sz w:val="20"/>
                <w:szCs w:val="20"/>
                <w:lang w:val="ru-RU"/>
              </w:rPr>
              <w:t xml:space="preserve">за сите </w:t>
            </w:r>
            <w:r w:rsidR="00834207" w:rsidRPr="008F2816">
              <w:rPr>
                <w:rFonts w:ascii="Times New Roman" w:hAnsi="Times New Roman" w:cs="Times New Roman"/>
                <w:sz w:val="20"/>
                <w:szCs w:val="20"/>
                <w:lang w:val="ru-RU"/>
              </w:rPr>
              <w:t xml:space="preserve">форми на услуги </w:t>
            </w:r>
            <w:r w:rsidR="009932B3" w:rsidRPr="008F2816">
              <w:rPr>
                <w:rFonts w:ascii="Times New Roman" w:hAnsi="Times New Roman" w:cs="Times New Roman"/>
                <w:sz w:val="20"/>
                <w:szCs w:val="20"/>
                <w:lang w:val="ru-RU"/>
              </w:rPr>
              <w:t xml:space="preserve">надоместокот се калкулира во максималните 10% предвидени со Законот. </w:t>
            </w:r>
          </w:p>
        </w:tc>
      </w:tr>
      <w:tr w:rsidR="00FC65DA" w:rsidRPr="008F2816" w14:paraId="71360347" w14:textId="7DAEEE5D" w:rsidTr="008F2816">
        <w:tc>
          <w:tcPr>
            <w:cnfStyle w:val="001000000000" w:firstRow="0" w:lastRow="0" w:firstColumn="1" w:lastColumn="0" w:oddVBand="0" w:evenVBand="0" w:oddHBand="0" w:evenHBand="0" w:firstRowFirstColumn="0" w:firstRowLastColumn="0" w:lastRowFirstColumn="0" w:lastRowLastColumn="0"/>
            <w:tcW w:w="334" w:type="pct"/>
          </w:tcPr>
          <w:p w14:paraId="68124C20" w14:textId="77777777" w:rsidR="00FC65DA" w:rsidRPr="008F2816" w:rsidRDefault="00FC65DA" w:rsidP="00FC65DA">
            <w:pPr>
              <w:jc w:val="both"/>
              <w:rPr>
                <w:rFonts w:ascii="Times New Roman" w:hAnsi="Times New Roman" w:cs="Times New Roman"/>
                <w:b w:val="0"/>
                <w:sz w:val="24"/>
                <w:szCs w:val="24"/>
                <w:lang w:val="mk-MK"/>
              </w:rPr>
            </w:pPr>
          </w:p>
          <w:p w14:paraId="087261CE" w14:textId="7FFD102B" w:rsidR="00BE7ED1" w:rsidRPr="008F2816" w:rsidRDefault="00BE7ED1" w:rsidP="00FC65DA">
            <w:pPr>
              <w:jc w:val="both"/>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9.</w:t>
            </w:r>
          </w:p>
        </w:tc>
        <w:tc>
          <w:tcPr>
            <w:tcW w:w="1540" w:type="pct"/>
          </w:tcPr>
          <w:p w14:paraId="271ECC2B" w14:textId="01951497" w:rsidR="00FC65DA" w:rsidRPr="008F2816" w:rsidRDefault="00FC65DA"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Примена на Законот за нефер трговски практики, поточно дали истиот </w:t>
            </w:r>
            <w:r w:rsidRPr="008F2816">
              <w:rPr>
                <w:rFonts w:ascii="Times New Roman" w:hAnsi="Times New Roman" w:cs="Times New Roman"/>
                <w:b/>
                <w:bCs/>
                <w:sz w:val="20"/>
                <w:szCs w:val="20"/>
                <w:lang w:val="ru-RU"/>
              </w:rPr>
              <w:t xml:space="preserve">се применува на сите договорни односи во синџирот на снабдување </w:t>
            </w:r>
            <w:r w:rsidRPr="008F2816">
              <w:rPr>
                <w:rFonts w:ascii="Times New Roman" w:hAnsi="Times New Roman" w:cs="Times New Roman"/>
                <w:sz w:val="20"/>
                <w:szCs w:val="20"/>
                <w:lang w:val="ru-RU"/>
              </w:rPr>
              <w:t xml:space="preserve">имајќи во предвид дека дефиницијата на „Нефер трговски практики“ во член 4 став 1 точка 6 гласи:  „Нефер трговски практики“ се договорни одредби и деловни практики кои еднострано се наметнуваат од купувачот кон добавувачот  во врска со продажбата на земјоделски и прехранбени производи, користејќи ја неговата значителна преговарачка моќ во однос на добавувачот, </w:t>
            </w:r>
            <w:r w:rsidRPr="008F2816">
              <w:rPr>
                <w:rFonts w:ascii="Times New Roman" w:hAnsi="Times New Roman" w:cs="Times New Roman"/>
                <w:sz w:val="20"/>
                <w:szCs w:val="20"/>
                <w:lang w:val="ru-RU"/>
              </w:rPr>
              <w:lastRenderedPageBreak/>
              <w:t>спротивно на членовите  7 и 8 од овој закон.“</w:t>
            </w:r>
          </w:p>
        </w:tc>
        <w:tc>
          <w:tcPr>
            <w:tcW w:w="1410" w:type="pct"/>
          </w:tcPr>
          <w:p w14:paraId="778CD3F4" w14:textId="77777777" w:rsidR="00FC65DA" w:rsidRPr="008F2816" w:rsidRDefault="00FC65DA"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lastRenderedPageBreak/>
              <w:t xml:space="preserve">Разбираме дека во членот 8 се исклучува преговарачката моќ, но имајќи ги во предвид одредбите од Директивата врз основа на која е донесен овој закон, како и имајќи предвид дека по направените компаративни анализи НИТУ ЕДНА европска држава не го применува овој закон на сите договорни односи безусловно, предлагаме КЗК да даде свои насоки за соодветна примена на законот во духот на директивата која е пресликана, како и во согласност со </w:t>
            </w:r>
            <w:r w:rsidRPr="008F2816">
              <w:rPr>
                <w:rFonts w:ascii="Times New Roman" w:hAnsi="Times New Roman" w:cs="Times New Roman"/>
                <w:sz w:val="20"/>
                <w:szCs w:val="20"/>
                <w:lang w:val="mk-MK"/>
              </w:rPr>
              <w:lastRenderedPageBreak/>
              <w:t xml:space="preserve">досегашната пракса на сите европски држави кои го имаат овој закон. </w:t>
            </w:r>
          </w:p>
          <w:p w14:paraId="70AC384A" w14:textId="77777777" w:rsidR="00FC65DA" w:rsidRPr="008F2816" w:rsidRDefault="00FC65DA"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p>
          <w:p w14:paraId="19BB892E" w14:textId="77777777" w:rsidR="00FC65DA" w:rsidRPr="008F2816" w:rsidRDefault="00FC65DA"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Примената на овој закон на сите односи во синџирот на снабдување со земјоделски и прехранбени производи </w:t>
            </w:r>
            <w:r w:rsidRPr="008F2816">
              <w:rPr>
                <w:rFonts w:ascii="Times New Roman" w:hAnsi="Times New Roman" w:cs="Times New Roman"/>
                <w:b/>
                <w:bCs/>
                <w:sz w:val="20"/>
                <w:szCs w:val="20"/>
                <w:lang w:val="mk-MK"/>
              </w:rPr>
              <w:t>ја губи суштината на она што е уредено со самата директива</w:t>
            </w:r>
            <w:r w:rsidRPr="008F2816">
              <w:rPr>
                <w:rFonts w:ascii="Times New Roman" w:hAnsi="Times New Roman" w:cs="Times New Roman"/>
                <w:sz w:val="20"/>
                <w:szCs w:val="20"/>
                <w:lang w:val="mk-MK"/>
              </w:rPr>
              <w:t>, а тоа е заштита од наметнувањето на нефер трговски практики од страна на оние купувачи кои имаат значителна преговарачка моќ во однос на нивните добавувачи.</w:t>
            </w:r>
          </w:p>
          <w:p w14:paraId="3D199E96" w14:textId="77777777" w:rsidR="00FC65DA" w:rsidRPr="008F2816" w:rsidRDefault="00FC65DA"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p>
          <w:p w14:paraId="7D6D6489" w14:textId="6AB9FA1C" w:rsidR="0027525C" w:rsidRPr="008F2816" w:rsidRDefault="00B90A92"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mk-MK"/>
              </w:rPr>
              <w:t xml:space="preserve">Ваквата поставеност изискува склучување на писмени договори </w:t>
            </w:r>
            <w:r w:rsidR="00880642" w:rsidRPr="008F2816">
              <w:rPr>
                <w:rFonts w:ascii="Times New Roman" w:hAnsi="Times New Roman" w:cs="Times New Roman"/>
                <w:sz w:val="20"/>
                <w:szCs w:val="20"/>
                <w:lang w:val="mk-MK"/>
              </w:rPr>
              <w:t xml:space="preserve">помеќу субјектите на пазарот, без оглед на нивната преговарачка моќ, што е спротивно на прописите кои ги дефинираат облигационите односи, а создаваат потешкотии во пракса. </w:t>
            </w:r>
          </w:p>
        </w:tc>
        <w:tc>
          <w:tcPr>
            <w:tcW w:w="1716" w:type="pct"/>
          </w:tcPr>
          <w:p w14:paraId="06DCC59C" w14:textId="77777777" w:rsidR="00D4359F" w:rsidRPr="008F2816" w:rsidRDefault="00DD2620"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lastRenderedPageBreak/>
              <w:t xml:space="preserve">Проценка на </w:t>
            </w:r>
            <w:r w:rsidR="00CE7456" w:rsidRPr="008F2816">
              <w:rPr>
                <w:rFonts w:ascii="Times New Roman" w:hAnsi="Times New Roman" w:cs="Times New Roman"/>
                <w:sz w:val="20"/>
                <w:szCs w:val="20"/>
                <w:lang w:val="ru-RU"/>
              </w:rPr>
              <w:t>М</w:t>
            </w:r>
            <w:r w:rsidRPr="008F2816">
              <w:rPr>
                <w:rFonts w:ascii="Times New Roman" w:hAnsi="Times New Roman" w:cs="Times New Roman"/>
                <w:sz w:val="20"/>
                <w:szCs w:val="20"/>
                <w:lang w:val="ru-RU"/>
              </w:rPr>
              <w:t>инистерството за економија и труд, поради искуството на бројни земји</w:t>
            </w:r>
            <w:r w:rsidR="002B2CBD" w:rsidRPr="008F2816">
              <w:rPr>
                <w:rFonts w:ascii="Times New Roman" w:hAnsi="Times New Roman" w:cs="Times New Roman"/>
                <w:sz w:val="20"/>
                <w:szCs w:val="20"/>
                <w:lang w:val="ru-RU"/>
              </w:rPr>
              <w:t>,</w:t>
            </w:r>
            <w:r w:rsidRPr="008F2816">
              <w:rPr>
                <w:rFonts w:ascii="Times New Roman" w:hAnsi="Times New Roman" w:cs="Times New Roman"/>
                <w:sz w:val="20"/>
                <w:szCs w:val="20"/>
                <w:lang w:val="ru-RU"/>
              </w:rPr>
              <w:t xml:space="preserve"> </w:t>
            </w:r>
            <w:r w:rsidR="00CE7456" w:rsidRPr="008F2816">
              <w:rPr>
                <w:rFonts w:ascii="Times New Roman" w:hAnsi="Times New Roman" w:cs="Times New Roman"/>
                <w:sz w:val="20"/>
                <w:szCs w:val="20"/>
                <w:lang w:val="ru-RU"/>
              </w:rPr>
              <w:t>е оставено да се уреди на национално ниво согласно упатувањето во директивата дека предметниот член е минимум стандард</w:t>
            </w:r>
            <w:r w:rsidR="000264A1" w:rsidRPr="008F2816">
              <w:rPr>
                <w:rFonts w:ascii="Times New Roman" w:hAnsi="Times New Roman" w:cs="Times New Roman"/>
                <w:sz w:val="20"/>
                <w:szCs w:val="20"/>
                <w:lang w:val="ru-RU"/>
              </w:rPr>
              <w:t xml:space="preserve">. </w:t>
            </w:r>
          </w:p>
          <w:p w14:paraId="2E405458" w14:textId="4C417971" w:rsidR="00DD2620" w:rsidRPr="008F2816" w:rsidRDefault="000264A1"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Заради финансиска следливост на снабдувањето на производите</w:t>
            </w:r>
            <w:r w:rsidR="002B2CBD" w:rsidRPr="008F2816">
              <w:rPr>
                <w:rFonts w:ascii="Times New Roman" w:hAnsi="Times New Roman" w:cs="Times New Roman"/>
                <w:sz w:val="20"/>
                <w:szCs w:val="20"/>
                <w:lang w:val="ru-RU"/>
              </w:rPr>
              <w:t xml:space="preserve"> </w:t>
            </w:r>
            <w:r w:rsidRPr="008F2816">
              <w:rPr>
                <w:rFonts w:ascii="Times New Roman" w:hAnsi="Times New Roman" w:cs="Times New Roman"/>
                <w:sz w:val="20"/>
                <w:szCs w:val="20"/>
                <w:lang w:val="ru-RU"/>
              </w:rPr>
              <w:t xml:space="preserve">се оцени дека добавувачот е должен да склучи договор со сите купувачи, независно од </w:t>
            </w:r>
            <w:r w:rsidR="002B2CBD" w:rsidRPr="008F2816">
              <w:rPr>
                <w:rFonts w:ascii="Times New Roman" w:hAnsi="Times New Roman" w:cs="Times New Roman"/>
                <w:sz w:val="20"/>
                <w:szCs w:val="20"/>
                <w:lang w:val="ru-RU"/>
              </w:rPr>
              <w:t>нивната</w:t>
            </w:r>
            <w:r w:rsidRPr="008F2816">
              <w:rPr>
                <w:rFonts w:ascii="Times New Roman" w:hAnsi="Times New Roman" w:cs="Times New Roman"/>
                <w:sz w:val="20"/>
                <w:szCs w:val="20"/>
                <w:lang w:val="ru-RU"/>
              </w:rPr>
              <w:t xml:space="preserve"> големина и висината на прометот. </w:t>
            </w:r>
          </w:p>
          <w:p w14:paraId="01279347" w14:textId="77777777" w:rsidR="002B2CBD" w:rsidRPr="008F2816" w:rsidRDefault="002B2CBD"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638B472A" w14:textId="7BFBDAD4" w:rsidR="00D1751F" w:rsidRPr="008F2816" w:rsidRDefault="00D1751F" w:rsidP="00FC65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Особено, што имајќи во предвид дека договорите се склучуваат со примена на </w:t>
            </w:r>
            <w:r w:rsidR="00B23CEE" w:rsidRPr="008F2816">
              <w:rPr>
                <w:rFonts w:ascii="Times New Roman" w:hAnsi="Times New Roman" w:cs="Times New Roman"/>
                <w:sz w:val="20"/>
                <w:szCs w:val="20"/>
                <w:lang w:val="ru-RU"/>
              </w:rPr>
              <w:t>З</w:t>
            </w:r>
            <w:r w:rsidRPr="008F2816">
              <w:rPr>
                <w:rFonts w:ascii="Times New Roman" w:hAnsi="Times New Roman" w:cs="Times New Roman"/>
                <w:sz w:val="20"/>
                <w:szCs w:val="20"/>
                <w:lang w:val="ru-RU"/>
              </w:rPr>
              <w:t xml:space="preserve">аконот и тие може </w:t>
            </w:r>
            <w:r w:rsidRPr="008F2816">
              <w:rPr>
                <w:rFonts w:ascii="Times New Roman" w:hAnsi="Times New Roman" w:cs="Times New Roman"/>
                <w:sz w:val="20"/>
                <w:szCs w:val="20"/>
                <w:lang w:val="ru-RU"/>
              </w:rPr>
              <w:lastRenderedPageBreak/>
              <w:t xml:space="preserve">да имаат важност и на подолг рок во зависност од </w:t>
            </w:r>
            <w:r w:rsidR="005010B1" w:rsidRPr="008F2816">
              <w:rPr>
                <w:rFonts w:ascii="Times New Roman" w:hAnsi="Times New Roman" w:cs="Times New Roman"/>
                <w:sz w:val="20"/>
                <w:szCs w:val="20"/>
                <w:lang w:val="ru-RU"/>
              </w:rPr>
              <w:t>потребите на до</w:t>
            </w:r>
            <w:r w:rsidR="00B23CEE" w:rsidRPr="008F2816">
              <w:rPr>
                <w:rFonts w:ascii="Times New Roman" w:hAnsi="Times New Roman" w:cs="Times New Roman"/>
                <w:sz w:val="20"/>
                <w:szCs w:val="20"/>
                <w:lang w:val="ru-RU"/>
              </w:rPr>
              <w:t>г</w:t>
            </w:r>
            <w:r w:rsidR="005010B1" w:rsidRPr="008F2816">
              <w:rPr>
                <w:rFonts w:ascii="Times New Roman" w:hAnsi="Times New Roman" w:cs="Times New Roman"/>
                <w:sz w:val="20"/>
                <w:szCs w:val="20"/>
                <w:lang w:val="ru-RU"/>
              </w:rPr>
              <w:t>оворните страни (</w:t>
            </w:r>
            <w:r w:rsidR="005955D4" w:rsidRPr="008F2816">
              <w:rPr>
                <w:rFonts w:ascii="Times New Roman" w:hAnsi="Times New Roman" w:cs="Times New Roman"/>
                <w:sz w:val="20"/>
                <w:szCs w:val="20"/>
                <w:lang w:val="ru-RU"/>
              </w:rPr>
              <w:t xml:space="preserve">на </w:t>
            </w:r>
            <w:r w:rsidR="005010B1" w:rsidRPr="008F2816">
              <w:rPr>
                <w:rFonts w:ascii="Times New Roman" w:hAnsi="Times New Roman" w:cs="Times New Roman"/>
                <w:sz w:val="20"/>
                <w:szCs w:val="20"/>
                <w:lang w:val="ru-RU"/>
              </w:rPr>
              <w:t xml:space="preserve">подолго од една година со </w:t>
            </w:r>
            <w:r w:rsidR="00B23CEE" w:rsidRPr="008F2816">
              <w:rPr>
                <w:rFonts w:ascii="Times New Roman" w:hAnsi="Times New Roman" w:cs="Times New Roman"/>
                <w:sz w:val="20"/>
                <w:szCs w:val="20"/>
                <w:lang w:val="ru-RU"/>
              </w:rPr>
              <w:t>можност за а</w:t>
            </w:r>
            <w:r w:rsidR="005010B1" w:rsidRPr="008F2816">
              <w:rPr>
                <w:rFonts w:ascii="Times New Roman" w:hAnsi="Times New Roman" w:cs="Times New Roman"/>
                <w:sz w:val="20"/>
                <w:szCs w:val="20"/>
                <w:lang w:val="ru-RU"/>
              </w:rPr>
              <w:t>втоматско продолжување,</w:t>
            </w:r>
            <w:r w:rsidR="005955D4" w:rsidRPr="008F2816">
              <w:rPr>
                <w:rFonts w:ascii="Times New Roman" w:hAnsi="Times New Roman" w:cs="Times New Roman"/>
                <w:sz w:val="20"/>
                <w:szCs w:val="20"/>
                <w:lang w:val="ru-RU"/>
              </w:rPr>
              <w:t xml:space="preserve"> на</w:t>
            </w:r>
            <w:r w:rsidR="005010B1" w:rsidRPr="008F2816">
              <w:rPr>
                <w:rFonts w:ascii="Times New Roman" w:hAnsi="Times New Roman" w:cs="Times New Roman"/>
                <w:sz w:val="20"/>
                <w:szCs w:val="20"/>
                <w:lang w:val="ru-RU"/>
              </w:rPr>
              <w:t xml:space="preserve"> неодредено вр</w:t>
            </w:r>
            <w:r w:rsidR="00B23CEE" w:rsidRPr="008F2816">
              <w:rPr>
                <w:rFonts w:ascii="Times New Roman" w:hAnsi="Times New Roman" w:cs="Times New Roman"/>
                <w:sz w:val="20"/>
                <w:szCs w:val="20"/>
                <w:lang w:val="ru-RU"/>
              </w:rPr>
              <w:t>е</w:t>
            </w:r>
            <w:r w:rsidR="005010B1" w:rsidRPr="008F2816">
              <w:rPr>
                <w:rFonts w:ascii="Times New Roman" w:hAnsi="Times New Roman" w:cs="Times New Roman"/>
                <w:sz w:val="20"/>
                <w:szCs w:val="20"/>
                <w:lang w:val="ru-RU"/>
              </w:rPr>
              <w:t xml:space="preserve">ме, </w:t>
            </w:r>
            <w:r w:rsidR="005955D4" w:rsidRPr="008F2816">
              <w:rPr>
                <w:rFonts w:ascii="Times New Roman" w:hAnsi="Times New Roman" w:cs="Times New Roman"/>
                <w:sz w:val="20"/>
                <w:szCs w:val="20"/>
                <w:lang w:val="ru-RU"/>
              </w:rPr>
              <w:t xml:space="preserve">на </w:t>
            </w:r>
            <w:r w:rsidR="005010B1" w:rsidRPr="008F2816">
              <w:rPr>
                <w:rFonts w:ascii="Times New Roman" w:hAnsi="Times New Roman" w:cs="Times New Roman"/>
                <w:sz w:val="20"/>
                <w:szCs w:val="20"/>
                <w:lang w:val="ru-RU"/>
              </w:rPr>
              <w:t>одреден период на важење и сл.)</w:t>
            </w:r>
            <w:r w:rsidR="00B23CEE" w:rsidRPr="008F2816">
              <w:rPr>
                <w:rFonts w:ascii="Times New Roman" w:hAnsi="Times New Roman" w:cs="Times New Roman"/>
                <w:sz w:val="20"/>
                <w:szCs w:val="20"/>
                <w:lang w:val="ru-RU"/>
              </w:rPr>
              <w:t>.</w:t>
            </w:r>
            <w:r w:rsidR="005010B1" w:rsidRPr="008F2816">
              <w:rPr>
                <w:rFonts w:ascii="Times New Roman" w:hAnsi="Times New Roman" w:cs="Times New Roman"/>
                <w:sz w:val="20"/>
                <w:szCs w:val="20"/>
                <w:lang w:val="ru-RU"/>
              </w:rPr>
              <w:t xml:space="preserve"> </w:t>
            </w:r>
          </w:p>
        </w:tc>
      </w:tr>
      <w:tr w:rsidR="00FC65DA" w:rsidRPr="008F2816" w14:paraId="500C6029" w14:textId="77777777" w:rsidTr="008F2816">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334" w:type="pct"/>
          </w:tcPr>
          <w:p w14:paraId="2407F683" w14:textId="77777777" w:rsidR="00FC65DA" w:rsidRPr="008F2816" w:rsidRDefault="00FC65DA" w:rsidP="00FC65DA">
            <w:pPr>
              <w:rPr>
                <w:rFonts w:ascii="Times New Roman" w:hAnsi="Times New Roman" w:cs="Times New Roman"/>
                <w:b w:val="0"/>
                <w:sz w:val="24"/>
                <w:szCs w:val="24"/>
                <w:lang w:val="mk-MK"/>
              </w:rPr>
            </w:pPr>
          </w:p>
          <w:p w14:paraId="46F5389E" w14:textId="0105AFC7" w:rsidR="00991CC4" w:rsidRPr="008F2816" w:rsidRDefault="00991CC4" w:rsidP="00FC65DA">
            <w:pPr>
              <w:rPr>
                <w:rFonts w:ascii="Times New Roman" w:hAnsi="Times New Roman" w:cs="Times New Roman"/>
                <w:b w:val="0"/>
                <w:sz w:val="24"/>
                <w:szCs w:val="24"/>
                <w:lang w:val="mk-MK"/>
              </w:rPr>
            </w:pPr>
            <w:r w:rsidRPr="008F2816">
              <w:rPr>
                <w:rFonts w:ascii="Times New Roman" w:hAnsi="Times New Roman" w:cs="Times New Roman"/>
                <w:b w:val="0"/>
                <w:sz w:val="24"/>
                <w:szCs w:val="24"/>
                <w:lang w:val="mk-MK"/>
              </w:rPr>
              <w:t>10.</w:t>
            </w:r>
          </w:p>
        </w:tc>
        <w:tc>
          <w:tcPr>
            <w:tcW w:w="1540" w:type="pct"/>
          </w:tcPr>
          <w:p w14:paraId="4889D38C" w14:textId="18E93DB7" w:rsidR="00FC65DA" w:rsidRPr="008F2816"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ru-RU"/>
              </w:rPr>
              <w:t xml:space="preserve">Што </w:t>
            </w:r>
            <w:r w:rsidRPr="008F2816">
              <w:rPr>
                <w:rFonts w:ascii="Times New Roman" w:hAnsi="Times New Roman" w:cs="Times New Roman"/>
                <w:b/>
                <w:bCs/>
                <w:sz w:val="20"/>
                <w:szCs w:val="20"/>
                <w:lang w:val="ru-RU"/>
              </w:rPr>
              <w:t>поточно се подразбира под член 8, став 1, точка 26 „26. бара други надоместоци и плаќања</w:t>
            </w:r>
            <w:r w:rsidRPr="008F2816">
              <w:rPr>
                <w:rFonts w:ascii="Times New Roman" w:hAnsi="Times New Roman" w:cs="Times New Roman"/>
                <w:sz w:val="20"/>
                <w:szCs w:val="20"/>
                <w:lang w:val="ru-RU"/>
              </w:rPr>
              <w:t xml:space="preserve"> кои ги наметнува на добавувачот при склучување на договорите за снабдување со земјоделски и прехранбени производи.“?</w:t>
            </w:r>
          </w:p>
        </w:tc>
        <w:tc>
          <w:tcPr>
            <w:tcW w:w="1410" w:type="pct"/>
          </w:tcPr>
          <w:p w14:paraId="6A858D01" w14:textId="78882807" w:rsidR="0027525C" w:rsidRPr="00B706C3" w:rsidRDefault="00FC65DA"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ru-RU"/>
              </w:rPr>
              <w:t xml:space="preserve">Погорната точка во одреден степен дава </w:t>
            </w:r>
            <w:r w:rsidRPr="008F2816">
              <w:rPr>
                <w:rFonts w:ascii="Times New Roman" w:hAnsi="Times New Roman" w:cs="Times New Roman"/>
                <w:b/>
                <w:bCs/>
                <w:sz w:val="20"/>
                <w:szCs w:val="20"/>
                <w:lang w:val="ru-RU"/>
              </w:rPr>
              <w:t xml:space="preserve">несигурност </w:t>
            </w:r>
            <w:r w:rsidRPr="008F2816">
              <w:rPr>
                <w:rFonts w:ascii="Times New Roman" w:hAnsi="Times New Roman" w:cs="Times New Roman"/>
                <w:sz w:val="20"/>
                <w:szCs w:val="20"/>
                <w:lang w:val="ru-RU"/>
              </w:rPr>
              <w:t>во уредувањето на надоместоците за кои еден добавувач согласно својата деловна политика има намера и можност да ги плати, а во насока на одредени услуги кои може да ги побара и добие од своите купувачи (на пример: статистички податоци за вкупна продажба на производи на добавувачот од страна на конкретен купувач која услуга може да ја даде единствено самиот купувач).</w:t>
            </w:r>
          </w:p>
        </w:tc>
        <w:tc>
          <w:tcPr>
            <w:tcW w:w="1716" w:type="pct"/>
          </w:tcPr>
          <w:p w14:paraId="7415EC11" w14:textId="3ECBAE24" w:rsidR="00FC65DA" w:rsidRPr="008F2816" w:rsidRDefault="00B6619C"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Сите надоместоци и трошоци </w:t>
            </w:r>
            <w:r w:rsidR="00743264" w:rsidRPr="008F2816">
              <w:rPr>
                <w:rFonts w:ascii="Times New Roman" w:hAnsi="Times New Roman" w:cs="Times New Roman"/>
                <w:sz w:val="20"/>
                <w:szCs w:val="20"/>
                <w:lang w:val="ru-RU"/>
              </w:rPr>
              <w:t>на услуги кои не се спомнати во т</w:t>
            </w:r>
            <w:r w:rsidR="00DE5F40" w:rsidRPr="008F2816">
              <w:rPr>
                <w:rFonts w:ascii="Times New Roman" w:hAnsi="Times New Roman" w:cs="Times New Roman"/>
                <w:sz w:val="20"/>
                <w:szCs w:val="20"/>
                <w:lang w:val="ru-RU"/>
              </w:rPr>
              <w:t>.</w:t>
            </w:r>
            <w:r w:rsidR="00743264" w:rsidRPr="008F2816">
              <w:rPr>
                <w:rFonts w:ascii="Times New Roman" w:hAnsi="Times New Roman" w:cs="Times New Roman"/>
                <w:sz w:val="20"/>
                <w:szCs w:val="20"/>
                <w:lang w:val="ru-RU"/>
              </w:rPr>
              <w:t xml:space="preserve"> 1</w:t>
            </w:r>
            <w:r w:rsidR="005A7C6A" w:rsidRPr="008F2816">
              <w:rPr>
                <w:rFonts w:ascii="Times New Roman" w:hAnsi="Times New Roman" w:cs="Times New Roman"/>
                <w:sz w:val="20"/>
                <w:szCs w:val="20"/>
                <w:lang w:val="ru-RU"/>
              </w:rPr>
              <w:t xml:space="preserve"> -</w:t>
            </w:r>
            <w:r w:rsidR="00743264" w:rsidRPr="008F2816">
              <w:rPr>
                <w:rFonts w:ascii="Times New Roman" w:hAnsi="Times New Roman" w:cs="Times New Roman"/>
                <w:sz w:val="20"/>
                <w:szCs w:val="20"/>
                <w:lang w:val="ru-RU"/>
              </w:rPr>
              <w:t xml:space="preserve"> т. 2</w:t>
            </w:r>
            <w:r w:rsidR="005822C7" w:rsidRPr="008F2816">
              <w:rPr>
                <w:rFonts w:ascii="Times New Roman" w:hAnsi="Times New Roman" w:cs="Times New Roman"/>
                <w:sz w:val="20"/>
                <w:szCs w:val="20"/>
                <w:lang w:val="ru-RU"/>
              </w:rPr>
              <w:t>5</w:t>
            </w:r>
            <w:r w:rsidR="00743264" w:rsidRPr="008F2816">
              <w:rPr>
                <w:rFonts w:ascii="Times New Roman" w:hAnsi="Times New Roman" w:cs="Times New Roman"/>
                <w:sz w:val="20"/>
                <w:szCs w:val="20"/>
                <w:lang w:val="ru-RU"/>
              </w:rPr>
              <w:t xml:space="preserve"> е забрането да се уредуваат во договорите</w:t>
            </w:r>
            <w:r w:rsidR="00885619" w:rsidRPr="008F2816">
              <w:rPr>
                <w:rFonts w:ascii="Times New Roman" w:hAnsi="Times New Roman" w:cs="Times New Roman"/>
                <w:sz w:val="20"/>
                <w:szCs w:val="20"/>
                <w:lang w:val="ru-RU"/>
              </w:rPr>
              <w:t xml:space="preserve">. Т. 26 упатува дека било кава форма на услуга која добавувачот </w:t>
            </w:r>
            <w:r w:rsidR="004C33E5" w:rsidRPr="008F2816">
              <w:rPr>
                <w:rFonts w:ascii="Times New Roman" w:hAnsi="Times New Roman" w:cs="Times New Roman"/>
                <w:sz w:val="20"/>
                <w:szCs w:val="20"/>
                <w:lang w:val="ru-RU"/>
              </w:rPr>
              <w:t xml:space="preserve">ќе ја побара од купувачот не смее да подлежи на надоместок или трошок надвор од </w:t>
            </w:r>
            <w:r w:rsidR="00022F91" w:rsidRPr="008F2816">
              <w:rPr>
                <w:rFonts w:ascii="Times New Roman" w:hAnsi="Times New Roman" w:cs="Times New Roman"/>
                <w:sz w:val="20"/>
                <w:szCs w:val="20"/>
                <w:lang w:val="ru-RU"/>
              </w:rPr>
              <w:t xml:space="preserve">10% пропишани со Законот. </w:t>
            </w:r>
          </w:p>
          <w:p w14:paraId="27E27764" w14:textId="77777777" w:rsidR="003A0DBC" w:rsidRPr="008F2816" w:rsidRDefault="003A0DBC"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p w14:paraId="207F55D4" w14:textId="4ACCBADB" w:rsidR="00022F91" w:rsidRPr="008F2816" w:rsidRDefault="00022F91" w:rsidP="00FC65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Купувачот на барање на </w:t>
            </w:r>
            <w:r w:rsidR="003A0DBC" w:rsidRPr="008F2816">
              <w:rPr>
                <w:rFonts w:ascii="Times New Roman" w:hAnsi="Times New Roman" w:cs="Times New Roman"/>
                <w:sz w:val="20"/>
                <w:szCs w:val="20"/>
                <w:lang w:val="ru-RU"/>
              </w:rPr>
              <w:t>д</w:t>
            </w:r>
            <w:r w:rsidRPr="008F2816">
              <w:rPr>
                <w:rFonts w:ascii="Times New Roman" w:hAnsi="Times New Roman" w:cs="Times New Roman"/>
                <w:sz w:val="20"/>
                <w:szCs w:val="20"/>
                <w:lang w:val="ru-RU"/>
              </w:rPr>
              <w:t>обавувачот е должен да му ги</w:t>
            </w:r>
            <w:r w:rsidR="00863676" w:rsidRPr="008F2816">
              <w:rPr>
                <w:rFonts w:ascii="Times New Roman" w:hAnsi="Times New Roman" w:cs="Times New Roman"/>
                <w:sz w:val="20"/>
                <w:szCs w:val="20"/>
                <w:lang w:val="ru-RU"/>
              </w:rPr>
              <w:t xml:space="preserve"> </w:t>
            </w:r>
            <w:r w:rsidRPr="008F2816">
              <w:rPr>
                <w:rFonts w:ascii="Times New Roman" w:hAnsi="Times New Roman" w:cs="Times New Roman"/>
                <w:sz w:val="20"/>
                <w:szCs w:val="20"/>
                <w:lang w:val="ru-RU"/>
              </w:rPr>
              <w:t>даде бараните услуги</w:t>
            </w:r>
            <w:r w:rsidR="00215593" w:rsidRPr="008F2816">
              <w:rPr>
                <w:rFonts w:ascii="Times New Roman" w:hAnsi="Times New Roman" w:cs="Times New Roman"/>
                <w:sz w:val="20"/>
                <w:szCs w:val="20"/>
                <w:lang w:val="ru-RU"/>
              </w:rPr>
              <w:t xml:space="preserve"> без</w:t>
            </w:r>
            <w:r w:rsidR="003A0DBC" w:rsidRPr="008F2816">
              <w:rPr>
                <w:rFonts w:ascii="Times New Roman" w:hAnsi="Times New Roman" w:cs="Times New Roman"/>
                <w:sz w:val="20"/>
                <w:szCs w:val="20"/>
                <w:lang w:val="ru-RU"/>
              </w:rPr>
              <w:t xml:space="preserve"> </w:t>
            </w:r>
            <w:r w:rsidR="00215593" w:rsidRPr="008F2816">
              <w:rPr>
                <w:rFonts w:ascii="Times New Roman" w:hAnsi="Times New Roman" w:cs="Times New Roman"/>
                <w:sz w:val="20"/>
                <w:szCs w:val="20"/>
                <w:lang w:val="ru-RU"/>
              </w:rPr>
              <w:t>дополнителен надоместок</w:t>
            </w:r>
            <w:r w:rsidR="00863676" w:rsidRPr="008F2816">
              <w:rPr>
                <w:rFonts w:ascii="Times New Roman" w:hAnsi="Times New Roman" w:cs="Times New Roman"/>
                <w:sz w:val="20"/>
                <w:szCs w:val="20"/>
                <w:lang w:val="ru-RU"/>
              </w:rPr>
              <w:t xml:space="preserve">. </w:t>
            </w:r>
          </w:p>
        </w:tc>
      </w:tr>
      <w:tr w:rsidR="00FA755B" w:rsidRPr="008F2816" w14:paraId="7727E28E" w14:textId="77777777" w:rsidTr="008F2816">
        <w:trPr>
          <w:trHeight w:val="1126"/>
        </w:trPr>
        <w:tc>
          <w:tcPr>
            <w:cnfStyle w:val="001000000000" w:firstRow="0" w:lastRow="0" w:firstColumn="1" w:lastColumn="0" w:oddVBand="0" w:evenVBand="0" w:oddHBand="0" w:evenHBand="0" w:firstRowFirstColumn="0" w:firstRowLastColumn="0" w:lastRowFirstColumn="0" w:lastRowLastColumn="0"/>
            <w:tcW w:w="334" w:type="pct"/>
          </w:tcPr>
          <w:p w14:paraId="18B467BE" w14:textId="6B2CD481" w:rsidR="00FA755B" w:rsidRPr="008F2816" w:rsidRDefault="00991CC4" w:rsidP="00FA755B">
            <w:pPr>
              <w:rPr>
                <w:rFonts w:ascii="Times New Roman" w:hAnsi="Times New Roman" w:cs="Times New Roman"/>
                <w:b w:val="0"/>
                <w:sz w:val="24"/>
                <w:szCs w:val="24"/>
              </w:rPr>
            </w:pPr>
            <w:r w:rsidRPr="008F2816">
              <w:rPr>
                <w:rFonts w:ascii="Times New Roman" w:hAnsi="Times New Roman" w:cs="Times New Roman"/>
                <w:b w:val="0"/>
                <w:sz w:val="24"/>
                <w:szCs w:val="24"/>
                <w:lang w:val="mk-MK"/>
              </w:rPr>
              <w:t>11.</w:t>
            </w:r>
          </w:p>
        </w:tc>
        <w:tc>
          <w:tcPr>
            <w:tcW w:w="1540" w:type="pct"/>
          </w:tcPr>
          <w:p w14:paraId="5BFCA3DC" w14:textId="7DF360B5" w:rsidR="00FA755B" w:rsidRPr="008F2816" w:rsidRDefault="00077C51" w:rsidP="00FA7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mk-MK"/>
              </w:rPr>
              <w:t>Д</w:t>
            </w:r>
            <w:r w:rsidRPr="008F2816">
              <w:rPr>
                <w:rFonts w:ascii="Times New Roman" w:hAnsi="Times New Roman" w:cs="Times New Roman"/>
                <w:sz w:val="20"/>
                <w:szCs w:val="20"/>
                <w:lang w:val="ru-RU"/>
              </w:rPr>
              <w:t>али при утврдување на прекршочна одговорност на купувач во смисла на член 8 од ЗНТП, КЗК би ја применила и дефиницијата за „</w:t>
            </w:r>
            <w:r w:rsidRPr="008F2816">
              <w:rPr>
                <w:rFonts w:ascii="Times New Roman" w:hAnsi="Times New Roman" w:cs="Times New Roman"/>
                <w:b/>
                <w:bCs/>
                <w:sz w:val="20"/>
                <w:szCs w:val="20"/>
                <w:lang w:val="ru-RU"/>
              </w:rPr>
              <w:t>здружение на претрпијатија“</w:t>
            </w:r>
            <w:r w:rsidRPr="008F2816">
              <w:rPr>
                <w:rFonts w:ascii="Times New Roman" w:hAnsi="Times New Roman" w:cs="Times New Roman"/>
                <w:sz w:val="20"/>
                <w:szCs w:val="20"/>
                <w:lang w:val="ru-RU"/>
              </w:rPr>
              <w:t xml:space="preserve"> како би утврдила одговорност на купувачот кога неговото однесување само по себе не би претставувало прекршок согласно ЗНТП?</w:t>
            </w:r>
          </w:p>
        </w:tc>
        <w:tc>
          <w:tcPr>
            <w:tcW w:w="1410" w:type="pct"/>
          </w:tcPr>
          <w:p w14:paraId="062725D6" w14:textId="466A9C5C" w:rsidR="00FA755B" w:rsidRPr="008F2816" w:rsidRDefault="00077C51" w:rsidP="00FA7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8F2816">
              <w:rPr>
                <w:rFonts w:ascii="Times New Roman" w:hAnsi="Times New Roman" w:cs="Times New Roman"/>
                <w:sz w:val="20"/>
                <w:szCs w:val="20"/>
                <w:lang w:val="ru-RU"/>
              </w:rPr>
              <w:t xml:space="preserve">Согласно член 11 од ЗНТП, уредено е дека </w:t>
            </w:r>
            <w:r w:rsidRPr="008F2816">
              <w:rPr>
                <w:rFonts w:ascii="Times New Roman" w:hAnsi="Times New Roman" w:cs="Times New Roman"/>
                <w:sz w:val="20"/>
                <w:szCs w:val="20"/>
                <w:lang w:val="mk-MK"/>
              </w:rPr>
              <w:t xml:space="preserve">Законот  за заштита на конкуренцијата </w:t>
            </w:r>
            <w:r w:rsidRPr="008F2816">
              <w:rPr>
                <w:rFonts w:ascii="Times New Roman" w:hAnsi="Times New Roman" w:cs="Times New Roman"/>
                <w:sz w:val="20"/>
                <w:szCs w:val="20"/>
                <w:lang w:val="ru-RU"/>
              </w:rPr>
              <w:t xml:space="preserve">ќе се применува во прекршочната постапка, па </w:t>
            </w:r>
            <w:r w:rsidRPr="008F2816">
              <w:rPr>
                <w:rFonts w:ascii="Times New Roman" w:hAnsi="Times New Roman" w:cs="Times New Roman"/>
                <w:sz w:val="20"/>
                <w:szCs w:val="20"/>
                <w:lang w:val="mk-MK"/>
              </w:rPr>
              <w:t xml:space="preserve">се поставува прашањето дали </w:t>
            </w:r>
            <w:r w:rsidRPr="008F2816">
              <w:rPr>
                <w:rFonts w:ascii="Times New Roman" w:hAnsi="Times New Roman" w:cs="Times New Roman"/>
                <w:sz w:val="20"/>
                <w:szCs w:val="20"/>
                <w:lang w:val="ru-RU"/>
              </w:rPr>
              <w:t>дефиницијата за „здружение на претпријатија“ исто така би имал</w:t>
            </w:r>
            <w:r w:rsidR="001772B3" w:rsidRPr="008F2816">
              <w:rPr>
                <w:rFonts w:ascii="Times New Roman" w:hAnsi="Times New Roman" w:cs="Times New Roman"/>
                <w:sz w:val="20"/>
                <w:szCs w:val="20"/>
                <w:lang w:val="ru-RU"/>
              </w:rPr>
              <w:t>а</w:t>
            </w:r>
            <w:r w:rsidRPr="008F2816">
              <w:rPr>
                <w:rFonts w:ascii="Times New Roman" w:hAnsi="Times New Roman" w:cs="Times New Roman"/>
                <w:sz w:val="20"/>
                <w:szCs w:val="20"/>
                <w:lang w:val="ru-RU"/>
              </w:rPr>
              <w:t xml:space="preserve"> примена во прекршочна постапка и одлучување по прекршок</w:t>
            </w:r>
            <w:r w:rsidRPr="008F2816">
              <w:rPr>
                <w:rFonts w:ascii="Times New Roman" w:hAnsi="Times New Roman" w:cs="Times New Roman"/>
                <w:sz w:val="20"/>
                <w:szCs w:val="20"/>
                <w:lang w:val="mk-MK"/>
              </w:rPr>
              <w:t xml:space="preserve"> во постапка по </w:t>
            </w:r>
            <w:r w:rsidRPr="008F2816">
              <w:rPr>
                <w:rFonts w:ascii="Times New Roman" w:hAnsi="Times New Roman" w:cs="Times New Roman"/>
                <w:sz w:val="20"/>
                <w:szCs w:val="20"/>
                <w:lang w:val="ru-RU"/>
              </w:rPr>
              <w:t>ЗНТП.</w:t>
            </w:r>
            <w:r w:rsidR="00FA755B" w:rsidRPr="008F2816">
              <w:rPr>
                <w:rFonts w:ascii="Times New Roman" w:hAnsi="Times New Roman" w:cs="Times New Roman"/>
                <w:sz w:val="20"/>
                <w:szCs w:val="20"/>
                <w:lang w:val="ru-RU"/>
              </w:rPr>
              <w:t xml:space="preserve"> </w:t>
            </w:r>
          </w:p>
        </w:tc>
        <w:tc>
          <w:tcPr>
            <w:tcW w:w="1716" w:type="pct"/>
          </w:tcPr>
          <w:p w14:paraId="26E34056" w14:textId="322B8EAB" w:rsidR="00FA755B" w:rsidRPr="008F2816" w:rsidRDefault="00CE507F" w:rsidP="00FA7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k-MK"/>
              </w:rPr>
            </w:pPr>
            <w:r w:rsidRPr="008F2816">
              <w:rPr>
                <w:rFonts w:ascii="Times New Roman" w:hAnsi="Times New Roman" w:cs="Times New Roman"/>
                <w:sz w:val="20"/>
                <w:szCs w:val="20"/>
                <w:lang w:val="ru-RU"/>
              </w:rPr>
              <w:t>Како дефиниција за „здружение на претпријатија“ ќе се применува</w:t>
            </w:r>
            <w:r w:rsidR="0090224E" w:rsidRPr="008F2816">
              <w:rPr>
                <w:rFonts w:ascii="Times New Roman" w:hAnsi="Times New Roman" w:cs="Times New Roman"/>
                <w:sz w:val="20"/>
                <w:szCs w:val="20"/>
                <w:lang w:val="ru-RU"/>
              </w:rPr>
              <w:t xml:space="preserve"> </w:t>
            </w:r>
            <w:r w:rsidR="0090224E" w:rsidRPr="008F2816">
              <w:rPr>
                <w:rFonts w:ascii="Times New Roman" w:hAnsi="Times New Roman" w:cs="Times New Roman"/>
                <w:sz w:val="20"/>
                <w:szCs w:val="20"/>
                <w:lang w:val="mk-MK"/>
              </w:rPr>
              <w:t xml:space="preserve">дефиницијата од Законот за заштита на </w:t>
            </w:r>
            <w:r w:rsidR="000F4DA5" w:rsidRPr="008F2816">
              <w:rPr>
                <w:rFonts w:ascii="Times New Roman" w:hAnsi="Times New Roman" w:cs="Times New Roman"/>
                <w:sz w:val="20"/>
                <w:szCs w:val="20"/>
                <w:lang w:val="mk-MK"/>
              </w:rPr>
              <w:t>конкуренцијата.</w:t>
            </w:r>
          </w:p>
        </w:tc>
      </w:tr>
    </w:tbl>
    <w:p w14:paraId="4A2787F0" w14:textId="77777777" w:rsidR="008879B1" w:rsidRDefault="008879B1">
      <w:pPr>
        <w:rPr>
          <w:rFonts w:ascii="Times New Roman" w:hAnsi="Times New Roman" w:cs="Times New Roman"/>
          <w:sz w:val="20"/>
          <w:szCs w:val="20"/>
          <w:lang w:val="mk-MK"/>
        </w:rPr>
      </w:pPr>
    </w:p>
    <w:p w14:paraId="760094ED" w14:textId="77777777" w:rsidR="00473F24" w:rsidRDefault="00473F24">
      <w:pPr>
        <w:rPr>
          <w:rFonts w:ascii="Times New Roman" w:hAnsi="Times New Roman" w:cs="Times New Roman"/>
          <w:sz w:val="20"/>
          <w:szCs w:val="20"/>
          <w:lang w:val="mk-MK"/>
        </w:rPr>
      </w:pPr>
    </w:p>
    <w:p w14:paraId="2D2B5930" w14:textId="1DC8C007" w:rsidR="00473F24" w:rsidRPr="00473F24" w:rsidRDefault="00473F24">
      <w:pPr>
        <w:rPr>
          <w:rFonts w:ascii="Times New Roman" w:hAnsi="Times New Roman" w:cs="Times New Roman"/>
          <w:sz w:val="20"/>
          <w:szCs w:val="20"/>
          <w:lang w:val="mk-MK"/>
        </w:rPr>
      </w:pPr>
      <w:bookmarkStart w:id="0" w:name="_GoBack"/>
      <w:bookmarkEnd w:id="0"/>
    </w:p>
    <w:sectPr w:rsidR="00473F24" w:rsidRPr="00473F24" w:rsidSect="001B1403">
      <w:pgSz w:w="15840" w:h="12240" w:orient="landscape"/>
      <w:pgMar w:top="709"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A3BEA" w14:textId="77777777" w:rsidR="00DE5CFC" w:rsidRDefault="00DE5CFC" w:rsidP="00FC65DA">
      <w:pPr>
        <w:spacing w:after="0" w:line="240" w:lineRule="auto"/>
      </w:pPr>
      <w:r>
        <w:separator/>
      </w:r>
    </w:p>
  </w:endnote>
  <w:endnote w:type="continuationSeparator" w:id="0">
    <w:p w14:paraId="5E4AFA30" w14:textId="77777777" w:rsidR="00DE5CFC" w:rsidRDefault="00DE5CFC" w:rsidP="00FC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B9AE" w14:textId="77777777" w:rsidR="00DE5CFC" w:rsidRDefault="00DE5CFC" w:rsidP="00FC65DA">
      <w:pPr>
        <w:spacing w:after="0" w:line="240" w:lineRule="auto"/>
      </w:pPr>
      <w:r>
        <w:separator/>
      </w:r>
    </w:p>
  </w:footnote>
  <w:footnote w:type="continuationSeparator" w:id="0">
    <w:p w14:paraId="62151E95" w14:textId="77777777" w:rsidR="00DE5CFC" w:rsidRDefault="00DE5CFC" w:rsidP="00FC6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D5B"/>
    <w:multiLevelType w:val="hybridMultilevel"/>
    <w:tmpl w:val="47DAD146"/>
    <w:lvl w:ilvl="0" w:tplc="9F143204">
      <w:start w:val="5"/>
      <w:numFmt w:val="bullet"/>
      <w:lvlText w:val="-"/>
      <w:lvlJc w:val="left"/>
      <w:pPr>
        <w:ind w:left="1080" w:hanging="360"/>
      </w:pPr>
      <w:rPr>
        <w:rFonts w:ascii="Aptos" w:eastAsiaTheme="minorEastAsia" w:hAnsi="Aptos"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nsid w:val="047D5C24"/>
    <w:multiLevelType w:val="hybridMultilevel"/>
    <w:tmpl w:val="EC6A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890EEE"/>
    <w:multiLevelType w:val="hybridMultilevel"/>
    <w:tmpl w:val="078246D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18F221F5"/>
    <w:multiLevelType w:val="hybridMultilevel"/>
    <w:tmpl w:val="324AA7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07A121A"/>
    <w:multiLevelType w:val="multilevel"/>
    <w:tmpl w:val="2E5CD7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4CD0046"/>
    <w:multiLevelType w:val="multilevel"/>
    <w:tmpl w:val="6B96D3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CA979B2"/>
    <w:multiLevelType w:val="multilevel"/>
    <w:tmpl w:val="FBEAE0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372A0149"/>
    <w:multiLevelType w:val="hybridMultilevel"/>
    <w:tmpl w:val="324AA7E8"/>
    <w:lvl w:ilvl="0" w:tplc="08090019">
      <w:start w:val="1"/>
      <w:numFmt w:val="lowerLetter"/>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3FAA2CB3"/>
    <w:multiLevelType w:val="hybridMultilevel"/>
    <w:tmpl w:val="DC90269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41342AA5"/>
    <w:multiLevelType w:val="multilevel"/>
    <w:tmpl w:val="569E72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B2C2DE8"/>
    <w:multiLevelType w:val="multilevel"/>
    <w:tmpl w:val="BE44EC4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4F4C6B22"/>
    <w:multiLevelType w:val="hybridMultilevel"/>
    <w:tmpl w:val="A30692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A76E57"/>
    <w:multiLevelType w:val="multilevel"/>
    <w:tmpl w:val="B91AB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AD733FA"/>
    <w:multiLevelType w:val="multilevel"/>
    <w:tmpl w:val="53A44C6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B132DA3"/>
    <w:multiLevelType w:val="hybridMultilevel"/>
    <w:tmpl w:val="324AA7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B3C47AF"/>
    <w:multiLevelType w:val="multilevel"/>
    <w:tmpl w:val="7CDC8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D582176"/>
    <w:multiLevelType w:val="hybridMultilevel"/>
    <w:tmpl w:val="F5F21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F6135F"/>
    <w:multiLevelType w:val="hybridMultilevel"/>
    <w:tmpl w:val="324AA7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DDF2258"/>
    <w:multiLevelType w:val="multilevel"/>
    <w:tmpl w:val="A336F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6"/>
  </w:num>
  <w:num w:numId="4">
    <w:abstractNumId w:val="8"/>
  </w:num>
  <w:num w:numId="5">
    <w:abstractNumId w:val="7"/>
  </w:num>
  <w:num w:numId="6">
    <w:abstractNumId w:val="14"/>
  </w:num>
  <w:num w:numId="7">
    <w:abstractNumId w:val="17"/>
  </w:num>
  <w:num w:numId="8">
    <w:abstractNumId w:val="11"/>
  </w:num>
  <w:num w:numId="9">
    <w:abstractNumId w:val="3"/>
  </w:num>
  <w:num w:numId="10">
    <w:abstractNumId w:val="1"/>
  </w:num>
  <w:num w:numId="11">
    <w:abstractNumId w:val="6"/>
  </w:num>
  <w:num w:numId="12">
    <w:abstractNumId w:val="18"/>
  </w:num>
  <w:num w:numId="13">
    <w:abstractNumId w:val="10"/>
  </w:num>
  <w:num w:numId="14">
    <w:abstractNumId w:val="15"/>
  </w:num>
  <w:num w:numId="15">
    <w:abstractNumId w:val="5"/>
  </w:num>
  <w:num w:numId="16">
    <w:abstractNumId w:val="12"/>
  </w:num>
  <w:num w:numId="17">
    <w:abstractNumId w:val="9"/>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BF"/>
    <w:rsid w:val="000050D9"/>
    <w:rsid w:val="00022F91"/>
    <w:rsid w:val="000264A1"/>
    <w:rsid w:val="00033064"/>
    <w:rsid w:val="00056E38"/>
    <w:rsid w:val="00061A23"/>
    <w:rsid w:val="000633DC"/>
    <w:rsid w:val="000662D1"/>
    <w:rsid w:val="000739DB"/>
    <w:rsid w:val="00077C51"/>
    <w:rsid w:val="000901BE"/>
    <w:rsid w:val="000B1239"/>
    <w:rsid w:val="000B1976"/>
    <w:rsid w:val="000B27CA"/>
    <w:rsid w:val="000B4CCC"/>
    <w:rsid w:val="000D3DB8"/>
    <w:rsid w:val="000E5BE8"/>
    <w:rsid w:val="000F4DA5"/>
    <w:rsid w:val="000F6E95"/>
    <w:rsid w:val="00100F08"/>
    <w:rsid w:val="0011159B"/>
    <w:rsid w:val="00115B21"/>
    <w:rsid w:val="00120217"/>
    <w:rsid w:val="00122373"/>
    <w:rsid w:val="00125853"/>
    <w:rsid w:val="001440CF"/>
    <w:rsid w:val="00144767"/>
    <w:rsid w:val="001458D0"/>
    <w:rsid w:val="00145F20"/>
    <w:rsid w:val="001535DF"/>
    <w:rsid w:val="0016351D"/>
    <w:rsid w:val="00163AFA"/>
    <w:rsid w:val="001702F2"/>
    <w:rsid w:val="00174761"/>
    <w:rsid w:val="001772B3"/>
    <w:rsid w:val="001952E4"/>
    <w:rsid w:val="001A2CB3"/>
    <w:rsid w:val="001A751E"/>
    <w:rsid w:val="001B1403"/>
    <w:rsid w:val="001B1414"/>
    <w:rsid w:val="001B7DF8"/>
    <w:rsid w:val="001C5FA9"/>
    <w:rsid w:val="001D0D54"/>
    <w:rsid w:val="001D12B4"/>
    <w:rsid w:val="001D31E2"/>
    <w:rsid w:val="001E5475"/>
    <w:rsid w:val="001F2375"/>
    <w:rsid w:val="00211A05"/>
    <w:rsid w:val="00215593"/>
    <w:rsid w:val="00234914"/>
    <w:rsid w:val="00235E3C"/>
    <w:rsid w:val="00242527"/>
    <w:rsid w:val="0024650B"/>
    <w:rsid w:val="00254593"/>
    <w:rsid w:val="0025597F"/>
    <w:rsid w:val="002565D1"/>
    <w:rsid w:val="0025771E"/>
    <w:rsid w:val="00262E73"/>
    <w:rsid w:val="002660ED"/>
    <w:rsid w:val="00270579"/>
    <w:rsid w:val="00274508"/>
    <w:rsid w:val="0027525C"/>
    <w:rsid w:val="00275669"/>
    <w:rsid w:val="00281860"/>
    <w:rsid w:val="002928BA"/>
    <w:rsid w:val="00292DB3"/>
    <w:rsid w:val="00293FBC"/>
    <w:rsid w:val="0029406D"/>
    <w:rsid w:val="002956FE"/>
    <w:rsid w:val="002A1332"/>
    <w:rsid w:val="002A2B7E"/>
    <w:rsid w:val="002A3881"/>
    <w:rsid w:val="002B2CBD"/>
    <w:rsid w:val="002C0217"/>
    <w:rsid w:val="002F3D1E"/>
    <w:rsid w:val="00310D1F"/>
    <w:rsid w:val="003142BF"/>
    <w:rsid w:val="00321C1B"/>
    <w:rsid w:val="00327A8A"/>
    <w:rsid w:val="003307D3"/>
    <w:rsid w:val="00341D86"/>
    <w:rsid w:val="00345AC2"/>
    <w:rsid w:val="003541CA"/>
    <w:rsid w:val="0036144B"/>
    <w:rsid w:val="0037469A"/>
    <w:rsid w:val="003869AB"/>
    <w:rsid w:val="00393354"/>
    <w:rsid w:val="003A0DBC"/>
    <w:rsid w:val="003A4798"/>
    <w:rsid w:val="003A6FB9"/>
    <w:rsid w:val="003B16E7"/>
    <w:rsid w:val="003B30BF"/>
    <w:rsid w:val="003B3563"/>
    <w:rsid w:val="003B5F42"/>
    <w:rsid w:val="003D0F84"/>
    <w:rsid w:val="003D187D"/>
    <w:rsid w:val="003D5888"/>
    <w:rsid w:val="003E24C1"/>
    <w:rsid w:val="003F737F"/>
    <w:rsid w:val="00404701"/>
    <w:rsid w:val="00404DEA"/>
    <w:rsid w:val="00412CF5"/>
    <w:rsid w:val="004159AE"/>
    <w:rsid w:val="00417D59"/>
    <w:rsid w:val="00422490"/>
    <w:rsid w:val="0042282F"/>
    <w:rsid w:val="00424059"/>
    <w:rsid w:val="00435CCA"/>
    <w:rsid w:val="004432C1"/>
    <w:rsid w:val="0047068C"/>
    <w:rsid w:val="00473F24"/>
    <w:rsid w:val="004920B9"/>
    <w:rsid w:val="0049394A"/>
    <w:rsid w:val="004A6A40"/>
    <w:rsid w:val="004B106A"/>
    <w:rsid w:val="004B3D6E"/>
    <w:rsid w:val="004B582E"/>
    <w:rsid w:val="004C0D0F"/>
    <w:rsid w:val="004C1821"/>
    <w:rsid w:val="004C33E5"/>
    <w:rsid w:val="004C45CD"/>
    <w:rsid w:val="004C4C9F"/>
    <w:rsid w:val="004C70E7"/>
    <w:rsid w:val="004C7DCB"/>
    <w:rsid w:val="004C7EF4"/>
    <w:rsid w:val="004D282B"/>
    <w:rsid w:val="005010B1"/>
    <w:rsid w:val="0050692C"/>
    <w:rsid w:val="00510996"/>
    <w:rsid w:val="005258E2"/>
    <w:rsid w:val="00526626"/>
    <w:rsid w:val="005272F6"/>
    <w:rsid w:val="00527F5F"/>
    <w:rsid w:val="00530A9D"/>
    <w:rsid w:val="00542CE8"/>
    <w:rsid w:val="005465CE"/>
    <w:rsid w:val="00556757"/>
    <w:rsid w:val="00565483"/>
    <w:rsid w:val="00572289"/>
    <w:rsid w:val="005734AD"/>
    <w:rsid w:val="005822C7"/>
    <w:rsid w:val="00584554"/>
    <w:rsid w:val="00590505"/>
    <w:rsid w:val="00591F25"/>
    <w:rsid w:val="005931EF"/>
    <w:rsid w:val="0059348C"/>
    <w:rsid w:val="005955D4"/>
    <w:rsid w:val="005977C5"/>
    <w:rsid w:val="005A00F4"/>
    <w:rsid w:val="005A7C6A"/>
    <w:rsid w:val="005B269F"/>
    <w:rsid w:val="005E12B9"/>
    <w:rsid w:val="005E30E3"/>
    <w:rsid w:val="005E3177"/>
    <w:rsid w:val="005E76B4"/>
    <w:rsid w:val="005F0B54"/>
    <w:rsid w:val="0061359A"/>
    <w:rsid w:val="00623CBE"/>
    <w:rsid w:val="00631603"/>
    <w:rsid w:val="00633488"/>
    <w:rsid w:val="00634145"/>
    <w:rsid w:val="0065095C"/>
    <w:rsid w:val="00650A2E"/>
    <w:rsid w:val="00652BF8"/>
    <w:rsid w:val="0066532D"/>
    <w:rsid w:val="0066534D"/>
    <w:rsid w:val="00681A57"/>
    <w:rsid w:val="006833F6"/>
    <w:rsid w:val="006867EF"/>
    <w:rsid w:val="006A140C"/>
    <w:rsid w:val="006A3D62"/>
    <w:rsid w:val="006A47D5"/>
    <w:rsid w:val="006C53FC"/>
    <w:rsid w:val="006C7328"/>
    <w:rsid w:val="006C7878"/>
    <w:rsid w:val="006D4188"/>
    <w:rsid w:val="006E2083"/>
    <w:rsid w:val="006E3B72"/>
    <w:rsid w:val="006E78FD"/>
    <w:rsid w:val="006F6034"/>
    <w:rsid w:val="006F7095"/>
    <w:rsid w:val="0070421D"/>
    <w:rsid w:val="007108A5"/>
    <w:rsid w:val="00717CB0"/>
    <w:rsid w:val="007273CB"/>
    <w:rsid w:val="00731847"/>
    <w:rsid w:val="00733B8B"/>
    <w:rsid w:val="0073721A"/>
    <w:rsid w:val="00741F75"/>
    <w:rsid w:val="00743264"/>
    <w:rsid w:val="00750E17"/>
    <w:rsid w:val="00781E20"/>
    <w:rsid w:val="00781F17"/>
    <w:rsid w:val="00793BE8"/>
    <w:rsid w:val="0079670D"/>
    <w:rsid w:val="007A4830"/>
    <w:rsid w:val="007A4E51"/>
    <w:rsid w:val="007A7BDE"/>
    <w:rsid w:val="007B36A3"/>
    <w:rsid w:val="007B5520"/>
    <w:rsid w:val="007C014B"/>
    <w:rsid w:val="007C0270"/>
    <w:rsid w:val="007C0CC0"/>
    <w:rsid w:val="007C50CD"/>
    <w:rsid w:val="007D3031"/>
    <w:rsid w:val="007E7E78"/>
    <w:rsid w:val="007F1022"/>
    <w:rsid w:val="007F274D"/>
    <w:rsid w:val="007F2DD0"/>
    <w:rsid w:val="007F49ED"/>
    <w:rsid w:val="00813245"/>
    <w:rsid w:val="00814448"/>
    <w:rsid w:val="008164C8"/>
    <w:rsid w:val="00826E69"/>
    <w:rsid w:val="00834207"/>
    <w:rsid w:val="00843295"/>
    <w:rsid w:val="008437A7"/>
    <w:rsid w:val="00847621"/>
    <w:rsid w:val="00852BEA"/>
    <w:rsid w:val="00860B23"/>
    <w:rsid w:val="00863676"/>
    <w:rsid w:val="00880642"/>
    <w:rsid w:val="00880FDA"/>
    <w:rsid w:val="00882335"/>
    <w:rsid w:val="00885619"/>
    <w:rsid w:val="00887374"/>
    <w:rsid w:val="008879B1"/>
    <w:rsid w:val="00896062"/>
    <w:rsid w:val="008A157E"/>
    <w:rsid w:val="008A1A1E"/>
    <w:rsid w:val="008A2487"/>
    <w:rsid w:val="008B0308"/>
    <w:rsid w:val="008D37B6"/>
    <w:rsid w:val="008D3FB7"/>
    <w:rsid w:val="008D7232"/>
    <w:rsid w:val="008E0DAB"/>
    <w:rsid w:val="008E4449"/>
    <w:rsid w:val="008E66B0"/>
    <w:rsid w:val="008F15F8"/>
    <w:rsid w:val="008F2378"/>
    <w:rsid w:val="008F23E9"/>
    <w:rsid w:val="008F2816"/>
    <w:rsid w:val="008F385E"/>
    <w:rsid w:val="0090224E"/>
    <w:rsid w:val="00925E84"/>
    <w:rsid w:val="00927718"/>
    <w:rsid w:val="00957EC8"/>
    <w:rsid w:val="00963156"/>
    <w:rsid w:val="00965ABF"/>
    <w:rsid w:val="009762EB"/>
    <w:rsid w:val="009765C7"/>
    <w:rsid w:val="009838CB"/>
    <w:rsid w:val="00983A11"/>
    <w:rsid w:val="00991CC4"/>
    <w:rsid w:val="009932B3"/>
    <w:rsid w:val="009A02A9"/>
    <w:rsid w:val="009A1F15"/>
    <w:rsid w:val="009A321F"/>
    <w:rsid w:val="009B2D2D"/>
    <w:rsid w:val="009C22D9"/>
    <w:rsid w:val="009C34FE"/>
    <w:rsid w:val="009C7CEC"/>
    <w:rsid w:val="009D5B13"/>
    <w:rsid w:val="009F4CDA"/>
    <w:rsid w:val="00A05E57"/>
    <w:rsid w:val="00A15C25"/>
    <w:rsid w:val="00A246CA"/>
    <w:rsid w:val="00A31461"/>
    <w:rsid w:val="00A420F6"/>
    <w:rsid w:val="00A43CF9"/>
    <w:rsid w:val="00A53091"/>
    <w:rsid w:val="00A56325"/>
    <w:rsid w:val="00A84FC3"/>
    <w:rsid w:val="00A90690"/>
    <w:rsid w:val="00A91F7F"/>
    <w:rsid w:val="00A923F0"/>
    <w:rsid w:val="00AA104F"/>
    <w:rsid w:val="00AA2ACD"/>
    <w:rsid w:val="00AC142F"/>
    <w:rsid w:val="00AC36FE"/>
    <w:rsid w:val="00AC764D"/>
    <w:rsid w:val="00AC7B00"/>
    <w:rsid w:val="00AE6CC7"/>
    <w:rsid w:val="00AE7C4C"/>
    <w:rsid w:val="00AE7E45"/>
    <w:rsid w:val="00B030AA"/>
    <w:rsid w:val="00B23CEE"/>
    <w:rsid w:val="00B26BF8"/>
    <w:rsid w:val="00B359DE"/>
    <w:rsid w:val="00B3792E"/>
    <w:rsid w:val="00B46EF7"/>
    <w:rsid w:val="00B553BA"/>
    <w:rsid w:val="00B60CF1"/>
    <w:rsid w:val="00B62D1F"/>
    <w:rsid w:val="00B6619C"/>
    <w:rsid w:val="00B706C3"/>
    <w:rsid w:val="00B752EE"/>
    <w:rsid w:val="00B768DD"/>
    <w:rsid w:val="00B90A92"/>
    <w:rsid w:val="00B92045"/>
    <w:rsid w:val="00B94D11"/>
    <w:rsid w:val="00B96061"/>
    <w:rsid w:val="00BC13C2"/>
    <w:rsid w:val="00BE087B"/>
    <w:rsid w:val="00BE39A8"/>
    <w:rsid w:val="00BE73BD"/>
    <w:rsid w:val="00BE7ED1"/>
    <w:rsid w:val="00BF1FEC"/>
    <w:rsid w:val="00BF53A3"/>
    <w:rsid w:val="00C078AE"/>
    <w:rsid w:val="00C10C28"/>
    <w:rsid w:val="00C12A7A"/>
    <w:rsid w:val="00C1324F"/>
    <w:rsid w:val="00C22C26"/>
    <w:rsid w:val="00C26AFF"/>
    <w:rsid w:val="00C3102C"/>
    <w:rsid w:val="00C320ED"/>
    <w:rsid w:val="00C36332"/>
    <w:rsid w:val="00C41AF1"/>
    <w:rsid w:val="00C42545"/>
    <w:rsid w:val="00C47739"/>
    <w:rsid w:val="00C5039F"/>
    <w:rsid w:val="00C53D04"/>
    <w:rsid w:val="00C579B8"/>
    <w:rsid w:val="00C6652B"/>
    <w:rsid w:val="00C736C7"/>
    <w:rsid w:val="00C73FB1"/>
    <w:rsid w:val="00C839AC"/>
    <w:rsid w:val="00C86A7C"/>
    <w:rsid w:val="00CA073E"/>
    <w:rsid w:val="00CA551D"/>
    <w:rsid w:val="00CA600A"/>
    <w:rsid w:val="00CA78CC"/>
    <w:rsid w:val="00CB2E9C"/>
    <w:rsid w:val="00CB6C53"/>
    <w:rsid w:val="00CB7462"/>
    <w:rsid w:val="00CC5578"/>
    <w:rsid w:val="00CE507F"/>
    <w:rsid w:val="00CE5389"/>
    <w:rsid w:val="00CE7456"/>
    <w:rsid w:val="00D0100A"/>
    <w:rsid w:val="00D134C0"/>
    <w:rsid w:val="00D1751F"/>
    <w:rsid w:val="00D266F1"/>
    <w:rsid w:val="00D35256"/>
    <w:rsid w:val="00D4359F"/>
    <w:rsid w:val="00D4453A"/>
    <w:rsid w:val="00D51740"/>
    <w:rsid w:val="00D6101A"/>
    <w:rsid w:val="00D6606C"/>
    <w:rsid w:val="00D76694"/>
    <w:rsid w:val="00D80825"/>
    <w:rsid w:val="00D92FBE"/>
    <w:rsid w:val="00D9439F"/>
    <w:rsid w:val="00DA170A"/>
    <w:rsid w:val="00DA3767"/>
    <w:rsid w:val="00DB67B0"/>
    <w:rsid w:val="00DC00D5"/>
    <w:rsid w:val="00DC14AD"/>
    <w:rsid w:val="00DD1A3A"/>
    <w:rsid w:val="00DD2620"/>
    <w:rsid w:val="00DE5825"/>
    <w:rsid w:val="00DE5CFC"/>
    <w:rsid w:val="00DE5F40"/>
    <w:rsid w:val="00DF0470"/>
    <w:rsid w:val="00DF05D8"/>
    <w:rsid w:val="00DF0943"/>
    <w:rsid w:val="00E0036F"/>
    <w:rsid w:val="00E01662"/>
    <w:rsid w:val="00E02511"/>
    <w:rsid w:val="00E028DD"/>
    <w:rsid w:val="00E12E54"/>
    <w:rsid w:val="00E4245B"/>
    <w:rsid w:val="00E5018A"/>
    <w:rsid w:val="00E528FE"/>
    <w:rsid w:val="00E62FB7"/>
    <w:rsid w:val="00E7165C"/>
    <w:rsid w:val="00E729E2"/>
    <w:rsid w:val="00E856CC"/>
    <w:rsid w:val="00E91176"/>
    <w:rsid w:val="00EA4951"/>
    <w:rsid w:val="00EA4B2C"/>
    <w:rsid w:val="00EB4BF2"/>
    <w:rsid w:val="00ED2D6B"/>
    <w:rsid w:val="00EF13C6"/>
    <w:rsid w:val="00EF4FD0"/>
    <w:rsid w:val="00F0639F"/>
    <w:rsid w:val="00F07BF5"/>
    <w:rsid w:val="00F145F5"/>
    <w:rsid w:val="00F155FC"/>
    <w:rsid w:val="00F23853"/>
    <w:rsid w:val="00F31922"/>
    <w:rsid w:val="00F32892"/>
    <w:rsid w:val="00F400D8"/>
    <w:rsid w:val="00F42F5B"/>
    <w:rsid w:val="00F579CF"/>
    <w:rsid w:val="00F80EDD"/>
    <w:rsid w:val="00F850BE"/>
    <w:rsid w:val="00F87E70"/>
    <w:rsid w:val="00F9013D"/>
    <w:rsid w:val="00F92249"/>
    <w:rsid w:val="00F923DA"/>
    <w:rsid w:val="00F9301E"/>
    <w:rsid w:val="00FA0979"/>
    <w:rsid w:val="00FA4686"/>
    <w:rsid w:val="00FA5F7F"/>
    <w:rsid w:val="00FA6C58"/>
    <w:rsid w:val="00FA755B"/>
    <w:rsid w:val="00FB0CE1"/>
    <w:rsid w:val="00FB0F1A"/>
    <w:rsid w:val="00FB36BE"/>
    <w:rsid w:val="00FB46CB"/>
    <w:rsid w:val="00FB7BB5"/>
    <w:rsid w:val="00FC33A5"/>
    <w:rsid w:val="00FC5006"/>
    <w:rsid w:val="00FC5246"/>
    <w:rsid w:val="00FC65DA"/>
    <w:rsid w:val="00FD0744"/>
    <w:rsid w:val="00FD65F8"/>
    <w:rsid w:val="00FD7181"/>
    <w:rsid w:val="00FD7589"/>
    <w:rsid w:val="00FE2CB8"/>
    <w:rsid w:val="00FE5C11"/>
    <w:rsid w:val="00FF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F84"/>
    <w:pPr>
      <w:spacing w:line="278" w:lineRule="auto"/>
      <w:ind w:left="720"/>
      <w:contextualSpacing/>
    </w:pPr>
    <w:rPr>
      <w:rFonts w:eastAsiaTheme="minorEastAsia"/>
      <w:kern w:val="2"/>
      <w:sz w:val="24"/>
      <w:szCs w:val="24"/>
      <w:lang w:val="en-GB" w:eastAsia="zh-CN"/>
      <w14:ligatures w14:val="standardContextual"/>
    </w:rPr>
  </w:style>
  <w:style w:type="character" w:styleId="Strong">
    <w:name w:val="Strong"/>
    <w:basedOn w:val="DefaultParagraphFont"/>
    <w:uiPriority w:val="22"/>
    <w:qFormat/>
    <w:rsid w:val="001458D0"/>
    <w:rPr>
      <w:b/>
      <w:bCs/>
    </w:rPr>
  </w:style>
  <w:style w:type="paragraph" w:styleId="NormalWeb">
    <w:name w:val="Normal (Web)"/>
    <w:basedOn w:val="Normal"/>
    <w:uiPriority w:val="99"/>
    <w:semiHidden/>
    <w:unhideWhenUsed/>
    <w:rsid w:val="001458D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BalloonText">
    <w:name w:val="Balloon Text"/>
    <w:basedOn w:val="Normal"/>
    <w:link w:val="BalloonTextChar"/>
    <w:uiPriority w:val="99"/>
    <w:semiHidden/>
    <w:unhideWhenUsed/>
    <w:rsid w:val="00DA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767"/>
    <w:rPr>
      <w:rFonts w:ascii="Tahoma" w:hAnsi="Tahoma" w:cs="Tahoma"/>
      <w:sz w:val="16"/>
      <w:szCs w:val="16"/>
    </w:rPr>
  </w:style>
  <w:style w:type="paragraph" w:styleId="Revision">
    <w:name w:val="Revision"/>
    <w:hidden/>
    <w:uiPriority w:val="99"/>
    <w:semiHidden/>
    <w:rsid w:val="001E5475"/>
    <w:pPr>
      <w:spacing w:after="0" w:line="240" w:lineRule="auto"/>
    </w:pPr>
  </w:style>
  <w:style w:type="character" w:styleId="CommentReference">
    <w:name w:val="annotation reference"/>
    <w:basedOn w:val="DefaultParagraphFont"/>
    <w:uiPriority w:val="99"/>
    <w:semiHidden/>
    <w:unhideWhenUsed/>
    <w:rsid w:val="0024650B"/>
    <w:rPr>
      <w:sz w:val="16"/>
      <w:szCs w:val="16"/>
    </w:rPr>
  </w:style>
  <w:style w:type="paragraph" w:styleId="CommentText">
    <w:name w:val="annotation text"/>
    <w:basedOn w:val="Normal"/>
    <w:link w:val="CommentTextChar"/>
    <w:uiPriority w:val="99"/>
    <w:unhideWhenUsed/>
    <w:rsid w:val="0024650B"/>
    <w:pPr>
      <w:spacing w:line="240" w:lineRule="auto"/>
    </w:pPr>
    <w:rPr>
      <w:sz w:val="20"/>
      <w:szCs w:val="20"/>
    </w:rPr>
  </w:style>
  <w:style w:type="character" w:customStyle="1" w:styleId="CommentTextChar">
    <w:name w:val="Comment Text Char"/>
    <w:basedOn w:val="DefaultParagraphFont"/>
    <w:link w:val="CommentText"/>
    <w:uiPriority w:val="99"/>
    <w:rsid w:val="0024650B"/>
    <w:rPr>
      <w:sz w:val="20"/>
      <w:szCs w:val="20"/>
    </w:rPr>
  </w:style>
  <w:style w:type="paragraph" w:styleId="CommentSubject">
    <w:name w:val="annotation subject"/>
    <w:basedOn w:val="CommentText"/>
    <w:next w:val="CommentText"/>
    <w:link w:val="CommentSubjectChar"/>
    <w:uiPriority w:val="99"/>
    <w:semiHidden/>
    <w:unhideWhenUsed/>
    <w:rsid w:val="0024650B"/>
    <w:rPr>
      <w:b/>
      <w:bCs/>
    </w:rPr>
  </w:style>
  <w:style w:type="character" w:customStyle="1" w:styleId="CommentSubjectChar">
    <w:name w:val="Comment Subject Char"/>
    <w:basedOn w:val="CommentTextChar"/>
    <w:link w:val="CommentSubject"/>
    <w:uiPriority w:val="99"/>
    <w:semiHidden/>
    <w:rsid w:val="0024650B"/>
    <w:rPr>
      <w:b/>
      <w:bCs/>
      <w:sz w:val="20"/>
      <w:szCs w:val="20"/>
    </w:rPr>
  </w:style>
  <w:style w:type="paragraph" w:styleId="Header">
    <w:name w:val="header"/>
    <w:basedOn w:val="Normal"/>
    <w:link w:val="HeaderChar"/>
    <w:uiPriority w:val="99"/>
    <w:unhideWhenUsed/>
    <w:rsid w:val="00FC6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5DA"/>
  </w:style>
  <w:style w:type="paragraph" w:styleId="Footer">
    <w:name w:val="footer"/>
    <w:basedOn w:val="Normal"/>
    <w:link w:val="FooterChar"/>
    <w:uiPriority w:val="99"/>
    <w:unhideWhenUsed/>
    <w:rsid w:val="00FC6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5DA"/>
  </w:style>
  <w:style w:type="table" w:customStyle="1" w:styleId="PlainTable1">
    <w:name w:val="Plain Table 1"/>
    <w:basedOn w:val="TableNormal"/>
    <w:uiPriority w:val="41"/>
    <w:rsid w:val="008F28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F84"/>
    <w:pPr>
      <w:spacing w:line="278" w:lineRule="auto"/>
      <w:ind w:left="720"/>
      <w:contextualSpacing/>
    </w:pPr>
    <w:rPr>
      <w:rFonts w:eastAsiaTheme="minorEastAsia"/>
      <w:kern w:val="2"/>
      <w:sz w:val="24"/>
      <w:szCs w:val="24"/>
      <w:lang w:val="en-GB" w:eastAsia="zh-CN"/>
      <w14:ligatures w14:val="standardContextual"/>
    </w:rPr>
  </w:style>
  <w:style w:type="character" w:styleId="Strong">
    <w:name w:val="Strong"/>
    <w:basedOn w:val="DefaultParagraphFont"/>
    <w:uiPriority w:val="22"/>
    <w:qFormat/>
    <w:rsid w:val="001458D0"/>
    <w:rPr>
      <w:b/>
      <w:bCs/>
    </w:rPr>
  </w:style>
  <w:style w:type="paragraph" w:styleId="NormalWeb">
    <w:name w:val="Normal (Web)"/>
    <w:basedOn w:val="Normal"/>
    <w:uiPriority w:val="99"/>
    <w:semiHidden/>
    <w:unhideWhenUsed/>
    <w:rsid w:val="001458D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BalloonText">
    <w:name w:val="Balloon Text"/>
    <w:basedOn w:val="Normal"/>
    <w:link w:val="BalloonTextChar"/>
    <w:uiPriority w:val="99"/>
    <w:semiHidden/>
    <w:unhideWhenUsed/>
    <w:rsid w:val="00DA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767"/>
    <w:rPr>
      <w:rFonts w:ascii="Tahoma" w:hAnsi="Tahoma" w:cs="Tahoma"/>
      <w:sz w:val="16"/>
      <w:szCs w:val="16"/>
    </w:rPr>
  </w:style>
  <w:style w:type="paragraph" w:styleId="Revision">
    <w:name w:val="Revision"/>
    <w:hidden/>
    <w:uiPriority w:val="99"/>
    <w:semiHidden/>
    <w:rsid w:val="001E5475"/>
    <w:pPr>
      <w:spacing w:after="0" w:line="240" w:lineRule="auto"/>
    </w:pPr>
  </w:style>
  <w:style w:type="character" w:styleId="CommentReference">
    <w:name w:val="annotation reference"/>
    <w:basedOn w:val="DefaultParagraphFont"/>
    <w:uiPriority w:val="99"/>
    <w:semiHidden/>
    <w:unhideWhenUsed/>
    <w:rsid w:val="0024650B"/>
    <w:rPr>
      <w:sz w:val="16"/>
      <w:szCs w:val="16"/>
    </w:rPr>
  </w:style>
  <w:style w:type="paragraph" w:styleId="CommentText">
    <w:name w:val="annotation text"/>
    <w:basedOn w:val="Normal"/>
    <w:link w:val="CommentTextChar"/>
    <w:uiPriority w:val="99"/>
    <w:unhideWhenUsed/>
    <w:rsid w:val="0024650B"/>
    <w:pPr>
      <w:spacing w:line="240" w:lineRule="auto"/>
    </w:pPr>
    <w:rPr>
      <w:sz w:val="20"/>
      <w:szCs w:val="20"/>
    </w:rPr>
  </w:style>
  <w:style w:type="character" w:customStyle="1" w:styleId="CommentTextChar">
    <w:name w:val="Comment Text Char"/>
    <w:basedOn w:val="DefaultParagraphFont"/>
    <w:link w:val="CommentText"/>
    <w:uiPriority w:val="99"/>
    <w:rsid w:val="0024650B"/>
    <w:rPr>
      <w:sz w:val="20"/>
      <w:szCs w:val="20"/>
    </w:rPr>
  </w:style>
  <w:style w:type="paragraph" w:styleId="CommentSubject">
    <w:name w:val="annotation subject"/>
    <w:basedOn w:val="CommentText"/>
    <w:next w:val="CommentText"/>
    <w:link w:val="CommentSubjectChar"/>
    <w:uiPriority w:val="99"/>
    <w:semiHidden/>
    <w:unhideWhenUsed/>
    <w:rsid w:val="0024650B"/>
    <w:rPr>
      <w:b/>
      <w:bCs/>
    </w:rPr>
  </w:style>
  <w:style w:type="character" w:customStyle="1" w:styleId="CommentSubjectChar">
    <w:name w:val="Comment Subject Char"/>
    <w:basedOn w:val="CommentTextChar"/>
    <w:link w:val="CommentSubject"/>
    <w:uiPriority w:val="99"/>
    <w:semiHidden/>
    <w:rsid w:val="0024650B"/>
    <w:rPr>
      <w:b/>
      <w:bCs/>
      <w:sz w:val="20"/>
      <w:szCs w:val="20"/>
    </w:rPr>
  </w:style>
  <w:style w:type="paragraph" w:styleId="Header">
    <w:name w:val="header"/>
    <w:basedOn w:val="Normal"/>
    <w:link w:val="HeaderChar"/>
    <w:uiPriority w:val="99"/>
    <w:unhideWhenUsed/>
    <w:rsid w:val="00FC6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5DA"/>
  </w:style>
  <w:style w:type="paragraph" w:styleId="Footer">
    <w:name w:val="footer"/>
    <w:basedOn w:val="Normal"/>
    <w:link w:val="FooterChar"/>
    <w:uiPriority w:val="99"/>
    <w:unhideWhenUsed/>
    <w:rsid w:val="00FC6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5DA"/>
  </w:style>
  <w:style w:type="table" w:customStyle="1" w:styleId="PlainTable1">
    <w:name w:val="Plain Table 1"/>
    <w:basedOn w:val="TableNormal"/>
    <w:uiPriority w:val="41"/>
    <w:rsid w:val="008F28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9023">
      <w:bodyDiv w:val="1"/>
      <w:marLeft w:val="0"/>
      <w:marRight w:val="0"/>
      <w:marTop w:val="0"/>
      <w:marBottom w:val="0"/>
      <w:divBdr>
        <w:top w:val="none" w:sz="0" w:space="0" w:color="auto"/>
        <w:left w:val="none" w:sz="0" w:space="0" w:color="auto"/>
        <w:bottom w:val="none" w:sz="0" w:space="0" w:color="auto"/>
        <w:right w:val="none" w:sz="0" w:space="0" w:color="auto"/>
      </w:divBdr>
      <w:divsChild>
        <w:div w:id="659426889">
          <w:marLeft w:val="0"/>
          <w:marRight w:val="0"/>
          <w:marTop w:val="0"/>
          <w:marBottom w:val="0"/>
          <w:divBdr>
            <w:top w:val="none" w:sz="0" w:space="0" w:color="auto"/>
            <w:left w:val="none" w:sz="0" w:space="0" w:color="auto"/>
            <w:bottom w:val="none" w:sz="0" w:space="0" w:color="auto"/>
            <w:right w:val="none" w:sz="0" w:space="0" w:color="auto"/>
          </w:divBdr>
        </w:div>
        <w:div w:id="417873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CEFD-22C5-4A3B-AD96-DCCD9F6F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Atlantic Grupa</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Gjorgjevska</dc:creator>
  <cp:lastModifiedBy>Ilir Sabani</cp:lastModifiedBy>
  <cp:revision>2</cp:revision>
  <cp:lastPrinted>2025-05-20T12:52:00Z</cp:lastPrinted>
  <dcterms:created xsi:type="dcterms:W3CDTF">2026-06-29T12:11:00Z</dcterms:created>
  <dcterms:modified xsi:type="dcterms:W3CDTF">2026-06-29T12:11:00Z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98c205-7cf8-427e-abf8-9da10f7c14d6_Enabled">
    <vt:lpwstr>true</vt:lpwstr>
  </property>
  <property fmtid="{D5CDD505-2E9C-101B-9397-08002B2CF9AE}" pid="3" name="MSIP_Label_9198c205-7cf8-427e-abf8-9da10f7c14d6_SetDate">
    <vt:lpwstr>2025-05-14T09:39:39Z</vt:lpwstr>
  </property>
  <property fmtid="{D5CDD505-2E9C-101B-9397-08002B2CF9AE}" pid="4" name="MSIP_Label_9198c205-7cf8-427e-abf8-9da10f7c14d6_Method">
    <vt:lpwstr>Privileged</vt:lpwstr>
  </property>
  <property fmtid="{D5CDD505-2E9C-101B-9397-08002B2CF9AE}" pid="5" name="MSIP_Label_9198c205-7cf8-427e-abf8-9da10f7c14d6_Name">
    <vt:lpwstr>9198c205-7cf8-427e-abf8-9da10f7c14d6</vt:lpwstr>
  </property>
  <property fmtid="{D5CDD505-2E9C-101B-9397-08002B2CF9AE}" pid="6" name="MSIP_Label_9198c205-7cf8-427e-abf8-9da10f7c14d6_SiteId">
    <vt:lpwstr>607b92b1-0d9e-499e-b3b4-1716eddd7139</vt:lpwstr>
  </property>
  <property fmtid="{D5CDD505-2E9C-101B-9397-08002B2CF9AE}" pid="7" name="MSIP_Label_9198c205-7cf8-427e-abf8-9da10f7c14d6_ActionId">
    <vt:lpwstr>e3fc7bc4-66b6-434e-bcd2-eb4da49c099e</vt:lpwstr>
  </property>
  <property fmtid="{D5CDD505-2E9C-101B-9397-08002B2CF9AE}" pid="8" name="MSIP_Label_9198c205-7cf8-427e-abf8-9da10f7c14d6_ContentBits">
    <vt:lpwstr>0</vt:lpwstr>
  </property>
</Properties>
</file>