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C219" w14:textId="5F19070F" w:rsidR="006866F8" w:rsidRPr="00997551" w:rsidRDefault="008C14A2">
      <w:pPr>
        <w:pStyle w:val="Heading10"/>
        <w:keepNext/>
        <w:keepLines/>
        <w:rPr>
          <w:sz w:val="22"/>
          <w:szCs w:val="22"/>
          <w:lang w:val="sq-AL"/>
        </w:rPr>
      </w:pPr>
      <w:r w:rsidRPr="00997551">
        <w:rPr>
          <w:rStyle w:val="Heading1"/>
          <w:b/>
          <w:bCs/>
          <w:sz w:val="22"/>
          <w:szCs w:val="22"/>
          <w:lang w:val="sq-AL"/>
        </w:rPr>
        <w:t>MK</w:t>
      </w:r>
    </w:p>
    <w:p w14:paraId="6DDEFF71" w14:textId="3AFF280B" w:rsidR="008C14A2" w:rsidRPr="00997551" w:rsidRDefault="008C14A2">
      <w:pPr>
        <w:pStyle w:val="BodyText"/>
        <w:spacing w:after="140"/>
        <w:jc w:val="center"/>
        <w:rPr>
          <w:rStyle w:val="BodyTextChar"/>
          <w:sz w:val="22"/>
          <w:szCs w:val="22"/>
          <w:lang w:val="sq-AL"/>
        </w:rPr>
      </w:pPr>
      <w:r w:rsidRPr="00997551">
        <w:rPr>
          <w:b/>
          <w:bCs/>
          <w:sz w:val="22"/>
          <w:szCs w:val="22"/>
          <w:u w:val="single"/>
        </w:rPr>
        <w:t>ANEKS</w:t>
      </w:r>
      <w:r w:rsidRPr="00997551">
        <w:rPr>
          <w:sz w:val="22"/>
          <w:szCs w:val="22"/>
          <w:u w:val="single"/>
        </w:rPr>
        <w:br/>
      </w:r>
      <w:r w:rsidRPr="00997551">
        <w:rPr>
          <w:sz w:val="22"/>
          <w:szCs w:val="22"/>
          <w:lang w:val="sq-AL"/>
        </w:rPr>
        <w:t>ndaj</w:t>
      </w:r>
      <w:r w:rsidRPr="00997551">
        <w:rPr>
          <w:sz w:val="22"/>
          <w:szCs w:val="22"/>
        </w:rPr>
        <w:t xml:space="preserve"> Vendimit për </w:t>
      </w:r>
      <w:r w:rsidRPr="00997551">
        <w:rPr>
          <w:sz w:val="22"/>
          <w:szCs w:val="22"/>
          <w:lang w:val="sq-AL"/>
        </w:rPr>
        <w:t>implementimin</w:t>
      </w:r>
      <w:r w:rsidRPr="00997551">
        <w:rPr>
          <w:sz w:val="22"/>
          <w:szCs w:val="22"/>
        </w:rPr>
        <w:t xml:space="preserve"> e Komisionit për miratimin e lirimit të parë të mjeteve për Maqedoninë e Veriut në kuadër të Instrumentit për </w:t>
      </w:r>
      <w:r w:rsidRPr="00997551">
        <w:rPr>
          <w:sz w:val="22"/>
          <w:szCs w:val="22"/>
          <w:lang w:val="sq-AL"/>
        </w:rPr>
        <w:t>r</w:t>
      </w:r>
      <w:r w:rsidRPr="00997551">
        <w:rPr>
          <w:sz w:val="22"/>
          <w:szCs w:val="22"/>
        </w:rPr>
        <w:t xml:space="preserve">eforma dhe </w:t>
      </w:r>
      <w:r w:rsidRPr="00997551">
        <w:rPr>
          <w:sz w:val="22"/>
          <w:szCs w:val="22"/>
          <w:lang w:val="sq-AL"/>
        </w:rPr>
        <w:t>r</w:t>
      </w:r>
      <w:r w:rsidRPr="00997551">
        <w:rPr>
          <w:sz w:val="22"/>
          <w:szCs w:val="22"/>
        </w:rPr>
        <w:t>ritje për Ballkanin Perëndimor</w:t>
      </w:r>
    </w:p>
    <w:p w14:paraId="33203B98" w14:textId="6B3AFDB2" w:rsidR="008C14A2" w:rsidRPr="00997551" w:rsidRDefault="008C14A2">
      <w:pPr>
        <w:pStyle w:val="BodyText"/>
        <w:spacing w:after="600"/>
        <w:jc w:val="center"/>
        <w:rPr>
          <w:sz w:val="22"/>
          <w:szCs w:val="22"/>
          <w:lang w:val="sq-AL"/>
        </w:rPr>
      </w:pPr>
      <w:r w:rsidRPr="00997551">
        <w:rPr>
          <w:b/>
          <w:bCs/>
          <w:sz w:val="22"/>
          <w:szCs w:val="22"/>
        </w:rPr>
        <w:t>Vlerësimi i kushteve për pagesa – Maqedonia e Veriut</w:t>
      </w:r>
    </w:p>
    <w:p w14:paraId="1FAE8CBF" w14:textId="444A95EF" w:rsidR="00D76660" w:rsidRPr="00997551" w:rsidRDefault="008C14A2" w:rsidP="00D76660">
      <w:pPr>
        <w:pStyle w:val="BodyText"/>
        <w:numPr>
          <w:ilvl w:val="0"/>
          <w:numId w:val="1"/>
        </w:numPr>
        <w:tabs>
          <w:tab w:val="left" w:pos="294"/>
        </w:tabs>
        <w:spacing w:after="140"/>
        <w:jc w:val="both"/>
        <w:rPr>
          <w:sz w:val="22"/>
          <w:szCs w:val="22"/>
        </w:rPr>
      </w:pPr>
      <w:r w:rsidRPr="00997551">
        <w:rPr>
          <w:b/>
          <w:bCs/>
          <w:sz w:val="22"/>
          <w:szCs w:val="22"/>
        </w:rPr>
        <w:t>Vlerësimi i KE-së për parakushtet për mbështetje</w:t>
      </w:r>
      <w:r w:rsidR="000B2492" w:rsidRPr="00997551">
        <w:rPr>
          <w:b/>
          <w:bCs/>
          <w:sz w:val="22"/>
          <w:szCs w:val="22"/>
          <w:lang w:val="en-GB"/>
        </w:rPr>
        <w:t>n</w:t>
      </w:r>
      <w:r w:rsidRPr="00997551">
        <w:rPr>
          <w:b/>
          <w:bCs/>
          <w:sz w:val="22"/>
          <w:szCs w:val="22"/>
        </w:rPr>
        <w:t xml:space="preserve"> nga</w:t>
      </w:r>
      <w:r w:rsidRPr="00997551">
        <w:rPr>
          <w:b/>
          <w:bCs/>
          <w:sz w:val="22"/>
          <w:szCs w:val="22"/>
          <w:lang w:val="sq-AL"/>
        </w:rPr>
        <w:t xml:space="preserve"> Unioni Evropian</w:t>
      </w:r>
      <w:r w:rsidRPr="00997551">
        <w:rPr>
          <w:b/>
          <w:bCs/>
          <w:sz w:val="22"/>
          <w:szCs w:val="22"/>
        </w:rPr>
        <w:t xml:space="preserve"> </w:t>
      </w:r>
    </w:p>
    <w:p w14:paraId="50AA1915" w14:textId="77777777" w:rsidR="00D76660" w:rsidRPr="00997551" w:rsidRDefault="00D76660" w:rsidP="00D76660">
      <w:pPr>
        <w:pStyle w:val="BodyText"/>
        <w:tabs>
          <w:tab w:val="left" w:pos="294"/>
        </w:tabs>
        <w:spacing w:after="140"/>
        <w:jc w:val="both"/>
        <w:rPr>
          <w:lang w:val="mk-MK"/>
        </w:rPr>
      </w:pPr>
    </w:p>
    <w:p w14:paraId="44C2587D" w14:textId="065A48DE" w:rsidR="008C14A2" w:rsidRPr="00997551" w:rsidRDefault="008C14A2" w:rsidP="00D76660">
      <w:pPr>
        <w:pStyle w:val="BodyText"/>
        <w:tabs>
          <w:tab w:val="left" w:pos="294"/>
        </w:tabs>
        <w:spacing w:after="140"/>
        <w:jc w:val="both"/>
        <w:rPr>
          <w:rStyle w:val="BodyTextChar"/>
          <w:sz w:val="22"/>
          <w:szCs w:val="22"/>
        </w:rPr>
      </w:pPr>
      <w:r w:rsidRPr="00997551">
        <w:rPr>
          <w:b/>
          <w:bCs/>
          <w:i/>
          <w:iCs/>
          <w:sz w:val="22"/>
          <w:szCs w:val="22"/>
        </w:rPr>
        <w:t>Mekanizma efektivë demokratikë dhe mekanizma për sundimin e ligjit</w:t>
      </w:r>
    </w:p>
    <w:p w14:paraId="7DC77686" w14:textId="7998C079" w:rsidR="008C14A2" w:rsidRPr="00997551" w:rsidRDefault="00441086">
      <w:pPr>
        <w:pStyle w:val="BodyText"/>
        <w:spacing w:after="140"/>
        <w:jc w:val="both"/>
        <w:rPr>
          <w:sz w:val="22"/>
          <w:szCs w:val="22"/>
          <w:lang w:val="sq-AL"/>
        </w:rPr>
      </w:pPr>
      <w:r w:rsidRPr="00997551">
        <w:rPr>
          <w:sz w:val="22"/>
          <w:szCs w:val="22"/>
        </w:rPr>
        <w:t xml:space="preserve">Maqedonia e Veriut ka sistem parlamentar shumëpartiak. Sipas </w:t>
      </w:r>
      <w:r w:rsidRPr="00997551">
        <w:rPr>
          <w:sz w:val="22"/>
          <w:szCs w:val="22"/>
          <w:lang w:val="sq-AL"/>
        </w:rPr>
        <w:t>konstatimeve</w:t>
      </w:r>
      <w:r w:rsidRPr="00997551">
        <w:rPr>
          <w:sz w:val="22"/>
          <w:szCs w:val="22"/>
        </w:rPr>
        <w:t xml:space="preserve"> dhe </w:t>
      </w:r>
      <w:r w:rsidRPr="00997551">
        <w:rPr>
          <w:sz w:val="22"/>
          <w:szCs w:val="22"/>
          <w:lang w:val="sq-AL"/>
        </w:rPr>
        <w:t>konkluzioneve</w:t>
      </w:r>
      <w:r w:rsidRPr="00997551">
        <w:rPr>
          <w:sz w:val="22"/>
          <w:szCs w:val="22"/>
        </w:rPr>
        <w:t xml:space="preserve"> të ODIHR-</w:t>
      </w:r>
      <w:r w:rsidRPr="00997551">
        <w:rPr>
          <w:sz w:val="22"/>
          <w:szCs w:val="22"/>
          <w:lang w:val="sq-AL"/>
        </w:rPr>
        <w:t>së</w:t>
      </w:r>
      <w:r w:rsidRPr="00997551">
        <w:rPr>
          <w:sz w:val="22"/>
          <w:szCs w:val="22"/>
        </w:rPr>
        <w:t xml:space="preserve"> të OSBE-së, zgjedhjet e fundit parlamentare dhe presidenciale në vitin 2024 ishin konkurruese dhe liritë </w:t>
      </w:r>
      <w:r w:rsidRPr="00997551">
        <w:rPr>
          <w:sz w:val="22"/>
          <w:szCs w:val="22"/>
          <w:lang w:val="sq-AL"/>
        </w:rPr>
        <w:t>fundamentale</w:t>
      </w:r>
      <w:r w:rsidRPr="00997551">
        <w:rPr>
          <w:sz w:val="22"/>
          <w:szCs w:val="22"/>
        </w:rPr>
        <w:t xml:space="preserve"> u respektuan, ndërsa legjislacioni </w:t>
      </w:r>
      <w:r w:rsidRPr="00997551">
        <w:rPr>
          <w:sz w:val="22"/>
          <w:szCs w:val="22"/>
          <w:lang w:val="sq-AL"/>
        </w:rPr>
        <w:t xml:space="preserve"> për </w:t>
      </w:r>
      <w:r w:rsidRPr="00997551">
        <w:rPr>
          <w:sz w:val="22"/>
          <w:szCs w:val="22"/>
        </w:rPr>
        <w:t>zgjedh</w:t>
      </w:r>
      <w:r w:rsidRPr="00997551">
        <w:rPr>
          <w:sz w:val="22"/>
          <w:szCs w:val="22"/>
          <w:lang w:val="sq-AL"/>
        </w:rPr>
        <w:t>e</w:t>
      </w:r>
      <w:r w:rsidRPr="00997551">
        <w:rPr>
          <w:sz w:val="22"/>
          <w:szCs w:val="22"/>
        </w:rPr>
        <w:t xml:space="preserve"> siguron kornizë </w:t>
      </w:r>
      <w:r w:rsidRPr="00997551">
        <w:rPr>
          <w:sz w:val="22"/>
          <w:szCs w:val="22"/>
          <w:lang w:val="sq-AL"/>
        </w:rPr>
        <w:t xml:space="preserve"> përkatëse </w:t>
      </w:r>
      <w:r w:rsidRPr="00997551">
        <w:rPr>
          <w:sz w:val="22"/>
          <w:szCs w:val="22"/>
        </w:rPr>
        <w:t>për mbajtjen e zgjedhjeve demokratike</w:t>
      </w:r>
      <w:r w:rsidR="00B8240F" w:rsidRPr="00997551">
        <w:rPr>
          <w:rStyle w:val="BodyTextChar"/>
          <w:sz w:val="22"/>
          <w:szCs w:val="22"/>
        </w:rPr>
        <w:t>(</w:t>
      </w:r>
      <w:r w:rsidR="00D0130D" w:rsidRPr="00997551">
        <w:rPr>
          <w:rStyle w:val="FootnoteReference"/>
          <w:sz w:val="22"/>
          <w:szCs w:val="22"/>
        </w:rPr>
        <w:footnoteReference w:id="1"/>
      </w:r>
      <w:r w:rsidR="00B8240F" w:rsidRPr="00997551">
        <w:rPr>
          <w:rStyle w:val="BodyTextChar"/>
          <w:sz w:val="22"/>
          <w:szCs w:val="22"/>
        </w:rPr>
        <w:t xml:space="preserve">). </w:t>
      </w:r>
      <w:r w:rsidR="008C14A2" w:rsidRPr="00997551">
        <w:rPr>
          <w:sz w:val="22"/>
          <w:szCs w:val="22"/>
        </w:rPr>
        <w:t xml:space="preserve">Rregullat për fushatat, qasjen </w:t>
      </w:r>
      <w:r w:rsidR="008C14A2" w:rsidRPr="00997551">
        <w:rPr>
          <w:sz w:val="22"/>
          <w:szCs w:val="22"/>
          <w:lang w:val="sq-AL"/>
        </w:rPr>
        <w:t>deri tek</w:t>
      </w:r>
      <w:r w:rsidR="008C14A2" w:rsidRPr="00997551">
        <w:rPr>
          <w:sz w:val="22"/>
          <w:szCs w:val="22"/>
        </w:rPr>
        <w:t xml:space="preserve"> media</w:t>
      </w:r>
      <w:r w:rsidR="008C14A2" w:rsidRPr="00997551">
        <w:rPr>
          <w:sz w:val="22"/>
          <w:szCs w:val="22"/>
          <w:lang w:val="sq-AL"/>
        </w:rPr>
        <w:t>t</w:t>
      </w:r>
      <w:r w:rsidR="008C14A2" w:rsidRPr="00997551">
        <w:rPr>
          <w:sz w:val="22"/>
          <w:szCs w:val="22"/>
        </w:rPr>
        <w:t xml:space="preserve"> dhe shpërndarjen e financimit shtetëror duhet të jenë të rregulluara në</w:t>
      </w:r>
      <w:r w:rsidR="008C14A2" w:rsidRPr="00997551">
        <w:rPr>
          <w:sz w:val="22"/>
          <w:szCs w:val="22"/>
          <w:lang w:val="sq-AL"/>
        </w:rPr>
        <w:t xml:space="preserve"> mënyrë</w:t>
      </w:r>
      <w:r w:rsidR="008C14A2" w:rsidRPr="00997551">
        <w:rPr>
          <w:sz w:val="22"/>
          <w:szCs w:val="22"/>
        </w:rPr>
        <w:t xml:space="preserve"> adekuate, ndërsa Kodi Zgjedhor meriton rishikim për të eliminuar inkonsistencat, boshllëqet dhe dykuptimësitë </w:t>
      </w:r>
      <w:r w:rsidR="008C14A2" w:rsidRPr="00997551">
        <w:rPr>
          <w:sz w:val="22"/>
          <w:szCs w:val="22"/>
          <w:lang w:val="sq-AL"/>
        </w:rPr>
        <w:t>të cilat</w:t>
      </w:r>
      <w:r w:rsidR="008C14A2" w:rsidRPr="00997551">
        <w:rPr>
          <w:sz w:val="22"/>
          <w:szCs w:val="22"/>
        </w:rPr>
        <w:t xml:space="preserve"> mund të rrezikojnë sigurinë juridike. Maqedonia e Veriut duhet gjithashtu të m</w:t>
      </w:r>
      <w:r w:rsidRPr="00997551">
        <w:rPr>
          <w:sz w:val="22"/>
          <w:szCs w:val="22"/>
          <w:lang w:val="sq-AL"/>
        </w:rPr>
        <w:t>erret</w:t>
      </w:r>
      <w:r w:rsidR="008C14A2" w:rsidRPr="00997551">
        <w:rPr>
          <w:sz w:val="22"/>
          <w:szCs w:val="22"/>
        </w:rPr>
        <w:t xml:space="preserve"> </w:t>
      </w:r>
      <w:r w:rsidRPr="00997551">
        <w:rPr>
          <w:sz w:val="22"/>
          <w:szCs w:val="22"/>
          <w:lang w:val="sq-AL"/>
        </w:rPr>
        <w:t>edhe me</w:t>
      </w:r>
      <w:r w:rsidR="008C14A2" w:rsidRPr="00997551">
        <w:rPr>
          <w:sz w:val="22"/>
          <w:szCs w:val="22"/>
        </w:rPr>
        <w:t xml:space="preserve"> rekomandime</w:t>
      </w:r>
      <w:r w:rsidRPr="00997551">
        <w:rPr>
          <w:sz w:val="22"/>
          <w:szCs w:val="22"/>
          <w:lang w:val="sq-AL"/>
        </w:rPr>
        <w:t>t</w:t>
      </w:r>
      <w:r w:rsidR="008C14A2" w:rsidRPr="00997551">
        <w:rPr>
          <w:sz w:val="22"/>
          <w:szCs w:val="22"/>
        </w:rPr>
        <w:t xml:space="preserve"> </w:t>
      </w:r>
      <w:r w:rsidRPr="00997551">
        <w:rPr>
          <w:sz w:val="22"/>
          <w:szCs w:val="22"/>
          <w:lang w:val="sq-AL"/>
        </w:rPr>
        <w:t>e</w:t>
      </w:r>
      <w:r w:rsidR="008C14A2" w:rsidRPr="00997551">
        <w:rPr>
          <w:sz w:val="22"/>
          <w:szCs w:val="22"/>
        </w:rPr>
        <w:t xml:space="preserve"> </w:t>
      </w:r>
      <w:r w:rsidRPr="00997551">
        <w:rPr>
          <w:sz w:val="22"/>
          <w:szCs w:val="22"/>
          <w:lang w:val="sq-AL"/>
        </w:rPr>
        <w:t xml:space="preserve">mbetura </w:t>
      </w:r>
      <w:r w:rsidR="008C14A2" w:rsidRPr="00997551">
        <w:rPr>
          <w:sz w:val="22"/>
          <w:szCs w:val="22"/>
        </w:rPr>
        <w:t>të OSBE</w:t>
      </w:r>
      <w:r w:rsidRPr="00997551">
        <w:rPr>
          <w:sz w:val="22"/>
          <w:szCs w:val="22"/>
          <w:lang w:val="sq-AL"/>
        </w:rPr>
        <w:t>-së</w:t>
      </w:r>
      <w:r w:rsidR="008C14A2" w:rsidRPr="00997551">
        <w:rPr>
          <w:sz w:val="22"/>
          <w:szCs w:val="22"/>
        </w:rPr>
        <w:t>/ODIHR</w:t>
      </w:r>
      <w:r w:rsidRPr="00997551">
        <w:rPr>
          <w:sz w:val="22"/>
          <w:szCs w:val="22"/>
          <w:lang w:val="sq-AL"/>
        </w:rPr>
        <w:t>-së</w:t>
      </w:r>
      <w:r w:rsidR="008C14A2" w:rsidRPr="00997551">
        <w:rPr>
          <w:sz w:val="22"/>
          <w:szCs w:val="22"/>
        </w:rPr>
        <w:t>.</w:t>
      </w:r>
    </w:p>
    <w:p w14:paraId="36429E3D" w14:textId="399D992A" w:rsidR="00571EB3" w:rsidRPr="00997551" w:rsidRDefault="00D656BE">
      <w:pPr>
        <w:pStyle w:val="BodyText"/>
        <w:spacing w:after="140"/>
        <w:jc w:val="both"/>
        <w:rPr>
          <w:sz w:val="22"/>
          <w:szCs w:val="22"/>
          <w:lang w:val="en-GB"/>
        </w:rPr>
      </w:pPr>
      <w:r w:rsidRPr="00997551">
        <w:rPr>
          <w:sz w:val="22"/>
          <w:szCs w:val="22"/>
          <w:lang w:val="en-GB"/>
        </w:rPr>
        <w:t xml:space="preserve">Maqedonia e Veriut </w:t>
      </w:r>
      <w:proofErr w:type="spellStart"/>
      <w:r w:rsidRPr="00997551">
        <w:rPr>
          <w:sz w:val="22"/>
          <w:szCs w:val="22"/>
          <w:lang w:val="en-GB"/>
        </w:rPr>
        <w:t>kaloi</w:t>
      </w:r>
      <w:proofErr w:type="spellEnd"/>
      <w:r w:rsidRPr="00997551">
        <w:rPr>
          <w:sz w:val="22"/>
          <w:szCs w:val="22"/>
          <w:lang w:val="en-GB"/>
        </w:rPr>
        <w:t xml:space="preserve"> </w:t>
      </w:r>
      <w:proofErr w:type="spellStart"/>
      <w:r w:rsidRPr="00997551">
        <w:rPr>
          <w:sz w:val="22"/>
          <w:szCs w:val="22"/>
          <w:lang w:val="en-GB"/>
        </w:rPr>
        <w:t>përmes</w:t>
      </w:r>
      <w:proofErr w:type="spellEnd"/>
      <w:r w:rsidRPr="00997551">
        <w:rPr>
          <w:sz w:val="22"/>
          <w:szCs w:val="22"/>
          <w:lang w:val="en-GB"/>
        </w:rPr>
        <w:t xml:space="preserve"> </w:t>
      </w:r>
      <w:proofErr w:type="spellStart"/>
      <w:r w:rsidRPr="00997551">
        <w:rPr>
          <w:sz w:val="22"/>
          <w:szCs w:val="22"/>
          <w:lang w:val="en-GB"/>
        </w:rPr>
        <w:t>disa</w:t>
      </w:r>
      <w:proofErr w:type="spellEnd"/>
      <w:r w:rsidRPr="00997551">
        <w:rPr>
          <w:sz w:val="22"/>
          <w:szCs w:val="22"/>
          <w:lang w:val="en-GB"/>
        </w:rPr>
        <w:t xml:space="preserve"> </w:t>
      </w:r>
      <w:proofErr w:type="spellStart"/>
      <w:r w:rsidR="00CA195A" w:rsidRPr="00997551">
        <w:rPr>
          <w:sz w:val="22"/>
          <w:szCs w:val="22"/>
          <w:lang w:val="en-GB"/>
        </w:rPr>
        <w:t>etapave</w:t>
      </w:r>
      <w:proofErr w:type="spellEnd"/>
      <w:r w:rsidRPr="00997551">
        <w:rPr>
          <w:sz w:val="22"/>
          <w:szCs w:val="22"/>
          <w:lang w:val="en-GB"/>
        </w:rPr>
        <w:t xml:space="preserve"> të reformave </w:t>
      </w:r>
      <w:proofErr w:type="spellStart"/>
      <w:r w:rsidRPr="00997551">
        <w:rPr>
          <w:sz w:val="22"/>
          <w:szCs w:val="22"/>
          <w:lang w:val="en-GB"/>
        </w:rPr>
        <w:t>gjyqësore</w:t>
      </w:r>
      <w:proofErr w:type="spellEnd"/>
      <w:r w:rsidRPr="00997551">
        <w:rPr>
          <w:sz w:val="22"/>
          <w:szCs w:val="22"/>
          <w:lang w:val="en-GB"/>
        </w:rPr>
        <w:t xml:space="preserve"> dhe në </w:t>
      </w:r>
      <w:proofErr w:type="spellStart"/>
      <w:r w:rsidRPr="00997551">
        <w:rPr>
          <w:sz w:val="22"/>
          <w:szCs w:val="22"/>
          <w:lang w:val="en-GB"/>
        </w:rPr>
        <w:t>dhjetor</w:t>
      </w:r>
      <w:proofErr w:type="spellEnd"/>
      <w:r w:rsidRPr="00997551">
        <w:rPr>
          <w:sz w:val="22"/>
          <w:szCs w:val="22"/>
          <w:lang w:val="en-GB"/>
        </w:rPr>
        <w:t xml:space="preserve"> të </w:t>
      </w:r>
      <w:proofErr w:type="spellStart"/>
      <w:r w:rsidRPr="00997551">
        <w:rPr>
          <w:sz w:val="22"/>
          <w:szCs w:val="22"/>
          <w:lang w:val="en-GB"/>
        </w:rPr>
        <w:t>vitit</w:t>
      </w:r>
      <w:proofErr w:type="spellEnd"/>
      <w:r w:rsidRPr="00997551">
        <w:rPr>
          <w:sz w:val="22"/>
          <w:szCs w:val="22"/>
          <w:lang w:val="en-GB"/>
        </w:rPr>
        <w:t xml:space="preserve"> 2023 </w:t>
      </w:r>
      <w:proofErr w:type="spellStart"/>
      <w:r w:rsidR="00571EB3" w:rsidRPr="00997551">
        <w:rPr>
          <w:sz w:val="22"/>
          <w:szCs w:val="22"/>
          <w:lang w:val="en-GB"/>
        </w:rPr>
        <w:t>solli</w:t>
      </w:r>
      <w:proofErr w:type="spellEnd"/>
      <w:r w:rsidRPr="00997551">
        <w:rPr>
          <w:sz w:val="22"/>
          <w:szCs w:val="22"/>
          <w:lang w:val="en-GB"/>
        </w:rPr>
        <w:t xml:space="preserve"> </w:t>
      </w:r>
      <w:proofErr w:type="spellStart"/>
      <w:r w:rsidRPr="00997551">
        <w:rPr>
          <w:sz w:val="22"/>
          <w:szCs w:val="22"/>
          <w:lang w:val="en-GB"/>
        </w:rPr>
        <w:t>strategji</w:t>
      </w:r>
      <w:proofErr w:type="spellEnd"/>
      <w:r w:rsidRPr="00997551">
        <w:rPr>
          <w:sz w:val="22"/>
          <w:szCs w:val="22"/>
          <w:lang w:val="en-GB"/>
        </w:rPr>
        <w:t xml:space="preserve"> të re për </w:t>
      </w:r>
      <w:proofErr w:type="spellStart"/>
      <w:r w:rsidRPr="00997551">
        <w:rPr>
          <w:sz w:val="22"/>
          <w:szCs w:val="22"/>
          <w:lang w:val="en-GB"/>
        </w:rPr>
        <w:t>drejtësinë</w:t>
      </w:r>
      <w:proofErr w:type="spellEnd"/>
      <w:r w:rsidRPr="00997551">
        <w:rPr>
          <w:sz w:val="22"/>
          <w:szCs w:val="22"/>
          <w:lang w:val="en-GB"/>
        </w:rPr>
        <w:t xml:space="preserve"> me qëllim </w:t>
      </w:r>
      <w:proofErr w:type="spellStart"/>
      <w:r w:rsidRPr="00997551">
        <w:rPr>
          <w:sz w:val="22"/>
          <w:szCs w:val="22"/>
          <w:lang w:val="en-GB"/>
        </w:rPr>
        <w:t>përmirësimin</w:t>
      </w:r>
      <w:proofErr w:type="spellEnd"/>
      <w:r w:rsidRPr="00997551">
        <w:rPr>
          <w:sz w:val="22"/>
          <w:szCs w:val="22"/>
          <w:lang w:val="en-GB"/>
        </w:rPr>
        <w:t xml:space="preserve"> e </w:t>
      </w:r>
      <w:proofErr w:type="spellStart"/>
      <w:r w:rsidRPr="00997551">
        <w:rPr>
          <w:sz w:val="22"/>
          <w:szCs w:val="22"/>
          <w:lang w:val="en-GB"/>
        </w:rPr>
        <w:t>pavarësisë</w:t>
      </w:r>
      <w:proofErr w:type="spellEnd"/>
      <w:r w:rsidRPr="00997551">
        <w:rPr>
          <w:sz w:val="22"/>
          <w:szCs w:val="22"/>
          <w:lang w:val="en-GB"/>
        </w:rPr>
        <w:t xml:space="preserve">, </w:t>
      </w:r>
      <w:proofErr w:type="spellStart"/>
      <w:r w:rsidRPr="00997551">
        <w:rPr>
          <w:sz w:val="22"/>
          <w:szCs w:val="22"/>
          <w:lang w:val="en-GB"/>
        </w:rPr>
        <w:t>efikasitetit</w:t>
      </w:r>
      <w:proofErr w:type="spellEnd"/>
      <w:r w:rsidRPr="00997551">
        <w:rPr>
          <w:sz w:val="22"/>
          <w:szCs w:val="22"/>
          <w:lang w:val="en-GB"/>
        </w:rPr>
        <w:t xml:space="preserve"> dhe </w:t>
      </w:r>
      <w:proofErr w:type="spellStart"/>
      <w:r w:rsidRPr="00997551">
        <w:rPr>
          <w:sz w:val="22"/>
          <w:szCs w:val="22"/>
          <w:lang w:val="en-GB"/>
        </w:rPr>
        <w:t>profesionalizmit</w:t>
      </w:r>
      <w:proofErr w:type="spellEnd"/>
      <w:r w:rsidRPr="00997551">
        <w:rPr>
          <w:sz w:val="22"/>
          <w:szCs w:val="22"/>
          <w:lang w:val="en-GB"/>
        </w:rPr>
        <w:t xml:space="preserve"> në </w:t>
      </w:r>
      <w:proofErr w:type="spellStart"/>
      <w:r w:rsidRPr="00997551">
        <w:rPr>
          <w:sz w:val="22"/>
          <w:szCs w:val="22"/>
          <w:lang w:val="en-GB"/>
        </w:rPr>
        <w:t>sistemin</w:t>
      </w:r>
      <w:proofErr w:type="spellEnd"/>
      <w:r w:rsidRPr="00997551">
        <w:rPr>
          <w:sz w:val="22"/>
          <w:szCs w:val="22"/>
          <w:lang w:val="en-GB"/>
        </w:rPr>
        <w:t xml:space="preserve"> </w:t>
      </w:r>
      <w:proofErr w:type="spellStart"/>
      <w:r w:rsidRPr="00997551">
        <w:rPr>
          <w:sz w:val="22"/>
          <w:szCs w:val="22"/>
          <w:lang w:val="en-GB"/>
        </w:rPr>
        <w:t>gjyqësor</w:t>
      </w:r>
      <w:proofErr w:type="spellEnd"/>
      <w:r w:rsidRPr="00997551">
        <w:rPr>
          <w:sz w:val="22"/>
          <w:szCs w:val="22"/>
          <w:lang w:val="en-GB"/>
        </w:rPr>
        <w:t xml:space="preserve">. </w:t>
      </w:r>
      <w:proofErr w:type="spellStart"/>
      <w:r w:rsidRPr="00997551">
        <w:rPr>
          <w:sz w:val="22"/>
          <w:szCs w:val="22"/>
          <w:lang w:val="en-GB"/>
        </w:rPr>
        <w:t>Pavarësia</w:t>
      </w:r>
      <w:proofErr w:type="spellEnd"/>
      <w:r w:rsidRPr="00997551">
        <w:rPr>
          <w:sz w:val="22"/>
          <w:szCs w:val="22"/>
          <w:lang w:val="en-GB"/>
        </w:rPr>
        <w:t xml:space="preserve"> dhe </w:t>
      </w:r>
      <w:r w:rsidR="00571EB3" w:rsidRPr="00997551">
        <w:rPr>
          <w:sz w:val="22"/>
          <w:szCs w:val="22"/>
          <w:lang w:val="sq-AL"/>
        </w:rPr>
        <w:t>përgjegjësia</w:t>
      </w:r>
      <w:r w:rsidRPr="00997551">
        <w:rPr>
          <w:sz w:val="22"/>
          <w:szCs w:val="22"/>
          <w:lang w:val="en-GB"/>
        </w:rPr>
        <w:t xml:space="preserve"> në </w:t>
      </w:r>
      <w:proofErr w:type="spellStart"/>
      <w:r w:rsidR="00571EB3" w:rsidRPr="00997551">
        <w:rPr>
          <w:sz w:val="22"/>
          <w:szCs w:val="22"/>
          <w:lang w:val="en-GB"/>
        </w:rPr>
        <w:t>gjyqësor</w:t>
      </w:r>
      <w:proofErr w:type="spellEnd"/>
      <w:r w:rsidRPr="00997551">
        <w:rPr>
          <w:sz w:val="22"/>
          <w:szCs w:val="22"/>
          <w:lang w:val="en-GB"/>
        </w:rPr>
        <w:t xml:space="preserve"> duhet të </w:t>
      </w:r>
      <w:proofErr w:type="spellStart"/>
      <w:r w:rsidRPr="00997551">
        <w:rPr>
          <w:sz w:val="22"/>
          <w:szCs w:val="22"/>
          <w:lang w:val="en-GB"/>
        </w:rPr>
        <w:t>përmirësohen</w:t>
      </w:r>
      <w:proofErr w:type="spellEnd"/>
      <w:r w:rsidRPr="00997551">
        <w:rPr>
          <w:sz w:val="22"/>
          <w:szCs w:val="22"/>
          <w:lang w:val="en-GB"/>
        </w:rPr>
        <w:t xml:space="preserve">. </w:t>
      </w:r>
      <w:proofErr w:type="spellStart"/>
      <w:r w:rsidRPr="00997551">
        <w:rPr>
          <w:sz w:val="22"/>
          <w:szCs w:val="22"/>
          <w:lang w:val="en-GB"/>
        </w:rPr>
        <w:t>Ndërhyrjet</w:t>
      </w:r>
      <w:proofErr w:type="spellEnd"/>
      <w:r w:rsidRPr="00997551">
        <w:rPr>
          <w:sz w:val="22"/>
          <w:szCs w:val="22"/>
          <w:lang w:val="en-GB"/>
        </w:rPr>
        <w:t xml:space="preserve"> e </w:t>
      </w:r>
      <w:proofErr w:type="spellStart"/>
      <w:r w:rsidRPr="00997551">
        <w:rPr>
          <w:sz w:val="22"/>
          <w:szCs w:val="22"/>
          <w:lang w:val="en-GB"/>
        </w:rPr>
        <w:t>jashtme</w:t>
      </w:r>
      <w:proofErr w:type="spellEnd"/>
      <w:r w:rsidRPr="00997551">
        <w:rPr>
          <w:sz w:val="22"/>
          <w:szCs w:val="22"/>
          <w:lang w:val="en-GB"/>
        </w:rPr>
        <w:t xml:space="preserve"> dhe </w:t>
      </w:r>
      <w:proofErr w:type="spellStart"/>
      <w:r w:rsidRPr="00997551">
        <w:rPr>
          <w:sz w:val="22"/>
          <w:szCs w:val="22"/>
          <w:lang w:val="en-GB"/>
        </w:rPr>
        <w:t>politike</w:t>
      </w:r>
      <w:proofErr w:type="spellEnd"/>
      <w:r w:rsidRPr="00997551">
        <w:rPr>
          <w:sz w:val="22"/>
          <w:szCs w:val="22"/>
          <w:lang w:val="en-GB"/>
        </w:rPr>
        <w:t xml:space="preserve"> </w:t>
      </w:r>
      <w:proofErr w:type="spellStart"/>
      <w:r w:rsidRPr="00997551">
        <w:rPr>
          <w:sz w:val="22"/>
          <w:szCs w:val="22"/>
          <w:lang w:val="en-GB"/>
        </w:rPr>
        <w:t>mbeten</w:t>
      </w:r>
      <w:proofErr w:type="spellEnd"/>
      <w:r w:rsidRPr="00997551">
        <w:rPr>
          <w:sz w:val="22"/>
          <w:szCs w:val="22"/>
          <w:lang w:val="en-GB"/>
        </w:rPr>
        <w:t xml:space="preserve"> </w:t>
      </w:r>
      <w:proofErr w:type="spellStart"/>
      <w:r w:rsidRPr="00997551">
        <w:rPr>
          <w:sz w:val="22"/>
          <w:szCs w:val="22"/>
          <w:lang w:val="en-GB"/>
        </w:rPr>
        <w:t>shqetësim</w:t>
      </w:r>
      <w:proofErr w:type="spellEnd"/>
      <w:r w:rsidRPr="00997551">
        <w:rPr>
          <w:sz w:val="22"/>
          <w:szCs w:val="22"/>
          <w:lang w:val="en-GB"/>
        </w:rPr>
        <w:t xml:space="preserve"> </w:t>
      </w:r>
      <w:proofErr w:type="spellStart"/>
      <w:r w:rsidRPr="00997551">
        <w:rPr>
          <w:sz w:val="22"/>
          <w:szCs w:val="22"/>
          <w:lang w:val="en-GB"/>
        </w:rPr>
        <w:t>serioz</w:t>
      </w:r>
      <w:proofErr w:type="spellEnd"/>
      <w:r w:rsidRPr="00997551">
        <w:rPr>
          <w:sz w:val="22"/>
          <w:szCs w:val="22"/>
          <w:lang w:val="en-GB"/>
        </w:rPr>
        <w:t xml:space="preserve">. </w:t>
      </w:r>
      <w:proofErr w:type="spellStart"/>
      <w:r w:rsidRPr="00997551">
        <w:rPr>
          <w:sz w:val="22"/>
          <w:szCs w:val="22"/>
          <w:lang w:val="en-GB"/>
        </w:rPr>
        <w:t>Nevojiten</w:t>
      </w:r>
      <w:proofErr w:type="spellEnd"/>
      <w:r w:rsidRPr="00997551">
        <w:rPr>
          <w:sz w:val="22"/>
          <w:szCs w:val="22"/>
          <w:lang w:val="en-GB"/>
        </w:rPr>
        <w:t xml:space="preserve"> </w:t>
      </w:r>
      <w:proofErr w:type="spellStart"/>
      <w:r w:rsidRPr="00997551">
        <w:rPr>
          <w:sz w:val="22"/>
          <w:szCs w:val="22"/>
          <w:lang w:val="en-GB"/>
        </w:rPr>
        <w:t>përpjekje</w:t>
      </w:r>
      <w:proofErr w:type="spellEnd"/>
      <w:r w:rsidRPr="00997551">
        <w:rPr>
          <w:sz w:val="22"/>
          <w:szCs w:val="22"/>
          <w:lang w:val="en-GB"/>
        </w:rPr>
        <w:t xml:space="preserve"> të </w:t>
      </w:r>
      <w:proofErr w:type="spellStart"/>
      <w:r w:rsidRPr="00997551">
        <w:rPr>
          <w:sz w:val="22"/>
          <w:szCs w:val="22"/>
          <w:lang w:val="en-GB"/>
        </w:rPr>
        <w:t>mëtejshme</w:t>
      </w:r>
      <w:proofErr w:type="spellEnd"/>
      <w:r w:rsidRPr="00997551">
        <w:rPr>
          <w:sz w:val="22"/>
          <w:szCs w:val="22"/>
          <w:lang w:val="en-GB"/>
        </w:rPr>
        <w:t xml:space="preserve"> për </w:t>
      </w:r>
      <w:proofErr w:type="spellStart"/>
      <w:r w:rsidR="00571EB3" w:rsidRPr="00997551">
        <w:rPr>
          <w:sz w:val="22"/>
          <w:szCs w:val="22"/>
          <w:lang w:val="en-GB"/>
        </w:rPr>
        <w:t>përballimin</w:t>
      </w:r>
      <w:proofErr w:type="spellEnd"/>
      <w:r w:rsidRPr="00997551">
        <w:rPr>
          <w:sz w:val="22"/>
          <w:szCs w:val="22"/>
          <w:lang w:val="en-GB"/>
        </w:rPr>
        <w:t xml:space="preserve"> me </w:t>
      </w:r>
      <w:proofErr w:type="spellStart"/>
      <w:r w:rsidRPr="00997551">
        <w:rPr>
          <w:sz w:val="22"/>
          <w:szCs w:val="22"/>
          <w:lang w:val="en-GB"/>
        </w:rPr>
        <w:t>ndërhyrjet</w:t>
      </w:r>
      <w:proofErr w:type="spellEnd"/>
      <w:r w:rsidRPr="00997551">
        <w:rPr>
          <w:sz w:val="22"/>
          <w:szCs w:val="22"/>
          <w:lang w:val="en-GB"/>
        </w:rPr>
        <w:t xml:space="preserve"> e </w:t>
      </w:r>
      <w:proofErr w:type="spellStart"/>
      <w:r w:rsidRPr="00997551">
        <w:rPr>
          <w:sz w:val="22"/>
          <w:szCs w:val="22"/>
          <w:lang w:val="en-GB"/>
        </w:rPr>
        <w:t>jashtme</w:t>
      </w:r>
      <w:proofErr w:type="spellEnd"/>
      <w:r w:rsidRPr="00997551">
        <w:rPr>
          <w:sz w:val="22"/>
          <w:szCs w:val="22"/>
          <w:lang w:val="en-GB"/>
        </w:rPr>
        <w:t xml:space="preserve"> dhe </w:t>
      </w:r>
      <w:proofErr w:type="spellStart"/>
      <w:r w:rsidRPr="00997551">
        <w:rPr>
          <w:sz w:val="22"/>
          <w:szCs w:val="22"/>
          <w:lang w:val="en-GB"/>
        </w:rPr>
        <w:t>politike</w:t>
      </w:r>
      <w:proofErr w:type="spellEnd"/>
      <w:r w:rsidRPr="00997551">
        <w:rPr>
          <w:sz w:val="22"/>
          <w:szCs w:val="22"/>
          <w:lang w:val="en-GB"/>
        </w:rPr>
        <w:t xml:space="preserve"> dhe për rrit</w:t>
      </w:r>
      <w:r w:rsidR="00571EB3" w:rsidRPr="00997551">
        <w:rPr>
          <w:sz w:val="22"/>
          <w:szCs w:val="22"/>
          <w:lang w:val="en-GB"/>
        </w:rPr>
        <w:t>jen e</w:t>
      </w:r>
      <w:r w:rsidRPr="00997551">
        <w:rPr>
          <w:sz w:val="22"/>
          <w:szCs w:val="22"/>
          <w:lang w:val="en-GB"/>
        </w:rPr>
        <w:t xml:space="preserve"> </w:t>
      </w:r>
      <w:proofErr w:type="spellStart"/>
      <w:r w:rsidRPr="00997551">
        <w:rPr>
          <w:sz w:val="22"/>
          <w:szCs w:val="22"/>
          <w:lang w:val="en-GB"/>
        </w:rPr>
        <w:t>transparencë</w:t>
      </w:r>
      <w:r w:rsidR="00571EB3" w:rsidRPr="00997551">
        <w:rPr>
          <w:sz w:val="22"/>
          <w:szCs w:val="22"/>
          <w:lang w:val="en-GB"/>
        </w:rPr>
        <w:t>s</w:t>
      </w:r>
      <w:proofErr w:type="spellEnd"/>
      <w:r w:rsidRPr="00997551">
        <w:rPr>
          <w:sz w:val="22"/>
          <w:szCs w:val="22"/>
          <w:lang w:val="en-GB"/>
        </w:rPr>
        <w:t xml:space="preserve"> dhe </w:t>
      </w:r>
      <w:proofErr w:type="spellStart"/>
      <w:r w:rsidRPr="00997551">
        <w:rPr>
          <w:sz w:val="22"/>
          <w:szCs w:val="22"/>
          <w:lang w:val="en-GB"/>
        </w:rPr>
        <w:t>kapacitetet</w:t>
      </w:r>
      <w:proofErr w:type="spellEnd"/>
      <w:r w:rsidRPr="00997551">
        <w:rPr>
          <w:sz w:val="22"/>
          <w:szCs w:val="22"/>
          <w:lang w:val="en-GB"/>
        </w:rPr>
        <w:t xml:space="preserve"> </w:t>
      </w:r>
      <w:proofErr w:type="spellStart"/>
      <w:r w:rsidRPr="00997551">
        <w:rPr>
          <w:sz w:val="22"/>
          <w:szCs w:val="22"/>
          <w:lang w:val="en-GB"/>
        </w:rPr>
        <w:t>institucionale</w:t>
      </w:r>
      <w:proofErr w:type="spellEnd"/>
      <w:r w:rsidRPr="00997551">
        <w:rPr>
          <w:sz w:val="22"/>
          <w:szCs w:val="22"/>
          <w:lang w:val="en-GB"/>
        </w:rPr>
        <w:t xml:space="preserve"> për </w:t>
      </w:r>
      <w:proofErr w:type="spellStart"/>
      <w:r w:rsidRPr="00997551">
        <w:rPr>
          <w:sz w:val="22"/>
          <w:szCs w:val="22"/>
          <w:lang w:val="en-GB"/>
        </w:rPr>
        <w:t>parandal</w:t>
      </w:r>
      <w:r w:rsidR="00571EB3" w:rsidRPr="00997551">
        <w:rPr>
          <w:sz w:val="22"/>
          <w:szCs w:val="22"/>
          <w:lang w:val="en-GB"/>
        </w:rPr>
        <w:t>imin</w:t>
      </w:r>
      <w:proofErr w:type="spellEnd"/>
      <w:r w:rsidR="00571EB3" w:rsidRPr="00997551">
        <w:rPr>
          <w:sz w:val="22"/>
          <w:szCs w:val="22"/>
          <w:lang w:val="en-GB"/>
        </w:rPr>
        <w:t xml:space="preserve"> e </w:t>
      </w:r>
      <w:proofErr w:type="spellStart"/>
      <w:r w:rsidRPr="00997551">
        <w:rPr>
          <w:sz w:val="22"/>
          <w:szCs w:val="22"/>
          <w:lang w:val="en-GB"/>
        </w:rPr>
        <w:t>ndikimi</w:t>
      </w:r>
      <w:r w:rsidR="00571EB3" w:rsidRPr="00997551">
        <w:rPr>
          <w:sz w:val="22"/>
          <w:szCs w:val="22"/>
          <w:lang w:val="en-GB"/>
        </w:rPr>
        <w:t>t</w:t>
      </w:r>
      <w:proofErr w:type="spellEnd"/>
      <w:r w:rsidRPr="00997551">
        <w:rPr>
          <w:sz w:val="22"/>
          <w:szCs w:val="22"/>
          <w:lang w:val="en-GB"/>
        </w:rPr>
        <w:t xml:space="preserve"> </w:t>
      </w:r>
      <w:r w:rsidR="00571EB3" w:rsidRPr="00997551">
        <w:rPr>
          <w:sz w:val="22"/>
          <w:szCs w:val="22"/>
          <w:lang w:val="en-GB"/>
        </w:rPr>
        <w:t>të</w:t>
      </w:r>
      <w:r w:rsidRPr="00997551">
        <w:rPr>
          <w:sz w:val="22"/>
          <w:szCs w:val="22"/>
          <w:lang w:val="en-GB"/>
        </w:rPr>
        <w:t xml:space="preserve"> </w:t>
      </w:r>
      <w:proofErr w:type="spellStart"/>
      <w:r w:rsidRPr="00997551">
        <w:rPr>
          <w:sz w:val="22"/>
          <w:szCs w:val="22"/>
          <w:lang w:val="en-GB"/>
        </w:rPr>
        <w:t>tepruar</w:t>
      </w:r>
      <w:proofErr w:type="spellEnd"/>
      <w:r w:rsidRPr="00997551">
        <w:rPr>
          <w:sz w:val="22"/>
          <w:szCs w:val="22"/>
          <w:lang w:val="en-GB"/>
        </w:rPr>
        <w:t xml:space="preserve"> </w:t>
      </w:r>
      <w:proofErr w:type="spellStart"/>
      <w:r w:rsidRPr="00997551">
        <w:rPr>
          <w:sz w:val="22"/>
          <w:szCs w:val="22"/>
          <w:lang w:val="en-GB"/>
        </w:rPr>
        <w:t>ose</w:t>
      </w:r>
      <w:proofErr w:type="spellEnd"/>
      <w:r w:rsidRPr="00997551">
        <w:rPr>
          <w:sz w:val="22"/>
          <w:szCs w:val="22"/>
          <w:lang w:val="en-GB"/>
        </w:rPr>
        <w:t xml:space="preserve"> </w:t>
      </w:r>
      <w:proofErr w:type="spellStart"/>
      <w:r w:rsidRPr="00997551">
        <w:rPr>
          <w:sz w:val="22"/>
          <w:szCs w:val="22"/>
          <w:lang w:val="en-GB"/>
        </w:rPr>
        <w:t>frikësimin</w:t>
      </w:r>
      <w:proofErr w:type="spellEnd"/>
      <w:r w:rsidRPr="00997551">
        <w:rPr>
          <w:sz w:val="22"/>
          <w:szCs w:val="22"/>
          <w:lang w:val="en-GB"/>
        </w:rPr>
        <w:t>.</w:t>
      </w:r>
      <w:r w:rsidR="00571EB3" w:rsidRPr="00997551">
        <w:rPr>
          <w:sz w:val="22"/>
          <w:szCs w:val="22"/>
          <w:lang w:val="en-GB"/>
        </w:rPr>
        <w:t xml:space="preserve"> </w:t>
      </w:r>
      <w:proofErr w:type="spellStart"/>
      <w:r w:rsidR="00571EB3" w:rsidRPr="00997551">
        <w:rPr>
          <w:sz w:val="22"/>
          <w:szCs w:val="22"/>
          <w:lang w:val="en-GB"/>
        </w:rPr>
        <w:t>Deficiti</w:t>
      </w:r>
      <w:proofErr w:type="spellEnd"/>
      <w:r w:rsidR="00571EB3" w:rsidRPr="00997551">
        <w:rPr>
          <w:sz w:val="22"/>
          <w:szCs w:val="22"/>
          <w:lang w:val="en-GB"/>
        </w:rPr>
        <w:t xml:space="preserve"> </w:t>
      </w:r>
      <w:proofErr w:type="spellStart"/>
      <w:r w:rsidR="00571EB3"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shtuar</w:t>
      </w:r>
      <w:proofErr w:type="spellEnd"/>
      <w:r w:rsidRPr="00997551">
        <w:rPr>
          <w:sz w:val="22"/>
          <w:szCs w:val="22"/>
          <w:lang w:val="en-GB"/>
        </w:rPr>
        <w:t xml:space="preserve"> </w:t>
      </w:r>
      <w:proofErr w:type="spellStart"/>
      <w:r w:rsidR="00571EB3"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burimeve</w:t>
      </w:r>
      <w:proofErr w:type="spellEnd"/>
      <w:r w:rsidRPr="00997551">
        <w:rPr>
          <w:sz w:val="22"/>
          <w:szCs w:val="22"/>
          <w:lang w:val="en-GB"/>
        </w:rPr>
        <w:t xml:space="preserve"> </w:t>
      </w:r>
      <w:proofErr w:type="spellStart"/>
      <w:r w:rsidRPr="00997551">
        <w:rPr>
          <w:sz w:val="22"/>
          <w:szCs w:val="22"/>
          <w:lang w:val="en-GB"/>
        </w:rPr>
        <w:t>njerëzore</w:t>
      </w:r>
      <w:proofErr w:type="spellEnd"/>
      <w:r w:rsidRPr="00997551">
        <w:rPr>
          <w:sz w:val="22"/>
          <w:szCs w:val="22"/>
          <w:lang w:val="en-GB"/>
        </w:rPr>
        <w:t xml:space="preserve"> </w:t>
      </w:r>
      <w:proofErr w:type="spellStart"/>
      <w:r w:rsidRPr="00997551">
        <w:rPr>
          <w:sz w:val="22"/>
          <w:szCs w:val="22"/>
          <w:lang w:val="en-GB"/>
        </w:rPr>
        <w:t>ndikon</w:t>
      </w:r>
      <w:proofErr w:type="spellEnd"/>
      <w:r w:rsidRPr="00997551">
        <w:rPr>
          <w:sz w:val="22"/>
          <w:szCs w:val="22"/>
          <w:lang w:val="en-GB"/>
        </w:rPr>
        <w:t xml:space="preserve"> në </w:t>
      </w:r>
      <w:proofErr w:type="spellStart"/>
      <w:r w:rsidRPr="00997551">
        <w:rPr>
          <w:sz w:val="22"/>
          <w:szCs w:val="22"/>
          <w:lang w:val="en-GB"/>
        </w:rPr>
        <w:t>cilësinë</w:t>
      </w:r>
      <w:proofErr w:type="spellEnd"/>
      <w:r w:rsidRPr="00997551">
        <w:rPr>
          <w:sz w:val="22"/>
          <w:szCs w:val="22"/>
          <w:lang w:val="en-GB"/>
        </w:rPr>
        <w:t xml:space="preserve"> dhe </w:t>
      </w:r>
      <w:proofErr w:type="spellStart"/>
      <w:r w:rsidRPr="00997551">
        <w:rPr>
          <w:sz w:val="22"/>
          <w:szCs w:val="22"/>
          <w:lang w:val="en-GB"/>
        </w:rPr>
        <w:t>efikasitetin</w:t>
      </w:r>
      <w:proofErr w:type="spellEnd"/>
      <w:r w:rsidRPr="00997551">
        <w:rPr>
          <w:sz w:val="22"/>
          <w:szCs w:val="22"/>
          <w:lang w:val="en-GB"/>
        </w:rPr>
        <w:t xml:space="preserve"> e </w:t>
      </w:r>
      <w:proofErr w:type="spellStart"/>
      <w:r w:rsidRPr="00997551">
        <w:rPr>
          <w:sz w:val="22"/>
          <w:szCs w:val="22"/>
          <w:lang w:val="en-GB"/>
        </w:rPr>
        <w:t>drejtësisë</w:t>
      </w:r>
      <w:proofErr w:type="spellEnd"/>
      <w:r w:rsidRPr="00997551">
        <w:rPr>
          <w:sz w:val="22"/>
          <w:szCs w:val="22"/>
          <w:lang w:val="en-GB"/>
        </w:rPr>
        <w:t xml:space="preserve"> dhe duhet të </w:t>
      </w:r>
      <w:proofErr w:type="spellStart"/>
      <w:r w:rsidRPr="00997551">
        <w:rPr>
          <w:sz w:val="22"/>
          <w:szCs w:val="22"/>
          <w:lang w:val="en-GB"/>
        </w:rPr>
        <w:t>zgjidhet</w:t>
      </w:r>
      <w:proofErr w:type="spellEnd"/>
      <w:r w:rsidRPr="00997551">
        <w:rPr>
          <w:sz w:val="22"/>
          <w:szCs w:val="22"/>
          <w:lang w:val="en-GB"/>
        </w:rPr>
        <w:t>.</w:t>
      </w:r>
    </w:p>
    <w:p w14:paraId="71B040AB" w14:textId="46398D81" w:rsidR="000B03EF" w:rsidRPr="00997551" w:rsidRDefault="00571EB3">
      <w:pPr>
        <w:pStyle w:val="BodyText"/>
        <w:spacing w:after="140"/>
        <w:jc w:val="both"/>
        <w:rPr>
          <w:sz w:val="22"/>
          <w:szCs w:val="22"/>
          <w:lang w:val="sq-AL"/>
        </w:rPr>
      </w:pPr>
      <w:r w:rsidRPr="00997551">
        <w:rPr>
          <w:sz w:val="22"/>
          <w:szCs w:val="22"/>
        </w:rPr>
        <w:t xml:space="preserve">Është vendosur Strategji </w:t>
      </w:r>
      <w:r w:rsidRPr="00997551">
        <w:rPr>
          <w:sz w:val="22"/>
          <w:szCs w:val="22"/>
          <w:lang w:val="sq-AL"/>
        </w:rPr>
        <w:t>nacionale</w:t>
      </w:r>
      <w:r w:rsidRPr="00997551">
        <w:rPr>
          <w:sz w:val="22"/>
          <w:szCs w:val="22"/>
        </w:rPr>
        <w:t xml:space="preserve"> gjithëpërfshirëse për parandalimin e korrupsionit dhe konfliktit të interesit, </w:t>
      </w:r>
      <w:r w:rsidRPr="00997551">
        <w:rPr>
          <w:sz w:val="22"/>
          <w:szCs w:val="22"/>
          <w:lang w:val="sq-AL"/>
        </w:rPr>
        <w:t>implementimi</w:t>
      </w:r>
      <w:r w:rsidRPr="00997551">
        <w:rPr>
          <w:sz w:val="22"/>
          <w:szCs w:val="22"/>
        </w:rPr>
        <w:t xml:space="preserve"> i së cilës duhet të përshpejtohet. Rreziqe të rëndësishme nga korrupsioni ende ekzistojnë në sektorë të ndryshëm. Korniza institucionale për luftën kundër korrupsionit është </w:t>
      </w:r>
      <w:r w:rsidRPr="00997551">
        <w:rPr>
          <w:sz w:val="22"/>
          <w:szCs w:val="22"/>
          <w:lang w:val="sq-AL"/>
        </w:rPr>
        <w:t>krijuar</w:t>
      </w:r>
      <w:r w:rsidRPr="00997551">
        <w:rPr>
          <w:sz w:val="22"/>
          <w:szCs w:val="22"/>
        </w:rPr>
        <w:t xml:space="preserve"> dhe është e kënaqshme në aspektin e masave parandaluese, </w:t>
      </w:r>
      <w:r w:rsidRPr="00997551">
        <w:rPr>
          <w:sz w:val="22"/>
          <w:szCs w:val="22"/>
          <w:lang w:val="sq-AL"/>
        </w:rPr>
        <w:t>edhe pse</w:t>
      </w:r>
      <w:r w:rsidRPr="00997551">
        <w:rPr>
          <w:sz w:val="22"/>
          <w:szCs w:val="22"/>
        </w:rPr>
        <w:t xml:space="preserve"> </w:t>
      </w:r>
      <w:r w:rsidRPr="00997551">
        <w:rPr>
          <w:sz w:val="22"/>
          <w:szCs w:val="22"/>
          <w:lang w:val="sq-AL"/>
        </w:rPr>
        <w:t xml:space="preserve">është e nevojshme </w:t>
      </w:r>
      <w:r w:rsidRPr="00997551">
        <w:rPr>
          <w:sz w:val="22"/>
          <w:szCs w:val="22"/>
        </w:rPr>
        <w:t>përmirësim</w:t>
      </w:r>
      <w:r w:rsidRPr="00997551">
        <w:rPr>
          <w:sz w:val="22"/>
          <w:szCs w:val="22"/>
          <w:lang w:val="sq-AL"/>
        </w:rPr>
        <w:t>i</w:t>
      </w:r>
      <w:r w:rsidRPr="00997551">
        <w:rPr>
          <w:sz w:val="22"/>
          <w:szCs w:val="22"/>
        </w:rPr>
        <w:t xml:space="preserve"> i rezultateve në luftën kundër korrupsionit dhe në </w:t>
      </w:r>
      <w:r w:rsidRPr="00997551">
        <w:rPr>
          <w:sz w:val="22"/>
          <w:szCs w:val="22"/>
          <w:lang w:val="sq-AL"/>
        </w:rPr>
        <w:t>aspketin e implementimit të</w:t>
      </w:r>
      <w:r w:rsidRPr="00997551">
        <w:rPr>
          <w:sz w:val="22"/>
          <w:szCs w:val="22"/>
        </w:rPr>
        <w:t xml:space="preserve"> ligjit. Ndryshimet dhe plotësimet e Kodit Penal në </w:t>
      </w:r>
      <w:r w:rsidRPr="00997551">
        <w:rPr>
          <w:sz w:val="22"/>
          <w:szCs w:val="22"/>
          <w:lang w:val="sq-AL"/>
        </w:rPr>
        <w:t xml:space="preserve">muajin </w:t>
      </w:r>
      <w:r w:rsidRPr="00997551">
        <w:rPr>
          <w:sz w:val="22"/>
          <w:szCs w:val="22"/>
        </w:rPr>
        <w:t xml:space="preserve">shtator </w:t>
      </w:r>
      <w:r w:rsidRPr="00997551">
        <w:rPr>
          <w:sz w:val="22"/>
          <w:szCs w:val="22"/>
          <w:lang w:val="sq-AL"/>
        </w:rPr>
        <w:t xml:space="preserve">të vitit </w:t>
      </w:r>
      <w:r w:rsidRPr="00997551">
        <w:rPr>
          <w:sz w:val="22"/>
          <w:szCs w:val="22"/>
        </w:rPr>
        <w:t xml:space="preserve">2023 e dobësuan kornizën ligjore dhe ndikuan negativisht </w:t>
      </w:r>
      <w:r w:rsidRPr="00997551">
        <w:rPr>
          <w:sz w:val="22"/>
          <w:szCs w:val="22"/>
          <w:lang w:val="sq-AL"/>
        </w:rPr>
        <w:t xml:space="preserve">lidhur  me </w:t>
      </w:r>
      <w:r w:rsidRPr="00997551">
        <w:rPr>
          <w:sz w:val="22"/>
          <w:szCs w:val="22"/>
        </w:rPr>
        <w:t>ndjekjen e korrupsionit, veçanërisht në rastet e korrupsionit në nivele të larta.</w:t>
      </w:r>
      <w:r w:rsidRPr="00997551">
        <w:rPr>
          <w:sz w:val="22"/>
          <w:szCs w:val="22"/>
          <w:lang w:val="sq-AL"/>
        </w:rPr>
        <w:t xml:space="preserve"> V</w:t>
      </w:r>
      <w:r w:rsidRPr="00997551">
        <w:rPr>
          <w:sz w:val="22"/>
          <w:szCs w:val="22"/>
        </w:rPr>
        <w:t>ersion</w:t>
      </w:r>
      <w:r w:rsidRPr="00997551">
        <w:rPr>
          <w:sz w:val="22"/>
          <w:szCs w:val="22"/>
          <w:lang w:val="sq-AL"/>
        </w:rPr>
        <w:t>i</w:t>
      </w:r>
      <w:r w:rsidRPr="00997551">
        <w:rPr>
          <w:sz w:val="22"/>
          <w:szCs w:val="22"/>
        </w:rPr>
        <w:t xml:space="preserve"> i ri i Kodit Penal, në </w:t>
      </w:r>
      <w:r w:rsidRPr="00997551">
        <w:rPr>
          <w:sz w:val="22"/>
          <w:szCs w:val="22"/>
          <w:lang w:val="sq-AL"/>
        </w:rPr>
        <w:t xml:space="preserve">harmonizim me ligjin e </w:t>
      </w:r>
      <w:r w:rsidRPr="00997551">
        <w:rPr>
          <w:sz w:val="22"/>
          <w:szCs w:val="22"/>
        </w:rPr>
        <w:t>BE-së dhe</w:t>
      </w:r>
      <w:r w:rsidRPr="00997551">
        <w:rPr>
          <w:sz w:val="22"/>
          <w:szCs w:val="22"/>
          <w:lang w:val="sq-AL"/>
        </w:rPr>
        <w:t xml:space="preserve"> </w:t>
      </w:r>
      <w:r w:rsidRPr="00997551">
        <w:rPr>
          <w:sz w:val="22"/>
          <w:szCs w:val="22"/>
        </w:rPr>
        <w:t>standardet evropiane, nën mbikëqyrjen e Ministrisë së Drejtësisë, parashi</w:t>
      </w:r>
      <w:r w:rsidRPr="00997551">
        <w:rPr>
          <w:sz w:val="22"/>
          <w:szCs w:val="22"/>
          <w:lang w:val="sq-AL"/>
        </w:rPr>
        <w:t xml:space="preserve">het që të sillet </w:t>
      </w:r>
      <w:r w:rsidRPr="00997551">
        <w:rPr>
          <w:sz w:val="22"/>
          <w:szCs w:val="22"/>
        </w:rPr>
        <w:t>gjatë vitit 2025.</w:t>
      </w:r>
    </w:p>
    <w:p w14:paraId="6CD4983E" w14:textId="11ADCDBF" w:rsidR="00F2628C" w:rsidRPr="00997551" w:rsidRDefault="00F2628C" w:rsidP="000B03EF">
      <w:pPr>
        <w:pStyle w:val="BodyText"/>
        <w:spacing w:after="140"/>
        <w:jc w:val="both"/>
        <w:rPr>
          <w:b/>
          <w:bCs/>
          <w:i/>
          <w:iCs/>
          <w:sz w:val="22"/>
          <w:szCs w:val="22"/>
          <w:lang w:val="en-GB"/>
        </w:rPr>
      </w:pPr>
      <w:proofErr w:type="spellStart"/>
      <w:r w:rsidRPr="00997551">
        <w:rPr>
          <w:b/>
          <w:bCs/>
          <w:i/>
          <w:iCs/>
          <w:sz w:val="22"/>
          <w:szCs w:val="22"/>
          <w:lang w:val="en-GB"/>
        </w:rPr>
        <w:t>Respektimi</w:t>
      </w:r>
      <w:proofErr w:type="spellEnd"/>
      <w:r w:rsidRPr="00997551">
        <w:rPr>
          <w:b/>
          <w:bCs/>
          <w:i/>
          <w:iCs/>
          <w:sz w:val="22"/>
          <w:szCs w:val="22"/>
          <w:lang w:val="en-GB"/>
        </w:rPr>
        <w:t xml:space="preserve"> </w:t>
      </w:r>
      <w:proofErr w:type="spellStart"/>
      <w:r w:rsidRPr="00997551">
        <w:rPr>
          <w:b/>
          <w:bCs/>
          <w:i/>
          <w:iCs/>
          <w:sz w:val="22"/>
          <w:szCs w:val="22"/>
          <w:lang w:val="en-GB"/>
        </w:rPr>
        <w:t>i</w:t>
      </w:r>
      <w:proofErr w:type="spellEnd"/>
      <w:r w:rsidRPr="00997551">
        <w:rPr>
          <w:b/>
          <w:bCs/>
          <w:i/>
          <w:iCs/>
          <w:sz w:val="22"/>
          <w:szCs w:val="22"/>
          <w:lang w:val="en-GB"/>
        </w:rPr>
        <w:t xml:space="preserve"> të gjitha </w:t>
      </w:r>
      <w:proofErr w:type="spellStart"/>
      <w:r w:rsidRPr="00997551">
        <w:rPr>
          <w:b/>
          <w:bCs/>
          <w:i/>
          <w:iCs/>
          <w:sz w:val="22"/>
          <w:szCs w:val="22"/>
          <w:lang w:val="en-GB"/>
        </w:rPr>
        <w:t>detyrimeve</w:t>
      </w:r>
      <w:proofErr w:type="spellEnd"/>
      <w:r w:rsidRPr="00997551">
        <w:rPr>
          <w:b/>
          <w:bCs/>
          <w:i/>
          <w:iCs/>
          <w:sz w:val="22"/>
          <w:szCs w:val="22"/>
          <w:lang w:val="en-GB"/>
        </w:rPr>
        <w:t xml:space="preserve"> dhe të </w:t>
      </w:r>
      <w:proofErr w:type="spellStart"/>
      <w:r w:rsidRPr="00997551">
        <w:rPr>
          <w:b/>
          <w:bCs/>
          <w:i/>
          <w:iCs/>
          <w:sz w:val="22"/>
          <w:szCs w:val="22"/>
          <w:lang w:val="en-GB"/>
        </w:rPr>
        <w:t>drejtave</w:t>
      </w:r>
      <w:proofErr w:type="spellEnd"/>
      <w:r w:rsidRPr="00997551">
        <w:rPr>
          <w:b/>
          <w:bCs/>
          <w:i/>
          <w:iCs/>
          <w:sz w:val="22"/>
          <w:szCs w:val="22"/>
          <w:lang w:val="en-GB"/>
        </w:rPr>
        <w:t xml:space="preserve"> </w:t>
      </w:r>
      <w:proofErr w:type="spellStart"/>
      <w:r w:rsidRPr="00997551">
        <w:rPr>
          <w:b/>
          <w:bCs/>
          <w:i/>
          <w:iCs/>
          <w:sz w:val="22"/>
          <w:szCs w:val="22"/>
          <w:lang w:val="en-GB"/>
        </w:rPr>
        <w:t>njerëzore</w:t>
      </w:r>
      <w:proofErr w:type="spellEnd"/>
    </w:p>
    <w:p w14:paraId="431233B7" w14:textId="437EA6DF" w:rsidR="00F2628C" w:rsidRPr="00997551" w:rsidRDefault="00F2628C" w:rsidP="00CC280F">
      <w:pPr>
        <w:pStyle w:val="BodyText"/>
        <w:spacing w:after="600"/>
        <w:jc w:val="both"/>
        <w:rPr>
          <w:sz w:val="22"/>
          <w:szCs w:val="22"/>
          <w:lang w:val="sq-AL"/>
        </w:rPr>
      </w:pPr>
      <w:r w:rsidRPr="00997551">
        <w:rPr>
          <w:sz w:val="22"/>
          <w:szCs w:val="22"/>
        </w:rPr>
        <w:t xml:space="preserve">Korniza </w:t>
      </w:r>
      <w:r w:rsidRPr="00997551">
        <w:rPr>
          <w:sz w:val="22"/>
          <w:szCs w:val="22"/>
          <w:lang w:val="sq-AL"/>
        </w:rPr>
        <w:t>jurdike</w:t>
      </w:r>
      <w:r w:rsidRPr="00997551">
        <w:rPr>
          <w:sz w:val="22"/>
          <w:szCs w:val="22"/>
        </w:rPr>
        <w:t xml:space="preserve"> e Maqedonisë së Veriut për mbrojtjen e të drejtave </w:t>
      </w:r>
      <w:r w:rsidRPr="00997551">
        <w:rPr>
          <w:sz w:val="22"/>
          <w:szCs w:val="22"/>
          <w:lang w:val="sq-AL"/>
        </w:rPr>
        <w:t>fundamentale</w:t>
      </w:r>
      <w:r w:rsidRPr="00997551">
        <w:rPr>
          <w:sz w:val="22"/>
          <w:szCs w:val="22"/>
        </w:rPr>
        <w:t xml:space="preserve"> është pjesërisht e harmonizuar me </w:t>
      </w:r>
      <w:r w:rsidRPr="00997551">
        <w:rPr>
          <w:sz w:val="22"/>
          <w:szCs w:val="22"/>
          <w:lang w:val="sq-AL"/>
        </w:rPr>
        <w:t>ligjin</w:t>
      </w:r>
      <w:r w:rsidRPr="00997551">
        <w:rPr>
          <w:sz w:val="22"/>
          <w:szCs w:val="22"/>
        </w:rPr>
        <w:t xml:space="preserve"> e BE-së dhe me standardet evropiane. Vendi vazhdon t’i përmbushë detyrimet e tij të përgjithshme për të drejtat </w:t>
      </w:r>
      <w:r w:rsidRPr="00997551">
        <w:rPr>
          <w:sz w:val="22"/>
          <w:szCs w:val="22"/>
          <w:lang w:val="sq-AL"/>
        </w:rPr>
        <w:t>fundamentale</w:t>
      </w:r>
      <w:r w:rsidRPr="00997551">
        <w:rPr>
          <w:sz w:val="22"/>
          <w:szCs w:val="22"/>
        </w:rPr>
        <w:t xml:space="preserve">, megjithëse legjislacioni dhe strategjitë </w:t>
      </w:r>
      <w:r w:rsidRPr="00997551">
        <w:rPr>
          <w:sz w:val="22"/>
          <w:szCs w:val="22"/>
          <w:lang w:val="sq-AL"/>
        </w:rPr>
        <w:t>relevante</w:t>
      </w:r>
      <w:r w:rsidRPr="00997551">
        <w:rPr>
          <w:sz w:val="22"/>
          <w:szCs w:val="22"/>
        </w:rPr>
        <w:t xml:space="preserve"> duhet të </w:t>
      </w:r>
      <w:r w:rsidRPr="00997551">
        <w:rPr>
          <w:sz w:val="22"/>
          <w:szCs w:val="22"/>
          <w:lang w:val="sq-AL"/>
        </w:rPr>
        <w:t>implementohen</w:t>
      </w:r>
      <w:r w:rsidRPr="00997551">
        <w:rPr>
          <w:sz w:val="22"/>
          <w:szCs w:val="22"/>
        </w:rPr>
        <w:t xml:space="preserve"> në mënyrë sistematike. Vendi </w:t>
      </w:r>
      <w:r w:rsidRPr="00997551">
        <w:rPr>
          <w:sz w:val="22"/>
          <w:szCs w:val="22"/>
          <w:lang w:val="sq-AL"/>
        </w:rPr>
        <w:t>ratifikoi</w:t>
      </w:r>
      <w:r w:rsidRPr="00997551">
        <w:rPr>
          <w:sz w:val="22"/>
          <w:szCs w:val="22"/>
        </w:rPr>
        <w:t xml:space="preserve"> shumicën e instrumenteve ndërkombëtare për të drejtat </w:t>
      </w:r>
      <w:r w:rsidRPr="00997551">
        <w:rPr>
          <w:sz w:val="22"/>
          <w:szCs w:val="22"/>
          <w:lang w:val="sq-AL"/>
        </w:rPr>
        <w:t>njerëzore</w:t>
      </w:r>
      <w:r w:rsidRPr="00997551">
        <w:rPr>
          <w:sz w:val="22"/>
          <w:szCs w:val="22"/>
        </w:rPr>
        <w:t>. Duhet të zhvillojë sistem gjithëpërfshirës për monitorimin dhe mbledhjen e të dhënave,</w:t>
      </w:r>
      <w:r w:rsidRPr="00997551">
        <w:rPr>
          <w:sz w:val="22"/>
          <w:szCs w:val="22"/>
          <w:lang w:val="sq-AL"/>
        </w:rPr>
        <w:t xml:space="preserve"> </w:t>
      </w:r>
      <w:r w:rsidRPr="00997551">
        <w:rPr>
          <w:sz w:val="22"/>
          <w:szCs w:val="22"/>
        </w:rPr>
        <w:t xml:space="preserve">që të vlerësohet niveli i </w:t>
      </w:r>
      <w:r w:rsidRPr="00997551">
        <w:rPr>
          <w:sz w:val="22"/>
          <w:szCs w:val="22"/>
          <w:lang w:val="sq-AL"/>
        </w:rPr>
        <w:t>implementimit</w:t>
      </w:r>
      <w:r w:rsidRPr="00997551">
        <w:rPr>
          <w:sz w:val="22"/>
          <w:szCs w:val="22"/>
        </w:rPr>
        <w:t xml:space="preserve"> të legjislacionit, politika</w:t>
      </w:r>
      <w:r w:rsidRPr="00997551">
        <w:rPr>
          <w:sz w:val="22"/>
          <w:szCs w:val="22"/>
          <w:lang w:val="sq-AL"/>
        </w:rPr>
        <w:t>t</w:t>
      </w:r>
      <w:r w:rsidRPr="00997551">
        <w:rPr>
          <w:sz w:val="22"/>
          <w:szCs w:val="22"/>
        </w:rPr>
        <w:t xml:space="preserve"> dhe strategji</w:t>
      </w:r>
      <w:r w:rsidRPr="00997551">
        <w:rPr>
          <w:sz w:val="22"/>
          <w:szCs w:val="22"/>
          <w:lang w:val="sq-AL"/>
        </w:rPr>
        <w:t>t</w:t>
      </w:r>
      <w:r w:rsidRPr="00997551">
        <w:rPr>
          <w:sz w:val="22"/>
          <w:szCs w:val="22"/>
        </w:rPr>
        <w:t xml:space="preserve"> për të drejtat e njeriut dhe të </w:t>
      </w:r>
      <w:r w:rsidRPr="00997551">
        <w:rPr>
          <w:sz w:val="22"/>
          <w:szCs w:val="22"/>
        </w:rPr>
        <w:lastRenderedPageBreak/>
        <w:t>shfrytëzojë plotësisht statusin e tij si vëzhgues në Agjencinë e Bashkimit Evropian për të Drejtat Themelore (</w:t>
      </w:r>
      <w:r w:rsidRPr="00997551">
        <w:rPr>
          <w:sz w:val="22"/>
          <w:szCs w:val="22"/>
          <w:lang w:val="sq-AL"/>
        </w:rPr>
        <w:t>ADF</w:t>
      </w:r>
      <w:r w:rsidRPr="00997551">
        <w:rPr>
          <w:sz w:val="22"/>
          <w:szCs w:val="22"/>
        </w:rPr>
        <w:t xml:space="preserve">). Edhe pse kushtet e përgjithshme në burgje mbeten shqetësim serioz, infrastruktura e burgjeve është rinovuar dhe disa objekte të paraburgimit janë përmirësuar. Kuvendi duhet të </w:t>
      </w:r>
      <w:r w:rsidRPr="00997551">
        <w:rPr>
          <w:sz w:val="22"/>
          <w:szCs w:val="22"/>
          <w:lang w:val="sq-AL"/>
        </w:rPr>
        <w:t>sjell</w:t>
      </w:r>
      <w:r w:rsidRPr="00997551">
        <w:rPr>
          <w:sz w:val="22"/>
          <w:szCs w:val="22"/>
        </w:rPr>
        <w:t xml:space="preserve"> ndryshime dhe plotësime të Ligjit për Avokatin e Popullit, me qëllim që të </w:t>
      </w:r>
      <w:r w:rsidRPr="00997551">
        <w:rPr>
          <w:sz w:val="22"/>
          <w:szCs w:val="22"/>
          <w:lang w:val="sq-AL"/>
        </w:rPr>
        <w:t>mbindërtojë</w:t>
      </w:r>
      <w:r w:rsidRPr="00997551">
        <w:rPr>
          <w:sz w:val="22"/>
          <w:szCs w:val="22"/>
        </w:rPr>
        <w:t xml:space="preserve"> statusi</w:t>
      </w:r>
      <w:r w:rsidRPr="00997551">
        <w:rPr>
          <w:sz w:val="22"/>
          <w:szCs w:val="22"/>
          <w:lang w:val="sq-AL"/>
        </w:rPr>
        <w:t>n</w:t>
      </w:r>
      <w:r w:rsidRPr="00997551">
        <w:rPr>
          <w:sz w:val="22"/>
          <w:szCs w:val="22"/>
        </w:rPr>
        <w:t xml:space="preserve"> </w:t>
      </w:r>
      <w:r w:rsidRPr="00997551">
        <w:rPr>
          <w:sz w:val="22"/>
          <w:szCs w:val="22"/>
          <w:lang w:val="sq-AL"/>
        </w:rPr>
        <w:t>e</w:t>
      </w:r>
      <w:r w:rsidRPr="00997551">
        <w:rPr>
          <w:sz w:val="22"/>
          <w:szCs w:val="22"/>
        </w:rPr>
        <w:t xml:space="preserve"> tij </w:t>
      </w:r>
      <w:r w:rsidRPr="00997551">
        <w:rPr>
          <w:sz w:val="22"/>
          <w:szCs w:val="22"/>
          <w:lang w:val="sq-AL"/>
        </w:rPr>
        <w:t>të</w:t>
      </w:r>
      <w:r w:rsidRPr="00997551">
        <w:rPr>
          <w:sz w:val="22"/>
          <w:szCs w:val="22"/>
        </w:rPr>
        <w:t xml:space="preserve"> akreditimit “B”, në bazë të </w:t>
      </w:r>
      <w:r w:rsidRPr="00997551">
        <w:rPr>
          <w:sz w:val="22"/>
          <w:szCs w:val="22"/>
          <w:lang w:val="sq-AL"/>
        </w:rPr>
        <w:t>p</w:t>
      </w:r>
      <w:r w:rsidRPr="00997551">
        <w:rPr>
          <w:sz w:val="22"/>
          <w:szCs w:val="22"/>
        </w:rPr>
        <w:t>arimeve të Parisit.</w:t>
      </w:r>
    </w:p>
    <w:p w14:paraId="72FF4F05" w14:textId="05677439" w:rsidR="00F2628C" w:rsidRPr="00997551" w:rsidRDefault="00F2628C">
      <w:pPr>
        <w:pStyle w:val="BodyText"/>
        <w:spacing w:after="600"/>
        <w:jc w:val="both"/>
        <w:rPr>
          <w:b/>
          <w:bCs/>
          <w:i/>
          <w:iCs/>
          <w:sz w:val="22"/>
          <w:szCs w:val="22"/>
          <w:u w:val="single"/>
          <w:lang w:val="sq-AL"/>
        </w:rPr>
      </w:pPr>
      <w:r w:rsidRPr="00997551">
        <w:rPr>
          <w:b/>
          <w:bCs/>
          <w:i/>
          <w:iCs/>
          <w:sz w:val="22"/>
          <w:szCs w:val="22"/>
          <w:u w:val="single"/>
        </w:rPr>
        <w:t>Parakushtet konfirmohen si të përmbushura.</w:t>
      </w:r>
    </w:p>
    <w:p w14:paraId="28266E5B" w14:textId="20998D09" w:rsidR="00F2628C" w:rsidRPr="00997551" w:rsidRDefault="00F2628C" w:rsidP="00262A83">
      <w:pPr>
        <w:pStyle w:val="Heading20"/>
        <w:keepNext/>
        <w:keepLines/>
        <w:numPr>
          <w:ilvl w:val="0"/>
          <w:numId w:val="1"/>
        </w:numPr>
        <w:tabs>
          <w:tab w:val="left" w:pos="303"/>
        </w:tabs>
        <w:spacing w:line="259" w:lineRule="auto"/>
        <w:jc w:val="both"/>
        <w:rPr>
          <w:rStyle w:val="Heading2"/>
          <w:b/>
          <w:bCs/>
          <w:sz w:val="22"/>
          <w:szCs w:val="22"/>
          <w:lang w:val="sq-AL"/>
        </w:rPr>
      </w:pPr>
      <w:r w:rsidRPr="00997551">
        <w:rPr>
          <w:sz w:val="22"/>
          <w:szCs w:val="22"/>
        </w:rPr>
        <w:t>Vlerësimi i KE-së për kushtet e përgjithshme për pagesa</w:t>
      </w:r>
      <w:r w:rsidR="00182DB0" w:rsidRPr="00997551">
        <w:rPr>
          <w:rStyle w:val="Heading2"/>
          <w:b/>
          <w:bCs/>
          <w:sz w:val="22"/>
          <w:szCs w:val="22"/>
          <w:lang w:val="mk-MK"/>
        </w:rPr>
        <w:t>)</w:t>
      </w:r>
      <w:r w:rsidR="00182DB0" w:rsidRPr="00997551">
        <w:rPr>
          <w:rStyle w:val="Heading2"/>
          <w:b/>
          <w:bCs/>
          <w:sz w:val="22"/>
          <w:szCs w:val="22"/>
          <w:lang w:val="mk-MK"/>
        </w:rPr>
        <w:tab/>
      </w:r>
    </w:p>
    <w:p w14:paraId="48BEAF71" w14:textId="7DFC4874" w:rsidR="00F2628C" w:rsidRPr="00997551" w:rsidRDefault="00F2628C" w:rsidP="00262A83">
      <w:pPr>
        <w:pStyle w:val="Heading20"/>
        <w:keepNext/>
        <w:keepLines/>
        <w:tabs>
          <w:tab w:val="left" w:pos="709"/>
          <w:tab w:val="left" w:pos="1134"/>
        </w:tabs>
        <w:spacing w:line="259" w:lineRule="auto"/>
        <w:jc w:val="both"/>
        <w:rPr>
          <w:sz w:val="22"/>
          <w:szCs w:val="22"/>
          <w:lang w:val="sq-AL"/>
        </w:rPr>
      </w:pPr>
      <w:r w:rsidRPr="00997551">
        <w:rPr>
          <w:sz w:val="22"/>
          <w:szCs w:val="22"/>
        </w:rPr>
        <w:br/>
        <w:t>a) Vlerësimi i stabilitetit makrofinanciar</w:t>
      </w:r>
    </w:p>
    <w:p w14:paraId="6A927516" w14:textId="22A0C2F4" w:rsidR="006866F8" w:rsidRPr="00997551" w:rsidRDefault="00F863FE" w:rsidP="00144B3D">
      <w:pPr>
        <w:pStyle w:val="BodyText"/>
        <w:jc w:val="both"/>
        <w:rPr>
          <w:rStyle w:val="Heading2"/>
          <w:b w:val="0"/>
          <w:bCs w:val="0"/>
          <w:sz w:val="22"/>
          <w:szCs w:val="22"/>
          <w:lang w:val="sq-AL"/>
        </w:rPr>
      </w:pPr>
      <w:r w:rsidRPr="00997551">
        <w:rPr>
          <w:sz w:val="22"/>
          <w:szCs w:val="22"/>
        </w:rPr>
        <w:t xml:space="preserve">Rritja e BPV-së u përshpejtua në vitin 2024, </w:t>
      </w:r>
      <w:r w:rsidRPr="00997551">
        <w:rPr>
          <w:sz w:val="22"/>
          <w:szCs w:val="22"/>
          <w:lang w:val="sq-AL"/>
        </w:rPr>
        <w:t>i stimular</w:t>
      </w:r>
      <w:r w:rsidRPr="00997551">
        <w:rPr>
          <w:sz w:val="22"/>
          <w:szCs w:val="22"/>
        </w:rPr>
        <w:t xml:space="preserve"> nga investimet dhe shpenzimet publike, </w:t>
      </w:r>
      <w:r w:rsidRPr="00997551">
        <w:rPr>
          <w:sz w:val="22"/>
          <w:szCs w:val="22"/>
          <w:lang w:val="sq-AL"/>
        </w:rPr>
        <w:t>gjatë së cilës</w:t>
      </w:r>
      <w:r w:rsidRPr="00997551">
        <w:rPr>
          <w:sz w:val="22"/>
          <w:szCs w:val="22"/>
        </w:rPr>
        <w:t xml:space="preserve"> </w:t>
      </w:r>
      <w:r w:rsidRPr="00997551">
        <w:rPr>
          <w:sz w:val="22"/>
          <w:szCs w:val="22"/>
          <w:lang w:val="sq-AL"/>
        </w:rPr>
        <w:t xml:space="preserve">e </w:t>
      </w:r>
      <w:r w:rsidRPr="00997551">
        <w:rPr>
          <w:sz w:val="22"/>
          <w:szCs w:val="22"/>
        </w:rPr>
        <w:t>dyta pjesërisht pasqyro</w:t>
      </w:r>
      <w:r w:rsidRPr="00997551">
        <w:rPr>
          <w:sz w:val="22"/>
          <w:szCs w:val="22"/>
          <w:lang w:val="sq-AL"/>
        </w:rPr>
        <w:t>n</w:t>
      </w:r>
      <w:r w:rsidRPr="00997551">
        <w:rPr>
          <w:sz w:val="22"/>
          <w:szCs w:val="22"/>
        </w:rPr>
        <w:t xml:space="preserve"> rritjen e </w:t>
      </w:r>
      <w:r w:rsidRPr="00997551">
        <w:rPr>
          <w:sz w:val="22"/>
          <w:szCs w:val="22"/>
          <w:lang w:val="sq-AL"/>
        </w:rPr>
        <w:t>fuqishme</w:t>
      </w:r>
      <w:r w:rsidRPr="00997551">
        <w:rPr>
          <w:sz w:val="22"/>
          <w:szCs w:val="22"/>
        </w:rPr>
        <w:t xml:space="preserve"> të pagave në sektorin publik. Megjithëse e mbështetur nga rritja e të ardhurave reale dhe lehtësimi i kushteve </w:t>
      </w:r>
      <w:r w:rsidRPr="00997551">
        <w:rPr>
          <w:sz w:val="22"/>
          <w:szCs w:val="22"/>
          <w:lang w:val="sq-AL"/>
        </w:rPr>
        <w:t xml:space="preserve">për </w:t>
      </w:r>
      <w:r w:rsidRPr="00997551">
        <w:rPr>
          <w:sz w:val="22"/>
          <w:szCs w:val="22"/>
        </w:rPr>
        <w:t xml:space="preserve">huamarrje, rritja e konsumit të amvisërive mbeti </w:t>
      </w:r>
      <w:r w:rsidRPr="00997551">
        <w:rPr>
          <w:sz w:val="22"/>
          <w:szCs w:val="22"/>
          <w:lang w:val="sq-AL"/>
        </w:rPr>
        <w:t>e</w:t>
      </w:r>
      <w:r w:rsidRPr="00997551">
        <w:rPr>
          <w:sz w:val="22"/>
          <w:szCs w:val="22"/>
        </w:rPr>
        <w:t xml:space="preserve"> </w:t>
      </w:r>
      <w:r w:rsidRPr="00997551">
        <w:rPr>
          <w:sz w:val="22"/>
          <w:szCs w:val="22"/>
          <w:lang w:val="sq-AL"/>
        </w:rPr>
        <w:t>mangët</w:t>
      </w:r>
      <w:r w:rsidRPr="00997551">
        <w:rPr>
          <w:sz w:val="22"/>
          <w:szCs w:val="22"/>
        </w:rPr>
        <w:t>. Formimi i kapitalit bruto u rrit</w:t>
      </w:r>
      <w:r w:rsidRPr="00997551">
        <w:rPr>
          <w:sz w:val="22"/>
          <w:szCs w:val="22"/>
          <w:lang w:val="sq-AL"/>
        </w:rPr>
        <w:t xml:space="preserve"> për</w:t>
      </w:r>
      <w:r w:rsidRPr="00997551">
        <w:rPr>
          <w:sz w:val="22"/>
          <w:szCs w:val="22"/>
        </w:rPr>
        <w:t xml:space="preserve"> 8,9% në vitin 2024, pas rënies në vitin paraprak. Kontributi i bilancit të jashtëm n</w:t>
      </w:r>
      <w:r w:rsidRPr="00997551">
        <w:rPr>
          <w:sz w:val="22"/>
          <w:szCs w:val="22"/>
          <w:lang w:val="sq-AL"/>
        </w:rPr>
        <w:t>daj</w:t>
      </w:r>
      <w:r w:rsidRPr="00997551">
        <w:rPr>
          <w:sz w:val="22"/>
          <w:szCs w:val="22"/>
        </w:rPr>
        <w:t xml:space="preserve"> rritje</w:t>
      </w:r>
      <w:r w:rsidRPr="00997551">
        <w:rPr>
          <w:sz w:val="22"/>
          <w:szCs w:val="22"/>
          <w:lang w:val="sq-AL"/>
        </w:rPr>
        <w:t>s</w:t>
      </w:r>
      <w:r w:rsidRPr="00997551">
        <w:rPr>
          <w:sz w:val="22"/>
          <w:szCs w:val="22"/>
        </w:rPr>
        <w:t xml:space="preserve"> </w:t>
      </w:r>
      <w:r w:rsidRPr="00997551">
        <w:rPr>
          <w:sz w:val="22"/>
          <w:szCs w:val="22"/>
          <w:lang w:val="sq-AL"/>
        </w:rPr>
        <w:t>mbeti</w:t>
      </w:r>
      <w:r w:rsidRPr="00997551">
        <w:rPr>
          <w:sz w:val="22"/>
          <w:szCs w:val="22"/>
        </w:rPr>
        <w:t xml:space="preserve"> negativ për shkak të ngadalësimit të eksportit, </w:t>
      </w:r>
      <w:r w:rsidRPr="00997551">
        <w:rPr>
          <w:sz w:val="22"/>
          <w:szCs w:val="22"/>
          <w:lang w:val="sq-AL"/>
        </w:rPr>
        <w:t xml:space="preserve">në masë të madhe </w:t>
      </w:r>
      <w:r w:rsidRPr="00997551">
        <w:rPr>
          <w:sz w:val="22"/>
          <w:szCs w:val="22"/>
        </w:rPr>
        <w:t>duke pasqyruar dobësinë në destinacionet dhe sektorët kryesorë të eksportit, veçanërisht në industrinë e automob</w:t>
      </w:r>
      <w:r w:rsidRPr="00997551">
        <w:rPr>
          <w:sz w:val="22"/>
          <w:szCs w:val="22"/>
          <w:lang w:val="sq-AL"/>
        </w:rPr>
        <w:t>ilistike</w:t>
      </w:r>
      <w:r w:rsidRPr="00997551">
        <w:rPr>
          <w:sz w:val="22"/>
          <w:szCs w:val="22"/>
        </w:rPr>
        <w:t xml:space="preserve">. Llogaria </w:t>
      </w:r>
      <w:r w:rsidRPr="00997551">
        <w:rPr>
          <w:sz w:val="22"/>
          <w:szCs w:val="22"/>
          <w:lang w:val="sq-AL"/>
        </w:rPr>
        <w:t>rrjedhëse</w:t>
      </w:r>
      <w:r w:rsidRPr="00997551">
        <w:rPr>
          <w:sz w:val="22"/>
          <w:szCs w:val="22"/>
        </w:rPr>
        <w:t xml:space="preserve"> u rikthye sërish në deficit në vitin 2024, pasi bilanci tregtar i mallrave u përkeqësua dhe remitancat </w:t>
      </w:r>
      <w:r w:rsidRPr="00997551">
        <w:rPr>
          <w:sz w:val="22"/>
          <w:szCs w:val="22"/>
          <w:lang w:val="sq-AL"/>
        </w:rPr>
        <w:t>u zvogëluan</w:t>
      </w:r>
      <w:r w:rsidRPr="00997551">
        <w:rPr>
          <w:sz w:val="22"/>
          <w:szCs w:val="22"/>
        </w:rPr>
        <w:t xml:space="preserve">. Politika monetare e mirëkalibruar dhe </w:t>
      </w:r>
      <w:r w:rsidRPr="00997551">
        <w:rPr>
          <w:sz w:val="22"/>
          <w:szCs w:val="22"/>
          <w:lang w:val="sq-AL"/>
        </w:rPr>
        <w:t>zvogëlimi</w:t>
      </w:r>
      <w:r w:rsidRPr="00997551">
        <w:rPr>
          <w:sz w:val="22"/>
          <w:szCs w:val="22"/>
        </w:rPr>
        <w:t xml:space="preserve"> </w:t>
      </w:r>
      <w:r w:rsidRPr="00997551">
        <w:rPr>
          <w:sz w:val="22"/>
          <w:szCs w:val="22"/>
          <w:lang w:val="sq-AL"/>
        </w:rPr>
        <w:t>i</w:t>
      </w:r>
      <w:r w:rsidRPr="00997551">
        <w:rPr>
          <w:sz w:val="22"/>
          <w:szCs w:val="22"/>
        </w:rPr>
        <w:t xml:space="preserve"> presioneve </w:t>
      </w:r>
      <w:r w:rsidRPr="00997551">
        <w:rPr>
          <w:sz w:val="22"/>
          <w:szCs w:val="22"/>
          <w:lang w:val="sq-AL"/>
        </w:rPr>
        <w:t>mbi</w:t>
      </w:r>
      <w:r w:rsidRPr="00997551">
        <w:rPr>
          <w:sz w:val="22"/>
          <w:szCs w:val="22"/>
        </w:rPr>
        <w:t xml:space="preserve"> çmimet e jashtme mbështetën ngadalësimin e inflacionit bazë në vitin 2024, në një mesatare prej 3,5%.</w:t>
      </w:r>
      <w:r w:rsidRPr="00997551">
        <w:rPr>
          <w:sz w:val="22"/>
          <w:szCs w:val="22"/>
          <w:lang w:val="sq-AL"/>
        </w:rPr>
        <w:t xml:space="preserve"> </w:t>
      </w:r>
      <w:r w:rsidRPr="00997551">
        <w:rPr>
          <w:sz w:val="22"/>
          <w:szCs w:val="22"/>
          <w:lang w:val="en-GB"/>
        </w:rPr>
        <w:t xml:space="preserve">Megjithatë, </w:t>
      </w:r>
      <w:proofErr w:type="spellStart"/>
      <w:r w:rsidRPr="00997551">
        <w:rPr>
          <w:sz w:val="22"/>
          <w:szCs w:val="22"/>
          <w:lang w:val="en-GB"/>
        </w:rPr>
        <w:t>inflacioni</w:t>
      </w:r>
      <w:proofErr w:type="spellEnd"/>
      <w:r w:rsidRPr="00997551">
        <w:rPr>
          <w:sz w:val="22"/>
          <w:szCs w:val="22"/>
          <w:lang w:val="en-GB"/>
        </w:rPr>
        <w:t xml:space="preserve"> </w:t>
      </w:r>
      <w:proofErr w:type="spellStart"/>
      <w:r w:rsidRPr="00997551">
        <w:rPr>
          <w:sz w:val="22"/>
          <w:szCs w:val="22"/>
          <w:lang w:val="en-GB"/>
        </w:rPr>
        <w:t>bazë</w:t>
      </w:r>
      <w:proofErr w:type="spellEnd"/>
      <w:r w:rsidR="004500BD" w:rsidRPr="00997551">
        <w:rPr>
          <w:sz w:val="22"/>
          <w:szCs w:val="22"/>
          <w:lang w:val="en-GB"/>
        </w:rPr>
        <w:t xml:space="preserve"> </w:t>
      </w:r>
      <w:r w:rsidRPr="00997551">
        <w:rPr>
          <w:sz w:val="22"/>
          <w:szCs w:val="22"/>
          <w:lang w:val="en-GB"/>
        </w:rPr>
        <w:t xml:space="preserve">po </w:t>
      </w:r>
      <w:proofErr w:type="spellStart"/>
      <w:r w:rsidRPr="00997551">
        <w:rPr>
          <w:sz w:val="22"/>
          <w:szCs w:val="22"/>
          <w:lang w:val="en-GB"/>
        </w:rPr>
        <w:t>rikuperohet</w:t>
      </w:r>
      <w:proofErr w:type="spellEnd"/>
      <w:r w:rsidRPr="00997551">
        <w:rPr>
          <w:sz w:val="22"/>
          <w:szCs w:val="22"/>
          <w:lang w:val="en-GB"/>
        </w:rPr>
        <w:t xml:space="preserve"> </w:t>
      </w:r>
      <w:proofErr w:type="spellStart"/>
      <w:r w:rsidRPr="00997551">
        <w:rPr>
          <w:sz w:val="22"/>
          <w:szCs w:val="22"/>
          <w:lang w:val="en-GB"/>
        </w:rPr>
        <w:t>që</w:t>
      </w:r>
      <w:proofErr w:type="spellEnd"/>
      <w:r w:rsidRPr="00997551">
        <w:rPr>
          <w:sz w:val="22"/>
          <w:szCs w:val="22"/>
          <w:lang w:val="en-GB"/>
        </w:rPr>
        <w:t xml:space="preserve"> </w:t>
      </w:r>
      <w:proofErr w:type="spellStart"/>
      <w:r w:rsidRPr="00997551">
        <w:rPr>
          <w:sz w:val="22"/>
          <w:szCs w:val="22"/>
          <w:lang w:val="en-GB"/>
        </w:rPr>
        <w:t>nga</w:t>
      </w:r>
      <w:proofErr w:type="spellEnd"/>
      <w:r w:rsidRPr="00997551">
        <w:rPr>
          <w:sz w:val="22"/>
          <w:szCs w:val="22"/>
          <w:lang w:val="en-GB"/>
        </w:rPr>
        <w:t xml:space="preserve"> </w:t>
      </w:r>
      <w:proofErr w:type="spellStart"/>
      <w:r w:rsidRPr="00997551">
        <w:rPr>
          <w:sz w:val="22"/>
          <w:szCs w:val="22"/>
          <w:lang w:val="en-GB"/>
        </w:rPr>
        <w:t>shtatori</w:t>
      </w:r>
      <w:proofErr w:type="spellEnd"/>
      <w:r w:rsidRPr="00997551">
        <w:rPr>
          <w:sz w:val="22"/>
          <w:szCs w:val="22"/>
          <w:lang w:val="en-GB"/>
        </w:rPr>
        <w:t xml:space="preserve"> </w:t>
      </w:r>
      <w:proofErr w:type="spellStart"/>
      <w:r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vitit</w:t>
      </w:r>
      <w:proofErr w:type="spellEnd"/>
      <w:r w:rsidRPr="00997551">
        <w:rPr>
          <w:sz w:val="22"/>
          <w:szCs w:val="22"/>
          <w:lang w:val="en-GB"/>
        </w:rPr>
        <w:t xml:space="preserve"> 2024, </w:t>
      </w:r>
      <w:proofErr w:type="spellStart"/>
      <w:r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stimuluar</w:t>
      </w:r>
      <w:proofErr w:type="spellEnd"/>
      <w:r w:rsidRPr="00997551">
        <w:rPr>
          <w:sz w:val="22"/>
          <w:szCs w:val="22"/>
          <w:lang w:val="en-GB"/>
        </w:rPr>
        <w:t xml:space="preserve"> </w:t>
      </w:r>
      <w:proofErr w:type="spellStart"/>
      <w:r w:rsidRPr="00997551">
        <w:rPr>
          <w:sz w:val="22"/>
          <w:szCs w:val="22"/>
          <w:lang w:val="en-GB"/>
        </w:rPr>
        <w:t>nga</w:t>
      </w:r>
      <w:proofErr w:type="spellEnd"/>
      <w:r w:rsidRPr="00997551">
        <w:rPr>
          <w:sz w:val="22"/>
          <w:szCs w:val="22"/>
          <w:lang w:val="en-GB"/>
        </w:rPr>
        <w:t xml:space="preserve"> </w:t>
      </w:r>
      <w:proofErr w:type="spellStart"/>
      <w:r w:rsidRPr="00997551">
        <w:rPr>
          <w:sz w:val="22"/>
          <w:szCs w:val="22"/>
          <w:lang w:val="en-GB"/>
        </w:rPr>
        <w:t>rritja</w:t>
      </w:r>
      <w:proofErr w:type="spellEnd"/>
      <w:r w:rsidRPr="00997551">
        <w:rPr>
          <w:sz w:val="22"/>
          <w:szCs w:val="22"/>
          <w:lang w:val="en-GB"/>
        </w:rPr>
        <w:t xml:space="preserve"> e </w:t>
      </w:r>
      <w:proofErr w:type="spellStart"/>
      <w:r w:rsidRPr="00997551">
        <w:rPr>
          <w:sz w:val="22"/>
          <w:szCs w:val="22"/>
          <w:lang w:val="en-GB"/>
        </w:rPr>
        <w:t>çmimeve</w:t>
      </w:r>
      <w:proofErr w:type="spellEnd"/>
      <w:r w:rsidRPr="00997551">
        <w:rPr>
          <w:sz w:val="22"/>
          <w:szCs w:val="22"/>
          <w:lang w:val="en-GB"/>
        </w:rPr>
        <w:t xml:space="preserve"> të </w:t>
      </w:r>
      <w:proofErr w:type="spellStart"/>
      <w:r w:rsidRPr="00997551">
        <w:rPr>
          <w:sz w:val="22"/>
          <w:szCs w:val="22"/>
          <w:lang w:val="en-GB"/>
        </w:rPr>
        <w:t>ushqimit</w:t>
      </w:r>
      <w:proofErr w:type="spellEnd"/>
      <w:r w:rsidRPr="00997551">
        <w:rPr>
          <w:sz w:val="22"/>
          <w:szCs w:val="22"/>
          <w:lang w:val="en-GB"/>
        </w:rPr>
        <w:t xml:space="preserve">, </w:t>
      </w:r>
      <w:r w:rsidR="00D71A07" w:rsidRPr="00997551">
        <w:rPr>
          <w:sz w:val="22"/>
          <w:szCs w:val="22"/>
        </w:rPr>
        <w:t>pavarësisht masave të përkohshme qeveritare për kontrollin e çmimeve</w:t>
      </w:r>
      <w:r w:rsidRPr="00997551">
        <w:rPr>
          <w:sz w:val="22"/>
          <w:szCs w:val="22"/>
          <w:lang w:val="en-GB"/>
        </w:rPr>
        <w:t>,</w:t>
      </w:r>
      <w:r w:rsidR="00D71A07" w:rsidRPr="00997551">
        <w:rPr>
          <w:sz w:val="22"/>
          <w:szCs w:val="22"/>
          <w:lang w:val="en-GB"/>
        </w:rPr>
        <w:t xml:space="preserve"> të </w:t>
      </w:r>
      <w:proofErr w:type="spellStart"/>
      <w:r w:rsidR="00D71A07" w:rsidRPr="00997551">
        <w:rPr>
          <w:sz w:val="22"/>
          <w:szCs w:val="22"/>
          <w:lang w:val="en-GB"/>
        </w:rPr>
        <w:t>cilët</w:t>
      </w:r>
      <w:proofErr w:type="spellEnd"/>
      <w:r w:rsidRPr="00997551">
        <w:rPr>
          <w:sz w:val="22"/>
          <w:szCs w:val="22"/>
          <w:lang w:val="en-GB"/>
        </w:rPr>
        <w:t xml:space="preserve"> </w:t>
      </w:r>
      <w:proofErr w:type="spellStart"/>
      <w:r w:rsidRPr="00997551">
        <w:rPr>
          <w:sz w:val="22"/>
          <w:szCs w:val="22"/>
          <w:lang w:val="en-GB"/>
        </w:rPr>
        <w:t>vendos</w:t>
      </w:r>
      <w:r w:rsidR="00D71A07" w:rsidRPr="00997551">
        <w:rPr>
          <w:sz w:val="22"/>
          <w:szCs w:val="22"/>
          <w:lang w:val="en-GB"/>
        </w:rPr>
        <w:t>ën</w:t>
      </w:r>
      <w:proofErr w:type="spellEnd"/>
      <w:r w:rsidRPr="00997551">
        <w:rPr>
          <w:sz w:val="22"/>
          <w:szCs w:val="22"/>
          <w:lang w:val="en-GB"/>
        </w:rPr>
        <w:t xml:space="preserve"> </w:t>
      </w:r>
      <w:proofErr w:type="spellStart"/>
      <w:r w:rsidRPr="00997551">
        <w:rPr>
          <w:sz w:val="22"/>
          <w:szCs w:val="22"/>
          <w:lang w:val="en-GB"/>
        </w:rPr>
        <w:t>kufizime</w:t>
      </w:r>
      <w:proofErr w:type="spellEnd"/>
      <w:r w:rsidRPr="00997551">
        <w:rPr>
          <w:sz w:val="22"/>
          <w:szCs w:val="22"/>
          <w:lang w:val="en-GB"/>
        </w:rPr>
        <w:t xml:space="preserve"> </w:t>
      </w:r>
      <w:proofErr w:type="spellStart"/>
      <w:r w:rsidRPr="00997551">
        <w:rPr>
          <w:sz w:val="22"/>
          <w:szCs w:val="22"/>
          <w:lang w:val="en-GB"/>
        </w:rPr>
        <w:t>mbi</w:t>
      </w:r>
      <w:proofErr w:type="spellEnd"/>
      <w:r w:rsidRPr="00997551">
        <w:rPr>
          <w:sz w:val="22"/>
          <w:szCs w:val="22"/>
          <w:lang w:val="en-GB"/>
        </w:rPr>
        <w:t xml:space="preserve"> </w:t>
      </w:r>
      <w:proofErr w:type="spellStart"/>
      <w:r w:rsidRPr="00997551">
        <w:rPr>
          <w:sz w:val="22"/>
          <w:szCs w:val="22"/>
          <w:lang w:val="en-GB"/>
        </w:rPr>
        <w:t>marzhet</w:t>
      </w:r>
      <w:proofErr w:type="spellEnd"/>
      <w:r w:rsidRPr="00997551">
        <w:rPr>
          <w:sz w:val="22"/>
          <w:szCs w:val="22"/>
          <w:lang w:val="en-GB"/>
        </w:rPr>
        <w:t xml:space="preserve"> e </w:t>
      </w:r>
      <w:proofErr w:type="spellStart"/>
      <w:r w:rsidRPr="00997551">
        <w:rPr>
          <w:sz w:val="22"/>
          <w:szCs w:val="22"/>
          <w:lang w:val="en-GB"/>
        </w:rPr>
        <w:t>tregtarëve</w:t>
      </w:r>
      <w:proofErr w:type="spellEnd"/>
      <w:r w:rsidRPr="00997551">
        <w:rPr>
          <w:sz w:val="22"/>
          <w:szCs w:val="22"/>
          <w:lang w:val="en-GB"/>
        </w:rPr>
        <w:t xml:space="preserve"> me </w:t>
      </w:r>
      <w:proofErr w:type="spellStart"/>
      <w:r w:rsidRPr="00997551">
        <w:rPr>
          <w:sz w:val="22"/>
          <w:szCs w:val="22"/>
          <w:lang w:val="en-GB"/>
        </w:rPr>
        <w:t>pakicë</w:t>
      </w:r>
      <w:proofErr w:type="spellEnd"/>
      <w:r w:rsidRPr="00997551">
        <w:rPr>
          <w:sz w:val="22"/>
          <w:szCs w:val="22"/>
          <w:lang w:val="en-GB"/>
        </w:rPr>
        <w:t xml:space="preserve"> për </w:t>
      </w:r>
      <w:proofErr w:type="spellStart"/>
      <w:r w:rsidRPr="00997551">
        <w:rPr>
          <w:sz w:val="22"/>
          <w:szCs w:val="22"/>
          <w:lang w:val="en-GB"/>
        </w:rPr>
        <w:t>pro</w:t>
      </w:r>
      <w:r w:rsidR="00D71A07" w:rsidRPr="00997551">
        <w:rPr>
          <w:sz w:val="22"/>
          <w:szCs w:val="22"/>
          <w:lang w:val="en-GB"/>
        </w:rPr>
        <w:t>dhimet</w:t>
      </w:r>
      <w:proofErr w:type="spellEnd"/>
      <w:r w:rsidRPr="00997551">
        <w:rPr>
          <w:sz w:val="22"/>
          <w:szCs w:val="22"/>
          <w:lang w:val="en-GB"/>
        </w:rPr>
        <w:t xml:space="preserve"> </w:t>
      </w:r>
      <w:proofErr w:type="spellStart"/>
      <w:r w:rsidRPr="00997551">
        <w:rPr>
          <w:sz w:val="22"/>
          <w:szCs w:val="22"/>
          <w:lang w:val="en-GB"/>
        </w:rPr>
        <w:t>bazë</w:t>
      </w:r>
      <w:proofErr w:type="spellEnd"/>
      <w:r w:rsidRPr="00997551">
        <w:rPr>
          <w:sz w:val="22"/>
          <w:szCs w:val="22"/>
          <w:lang w:val="en-GB"/>
        </w:rPr>
        <w:t xml:space="preserve"> </w:t>
      </w:r>
      <w:proofErr w:type="spellStart"/>
      <w:r w:rsidRPr="00997551">
        <w:rPr>
          <w:sz w:val="22"/>
          <w:szCs w:val="22"/>
          <w:lang w:val="en-GB"/>
        </w:rPr>
        <w:t>ushqimore</w:t>
      </w:r>
      <w:proofErr w:type="spellEnd"/>
      <w:r w:rsidRPr="00997551">
        <w:rPr>
          <w:sz w:val="22"/>
          <w:szCs w:val="22"/>
          <w:lang w:val="en-GB"/>
        </w:rPr>
        <w:t xml:space="preserve">. </w:t>
      </w:r>
      <w:r w:rsidR="00D71A07" w:rsidRPr="00997551">
        <w:rPr>
          <w:sz w:val="22"/>
          <w:szCs w:val="22"/>
        </w:rPr>
        <w:t xml:space="preserve">Inflacioni bazë mbeti i qëndrueshëm, ndërkohë që efektet dytësore të çmimeve të larta të energjisë dhe ushqimeve mbi sektorët e tjerë </w:t>
      </w:r>
      <w:r w:rsidR="00D71A07" w:rsidRPr="00997551">
        <w:rPr>
          <w:sz w:val="22"/>
          <w:szCs w:val="22"/>
          <w:lang w:val="sq-AL"/>
        </w:rPr>
        <w:t xml:space="preserve">po </w:t>
      </w:r>
      <w:r w:rsidR="00D71A07" w:rsidRPr="00997551">
        <w:rPr>
          <w:sz w:val="22"/>
          <w:szCs w:val="22"/>
        </w:rPr>
        <w:t>ulen ngadalë</w:t>
      </w:r>
      <w:r w:rsidRPr="00997551">
        <w:rPr>
          <w:sz w:val="22"/>
          <w:szCs w:val="22"/>
          <w:lang w:val="en-GB"/>
        </w:rPr>
        <w:t xml:space="preserve">. Banka </w:t>
      </w:r>
      <w:proofErr w:type="spellStart"/>
      <w:r w:rsidRPr="00997551">
        <w:rPr>
          <w:sz w:val="22"/>
          <w:szCs w:val="22"/>
          <w:lang w:val="en-GB"/>
        </w:rPr>
        <w:t>Qendrore</w:t>
      </w:r>
      <w:proofErr w:type="spellEnd"/>
      <w:r w:rsidRPr="00997551">
        <w:rPr>
          <w:sz w:val="22"/>
          <w:szCs w:val="22"/>
          <w:lang w:val="en-GB"/>
        </w:rPr>
        <w:t xml:space="preserve"> </w:t>
      </w:r>
      <w:proofErr w:type="spellStart"/>
      <w:r w:rsidR="00D71A07" w:rsidRPr="00997551">
        <w:rPr>
          <w:sz w:val="22"/>
          <w:szCs w:val="22"/>
          <w:lang w:val="en-GB"/>
        </w:rPr>
        <w:t>zvogëloi</w:t>
      </w:r>
      <w:proofErr w:type="spellEnd"/>
      <w:r w:rsidRPr="00997551">
        <w:rPr>
          <w:sz w:val="22"/>
          <w:szCs w:val="22"/>
          <w:lang w:val="en-GB"/>
        </w:rPr>
        <w:t xml:space="preserve"> </w:t>
      </w:r>
      <w:proofErr w:type="spellStart"/>
      <w:r w:rsidRPr="00997551">
        <w:rPr>
          <w:sz w:val="22"/>
          <w:szCs w:val="22"/>
          <w:lang w:val="en-GB"/>
        </w:rPr>
        <w:t>normën</w:t>
      </w:r>
      <w:proofErr w:type="spellEnd"/>
      <w:r w:rsidRPr="00997551">
        <w:rPr>
          <w:sz w:val="22"/>
          <w:szCs w:val="22"/>
          <w:lang w:val="en-GB"/>
        </w:rPr>
        <w:t xml:space="preserve"> </w:t>
      </w:r>
      <w:proofErr w:type="spellStart"/>
      <w:r w:rsidRPr="00997551">
        <w:rPr>
          <w:sz w:val="22"/>
          <w:szCs w:val="22"/>
          <w:lang w:val="en-GB"/>
        </w:rPr>
        <w:t>kyçe</w:t>
      </w:r>
      <w:proofErr w:type="spellEnd"/>
      <w:r w:rsidRPr="00997551">
        <w:rPr>
          <w:sz w:val="22"/>
          <w:szCs w:val="22"/>
          <w:lang w:val="en-GB"/>
        </w:rPr>
        <w:t xml:space="preserve"> të </w:t>
      </w:r>
      <w:proofErr w:type="spellStart"/>
      <w:r w:rsidRPr="00997551">
        <w:rPr>
          <w:sz w:val="22"/>
          <w:szCs w:val="22"/>
          <w:lang w:val="en-GB"/>
        </w:rPr>
        <w:t>interesit</w:t>
      </w:r>
      <w:proofErr w:type="spellEnd"/>
      <w:r w:rsidRPr="00997551">
        <w:rPr>
          <w:sz w:val="22"/>
          <w:szCs w:val="22"/>
          <w:lang w:val="en-GB"/>
        </w:rPr>
        <w:t xml:space="preserve"> në </w:t>
      </w:r>
      <w:proofErr w:type="spellStart"/>
      <w:r w:rsidRPr="00997551">
        <w:rPr>
          <w:sz w:val="22"/>
          <w:szCs w:val="22"/>
          <w:lang w:val="en-GB"/>
        </w:rPr>
        <w:t>disa</w:t>
      </w:r>
      <w:proofErr w:type="spellEnd"/>
      <w:r w:rsidRPr="00997551">
        <w:rPr>
          <w:sz w:val="22"/>
          <w:szCs w:val="22"/>
          <w:lang w:val="en-GB"/>
        </w:rPr>
        <w:t xml:space="preserve"> hapa </w:t>
      </w:r>
      <w:proofErr w:type="spellStart"/>
      <w:r w:rsidRPr="00997551">
        <w:rPr>
          <w:sz w:val="22"/>
          <w:szCs w:val="22"/>
          <w:lang w:val="en-GB"/>
        </w:rPr>
        <w:t>që</w:t>
      </w:r>
      <w:proofErr w:type="spellEnd"/>
      <w:r w:rsidRPr="00997551">
        <w:rPr>
          <w:sz w:val="22"/>
          <w:szCs w:val="22"/>
          <w:lang w:val="en-GB"/>
        </w:rPr>
        <w:t xml:space="preserve"> </w:t>
      </w:r>
      <w:proofErr w:type="spellStart"/>
      <w:r w:rsidRPr="00997551">
        <w:rPr>
          <w:sz w:val="22"/>
          <w:szCs w:val="22"/>
          <w:lang w:val="en-GB"/>
        </w:rPr>
        <w:t>nga</w:t>
      </w:r>
      <w:proofErr w:type="spellEnd"/>
      <w:r w:rsidRPr="00997551">
        <w:rPr>
          <w:sz w:val="22"/>
          <w:szCs w:val="22"/>
          <w:lang w:val="en-GB"/>
        </w:rPr>
        <w:t xml:space="preserve"> </w:t>
      </w:r>
      <w:proofErr w:type="spellStart"/>
      <w:r w:rsidRPr="00997551">
        <w:rPr>
          <w:sz w:val="22"/>
          <w:szCs w:val="22"/>
          <w:lang w:val="en-GB"/>
        </w:rPr>
        <w:t>shtatori</w:t>
      </w:r>
      <w:proofErr w:type="spellEnd"/>
      <w:r w:rsidRPr="00997551">
        <w:rPr>
          <w:sz w:val="22"/>
          <w:szCs w:val="22"/>
          <w:lang w:val="en-GB"/>
        </w:rPr>
        <w:t xml:space="preserve"> </w:t>
      </w:r>
      <w:r w:rsidR="00D71A07" w:rsidRPr="00997551">
        <w:rPr>
          <w:sz w:val="22"/>
          <w:szCs w:val="22"/>
          <w:lang w:val="sq-AL"/>
        </w:rPr>
        <w:t xml:space="preserve">i vitit </w:t>
      </w:r>
      <w:r w:rsidRPr="00997551">
        <w:rPr>
          <w:sz w:val="22"/>
          <w:szCs w:val="22"/>
          <w:lang w:val="en-GB"/>
        </w:rPr>
        <w:t xml:space="preserve">2024, </w:t>
      </w:r>
      <w:proofErr w:type="spellStart"/>
      <w:r w:rsidRPr="00997551">
        <w:rPr>
          <w:sz w:val="22"/>
          <w:szCs w:val="22"/>
          <w:lang w:val="en-GB"/>
        </w:rPr>
        <w:t>nga</w:t>
      </w:r>
      <w:proofErr w:type="spellEnd"/>
      <w:r w:rsidRPr="00997551">
        <w:rPr>
          <w:sz w:val="22"/>
          <w:szCs w:val="22"/>
          <w:lang w:val="en-GB"/>
        </w:rPr>
        <w:t xml:space="preserve"> 6,30% në 5,35% në </w:t>
      </w:r>
      <w:proofErr w:type="spellStart"/>
      <w:r w:rsidRPr="00997551">
        <w:rPr>
          <w:sz w:val="22"/>
          <w:szCs w:val="22"/>
          <w:lang w:val="en-GB"/>
        </w:rPr>
        <w:t>shkurt</w:t>
      </w:r>
      <w:proofErr w:type="spellEnd"/>
      <w:r w:rsidRPr="00997551">
        <w:rPr>
          <w:sz w:val="22"/>
          <w:szCs w:val="22"/>
          <w:lang w:val="en-GB"/>
        </w:rPr>
        <w:t xml:space="preserve"> </w:t>
      </w:r>
      <w:r w:rsidR="00D71A07" w:rsidRPr="00997551">
        <w:rPr>
          <w:sz w:val="22"/>
          <w:szCs w:val="22"/>
          <w:lang w:val="en-GB"/>
        </w:rPr>
        <w:t xml:space="preserve">të </w:t>
      </w:r>
      <w:proofErr w:type="spellStart"/>
      <w:r w:rsidR="00D71A07" w:rsidRPr="00997551">
        <w:rPr>
          <w:sz w:val="22"/>
          <w:szCs w:val="22"/>
          <w:lang w:val="en-GB"/>
        </w:rPr>
        <w:t>vitit</w:t>
      </w:r>
      <w:proofErr w:type="spellEnd"/>
      <w:r w:rsidR="00D71A07" w:rsidRPr="00997551">
        <w:rPr>
          <w:sz w:val="22"/>
          <w:szCs w:val="22"/>
          <w:lang w:val="en-GB"/>
        </w:rPr>
        <w:t xml:space="preserve"> </w:t>
      </w:r>
      <w:r w:rsidRPr="00997551">
        <w:rPr>
          <w:sz w:val="22"/>
          <w:szCs w:val="22"/>
          <w:lang w:val="en-GB"/>
        </w:rPr>
        <w:t xml:space="preserve">2025. Me 4,4% të BPV-së, </w:t>
      </w:r>
      <w:proofErr w:type="spellStart"/>
      <w:r w:rsidRPr="00997551">
        <w:rPr>
          <w:sz w:val="22"/>
          <w:szCs w:val="22"/>
          <w:lang w:val="en-GB"/>
        </w:rPr>
        <w:t>deficiti</w:t>
      </w:r>
      <w:proofErr w:type="spellEnd"/>
      <w:r w:rsidRPr="00997551">
        <w:rPr>
          <w:sz w:val="22"/>
          <w:szCs w:val="22"/>
          <w:lang w:val="en-GB"/>
        </w:rPr>
        <w:t xml:space="preserve"> </w:t>
      </w:r>
      <w:proofErr w:type="spellStart"/>
      <w:r w:rsidRPr="00997551">
        <w:rPr>
          <w:sz w:val="22"/>
          <w:szCs w:val="22"/>
          <w:lang w:val="en-GB"/>
        </w:rPr>
        <w:t>fiskal</w:t>
      </w:r>
      <w:proofErr w:type="spellEnd"/>
      <w:r w:rsidRPr="00997551">
        <w:rPr>
          <w:sz w:val="22"/>
          <w:szCs w:val="22"/>
          <w:lang w:val="en-GB"/>
        </w:rPr>
        <w:t xml:space="preserve"> </w:t>
      </w:r>
      <w:proofErr w:type="spellStart"/>
      <w:r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përgjithshëm</w:t>
      </w:r>
      <w:proofErr w:type="spellEnd"/>
      <w:r w:rsidRPr="00997551">
        <w:rPr>
          <w:sz w:val="22"/>
          <w:szCs w:val="22"/>
          <w:lang w:val="en-GB"/>
        </w:rPr>
        <w:t xml:space="preserve"> </w:t>
      </w:r>
      <w:proofErr w:type="spellStart"/>
      <w:r w:rsidRPr="00997551">
        <w:rPr>
          <w:sz w:val="22"/>
          <w:szCs w:val="22"/>
          <w:lang w:val="en-GB"/>
        </w:rPr>
        <w:t>i</w:t>
      </w:r>
      <w:proofErr w:type="spellEnd"/>
      <w:r w:rsidRPr="00997551">
        <w:rPr>
          <w:sz w:val="22"/>
          <w:szCs w:val="22"/>
          <w:lang w:val="en-GB"/>
        </w:rPr>
        <w:t xml:space="preserve"> Qeverisë </w:t>
      </w:r>
      <w:proofErr w:type="spellStart"/>
      <w:r w:rsidRPr="00997551">
        <w:rPr>
          <w:sz w:val="22"/>
          <w:szCs w:val="22"/>
          <w:lang w:val="en-GB"/>
        </w:rPr>
        <w:t>mbeti</w:t>
      </w:r>
      <w:proofErr w:type="spellEnd"/>
      <w:r w:rsidRPr="00997551">
        <w:rPr>
          <w:sz w:val="22"/>
          <w:szCs w:val="22"/>
          <w:lang w:val="en-GB"/>
        </w:rPr>
        <w:t xml:space="preserve"> </w:t>
      </w:r>
      <w:proofErr w:type="spellStart"/>
      <w:r w:rsidRPr="00997551">
        <w:rPr>
          <w:sz w:val="22"/>
          <w:szCs w:val="22"/>
          <w:lang w:val="en-GB"/>
        </w:rPr>
        <w:t>nën</w:t>
      </w:r>
      <w:proofErr w:type="spellEnd"/>
      <w:r w:rsidRPr="00997551">
        <w:rPr>
          <w:sz w:val="22"/>
          <w:szCs w:val="22"/>
          <w:lang w:val="en-GB"/>
        </w:rPr>
        <w:t xml:space="preserve"> </w:t>
      </w:r>
      <w:proofErr w:type="spellStart"/>
      <w:r w:rsidRPr="00997551">
        <w:rPr>
          <w:sz w:val="22"/>
          <w:szCs w:val="22"/>
          <w:lang w:val="en-GB"/>
        </w:rPr>
        <w:t>objektivin</w:t>
      </w:r>
      <w:proofErr w:type="spellEnd"/>
      <w:r w:rsidRPr="00997551">
        <w:rPr>
          <w:sz w:val="22"/>
          <w:szCs w:val="22"/>
          <w:lang w:val="en-GB"/>
        </w:rPr>
        <w:t xml:space="preserve"> e </w:t>
      </w:r>
      <w:proofErr w:type="spellStart"/>
      <w:r w:rsidRPr="00997551">
        <w:rPr>
          <w:sz w:val="22"/>
          <w:szCs w:val="22"/>
          <w:lang w:val="en-GB"/>
        </w:rPr>
        <w:t>rishikuar</w:t>
      </w:r>
      <w:proofErr w:type="spellEnd"/>
      <w:r w:rsidRPr="00997551">
        <w:rPr>
          <w:sz w:val="22"/>
          <w:szCs w:val="22"/>
          <w:lang w:val="en-GB"/>
        </w:rPr>
        <w:t xml:space="preserve"> (4,7%) në 2024, </w:t>
      </w:r>
      <w:proofErr w:type="spellStart"/>
      <w:r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mbështetur</w:t>
      </w:r>
      <w:proofErr w:type="spellEnd"/>
      <w:r w:rsidRPr="00997551">
        <w:rPr>
          <w:sz w:val="22"/>
          <w:szCs w:val="22"/>
          <w:lang w:val="en-GB"/>
        </w:rPr>
        <w:t xml:space="preserve"> </w:t>
      </w:r>
      <w:proofErr w:type="spellStart"/>
      <w:r w:rsidRPr="00997551">
        <w:rPr>
          <w:sz w:val="22"/>
          <w:szCs w:val="22"/>
          <w:lang w:val="en-GB"/>
        </w:rPr>
        <w:t>nga</w:t>
      </w:r>
      <w:proofErr w:type="spellEnd"/>
      <w:r w:rsidRPr="00997551">
        <w:rPr>
          <w:sz w:val="22"/>
          <w:szCs w:val="22"/>
          <w:lang w:val="en-GB"/>
        </w:rPr>
        <w:t xml:space="preserve"> </w:t>
      </w:r>
      <w:proofErr w:type="spellStart"/>
      <w:r w:rsidR="00D71A07" w:rsidRPr="00997551">
        <w:rPr>
          <w:sz w:val="22"/>
          <w:szCs w:val="22"/>
          <w:lang w:val="en-GB"/>
        </w:rPr>
        <w:t>implementimi</w:t>
      </w:r>
      <w:proofErr w:type="spellEnd"/>
      <w:r w:rsidRPr="00997551">
        <w:rPr>
          <w:sz w:val="22"/>
          <w:szCs w:val="22"/>
          <w:lang w:val="en-GB"/>
        </w:rPr>
        <w:t xml:space="preserve"> jo </w:t>
      </w:r>
      <w:proofErr w:type="spellStart"/>
      <w:r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plotë</w:t>
      </w:r>
      <w:proofErr w:type="spellEnd"/>
      <w:r w:rsidRPr="00997551">
        <w:rPr>
          <w:sz w:val="22"/>
          <w:szCs w:val="22"/>
          <w:lang w:val="en-GB"/>
        </w:rPr>
        <w:t xml:space="preserve"> </w:t>
      </w:r>
      <w:proofErr w:type="spellStart"/>
      <w:r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shpenzimeve</w:t>
      </w:r>
      <w:proofErr w:type="spellEnd"/>
      <w:r w:rsidRPr="00997551">
        <w:rPr>
          <w:sz w:val="22"/>
          <w:szCs w:val="22"/>
          <w:lang w:val="en-GB"/>
        </w:rPr>
        <w:t xml:space="preserve"> </w:t>
      </w:r>
      <w:proofErr w:type="spellStart"/>
      <w:r w:rsidRPr="00997551">
        <w:rPr>
          <w:sz w:val="22"/>
          <w:szCs w:val="22"/>
          <w:lang w:val="en-GB"/>
        </w:rPr>
        <w:t>kapitale</w:t>
      </w:r>
      <w:proofErr w:type="spellEnd"/>
      <w:r w:rsidRPr="00997551">
        <w:rPr>
          <w:sz w:val="22"/>
          <w:szCs w:val="22"/>
          <w:lang w:val="en-GB"/>
        </w:rPr>
        <w:t xml:space="preserve">, </w:t>
      </w:r>
      <w:proofErr w:type="spellStart"/>
      <w:r w:rsidRPr="00997551">
        <w:rPr>
          <w:sz w:val="22"/>
          <w:szCs w:val="22"/>
          <w:lang w:val="en-GB"/>
        </w:rPr>
        <w:t>borxhet</w:t>
      </w:r>
      <w:proofErr w:type="spellEnd"/>
      <w:r w:rsidRPr="00997551">
        <w:rPr>
          <w:sz w:val="22"/>
          <w:szCs w:val="22"/>
          <w:lang w:val="en-GB"/>
        </w:rPr>
        <w:t xml:space="preserve"> e </w:t>
      </w:r>
      <w:proofErr w:type="spellStart"/>
      <w:r w:rsidRPr="00997551">
        <w:rPr>
          <w:sz w:val="22"/>
          <w:szCs w:val="22"/>
          <w:lang w:val="en-GB"/>
        </w:rPr>
        <w:t>mbetura</w:t>
      </w:r>
      <w:proofErr w:type="spellEnd"/>
      <w:r w:rsidRPr="00997551">
        <w:rPr>
          <w:sz w:val="22"/>
          <w:szCs w:val="22"/>
          <w:lang w:val="en-GB"/>
        </w:rPr>
        <w:t xml:space="preserve"> dhe </w:t>
      </w:r>
      <w:proofErr w:type="spellStart"/>
      <w:r w:rsidR="00D71A07" w:rsidRPr="00997551">
        <w:rPr>
          <w:sz w:val="22"/>
          <w:szCs w:val="22"/>
          <w:lang w:val="en-GB"/>
        </w:rPr>
        <w:t>kthimi</w:t>
      </w:r>
      <w:proofErr w:type="spellEnd"/>
      <w:r w:rsidRPr="00997551">
        <w:rPr>
          <w:sz w:val="22"/>
          <w:szCs w:val="22"/>
          <w:lang w:val="en-GB"/>
        </w:rPr>
        <w:t xml:space="preserve"> </w:t>
      </w:r>
      <w:proofErr w:type="spellStart"/>
      <w:r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vazhdueshëm</w:t>
      </w:r>
      <w:proofErr w:type="spellEnd"/>
      <w:r w:rsidRPr="00997551">
        <w:rPr>
          <w:sz w:val="22"/>
          <w:szCs w:val="22"/>
          <w:lang w:val="en-GB"/>
        </w:rPr>
        <w:t xml:space="preserve"> </w:t>
      </w:r>
      <w:proofErr w:type="spellStart"/>
      <w:r w:rsidRPr="00997551">
        <w:rPr>
          <w:sz w:val="22"/>
          <w:szCs w:val="22"/>
          <w:lang w:val="en-GB"/>
        </w:rPr>
        <w:t>i</w:t>
      </w:r>
      <w:proofErr w:type="spellEnd"/>
      <w:r w:rsidRPr="00997551">
        <w:rPr>
          <w:sz w:val="22"/>
          <w:szCs w:val="22"/>
          <w:lang w:val="en-GB"/>
        </w:rPr>
        <w:t xml:space="preserve"> TVSH-së. </w:t>
      </w:r>
      <w:proofErr w:type="spellStart"/>
      <w:r w:rsidRPr="00997551">
        <w:rPr>
          <w:sz w:val="22"/>
          <w:szCs w:val="22"/>
          <w:lang w:val="en-GB"/>
        </w:rPr>
        <w:t>Deficiti</w:t>
      </w:r>
      <w:proofErr w:type="spellEnd"/>
      <w:r w:rsidRPr="00997551">
        <w:rPr>
          <w:sz w:val="22"/>
          <w:szCs w:val="22"/>
          <w:lang w:val="en-GB"/>
        </w:rPr>
        <w:t xml:space="preserve"> </w:t>
      </w:r>
      <w:proofErr w:type="spellStart"/>
      <w:r w:rsidRPr="00997551">
        <w:rPr>
          <w:sz w:val="22"/>
          <w:szCs w:val="22"/>
          <w:lang w:val="en-GB"/>
        </w:rPr>
        <w:t>pritet</w:t>
      </w:r>
      <w:proofErr w:type="spellEnd"/>
      <w:r w:rsidRPr="00997551">
        <w:rPr>
          <w:sz w:val="22"/>
          <w:szCs w:val="22"/>
          <w:lang w:val="en-GB"/>
        </w:rPr>
        <w:t xml:space="preserve"> të </w:t>
      </w:r>
      <w:proofErr w:type="spellStart"/>
      <w:r w:rsidR="00D71A07" w:rsidRPr="00997551">
        <w:rPr>
          <w:sz w:val="22"/>
          <w:szCs w:val="22"/>
          <w:lang w:val="en-GB"/>
        </w:rPr>
        <w:t>zbogëlohet</w:t>
      </w:r>
      <w:proofErr w:type="spellEnd"/>
      <w:r w:rsidRPr="00997551">
        <w:rPr>
          <w:sz w:val="22"/>
          <w:szCs w:val="22"/>
          <w:lang w:val="en-GB"/>
        </w:rPr>
        <w:t xml:space="preserve"> </w:t>
      </w:r>
      <w:proofErr w:type="spellStart"/>
      <w:r w:rsidRPr="00997551">
        <w:rPr>
          <w:sz w:val="22"/>
          <w:szCs w:val="22"/>
          <w:lang w:val="en-GB"/>
        </w:rPr>
        <w:t>gradualisht</w:t>
      </w:r>
      <w:proofErr w:type="spellEnd"/>
      <w:r w:rsidRPr="00997551">
        <w:rPr>
          <w:sz w:val="22"/>
          <w:szCs w:val="22"/>
          <w:lang w:val="en-GB"/>
        </w:rPr>
        <w:t xml:space="preserve"> këtë vit dhe </w:t>
      </w:r>
      <w:proofErr w:type="spellStart"/>
      <w:r w:rsidRPr="00997551">
        <w:rPr>
          <w:sz w:val="22"/>
          <w:szCs w:val="22"/>
          <w:lang w:val="en-GB"/>
        </w:rPr>
        <w:t>vitin</w:t>
      </w:r>
      <w:proofErr w:type="spellEnd"/>
      <w:r w:rsidRPr="00997551">
        <w:rPr>
          <w:sz w:val="22"/>
          <w:szCs w:val="22"/>
          <w:lang w:val="en-GB"/>
        </w:rPr>
        <w:t xml:space="preserve"> </w:t>
      </w:r>
      <w:proofErr w:type="spellStart"/>
      <w:r w:rsidRPr="00997551">
        <w:rPr>
          <w:sz w:val="22"/>
          <w:szCs w:val="22"/>
          <w:lang w:val="en-GB"/>
        </w:rPr>
        <w:t>tjetër</w:t>
      </w:r>
      <w:proofErr w:type="spellEnd"/>
      <w:r w:rsidRPr="00997551">
        <w:rPr>
          <w:sz w:val="22"/>
          <w:szCs w:val="22"/>
          <w:lang w:val="en-GB"/>
        </w:rPr>
        <w:t xml:space="preserve">, </w:t>
      </w:r>
      <w:proofErr w:type="spellStart"/>
      <w:r w:rsidRPr="00997551">
        <w:rPr>
          <w:sz w:val="22"/>
          <w:szCs w:val="22"/>
          <w:lang w:val="en-GB"/>
        </w:rPr>
        <w:t>por</w:t>
      </w:r>
      <w:proofErr w:type="spellEnd"/>
      <w:r w:rsidRPr="00997551">
        <w:rPr>
          <w:sz w:val="22"/>
          <w:szCs w:val="22"/>
          <w:lang w:val="en-GB"/>
        </w:rPr>
        <w:t xml:space="preserve"> </w:t>
      </w:r>
      <w:proofErr w:type="spellStart"/>
      <w:r w:rsidRPr="00997551">
        <w:rPr>
          <w:sz w:val="22"/>
          <w:szCs w:val="22"/>
          <w:lang w:val="en-GB"/>
        </w:rPr>
        <w:t>konsolidimi</w:t>
      </w:r>
      <w:proofErr w:type="spellEnd"/>
      <w:r w:rsidRPr="00997551">
        <w:rPr>
          <w:sz w:val="22"/>
          <w:szCs w:val="22"/>
          <w:lang w:val="en-GB"/>
        </w:rPr>
        <w:t xml:space="preserve"> </w:t>
      </w:r>
      <w:proofErr w:type="spellStart"/>
      <w:r w:rsidRPr="00997551">
        <w:rPr>
          <w:sz w:val="22"/>
          <w:szCs w:val="22"/>
          <w:lang w:val="en-GB"/>
        </w:rPr>
        <w:t>fiskal</w:t>
      </w:r>
      <w:proofErr w:type="spellEnd"/>
      <w:r w:rsidRPr="00997551">
        <w:rPr>
          <w:sz w:val="22"/>
          <w:szCs w:val="22"/>
          <w:lang w:val="en-GB"/>
        </w:rPr>
        <w:t xml:space="preserve"> do të </w:t>
      </w:r>
      <w:proofErr w:type="spellStart"/>
      <w:r w:rsidRPr="00997551">
        <w:rPr>
          <w:sz w:val="22"/>
          <w:szCs w:val="22"/>
          <w:lang w:val="en-GB"/>
        </w:rPr>
        <w:t>mbetet</w:t>
      </w:r>
      <w:proofErr w:type="spellEnd"/>
      <w:r w:rsidRPr="00997551">
        <w:rPr>
          <w:sz w:val="22"/>
          <w:szCs w:val="22"/>
          <w:lang w:val="en-GB"/>
        </w:rPr>
        <w:t xml:space="preserve"> </w:t>
      </w:r>
      <w:proofErr w:type="spellStart"/>
      <w:r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ngadaltë</w:t>
      </w:r>
      <w:proofErr w:type="spellEnd"/>
      <w:r w:rsidRPr="00997551">
        <w:rPr>
          <w:sz w:val="22"/>
          <w:szCs w:val="22"/>
          <w:lang w:val="en-GB"/>
        </w:rPr>
        <w:t xml:space="preserve"> në </w:t>
      </w:r>
      <w:proofErr w:type="spellStart"/>
      <w:r w:rsidRPr="00997551">
        <w:rPr>
          <w:sz w:val="22"/>
          <w:szCs w:val="22"/>
          <w:lang w:val="en-GB"/>
        </w:rPr>
        <w:t>tërësi</w:t>
      </w:r>
      <w:proofErr w:type="spellEnd"/>
      <w:r w:rsidRPr="00997551">
        <w:rPr>
          <w:sz w:val="22"/>
          <w:szCs w:val="22"/>
          <w:lang w:val="en-GB"/>
        </w:rPr>
        <w:t xml:space="preserve">, </w:t>
      </w:r>
      <w:proofErr w:type="spellStart"/>
      <w:r w:rsidRPr="00997551">
        <w:rPr>
          <w:sz w:val="22"/>
          <w:szCs w:val="22"/>
          <w:lang w:val="en-GB"/>
        </w:rPr>
        <w:t>kryesisht</w:t>
      </w:r>
      <w:proofErr w:type="spellEnd"/>
      <w:r w:rsidRPr="00997551">
        <w:rPr>
          <w:sz w:val="22"/>
          <w:szCs w:val="22"/>
          <w:lang w:val="en-GB"/>
        </w:rPr>
        <w:t xml:space="preserve"> sepse </w:t>
      </w:r>
      <w:proofErr w:type="spellStart"/>
      <w:r w:rsidRPr="00997551">
        <w:rPr>
          <w:sz w:val="22"/>
          <w:szCs w:val="22"/>
          <w:lang w:val="en-GB"/>
        </w:rPr>
        <w:t>Qeveria</w:t>
      </w:r>
      <w:proofErr w:type="spellEnd"/>
      <w:r w:rsidRPr="00997551">
        <w:rPr>
          <w:sz w:val="22"/>
          <w:szCs w:val="22"/>
          <w:lang w:val="en-GB"/>
        </w:rPr>
        <w:t xml:space="preserve"> duhet të </w:t>
      </w:r>
      <w:proofErr w:type="spellStart"/>
      <w:r w:rsidRPr="00997551">
        <w:rPr>
          <w:sz w:val="22"/>
          <w:szCs w:val="22"/>
          <w:lang w:val="en-GB"/>
        </w:rPr>
        <w:t>përcaktojë</w:t>
      </w:r>
      <w:proofErr w:type="spellEnd"/>
      <w:r w:rsidRPr="00997551">
        <w:rPr>
          <w:sz w:val="22"/>
          <w:szCs w:val="22"/>
          <w:lang w:val="en-GB"/>
        </w:rPr>
        <w:t xml:space="preserve"> masa të </w:t>
      </w:r>
      <w:proofErr w:type="spellStart"/>
      <w:r w:rsidRPr="00997551">
        <w:rPr>
          <w:sz w:val="22"/>
          <w:szCs w:val="22"/>
          <w:lang w:val="en-GB"/>
        </w:rPr>
        <w:t>qarta</w:t>
      </w:r>
      <w:proofErr w:type="spellEnd"/>
      <w:r w:rsidRPr="00997551">
        <w:rPr>
          <w:sz w:val="22"/>
          <w:szCs w:val="22"/>
          <w:lang w:val="en-GB"/>
        </w:rPr>
        <w:t xml:space="preserve"> për rritjen e të </w:t>
      </w:r>
      <w:proofErr w:type="spellStart"/>
      <w:r w:rsidRPr="00997551">
        <w:rPr>
          <w:sz w:val="22"/>
          <w:szCs w:val="22"/>
          <w:lang w:val="en-GB"/>
        </w:rPr>
        <w:t>ardhurave</w:t>
      </w:r>
      <w:proofErr w:type="spellEnd"/>
      <w:r w:rsidRPr="00997551">
        <w:rPr>
          <w:sz w:val="22"/>
          <w:szCs w:val="22"/>
          <w:lang w:val="en-GB"/>
        </w:rPr>
        <w:t xml:space="preserve">, </w:t>
      </w:r>
      <w:proofErr w:type="spellStart"/>
      <w:r w:rsidRPr="00997551">
        <w:rPr>
          <w:sz w:val="22"/>
          <w:szCs w:val="22"/>
          <w:lang w:val="en-GB"/>
        </w:rPr>
        <w:t>ndërsa</w:t>
      </w:r>
      <w:proofErr w:type="spellEnd"/>
      <w:r w:rsidRPr="00997551">
        <w:rPr>
          <w:sz w:val="22"/>
          <w:szCs w:val="22"/>
          <w:lang w:val="en-GB"/>
        </w:rPr>
        <w:t xml:space="preserve"> </w:t>
      </w:r>
      <w:proofErr w:type="spellStart"/>
      <w:r w:rsidRPr="00997551">
        <w:rPr>
          <w:sz w:val="22"/>
          <w:szCs w:val="22"/>
          <w:lang w:val="en-GB"/>
        </w:rPr>
        <w:t>shpenzimet</w:t>
      </w:r>
      <w:proofErr w:type="spellEnd"/>
      <w:r w:rsidRPr="00997551">
        <w:rPr>
          <w:sz w:val="22"/>
          <w:szCs w:val="22"/>
          <w:lang w:val="en-GB"/>
        </w:rPr>
        <w:t xml:space="preserve"> e </w:t>
      </w:r>
      <w:proofErr w:type="spellStart"/>
      <w:r w:rsidRPr="00997551">
        <w:rPr>
          <w:sz w:val="22"/>
          <w:szCs w:val="22"/>
          <w:lang w:val="en-GB"/>
        </w:rPr>
        <w:t>detyrueshme</w:t>
      </w:r>
      <w:proofErr w:type="spellEnd"/>
      <w:r w:rsidRPr="00997551">
        <w:rPr>
          <w:sz w:val="22"/>
          <w:szCs w:val="22"/>
          <w:lang w:val="en-GB"/>
        </w:rPr>
        <w:t xml:space="preserve"> po </w:t>
      </w:r>
      <w:proofErr w:type="spellStart"/>
      <w:r w:rsidRPr="00997551">
        <w:rPr>
          <w:sz w:val="22"/>
          <w:szCs w:val="22"/>
          <w:lang w:val="en-GB"/>
        </w:rPr>
        <w:t>rriten</w:t>
      </w:r>
      <w:proofErr w:type="spellEnd"/>
      <w:r w:rsidRPr="00997551">
        <w:rPr>
          <w:sz w:val="22"/>
          <w:szCs w:val="22"/>
          <w:lang w:val="en-GB"/>
        </w:rPr>
        <w:t>.</w:t>
      </w:r>
      <w:r w:rsidR="00D71A07" w:rsidRPr="00997551">
        <w:rPr>
          <w:rFonts w:eastAsia="Courier New"/>
          <w:sz w:val="22"/>
          <w:szCs w:val="22"/>
          <w:lang w:val="mk-MK"/>
        </w:rPr>
        <w:t xml:space="preserve"> </w:t>
      </w:r>
      <w:r w:rsidR="00D71A07" w:rsidRPr="00997551">
        <w:rPr>
          <w:sz w:val="22"/>
          <w:szCs w:val="22"/>
        </w:rPr>
        <w:t>Parashi</w:t>
      </w:r>
      <w:r w:rsidR="00D71A07" w:rsidRPr="00997551">
        <w:rPr>
          <w:sz w:val="22"/>
          <w:szCs w:val="22"/>
          <w:lang w:val="sq-AL"/>
        </w:rPr>
        <w:t>shet</w:t>
      </w:r>
      <w:r w:rsidR="00D71A07" w:rsidRPr="00997551">
        <w:rPr>
          <w:sz w:val="22"/>
          <w:szCs w:val="22"/>
        </w:rPr>
        <w:t xml:space="preserve"> që shpenzimet kapitale </w:t>
      </w:r>
      <w:r w:rsidR="00D71A07" w:rsidRPr="00997551">
        <w:rPr>
          <w:sz w:val="22"/>
          <w:szCs w:val="22"/>
          <w:lang w:val="sq-AL"/>
        </w:rPr>
        <w:t xml:space="preserve">do </w:t>
      </w:r>
      <w:r w:rsidR="00D71A07" w:rsidRPr="00997551">
        <w:rPr>
          <w:sz w:val="22"/>
          <w:szCs w:val="22"/>
        </w:rPr>
        <w:t xml:space="preserve">të rriten gradualisht, </w:t>
      </w:r>
      <w:r w:rsidR="00D71A07" w:rsidRPr="00997551">
        <w:rPr>
          <w:sz w:val="22"/>
          <w:szCs w:val="22"/>
          <w:lang w:val="sq-AL"/>
        </w:rPr>
        <w:t>prej</w:t>
      </w:r>
      <w:r w:rsidR="00D71A07" w:rsidRPr="00997551">
        <w:rPr>
          <w:sz w:val="22"/>
          <w:szCs w:val="22"/>
        </w:rPr>
        <w:t xml:space="preserve"> 3% e BPV-së në vitin 2024 në 5,7% në vitin 2026. Vendi ka </w:t>
      </w:r>
      <w:r w:rsidR="00144B3D" w:rsidRPr="00997551">
        <w:rPr>
          <w:sz w:val="22"/>
          <w:szCs w:val="22"/>
          <w:lang w:val="sq-AL"/>
        </w:rPr>
        <w:t>evidencë</w:t>
      </w:r>
      <w:r w:rsidR="00D71A07" w:rsidRPr="00997551">
        <w:rPr>
          <w:sz w:val="22"/>
          <w:szCs w:val="22"/>
        </w:rPr>
        <w:t xml:space="preserve"> të mirë </w:t>
      </w:r>
      <w:r w:rsidR="00144B3D" w:rsidRPr="00997551">
        <w:rPr>
          <w:sz w:val="22"/>
          <w:szCs w:val="22"/>
          <w:lang w:val="sq-AL"/>
        </w:rPr>
        <w:t>për</w:t>
      </w:r>
      <w:r w:rsidR="00D71A07" w:rsidRPr="00997551">
        <w:rPr>
          <w:sz w:val="22"/>
          <w:szCs w:val="22"/>
        </w:rPr>
        <w:t xml:space="preserve"> shlyerjen e borxhit të tij. Nevojat për financim janë rritur </w:t>
      </w:r>
      <w:r w:rsidR="00144B3D" w:rsidRPr="00997551">
        <w:rPr>
          <w:sz w:val="22"/>
          <w:szCs w:val="22"/>
          <w:lang w:val="en-GB"/>
        </w:rPr>
        <w:t xml:space="preserve">me </w:t>
      </w:r>
      <w:proofErr w:type="spellStart"/>
      <w:r w:rsidR="00144B3D" w:rsidRPr="00997551">
        <w:rPr>
          <w:sz w:val="22"/>
          <w:szCs w:val="22"/>
          <w:lang w:val="en-GB"/>
        </w:rPr>
        <w:t>pagesën</w:t>
      </w:r>
      <w:proofErr w:type="spellEnd"/>
      <w:r w:rsidR="00144B3D" w:rsidRPr="00997551">
        <w:rPr>
          <w:sz w:val="22"/>
          <w:szCs w:val="22"/>
          <w:lang w:val="en-GB"/>
        </w:rPr>
        <w:t xml:space="preserve"> </w:t>
      </w:r>
      <w:proofErr w:type="spellStart"/>
      <w:r w:rsidR="00144B3D" w:rsidRPr="00997551">
        <w:rPr>
          <w:sz w:val="22"/>
          <w:szCs w:val="22"/>
          <w:lang w:val="en-GB"/>
        </w:rPr>
        <w:t>paraprake</w:t>
      </w:r>
      <w:proofErr w:type="spellEnd"/>
      <w:r w:rsidR="00144B3D" w:rsidRPr="00997551">
        <w:rPr>
          <w:sz w:val="22"/>
          <w:szCs w:val="22"/>
          <w:lang w:val="en-GB"/>
        </w:rPr>
        <w:t xml:space="preserve"> të </w:t>
      </w:r>
      <w:proofErr w:type="spellStart"/>
      <w:r w:rsidR="00144B3D" w:rsidRPr="00997551">
        <w:rPr>
          <w:sz w:val="22"/>
          <w:szCs w:val="22"/>
          <w:lang w:val="en-GB"/>
        </w:rPr>
        <w:t>euroobligacionit</w:t>
      </w:r>
      <w:proofErr w:type="spellEnd"/>
      <w:r w:rsidR="00144B3D" w:rsidRPr="00997551">
        <w:rPr>
          <w:sz w:val="22"/>
          <w:szCs w:val="22"/>
          <w:lang w:val="en-GB"/>
        </w:rPr>
        <w:t xml:space="preserve"> </w:t>
      </w:r>
      <w:proofErr w:type="spellStart"/>
      <w:r w:rsidR="00144B3D" w:rsidRPr="00997551">
        <w:rPr>
          <w:sz w:val="22"/>
          <w:szCs w:val="22"/>
          <w:lang w:val="en-GB"/>
        </w:rPr>
        <w:t>tjetër</w:t>
      </w:r>
      <w:proofErr w:type="spellEnd"/>
      <w:r w:rsidR="00144B3D" w:rsidRPr="00997551">
        <w:rPr>
          <w:sz w:val="22"/>
          <w:szCs w:val="22"/>
          <w:lang w:val="en-GB"/>
        </w:rPr>
        <w:t xml:space="preserve"> në </w:t>
      </w:r>
      <w:proofErr w:type="spellStart"/>
      <w:r w:rsidR="00144B3D" w:rsidRPr="00997551">
        <w:rPr>
          <w:sz w:val="22"/>
          <w:szCs w:val="22"/>
          <w:lang w:val="en-GB"/>
        </w:rPr>
        <w:t>vitin</w:t>
      </w:r>
      <w:proofErr w:type="spellEnd"/>
      <w:r w:rsidR="00144B3D" w:rsidRPr="00997551">
        <w:rPr>
          <w:sz w:val="22"/>
          <w:szCs w:val="22"/>
          <w:lang w:val="en-GB"/>
        </w:rPr>
        <w:t xml:space="preserve"> 2026</w:t>
      </w:r>
      <w:r w:rsidR="00D71A07" w:rsidRPr="00997551">
        <w:rPr>
          <w:sz w:val="22"/>
          <w:szCs w:val="22"/>
        </w:rPr>
        <w:t>, në kushte të rritjes së nivelit të borxhit, si dhe të</w:t>
      </w:r>
      <w:r w:rsidR="00144B3D" w:rsidRPr="00997551">
        <w:rPr>
          <w:sz w:val="22"/>
          <w:szCs w:val="22"/>
          <w:lang w:val="sq-AL"/>
        </w:rPr>
        <w:t xml:space="preserve"> shpenzimeve</w:t>
      </w:r>
      <w:r w:rsidR="00D71A07" w:rsidRPr="00997551">
        <w:rPr>
          <w:sz w:val="22"/>
          <w:szCs w:val="22"/>
        </w:rPr>
        <w:t xml:space="preserve"> të huamarrjes sovrane dhe shpenzimeve për interesa në vitet e fundit.</w:t>
      </w:r>
    </w:p>
    <w:p w14:paraId="2E6E465F" w14:textId="5BEFAC6A" w:rsidR="00144B3D" w:rsidRPr="00997551" w:rsidRDefault="00144B3D">
      <w:pPr>
        <w:pStyle w:val="Heading20"/>
        <w:keepNext/>
        <w:keepLines/>
        <w:spacing w:after="380" w:line="259" w:lineRule="auto"/>
        <w:jc w:val="both"/>
        <w:rPr>
          <w:sz w:val="22"/>
          <w:szCs w:val="22"/>
          <w:lang w:val="sq-AL"/>
        </w:rPr>
      </w:pPr>
      <w:r w:rsidRPr="00997551">
        <w:rPr>
          <w:sz w:val="22"/>
          <w:szCs w:val="22"/>
        </w:rPr>
        <w:t xml:space="preserve">Si përfundim, organet </w:t>
      </w:r>
      <w:r w:rsidRPr="00997551">
        <w:rPr>
          <w:sz w:val="22"/>
          <w:szCs w:val="22"/>
          <w:lang w:val="sq-AL"/>
        </w:rPr>
        <w:t xml:space="preserve">udhëheqin </w:t>
      </w:r>
      <w:r w:rsidRPr="00997551">
        <w:rPr>
          <w:sz w:val="22"/>
          <w:szCs w:val="22"/>
        </w:rPr>
        <w:t xml:space="preserve">politikë makroekonomike të orientuar drejt stabilitetit, </w:t>
      </w:r>
      <w:r w:rsidRPr="00997551">
        <w:rPr>
          <w:sz w:val="22"/>
          <w:szCs w:val="22"/>
          <w:lang w:val="sq-AL"/>
        </w:rPr>
        <w:t>ndërsa</w:t>
      </w:r>
      <w:r w:rsidRPr="00997551">
        <w:rPr>
          <w:sz w:val="22"/>
          <w:szCs w:val="22"/>
        </w:rPr>
        <w:t xml:space="preserve"> kushti përgjithshëm është përmbushur.</w:t>
      </w:r>
    </w:p>
    <w:p w14:paraId="641BC455" w14:textId="606168BB" w:rsidR="00144B3D" w:rsidRPr="00997551" w:rsidRDefault="00144B3D" w:rsidP="00144B3D">
      <w:pPr>
        <w:pStyle w:val="Heading20"/>
        <w:keepNext/>
        <w:keepLines/>
        <w:tabs>
          <w:tab w:val="left" w:pos="342"/>
        </w:tabs>
        <w:spacing w:line="240" w:lineRule="auto"/>
        <w:jc w:val="center"/>
        <w:rPr>
          <w:sz w:val="22"/>
          <w:szCs w:val="22"/>
          <w:lang w:val="sq-AL"/>
        </w:rPr>
      </w:pPr>
      <w:bookmarkStart w:id="0" w:name="bookmark9"/>
      <w:r w:rsidRPr="00997551">
        <w:rPr>
          <w:rStyle w:val="Heading2"/>
          <w:b/>
          <w:bCs/>
          <w:sz w:val="22"/>
          <w:szCs w:val="22"/>
          <w:lang w:val="sq-AL"/>
        </w:rPr>
        <w:t>b</w:t>
      </w:r>
      <w:r w:rsidR="00182DB0" w:rsidRPr="00997551">
        <w:rPr>
          <w:rStyle w:val="Heading2"/>
          <w:b/>
          <w:bCs/>
          <w:sz w:val="22"/>
          <w:szCs w:val="22"/>
          <w:lang w:val="mk-MK"/>
        </w:rPr>
        <w:t>)</w:t>
      </w:r>
      <w:r w:rsidR="00182DB0" w:rsidRPr="00997551">
        <w:rPr>
          <w:rStyle w:val="Heading2"/>
          <w:b/>
          <w:bCs/>
          <w:sz w:val="22"/>
          <w:szCs w:val="22"/>
          <w:lang w:val="mk-MK"/>
        </w:rPr>
        <w:tab/>
      </w:r>
      <w:bookmarkEnd w:id="0"/>
      <w:r w:rsidRPr="00997551">
        <w:rPr>
          <w:sz w:val="22"/>
          <w:szCs w:val="22"/>
        </w:rPr>
        <w:t>Vlerësimi i saktësisë së sistem</w:t>
      </w:r>
      <w:r w:rsidRPr="00997551">
        <w:rPr>
          <w:sz w:val="22"/>
          <w:szCs w:val="22"/>
          <w:lang w:val="sq-AL"/>
        </w:rPr>
        <w:t>it</w:t>
      </w:r>
      <w:r w:rsidRPr="00997551">
        <w:rPr>
          <w:sz w:val="22"/>
          <w:szCs w:val="22"/>
        </w:rPr>
        <w:t>(</w:t>
      </w:r>
      <w:r w:rsidRPr="00997551">
        <w:rPr>
          <w:sz w:val="22"/>
          <w:szCs w:val="22"/>
          <w:lang w:val="sq-AL"/>
        </w:rPr>
        <w:t>e</w:t>
      </w:r>
      <w:r w:rsidRPr="00997551">
        <w:rPr>
          <w:sz w:val="22"/>
          <w:szCs w:val="22"/>
        </w:rPr>
        <w:t xml:space="preserve">ve) për menaxhimin </w:t>
      </w:r>
      <w:r w:rsidRPr="00997551">
        <w:rPr>
          <w:sz w:val="22"/>
          <w:szCs w:val="22"/>
          <w:lang w:val="sq-AL"/>
        </w:rPr>
        <w:t>me</w:t>
      </w:r>
      <w:r w:rsidRPr="00997551">
        <w:rPr>
          <w:sz w:val="22"/>
          <w:szCs w:val="22"/>
        </w:rPr>
        <w:t xml:space="preserve"> financa</w:t>
      </w:r>
      <w:r w:rsidRPr="00997551">
        <w:rPr>
          <w:sz w:val="22"/>
          <w:szCs w:val="22"/>
          <w:lang w:val="sq-AL"/>
        </w:rPr>
        <w:t>t</w:t>
      </w:r>
      <w:r w:rsidRPr="00997551">
        <w:rPr>
          <w:sz w:val="22"/>
          <w:szCs w:val="22"/>
        </w:rPr>
        <w:t xml:space="preserve"> publike</w:t>
      </w:r>
    </w:p>
    <w:p w14:paraId="57842780" w14:textId="235154E4" w:rsidR="00144B3D" w:rsidRPr="00997551" w:rsidRDefault="00144B3D" w:rsidP="00144B3D">
      <w:pPr>
        <w:pStyle w:val="BodyText"/>
        <w:jc w:val="both"/>
        <w:rPr>
          <w:sz w:val="22"/>
          <w:szCs w:val="22"/>
          <w:lang w:val="sq-AL"/>
        </w:rPr>
      </w:pPr>
      <w:r w:rsidRPr="00997551">
        <w:rPr>
          <w:sz w:val="22"/>
          <w:szCs w:val="22"/>
          <w:lang w:val="en-GB"/>
        </w:rPr>
        <w:t xml:space="preserve">Reforma e </w:t>
      </w:r>
      <w:proofErr w:type="spellStart"/>
      <w:r w:rsidRPr="00997551">
        <w:rPr>
          <w:sz w:val="22"/>
          <w:szCs w:val="22"/>
          <w:lang w:val="en-GB"/>
        </w:rPr>
        <w:t>menaxhimit</w:t>
      </w:r>
      <w:proofErr w:type="spellEnd"/>
      <w:r w:rsidRPr="00997551">
        <w:rPr>
          <w:sz w:val="22"/>
          <w:szCs w:val="22"/>
          <w:lang w:val="en-GB"/>
        </w:rPr>
        <w:t xml:space="preserve"> me </w:t>
      </w:r>
      <w:proofErr w:type="spellStart"/>
      <w:r w:rsidRPr="00997551">
        <w:rPr>
          <w:sz w:val="22"/>
          <w:szCs w:val="22"/>
          <w:lang w:val="en-GB"/>
        </w:rPr>
        <w:t>financat</w:t>
      </w:r>
      <w:proofErr w:type="spellEnd"/>
      <w:r w:rsidRPr="00997551">
        <w:rPr>
          <w:sz w:val="22"/>
          <w:szCs w:val="22"/>
          <w:lang w:val="en-GB"/>
        </w:rPr>
        <w:t xml:space="preserve"> publike (MFP-</w:t>
      </w:r>
      <w:proofErr w:type="spellStart"/>
      <w:r w:rsidRPr="00997551">
        <w:rPr>
          <w:sz w:val="22"/>
          <w:szCs w:val="22"/>
          <w:lang w:val="en-GB"/>
        </w:rPr>
        <w:t>ja</w:t>
      </w:r>
      <w:proofErr w:type="spellEnd"/>
      <w:r w:rsidRPr="00997551">
        <w:rPr>
          <w:sz w:val="22"/>
          <w:szCs w:val="22"/>
          <w:lang w:val="en-GB"/>
        </w:rPr>
        <w:t xml:space="preserve">) është </w:t>
      </w:r>
      <w:proofErr w:type="spellStart"/>
      <w:r w:rsidRPr="00997551">
        <w:rPr>
          <w:sz w:val="22"/>
          <w:szCs w:val="22"/>
          <w:lang w:val="en-GB"/>
        </w:rPr>
        <w:t>gjerësisht</w:t>
      </w:r>
      <w:proofErr w:type="spellEnd"/>
      <w:r w:rsidRPr="00997551">
        <w:rPr>
          <w:sz w:val="22"/>
          <w:szCs w:val="22"/>
          <w:lang w:val="en-GB"/>
        </w:rPr>
        <w:t xml:space="preserve"> e </w:t>
      </w:r>
      <w:proofErr w:type="spellStart"/>
      <w:r w:rsidRPr="00997551">
        <w:rPr>
          <w:sz w:val="22"/>
          <w:szCs w:val="22"/>
          <w:lang w:val="en-GB"/>
        </w:rPr>
        <w:t>besueshme</w:t>
      </w:r>
      <w:proofErr w:type="spellEnd"/>
      <w:r w:rsidRPr="00997551">
        <w:rPr>
          <w:sz w:val="22"/>
          <w:szCs w:val="22"/>
          <w:lang w:val="en-GB"/>
        </w:rPr>
        <w:t xml:space="preserve"> dhe </w:t>
      </w:r>
      <w:proofErr w:type="spellStart"/>
      <w:r w:rsidRPr="00997551">
        <w:rPr>
          <w:sz w:val="22"/>
          <w:szCs w:val="22"/>
          <w:lang w:val="en-GB"/>
        </w:rPr>
        <w:t>relevante</w:t>
      </w:r>
      <w:proofErr w:type="spellEnd"/>
      <w:r w:rsidRPr="00997551">
        <w:rPr>
          <w:sz w:val="22"/>
          <w:szCs w:val="22"/>
          <w:lang w:val="en-GB"/>
        </w:rPr>
        <w:t xml:space="preserve">, </w:t>
      </w:r>
      <w:proofErr w:type="spellStart"/>
      <w:r w:rsidRPr="00997551">
        <w:rPr>
          <w:sz w:val="22"/>
          <w:szCs w:val="22"/>
          <w:lang w:val="en-GB"/>
        </w:rPr>
        <w:t>megjithëse</w:t>
      </w:r>
      <w:proofErr w:type="spellEnd"/>
      <w:r w:rsidRPr="00997551">
        <w:rPr>
          <w:sz w:val="22"/>
          <w:szCs w:val="22"/>
          <w:lang w:val="en-GB"/>
        </w:rPr>
        <w:t xml:space="preserve"> </w:t>
      </w:r>
      <w:proofErr w:type="spellStart"/>
      <w:r w:rsidRPr="00997551">
        <w:rPr>
          <w:sz w:val="22"/>
          <w:szCs w:val="22"/>
          <w:lang w:val="en-GB"/>
        </w:rPr>
        <w:t>sistemi</w:t>
      </w:r>
      <w:proofErr w:type="spellEnd"/>
      <w:r w:rsidRPr="00997551">
        <w:rPr>
          <w:sz w:val="22"/>
          <w:szCs w:val="22"/>
          <w:lang w:val="en-GB"/>
        </w:rPr>
        <w:t xml:space="preserve"> edhe </w:t>
      </w:r>
      <w:proofErr w:type="spellStart"/>
      <w:r w:rsidRPr="00997551">
        <w:rPr>
          <w:sz w:val="22"/>
          <w:szCs w:val="22"/>
          <w:lang w:val="en-GB"/>
        </w:rPr>
        <w:t>pse</w:t>
      </w:r>
      <w:proofErr w:type="spellEnd"/>
      <w:r w:rsidRPr="00997551">
        <w:rPr>
          <w:sz w:val="22"/>
          <w:szCs w:val="22"/>
          <w:lang w:val="en-GB"/>
        </w:rPr>
        <w:t xml:space="preserve"> </w:t>
      </w:r>
      <w:proofErr w:type="spellStart"/>
      <w:r w:rsidRPr="00997551">
        <w:rPr>
          <w:sz w:val="22"/>
          <w:szCs w:val="22"/>
          <w:lang w:val="en-GB"/>
        </w:rPr>
        <w:t>akoma</w:t>
      </w:r>
      <w:proofErr w:type="spellEnd"/>
      <w:r w:rsidRPr="00997551">
        <w:rPr>
          <w:sz w:val="22"/>
          <w:szCs w:val="22"/>
          <w:lang w:val="en-GB"/>
        </w:rPr>
        <w:t xml:space="preserve"> janë të </w:t>
      </w:r>
      <w:proofErr w:type="spellStart"/>
      <w:r w:rsidRPr="00997551">
        <w:rPr>
          <w:sz w:val="22"/>
          <w:szCs w:val="22"/>
          <w:lang w:val="en-GB"/>
        </w:rPr>
        <w:t>nevojshme</w:t>
      </w:r>
      <w:proofErr w:type="spellEnd"/>
      <w:r w:rsidRPr="00997551">
        <w:rPr>
          <w:sz w:val="22"/>
          <w:szCs w:val="22"/>
          <w:lang w:val="en-GB"/>
        </w:rPr>
        <w:t xml:space="preserve"> </w:t>
      </w:r>
      <w:proofErr w:type="spellStart"/>
      <w:r w:rsidRPr="00997551">
        <w:rPr>
          <w:sz w:val="22"/>
          <w:szCs w:val="22"/>
          <w:lang w:val="en-GB"/>
        </w:rPr>
        <w:t>përmirësime</w:t>
      </w:r>
      <w:proofErr w:type="spellEnd"/>
      <w:r w:rsidRPr="00997551">
        <w:rPr>
          <w:sz w:val="22"/>
          <w:szCs w:val="22"/>
          <w:lang w:val="en-GB"/>
        </w:rPr>
        <w:t xml:space="preserve"> të </w:t>
      </w:r>
      <w:proofErr w:type="spellStart"/>
      <w:r w:rsidRPr="00997551">
        <w:rPr>
          <w:sz w:val="22"/>
          <w:szCs w:val="22"/>
          <w:lang w:val="en-GB"/>
        </w:rPr>
        <w:t>sistemit</w:t>
      </w:r>
      <w:proofErr w:type="spellEnd"/>
      <w:r w:rsidRPr="00997551">
        <w:rPr>
          <w:sz w:val="22"/>
          <w:szCs w:val="22"/>
          <w:lang w:val="en-GB"/>
        </w:rPr>
        <w:t xml:space="preserve">. Norma e implementimit të </w:t>
      </w:r>
      <w:proofErr w:type="spellStart"/>
      <w:r w:rsidRPr="00997551">
        <w:rPr>
          <w:sz w:val="22"/>
          <w:szCs w:val="22"/>
          <w:lang w:val="en-GB"/>
        </w:rPr>
        <w:t>Programit</w:t>
      </w:r>
      <w:proofErr w:type="spellEnd"/>
      <w:r w:rsidRPr="00997551">
        <w:rPr>
          <w:sz w:val="22"/>
          <w:szCs w:val="22"/>
          <w:lang w:val="en-GB"/>
        </w:rPr>
        <w:t xml:space="preserve"> për </w:t>
      </w:r>
      <w:proofErr w:type="spellStart"/>
      <w:r w:rsidRPr="00997551">
        <w:rPr>
          <w:sz w:val="22"/>
          <w:szCs w:val="22"/>
          <w:lang w:val="en-GB"/>
        </w:rPr>
        <w:t>reforma</w:t>
      </w:r>
      <w:proofErr w:type="spellEnd"/>
      <w:r w:rsidRPr="00997551">
        <w:rPr>
          <w:sz w:val="22"/>
          <w:szCs w:val="22"/>
          <w:lang w:val="en-GB"/>
        </w:rPr>
        <w:t xml:space="preserve"> të MFP-së për </w:t>
      </w:r>
      <w:proofErr w:type="spellStart"/>
      <w:r w:rsidRPr="00997551">
        <w:rPr>
          <w:sz w:val="22"/>
          <w:szCs w:val="22"/>
          <w:lang w:val="en-GB"/>
        </w:rPr>
        <w:t>periudhën</w:t>
      </w:r>
      <w:proofErr w:type="spellEnd"/>
      <w:r w:rsidRPr="00997551">
        <w:rPr>
          <w:sz w:val="22"/>
          <w:szCs w:val="22"/>
          <w:lang w:val="en-GB"/>
        </w:rPr>
        <w:t xml:space="preserve"> e </w:t>
      </w:r>
      <w:proofErr w:type="spellStart"/>
      <w:r w:rsidRPr="00997551">
        <w:rPr>
          <w:sz w:val="22"/>
          <w:szCs w:val="22"/>
          <w:lang w:val="en-GB"/>
        </w:rPr>
        <w:t>viteve</w:t>
      </w:r>
      <w:proofErr w:type="spellEnd"/>
      <w:r w:rsidRPr="00997551">
        <w:rPr>
          <w:sz w:val="22"/>
          <w:szCs w:val="22"/>
          <w:lang w:val="en-GB"/>
        </w:rPr>
        <w:t xml:space="preserve"> 2022-2025 është</w:t>
      </w:r>
      <w:r w:rsidR="00E33135" w:rsidRPr="00997551">
        <w:rPr>
          <w:sz w:val="22"/>
          <w:szCs w:val="22"/>
          <w:lang w:val="en-GB"/>
        </w:rPr>
        <w:t xml:space="preserve"> </w:t>
      </w:r>
      <w:proofErr w:type="spellStart"/>
      <w:r w:rsidR="00E33135" w:rsidRPr="00997551">
        <w:rPr>
          <w:sz w:val="22"/>
          <w:szCs w:val="22"/>
          <w:lang w:val="en-GB"/>
        </w:rPr>
        <w:t>ulët</w:t>
      </w:r>
      <w:proofErr w:type="spellEnd"/>
      <w:r w:rsidR="00E33135" w:rsidRPr="00997551">
        <w:rPr>
          <w:sz w:val="22"/>
          <w:szCs w:val="22"/>
          <w:lang w:val="en-GB"/>
        </w:rPr>
        <w:t xml:space="preserve"> </w:t>
      </w:r>
      <w:r w:rsidRPr="00997551">
        <w:rPr>
          <w:sz w:val="22"/>
          <w:szCs w:val="22"/>
          <w:lang w:val="en-GB"/>
        </w:rPr>
        <w:t xml:space="preserve">për </w:t>
      </w:r>
      <w:proofErr w:type="spellStart"/>
      <w:r w:rsidRPr="00997551">
        <w:rPr>
          <w:sz w:val="22"/>
          <w:szCs w:val="22"/>
          <w:lang w:val="en-GB"/>
        </w:rPr>
        <w:t>shkak</w:t>
      </w:r>
      <w:proofErr w:type="spellEnd"/>
      <w:r w:rsidRPr="00997551">
        <w:rPr>
          <w:sz w:val="22"/>
          <w:szCs w:val="22"/>
          <w:lang w:val="en-GB"/>
        </w:rPr>
        <w:t xml:space="preserve"> të </w:t>
      </w:r>
      <w:proofErr w:type="spellStart"/>
      <w:r w:rsidRPr="00997551">
        <w:rPr>
          <w:sz w:val="22"/>
          <w:szCs w:val="22"/>
          <w:lang w:val="en-GB"/>
        </w:rPr>
        <w:t>vonesave</w:t>
      </w:r>
      <w:proofErr w:type="spellEnd"/>
      <w:r w:rsidRPr="00997551">
        <w:rPr>
          <w:sz w:val="22"/>
          <w:szCs w:val="22"/>
          <w:lang w:val="en-GB"/>
        </w:rPr>
        <w:t xml:space="preserve"> në </w:t>
      </w:r>
      <w:proofErr w:type="spellStart"/>
      <w:r w:rsidR="00E33135" w:rsidRPr="00997551">
        <w:rPr>
          <w:sz w:val="22"/>
          <w:szCs w:val="22"/>
          <w:lang w:val="en-GB"/>
        </w:rPr>
        <w:t>sjelljen</w:t>
      </w:r>
      <w:proofErr w:type="spellEnd"/>
      <w:r w:rsidR="00E33135" w:rsidRPr="00997551">
        <w:rPr>
          <w:sz w:val="22"/>
          <w:szCs w:val="22"/>
          <w:lang w:val="en-GB"/>
        </w:rPr>
        <w:t xml:space="preserve"> e</w:t>
      </w:r>
      <w:r w:rsidRPr="00997551">
        <w:rPr>
          <w:sz w:val="22"/>
          <w:szCs w:val="22"/>
          <w:lang w:val="en-GB"/>
        </w:rPr>
        <w:t xml:space="preserve"> </w:t>
      </w:r>
      <w:proofErr w:type="spellStart"/>
      <w:r w:rsidRPr="00997551">
        <w:rPr>
          <w:sz w:val="22"/>
          <w:szCs w:val="22"/>
          <w:lang w:val="en-GB"/>
        </w:rPr>
        <w:t>ligjeve</w:t>
      </w:r>
      <w:proofErr w:type="spellEnd"/>
      <w:r w:rsidRPr="00997551">
        <w:rPr>
          <w:sz w:val="22"/>
          <w:szCs w:val="22"/>
          <w:lang w:val="en-GB"/>
        </w:rPr>
        <w:t xml:space="preserve"> </w:t>
      </w:r>
      <w:proofErr w:type="spellStart"/>
      <w:r w:rsidRPr="00997551">
        <w:rPr>
          <w:sz w:val="22"/>
          <w:szCs w:val="22"/>
          <w:lang w:val="en-GB"/>
        </w:rPr>
        <w:t>kyçe</w:t>
      </w:r>
      <w:proofErr w:type="spellEnd"/>
      <w:r w:rsidRPr="00997551">
        <w:rPr>
          <w:sz w:val="22"/>
          <w:szCs w:val="22"/>
          <w:lang w:val="en-GB"/>
        </w:rPr>
        <w:t xml:space="preserve">, </w:t>
      </w:r>
      <w:proofErr w:type="spellStart"/>
      <w:r w:rsidR="00E33135" w:rsidRPr="00997551">
        <w:rPr>
          <w:sz w:val="22"/>
          <w:szCs w:val="22"/>
          <w:lang w:val="en-GB"/>
        </w:rPr>
        <w:t>monitorimin</w:t>
      </w:r>
      <w:proofErr w:type="spellEnd"/>
      <w:r w:rsidR="00E33135" w:rsidRPr="00997551">
        <w:rPr>
          <w:sz w:val="22"/>
          <w:szCs w:val="22"/>
          <w:lang w:val="en-GB"/>
        </w:rPr>
        <w:t xml:space="preserve"> e </w:t>
      </w:r>
      <w:proofErr w:type="spellStart"/>
      <w:r w:rsidRPr="00997551">
        <w:rPr>
          <w:sz w:val="22"/>
          <w:szCs w:val="22"/>
          <w:lang w:val="en-GB"/>
        </w:rPr>
        <w:t>dobët</w:t>
      </w:r>
      <w:proofErr w:type="spellEnd"/>
      <w:r w:rsidRPr="00997551">
        <w:rPr>
          <w:sz w:val="22"/>
          <w:szCs w:val="22"/>
          <w:lang w:val="en-GB"/>
        </w:rPr>
        <w:t xml:space="preserve"> dhe </w:t>
      </w:r>
      <w:proofErr w:type="spellStart"/>
      <w:r w:rsidRPr="00997551">
        <w:rPr>
          <w:sz w:val="22"/>
          <w:szCs w:val="22"/>
          <w:lang w:val="en-GB"/>
        </w:rPr>
        <w:t>mungesës</w:t>
      </w:r>
      <w:proofErr w:type="spellEnd"/>
      <w:r w:rsidRPr="00997551">
        <w:rPr>
          <w:sz w:val="22"/>
          <w:szCs w:val="22"/>
          <w:lang w:val="en-GB"/>
        </w:rPr>
        <w:t xml:space="preserve"> së </w:t>
      </w:r>
      <w:proofErr w:type="spellStart"/>
      <w:r w:rsidRPr="00997551">
        <w:rPr>
          <w:sz w:val="22"/>
          <w:szCs w:val="22"/>
          <w:lang w:val="en-GB"/>
        </w:rPr>
        <w:t>mbikëqyrje</w:t>
      </w:r>
      <w:r w:rsidR="00E33135" w:rsidRPr="00997551">
        <w:rPr>
          <w:sz w:val="22"/>
          <w:szCs w:val="22"/>
          <w:lang w:val="en-GB"/>
        </w:rPr>
        <w:t>s</w:t>
      </w:r>
      <w:proofErr w:type="spellEnd"/>
      <w:r w:rsidR="00E33135" w:rsidRPr="00997551">
        <w:rPr>
          <w:sz w:val="22"/>
          <w:szCs w:val="22"/>
          <w:lang w:val="en-GB"/>
        </w:rPr>
        <w:t xml:space="preserve"> së </w:t>
      </w:r>
      <w:proofErr w:type="spellStart"/>
      <w:r w:rsidR="00E33135" w:rsidRPr="00997551">
        <w:rPr>
          <w:sz w:val="22"/>
          <w:szCs w:val="22"/>
          <w:lang w:val="en-GB"/>
        </w:rPr>
        <w:t>pamjaftueshme</w:t>
      </w:r>
      <w:proofErr w:type="spellEnd"/>
      <w:r w:rsidRPr="00997551">
        <w:rPr>
          <w:sz w:val="22"/>
          <w:szCs w:val="22"/>
          <w:lang w:val="en-GB"/>
        </w:rPr>
        <w:t xml:space="preserve"> </w:t>
      </w:r>
      <w:proofErr w:type="spellStart"/>
      <w:r w:rsidRPr="00997551">
        <w:rPr>
          <w:sz w:val="22"/>
          <w:szCs w:val="22"/>
          <w:lang w:val="en-GB"/>
        </w:rPr>
        <w:t>politike</w:t>
      </w:r>
      <w:proofErr w:type="spellEnd"/>
      <w:r w:rsidRPr="00997551">
        <w:rPr>
          <w:sz w:val="22"/>
          <w:szCs w:val="22"/>
          <w:lang w:val="en-GB"/>
        </w:rPr>
        <w:t xml:space="preserve">. Në </w:t>
      </w:r>
      <w:proofErr w:type="spellStart"/>
      <w:r w:rsidR="00E33135" w:rsidRPr="00997551">
        <w:rPr>
          <w:sz w:val="22"/>
          <w:szCs w:val="22"/>
          <w:lang w:val="en-GB"/>
        </w:rPr>
        <w:t>muajin</w:t>
      </w:r>
      <w:proofErr w:type="spellEnd"/>
      <w:r w:rsidR="00E33135" w:rsidRPr="00997551">
        <w:rPr>
          <w:sz w:val="22"/>
          <w:szCs w:val="22"/>
          <w:lang w:val="en-GB"/>
        </w:rPr>
        <w:t xml:space="preserve"> </w:t>
      </w:r>
      <w:proofErr w:type="spellStart"/>
      <w:r w:rsidRPr="00997551">
        <w:rPr>
          <w:sz w:val="22"/>
          <w:szCs w:val="22"/>
          <w:lang w:val="en-GB"/>
        </w:rPr>
        <w:t>dhjetor</w:t>
      </w:r>
      <w:proofErr w:type="spellEnd"/>
      <w:r w:rsidRPr="00997551">
        <w:rPr>
          <w:sz w:val="22"/>
          <w:szCs w:val="22"/>
          <w:lang w:val="en-GB"/>
        </w:rPr>
        <w:t xml:space="preserve"> </w:t>
      </w:r>
      <w:r w:rsidR="00E33135" w:rsidRPr="00997551">
        <w:rPr>
          <w:sz w:val="22"/>
          <w:szCs w:val="22"/>
          <w:lang w:val="en-GB"/>
        </w:rPr>
        <w:t xml:space="preserve">të </w:t>
      </w:r>
      <w:proofErr w:type="spellStart"/>
      <w:r w:rsidR="00E33135" w:rsidRPr="00997551">
        <w:rPr>
          <w:sz w:val="22"/>
          <w:szCs w:val="22"/>
          <w:lang w:val="en-GB"/>
        </w:rPr>
        <w:t>vitit</w:t>
      </w:r>
      <w:proofErr w:type="spellEnd"/>
      <w:r w:rsidR="00E33135" w:rsidRPr="00997551">
        <w:rPr>
          <w:sz w:val="22"/>
          <w:szCs w:val="22"/>
          <w:lang w:val="en-GB"/>
        </w:rPr>
        <w:t xml:space="preserve"> </w:t>
      </w:r>
      <w:r w:rsidRPr="00997551">
        <w:rPr>
          <w:sz w:val="22"/>
          <w:szCs w:val="22"/>
          <w:lang w:val="en-GB"/>
        </w:rPr>
        <w:t xml:space="preserve">2023, </w:t>
      </w:r>
      <w:proofErr w:type="spellStart"/>
      <w:r w:rsidRPr="00997551">
        <w:rPr>
          <w:sz w:val="22"/>
          <w:szCs w:val="22"/>
          <w:lang w:val="en-GB"/>
        </w:rPr>
        <w:t>Ministria</w:t>
      </w:r>
      <w:proofErr w:type="spellEnd"/>
      <w:r w:rsidRPr="00997551">
        <w:rPr>
          <w:sz w:val="22"/>
          <w:szCs w:val="22"/>
          <w:lang w:val="en-GB"/>
        </w:rPr>
        <w:t xml:space="preserve"> e </w:t>
      </w:r>
      <w:proofErr w:type="spellStart"/>
      <w:r w:rsidRPr="00997551">
        <w:rPr>
          <w:sz w:val="22"/>
          <w:szCs w:val="22"/>
          <w:lang w:val="en-GB"/>
        </w:rPr>
        <w:t>Financave</w:t>
      </w:r>
      <w:proofErr w:type="spellEnd"/>
      <w:r w:rsidRPr="00997551">
        <w:rPr>
          <w:sz w:val="22"/>
          <w:szCs w:val="22"/>
          <w:lang w:val="en-GB"/>
        </w:rPr>
        <w:t xml:space="preserve"> </w:t>
      </w:r>
      <w:proofErr w:type="spellStart"/>
      <w:proofErr w:type="gramStart"/>
      <w:r w:rsidR="00E33135" w:rsidRPr="00997551">
        <w:rPr>
          <w:sz w:val="22"/>
          <w:szCs w:val="22"/>
          <w:lang w:val="en-GB"/>
        </w:rPr>
        <w:t>implementoi</w:t>
      </w:r>
      <w:proofErr w:type="spellEnd"/>
      <w:r w:rsidRPr="00997551">
        <w:rPr>
          <w:sz w:val="22"/>
          <w:szCs w:val="22"/>
          <w:lang w:val="en-GB"/>
        </w:rPr>
        <w:t xml:space="preserve"> </w:t>
      </w:r>
      <w:r w:rsidR="00E33135" w:rsidRPr="00997551">
        <w:rPr>
          <w:sz w:val="22"/>
          <w:szCs w:val="22"/>
          <w:lang w:val="en-GB"/>
        </w:rPr>
        <w:t xml:space="preserve"> </w:t>
      </w:r>
      <w:proofErr w:type="spellStart"/>
      <w:r w:rsidR="00E33135" w:rsidRPr="00997551">
        <w:rPr>
          <w:sz w:val="22"/>
          <w:szCs w:val="22"/>
          <w:lang w:val="en-GB"/>
        </w:rPr>
        <w:t>pasqyrë</w:t>
      </w:r>
      <w:proofErr w:type="spellEnd"/>
      <w:proofErr w:type="gramEnd"/>
      <w:r w:rsidR="00E33135" w:rsidRPr="00997551">
        <w:rPr>
          <w:sz w:val="22"/>
          <w:szCs w:val="22"/>
          <w:lang w:val="en-GB"/>
        </w:rPr>
        <w:t xml:space="preserve"> </w:t>
      </w:r>
      <w:proofErr w:type="spellStart"/>
      <w:r w:rsidR="00E33135" w:rsidRPr="00997551">
        <w:rPr>
          <w:sz w:val="22"/>
          <w:szCs w:val="22"/>
          <w:lang w:val="en-GB"/>
        </w:rPr>
        <w:t>tabelare</w:t>
      </w:r>
      <w:proofErr w:type="spellEnd"/>
      <w:r w:rsidR="00E33135" w:rsidRPr="00997551">
        <w:rPr>
          <w:sz w:val="22"/>
          <w:szCs w:val="22"/>
          <w:lang w:val="en-GB"/>
        </w:rPr>
        <w:t xml:space="preserve"> </w:t>
      </w:r>
      <w:proofErr w:type="spellStart"/>
      <w:r w:rsidR="00E33135" w:rsidRPr="00997551">
        <w:rPr>
          <w:sz w:val="22"/>
          <w:szCs w:val="22"/>
          <w:lang w:val="en-GB"/>
        </w:rPr>
        <w:t>a</w:t>
      </w:r>
      <w:r w:rsidRPr="00997551">
        <w:rPr>
          <w:sz w:val="22"/>
          <w:szCs w:val="22"/>
          <w:lang w:val="en-GB"/>
        </w:rPr>
        <w:t>fatmesëm</w:t>
      </w:r>
      <w:r w:rsidR="00E33135" w:rsidRPr="00997551">
        <w:rPr>
          <w:sz w:val="22"/>
          <w:szCs w:val="22"/>
          <w:lang w:val="en-GB"/>
        </w:rPr>
        <w:t>e</w:t>
      </w:r>
      <w:proofErr w:type="spellEnd"/>
      <w:r w:rsidRPr="00997551">
        <w:rPr>
          <w:sz w:val="22"/>
          <w:szCs w:val="22"/>
          <w:lang w:val="en-GB"/>
        </w:rPr>
        <w:t xml:space="preserve"> të MFP/PR për </w:t>
      </w:r>
      <w:proofErr w:type="spellStart"/>
      <w:r w:rsidRPr="00997551">
        <w:rPr>
          <w:sz w:val="22"/>
          <w:szCs w:val="22"/>
          <w:lang w:val="en-GB"/>
        </w:rPr>
        <w:t>periudhën</w:t>
      </w:r>
      <w:proofErr w:type="spellEnd"/>
      <w:r w:rsidRPr="00997551">
        <w:rPr>
          <w:sz w:val="22"/>
          <w:szCs w:val="22"/>
          <w:lang w:val="en-GB"/>
        </w:rPr>
        <w:t xml:space="preserve"> 2022-2025 dhe </w:t>
      </w:r>
      <w:proofErr w:type="spellStart"/>
      <w:r w:rsidRPr="00997551">
        <w:rPr>
          <w:sz w:val="22"/>
          <w:szCs w:val="22"/>
          <w:lang w:val="en-GB"/>
        </w:rPr>
        <w:t>përgatiti</w:t>
      </w:r>
      <w:proofErr w:type="spellEnd"/>
      <w:r w:rsidRPr="00997551">
        <w:rPr>
          <w:sz w:val="22"/>
          <w:szCs w:val="22"/>
          <w:lang w:val="en-GB"/>
        </w:rPr>
        <w:t xml:space="preserve"> Program të </w:t>
      </w:r>
      <w:proofErr w:type="spellStart"/>
      <w:r w:rsidRPr="00997551">
        <w:rPr>
          <w:sz w:val="22"/>
          <w:szCs w:val="22"/>
          <w:lang w:val="en-GB"/>
        </w:rPr>
        <w:t>ri</w:t>
      </w:r>
      <w:proofErr w:type="spellEnd"/>
      <w:r w:rsidRPr="00997551">
        <w:rPr>
          <w:sz w:val="22"/>
          <w:szCs w:val="22"/>
          <w:lang w:val="en-GB"/>
        </w:rPr>
        <w:t xml:space="preserve"> </w:t>
      </w:r>
      <w:r w:rsidR="00E33135" w:rsidRPr="00997551">
        <w:rPr>
          <w:sz w:val="22"/>
          <w:szCs w:val="22"/>
          <w:lang w:val="en-GB"/>
        </w:rPr>
        <w:t>për</w:t>
      </w:r>
      <w:r w:rsidRPr="00997551">
        <w:rPr>
          <w:sz w:val="22"/>
          <w:szCs w:val="22"/>
          <w:lang w:val="en-GB"/>
        </w:rPr>
        <w:t xml:space="preserve"> </w:t>
      </w:r>
      <w:proofErr w:type="spellStart"/>
      <w:r w:rsidR="00E33135" w:rsidRPr="00997551">
        <w:rPr>
          <w:sz w:val="22"/>
          <w:szCs w:val="22"/>
          <w:lang w:val="en-GB"/>
        </w:rPr>
        <w:t>r</w:t>
      </w:r>
      <w:r w:rsidRPr="00997551">
        <w:rPr>
          <w:sz w:val="22"/>
          <w:szCs w:val="22"/>
          <w:lang w:val="en-GB"/>
        </w:rPr>
        <w:t>eform</w:t>
      </w:r>
      <w:r w:rsidR="00E33135" w:rsidRPr="00997551">
        <w:rPr>
          <w:sz w:val="22"/>
          <w:szCs w:val="22"/>
          <w:lang w:val="en-GB"/>
        </w:rPr>
        <w:t>a</w:t>
      </w:r>
      <w:proofErr w:type="spellEnd"/>
      <w:r w:rsidRPr="00997551">
        <w:rPr>
          <w:sz w:val="22"/>
          <w:szCs w:val="22"/>
          <w:lang w:val="en-GB"/>
        </w:rPr>
        <w:t xml:space="preserve"> </w:t>
      </w:r>
      <w:r w:rsidR="00E33135" w:rsidRPr="00997551">
        <w:rPr>
          <w:sz w:val="22"/>
          <w:szCs w:val="22"/>
          <w:lang w:val="en-GB"/>
        </w:rPr>
        <w:t>n</w:t>
      </w:r>
      <w:r w:rsidRPr="00997551">
        <w:rPr>
          <w:sz w:val="22"/>
          <w:szCs w:val="22"/>
          <w:lang w:val="en-GB"/>
        </w:rPr>
        <w:t xml:space="preserve">ë </w:t>
      </w:r>
      <w:proofErr w:type="spellStart"/>
      <w:r w:rsidRPr="00997551">
        <w:rPr>
          <w:sz w:val="22"/>
          <w:szCs w:val="22"/>
          <w:lang w:val="en-GB"/>
        </w:rPr>
        <w:t>Menaxhimi</w:t>
      </w:r>
      <w:r w:rsidR="00E33135" w:rsidRPr="00997551">
        <w:rPr>
          <w:sz w:val="22"/>
          <w:szCs w:val="22"/>
          <w:lang w:val="en-GB"/>
        </w:rPr>
        <w:t>n</w:t>
      </w:r>
      <w:proofErr w:type="spellEnd"/>
      <w:r w:rsidRPr="00997551">
        <w:rPr>
          <w:sz w:val="22"/>
          <w:szCs w:val="22"/>
          <w:lang w:val="en-GB"/>
        </w:rPr>
        <w:t xml:space="preserve"> </w:t>
      </w:r>
      <w:r w:rsidR="00E33135" w:rsidRPr="00997551">
        <w:rPr>
          <w:sz w:val="22"/>
          <w:szCs w:val="22"/>
          <w:lang w:val="en-GB"/>
        </w:rPr>
        <w:t>me</w:t>
      </w:r>
      <w:r w:rsidRPr="00997551">
        <w:rPr>
          <w:sz w:val="22"/>
          <w:szCs w:val="22"/>
          <w:lang w:val="en-GB"/>
        </w:rPr>
        <w:t xml:space="preserve"> </w:t>
      </w:r>
      <w:proofErr w:type="spellStart"/>
      <w:r w:rsidRPr="00997551">
        <w:rPr>
          <w:sz w:val="22"/>
          <w:szCs w:val="22"/>
          <w:lang w:val="en-GB"/>
        </w:rPr>
        <w:t>Financa</w:t>
      </w:r>
      <w:proofErr w:type="spellEnd"/>
      <w:r w:rsidRPr="00997551">
        <w:rPr>
          <w:sz w:val="22"/>
          <w:szCs w:val="22"/>
          <w:lang w:val="en-GB"/>
        </w:rPr>
        <w:t xml:space="preserve"> Publike për </w:t>
      </w:r>
      <w:proofErr w:type="spellStart"/>
      <w:r w:rsidR="00E33135" w:rsidRPr="00997551">
        <w:rPr>
          <w:sz w:val="22"/>
          <w:szCs w:val="22"/>
          <w:lang w:val="en-GB"/>
        </w:rPr>
        <w:t>periudhën</w:t>
      </w:r>
      <w:proofErr w:type="spellEnd"/>
      <w:r w:rsidRPr="00997551">
        <w:rPr>
          <w:sz w:val="22"/>
          <w:szCs w:val="22"/>
          <w:lang w:val="en-GB"/>
        </w:rPr>
        <w:t xml:space="preserve"> 2024-2027. </w:t>
      </w:r>
      <w:r w:rsidRPr="00997551">
        <w:rPr>
          <w:sz w:val="22"/>
          <w:szCs w:val="22"/>
          <w:lang w:val="en-GB"/>
        </w:rPr>
        <w:lastRenderedPageBreak/>
        <w:t xml:space="preserve">Megjithatë, </w:t>
      </w:r>
      <w:proofErr w:type="spellStart"/>
      <w:r w:rsidRPr="00997551">
        <w:rPr>
          <w:sz w:val="22"/>
          <w:szCs w:val="22"/>
          <w:lang w:val="en-GB"/>
        </w:rPr>
        <w:t>reforma</w:t>
      </w:r>
      <w:proofErr w:type="spellEnd"/>
      <w:r w:rsidRPr="00997551">
        <w:rPr>
          <w:sz w:val="22"/>
          <w:szCs w:val="22"/>
          <w:lang w:val="en-GB"/>
        </w:rPr>
        <w:t xml:space="preserve"> e </w:t>
      </w:r>
      <w:proofErr w:type="spellStart"/>
      <w:r w:rsidR="00E33135" w:rsidRPr="00997551">
        <w:rPr>
          <w:sz w:val="22"/>
          <w:szCs w:val="22"/>
          <w:lang w:val="en-GB"/>
        </w:rPr>
        <w:t>reviduar</w:t>
      </w:r>
      <w:proofErr w:type="spellEnd"/>
      <w:r w:rsidRPr="00997551">
        <w:rPr>
          <w:sz w:val="22"/>
          <w:szCs w:val="22"/>
          <w:lang w:val="en-GB"/>
        </w:rPr>
        <w:t xml:space="preserve"> nuk u </w:t>
      </w:r>
      <w:proofErr w:type="spellStart"/>
      <w:r w:rsidR="00E33135" w:rsidRPr="00997551">
        <w:rPr>
          <w:sz w:val="22"/>
          <w:szCs w:val="22"/>
          <w:lang w:val="en-GB"/>
        </w:rPr>
        <w:t>soll</w:t>
      </w:r>
      <w:proofErr w:type="spellEnd"/>
      <w:r w:rsidR="00E33135" w:rsidRPr="00997551">
        <w:rPr>
          <w:sz w:val="22"/>
          <w:szCs w:val="22"/>
          <w:lang w:val="en-GB"/>
        </w:rPr>
        <w:t xml:space="preserve"> </w:t>
      </w:r>
      <w:proofErr w:type="spellStart"/>
      <w:r w:rsidR="00E33135" w:rsidRPr="00997551">
        <w:rPr>
          <w:sz w:val="22"/>
          <w:szCs w:val="22"/>
          <w:lang w:val="en-GB"/>
        </w:rPr>
        <w:t>formalisht</w:t>
      </w:r>
      <w:proofErr w:type="spellEnd"/>
      <w:r w:rsidRPr="00997551">
        <w:rPr>
          <w:sz w:val="22"/>
          <w:szCs w:val="22"/>
          <w:lang w:val="en-GB"/>
        </w:rPr>
        <w:t xml:space="preserve"> </w:t>
      </w:r>
      <w:proofErr w:type="spellStart"/>
      <w:r w:rsidRPr="00997551">
        <w:rPr>
          <w:sz w:val="22"/>
          <w:szCs w:val="22"/>
          <w:lang w:val="en-GB"/>
        </w:rPr>
        <w:t>nga</w:t>
      </w:r>
      <w:proofErr w:type="spellEnd"/>
      <w:r w:rsidRPr="00997551">
        <w:rPr>
          <w:sz w:val="22"/>
          <w:szCs w:val="22"/>
          <w:lang w:val="en-GB"/>
        </w:rPr>
        <w:t xml:space="preserve"> </w:t>
      </w:r>
      <w:r w:rsidR="00E33135" w:rsidRPr="00997551">
        <w:rPr>
          <w:sz w:val="22"/>
          <w:szCs w:val="22"/>
          <w:lang w:val="en-GB"/>
        </w:rPr>
        <w:t xml:space="preserve">ana e </w:t>
      </w:r>
      <w:r w:rsidRPr="00997551">
        <w:rPr>
          <w:sz w:val="22"/>
          <w:szCs w:val="22"/>
          <w:lang w:val="en-GB"/>
        </w:rPr>
        <w:t>Qeveri</w:t>
      </w:r>
      <w:r w:rsidR="00E33135" w:rsidRPr="00997551">
        <w:rPr>
          <w:sz w:val="22"/>
          <w:szCs w:val="22"/>
          <w:lang w:val="en-GB"/>
        </w:rPr>
        <w:t>së</w:t>
      </w:r>
      <w:r w:rsidRPr="00997551">
        <w:rPr>
          <w:sz w:val="22"/>
          <w:szCs w:val="22"/>
          <w:lang w:val="en-GB"/>
        </w:rPr>
        <w:t xml:space="preserve"> për </w:t>
      </w:r>
      <w:proofErr w:type="spellStart"/>
      <w:r w:rsidRPr="00997551">
        <w:rPr>
          <w:sz w:val="22"/>
          <w:szCs w:val="22"/>
          <w:lang w:val="en-GB"/>
        </w:rPr>
        <w:t>shkak</w:t>
      </w:r>
      <w:proofErr w:type="spellEnd"/>
      <w:r w:rsidRPr="00997551">
        <w:rPr>
          <w:sz w:val="22"/>
          <w:szCs w:val="22"/>
          <w:lang w:val="en-GB"/>
        </w:rPr>
        <w:t xml:space="preserve"> të </w:t>
      </w:r>
      <w:proofErr w:type="spellStart"/>
      <w:r w:rsidRPr="00997551">
        <w:rPr>
          <w:sz w:val="22"/>
          <w:szCs w:val="22"/>
          <w:lang w:val="en-GB"/>
        </w:rPr>
        <w:t>zgjedhjeve</w:t>
      </w:r>
      <w:proofErr w:type="spellEnd"/>
      <w:r w:rsidRPr="00997551">
        <w:rPr>
          <w:sz w:val="22"/>
          <w:szCs w:val="22"/>
          <w:lang w:val="en-GB"/>
        </w:rPr>
        <w:t xml:space="preserve">. </w:t>
      </w:r>
      <w:proofErr w:type="spellStart"/>
      <w:r w:rsidRPr="00997551">
        <w:rPr>
          <w:sz w:val="22"/>
          <w:szCs w:val="22"/>
          <w:lang w:val="en-GB"/>
        </w:rPr>
        <w:t>Programi</w:t>
      </w:r>
      <w:proofErr w:type="spellEnd"/>
      <w:r w:rsidRPr="00997551">
        <w:rPr>
          <w:sz w:val="22"/>
          <w:szCs w:val="22"/>
          <w:lang w:val="en-GB"/>
        </w:rPr>
        <w:t xml:space="preserve"> është</w:t>
      </w:r>
      <w:r w:rsidR="00E33135" w:rsidRPr="00997551">
        <w:rPr>
          <w:sz w:val="22"/>
          <w:szCs w:val="22"/>
          <w:lang w:val="en-GB"/>
        </w:rPr>
        <w:t xml:space="preserve"> </w:t>
      </w:r>
      <w:proofErr w:type="spellStart"/>
      <w:r w:rsidR="00E33135" w:rsidRPr="00997551">
        <w:rPr>
          <w:sz w:val="22"/>
          <w:szCs w:val="22"/>
          <w:lang w:val="en-GB"/>
        </w:rPr>
        <w:t>reviduar</w:t>
      </w:r>
      <w:proofErr w:type="spellEnd"/>
      <w:r w:rsidRPr="00997551">
        <w:rPr>
          <w:sz w:val="22"/>
          <w:szCs w:val="22"/>
          <w:lang w:val="en-GB"/>
        </w:rPr>
        <w:t xml:space="preserve"> </w:t>
      </w:r>
      <w:proofErr w:type="spellStart"/>
      <w:r w:rsidRPr="00997551">
        <w:rPr>
          <w:sz w:val="22"/>
          <w:szCs w:val="22"/>
          <w:lang w:val="en-GB"/>
        </w:rPr>
        <w:t>që</w:t>
      </w:r>
      <w:proofErr w:type="spellEnd"/>
      <w:r w:rsidRPr="00997551">
        <w:rPr>
          <w:sz w:val="22"/>
          <w:szCs w:val="22"/>
          <w:lang w:val="en-GB"/>
        </w:rPr>
        <w:t xml:space="preserve"> </w:t>
      </w:r>
      <w:proofErr w:type="spellStart"/>
      <w:r w:rsidRPr="00997551">
        <w:rPr>
          <w:sz w:val="22"/>
          <w:szCs w:val="22"/>
          <w:lang w:val="en-GB"/>
        </w:rPr>
        <w:t>atëherë</w:t>
      </w:r>
      <w:proofErr w:type="spellEnd"/>
      <w:r w:rsidRPr="00997551">
        <w:rPr>
          <w:sz w:val="22"/>
          <w:szCs w:val="22"/>
          <w:lang w:val="en-GB"/>
        </w:rPr>
        <w:t xml:space="preserve"> dhe </w:t>
      </w:r>
      <w:proofErr w:type="spellStart"/>
      <w:r w:rsidRPr="00997551">
        <w:rPr>
          <w:sz w:val="22"/>
          <w:szCs w:val="22"/>
          <w:lang w:val="en-GB"/>
        </w:rPr>
        <w:t>pritet</w:t>
      </w:r>
      <w:proofErr w:type="spellEnd"/>
      <w:r w:rsidRPr="00997551">
        <w:rPr>
          <w:sz w:val="22"/>
          <w:szCs w:val="22"/>
          <w:lang w:val="en-GB"/>
        </w:rPr>
        <w:t xml:space="preserve"> të </w:t>
      </w:r>
      <w:proofErr w:type="spellStart"/>
      <w:r w:rsidR="00E33135" w:rsidRPr="00997551">
        <w:rPr>
          <w:sz w:val="22"/>
          <w:szCs w:val="22"/>
          <w:lang w:val="en-GB"/>
        </w:rPr>
        <w:t>sillet</w:t>
      </w:r>
      <w:proofErr w:type="spellEnd"/>
      <w:r w:rsidRPr="00997551">
        <w:rPr>
          <w:sz w:val="22"/>
          <w:szCs w:val="22"/>
          <w:lang w:val="en-GB"/>
        </w:rPr>
        <w:t xml:space="preserve"> në </w:t>
      </w:r>
      <w:proofErr w:type="spellStart"/>
      <w:r w:rsidRPr="00997551">
        <w:rPr>
          <w:sz w:val="22"/>
          <w:szCs w:val="22"/>
          <w:lang w:val="en-GB"/>
        </w:rPr>
        <w:t>gjysmën</w:t>
      </w:r>
      <w:proofErr w:type="spellEnd"/>
      <w:r w:rsidRPr="00997551">
        <w:rPr>
          <w:sz w:val="22"/>
          <w:szCs w:val="22"/>
          <w:lang w:val="en-GB"/>
        </w:rPr>
        <w:t xml:space="preserve"> e parë të </w:t>
      </w:r>
      <w:proofErr w:type="spellStart"/>
      <w:r w:rsidRPr="00997551">
        <w:rPr>
          <w:sz w:val="22"/>
          <w:szCs w:val="22"/>
          <w:lang w:val="en-GB"/>
        </w:rPr>
        <w:t>vitit</w:t>
      </w:r>
      <w:proofErr w:type="spellEnd"/>
      <w:r w:rsidRPr="00997551">
        <w:rPr>
          <w:sz w:val="22"/>
          <w:szCs w:val="22"/>
          <w:lang w:val="en-GB"/>
        </w:rPr>
        <w:t xml:space="preserve"> 2025, duke </w:t>
      </w:r>
      <w:proofErr w:type="spellStart"/>
      <w:r w:rsidRPr="00997551">
        <w:rPr>
          <w:sz w:val="22"/>
          <w:szCs w:val="22"/>
          <w:lang w:val="en-GB"/>
        </w:rPr>
        <w:t>përfshirë</w:t>
      </w:r>
      <w:proofErr w:type="spellEnd"/>
      <w:r w:rsidRPr="00997551">
        <w:rPr>
          <w:sz w:val="22"/>
          <w:szCs w:val="22"/>
          <w:lang w:val="en-GB"/>
        </w:rPr>
        <w:t xml:space="preserve"> </w:t>
      </w:r>
      <w:proofErr w:type="spellStart"/>
      <w:r w:rsidRPr="00997551">
        <w:rPr>
          <w:sz w:val="22"/>
          <w:szCs w:val="22"/>
          <w:lang w:val="en-GB"/>
        </w:rPr>
        <w:t>periudhën</w:t>
      </w:r>
      <w:proofErr w:type="spellEnd"/>
      <w:r w:rsidRPr="00997551">
        <w:rPr>
          <w:sz w:val="22"/>
          <w:szCs w:val="22"/>
          <w:lang w:val="en-GB"/>
        </w:rPr>
        <w:t xml:space="preserve"> 2025-2028.</w:t>
      </w:r>
    </w:p>
    <w:p w14:paraId="2F25A778" w14:textId="1ECF3C25" w:rsidR="000B03EF" w:rsidRPr="00997551" w:rsidRDefault="00E33135">
      <w:pPr>
        <w:pStyle w:val="BodyText"/>
        <w:jc w:val="both"/>
        <w:rPr>
          <w:lang w:val="sq-AL"/>
        </w:rPr>
      </w:pPr>
      <w:r w:rsidRPr="00997551">
        <w:rPr>
          <w:sz w:val="22"/>
          <w:szCs w:val="22"/>
        </w:rPr>
        <w:t>Dobësitë k</w:t>
      </w:r>
      <w:r w:rsidRPr="00997551">
        <w:rPr>
          <w:sz w:val="22"/>
          <w:szCs w:val="22"/>
          <w:lang w:val="sq-AL"/>
        </w:rPr>
        <w:t>yçe</w:t>
      </w:r>
      <w:r w:rsidRPr="00997551">
        <w:rPr>
          <w:sz w:val="22"/>
          <w:szCs w:val="22"/>
        </w:rPr>
        <w:t xml:space="preserve"> në sistemin </w:t>
      </w:r>
      <w:r w:rsidRPr="00997551">
        <w:rPr>
          <w:sz w:val="22"/>
          <w:szCs w:val="22"/>
          <w:lang w:val="sq-AL"/>
        </w:rPr>
        <w:t>për</w:t>
      </w:r>
      <w:r w:rsidRPr="00997551">
        <w:rPr>
          <w:sz w:val="22"/>
          <w:szCs w:val="22"/>
        </w:rPr>
        <w:t xml:space="preserve"> menaxhim </w:t>
      </w:r>
      <w:r w:rsidRPr="00997551">
        <w:rPr>
          <w:sz w:val="22"/>
          <w:szCs w:val="22"/>
          <w:lang w:val="sq-AL"/>
        </w:rPr>
        <w:t>me</w:t>
      </w:r>
      <w:r w:rsidRPr="00997551">
        <w:rPr>
          <w:sz w:val="22"/>
          <w:szCs w:val="22"/>
        </w:rPr>
        <w:t xml:space="preserve"> financa</w:t>
      </w:r>
      <w:r w:rsidRPr="00997551">
        <w:rPr>
          <w:sz w:val="22"/>
          <w:szCs w:val="22"/>
          <w:lang w:val="sq-AL"/>
        </w:rPr>
        <w:t>t</w:t>
      </w:r>
      <w:r w:rsidRPr="00997551">
        <w:rPr>
          <w:sz w:val="22"/>
          <w:szCs w:val="22"/>
        </w:rPr>
        <w:t xml:space="preserve"> publike identifikohen rregullisht përmes vlerësimeve ndërkombëtare, përfshirë PEFA, SIGMA dhe raportet e vlerësimit të vendit nga BE-ja. Vlerësimi më i fundit i PEFA-s u </w:t>
      </w:r>
      <w:r w:rsidRPr="00997551">
        <w:rPr>
          <w:sz w:val="22"/>
          <w:szCs w:val="22"/>
          <w:lang w:val="sq-AL"/>
        </w:rPr>
        <w:t>implementua</w:t>
      </w:r>
      <w:r w:rsidRPr="00997551">
        <w:rPr>
          <w:sz w:val="22"/>
          <w:szCs w:val="22"/>
        </w:rPr>
        <w:t xml:space="preserve"> në vitin 2021, bazuar në të dhënat e viteve fiskale 2018, 2019 dhe 2020</w:t>
      </w:r>
      <w:r w:rsidR="00B8240F" w:rsidRPr="00997551">
        <w:rPr>
          <w:rStyle w:val="BodyTextChar"/>
          <w:sz w:val="22"/>
          <w:szCs w:val="22"/>
        </w:rPr>
        <w:t>(</w:t>
      </w:r>
      <w:r w:rsidR="00B8240F" w:rsidRPr="00997551">
        <w:rPr>
          <w:rStyle w:val="BodyTextChar"/>
          <w:sz w:val="22"/>
          <w:szCs w:val="22"/>
          <w:vertAlign w:val="superscript"/>
        </w:rPr>
        <w:footnoteReference w:id="2"/>
      </w:r>
      <w:r w:rsidR="00B8240F" w:rsidRPr="00997551">
        <w:rPr>
          <w:rStyle w:val="BodyTextChar"/>
          <w:sz w:val="22"/>
          <w:szCs w:val="22"/>
        </w:rPr>
        <w:t xml:space="preserve">). </w:t>
      </w:r>
      <w:proofErr w:type="spellStart"/>
      <w:r w:rsidRPr="00997551">
        <w:rPr>
          <w:sz w:val="22"/>
          <w:szCs w:val="22"/>
          <w:lang w:val="en-GB"/>
        </w:rPr>
        <w:t>Vlerësimi</w:t>
      </w:r>
      <w:proofErr w:type="spellEnd"/>
      <w:r w:rsidRPr="00997551">
        <w:rPr>
          <w:sz w:val="22"/>
          <w:szCs w:val="22"/>
          <w:lang w:val="en-GB"/>
        </w:rPr>
        <w:t xml:space="preserve"> më </w:t>
      </w:r>
      <w:proofErr w:type="spellStart"/>
      <w:r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fundit</w:t>
      </w:r>
      <w:proofErr w:type="spellEnd"/>
      <w:r w:rsidRPr="00997551">
        <w:rPr>
          <w:sz w:val="22"/>
          <w:szCs w:val="22"/>
          <w:lang w:val="en-GB"/>
        </w:rPr>
        <w:t xml:space="preserve"> </w:t>
      </w:r>
      <w:proofErr w:type="spellStart"/>
      <w:r w:rsidRPr="00997551">
        <w:rPr>
          <w:sz w:val="22"/>
          <w:szCs w:val="22"/>
          <w:lang w:val="en-GB"/>
        </w:rPr>
        <w:t>i</w:t>
      </w:r>
      <w:proofErr w:type="spellEnd"/>
      <w:r w:rsidRPr="00997551">
        <w:rPr>
          <w:sz w:val="22"/>
          <w:szCs w:val="22"/>
          <w:lang w:val="en-GB"/>
        </w:rPr>
        <w:t xml:space="preserve"> SIGMA-s u </w:t>
      </w:r>
      <w:proofErr w:type="spellStart"/>
      <w:r w:rsidRPr="00997551">
        <w:rPr>
          <w:sz w:val="22"/>
          <w:szCs w:val="22"/>
          <w:lang w:val="en-GB"/>
        </w:rPr>
        <w:t>publikua</w:t>
      </w:r>
      <w:proofErr w:type="spellEnd"/>
      <w:r w:rsidRPr="00997551">
        <w:rPr>
          <w:sz w:val="22"/>
          <w:szCs w:val="22"/>
          <w:lang w:val="en-GB"/>
        </w:rPr>
        <w:t xml:space="preserve"> në </w:t>
      </w:r>
      <w:proofErr w:type="spellStart"/>
      <w:r w:rsidRPr="00997551">
        <w:rPr>
          <w:sz w:val="22"/>
          <w:szCs w:val="22"/>
          <w:lang w:val="en-GB"/>
        </w:rPr>
        <w:t>dhjetor</w:t>
      </w:r>
      <w:proofErr w:type="spellEnd"/>
      <w:r w:rsidRPr="00997551">
        <w:rPr>
          <w:sz w:val="22"/>
          <w:szCs w:val="22"/>
          <w:lang w:val="en-GB"/>
        </w:rPr>
        <w:t xml:space="preserve"> 2024</w:t>
      </w:r>
      <w:r w:rsidR="00B8240F" w:rsidRPr="00997551">
        <w:rPr>
          <w:rStyle w:val="BodyTextChar"/>
          <w:sz w:val="22"/>
          <w:szCs w:val="22"/>
        </w:rPr>
        <w:t>(</w:t>
      </w:r>
      <w:r w:rsidR="00B8240F" w:rsidRPr="00997551">
        <w:rPr>
          <w:rStyle w:val="BodyTextChar"/>
          <w:sz w:val="22"/>
          <w:szCs w:val="22"/>
          <w:vertAlign w:val="superscript"/>
        </w:rPr>
        <w:footnoteReference w:id="3"/>
      </w:r>
      <w:r w:rsidR="00B8240F" w:rsidRPr="00997551">
        <w:rPr>
          <w:rStyle w:val="BodyTextChar"/>
          <w:sz w:val="22"/>
          <w:szCs w:val="22"/>
        </w:rPr>
        <w:t>).</w:t>
      </w:r>
      <w:r w:rsidR="000B03EF" w:rsidRPr="00997551">
        <w:rPr>
          <w:rStyle w:val="BodyTextChar"/>
          <w:sz w:val="22"/>
          <w:szCs w:val="22"/>
          <w:lang w:val="sq-AL"/>
        </w:rPr>
        <w:t xml:space="preserve"> </w:t>
      </w:r>
      <w:r w:rsidRPr="00997551">
        <w:rPr>
          <w:sz w:val="22"/>
          <w:szCs w:val="22"/>
        </w:rPr>
        <w:t xml:space="preserve">MFP/PR për periudhën 2022-2025 është strukturuar në tetë shtylla, të cilat </w:t>
      </w:r>
      <w:r w:rsidRPr="00997551">
        <w:rPr>
          <w:sz w:val="22"/>
          <w:szCs w:val="22"/>
          <w:lang w:val="sq-AL"/>
        </w:rPr>
        <w:t>kanë të bëjnë</w:t>
      </w:r>
      <w:r w:rsidRPr="00997551">
        <w:rPr>
          <w:sz w:val="22"/>
          <w:szCs w:val="22"/>
        </w:rPr>
        <w:t xml:space="preserve"> me dobësitë kryesore të identifikuara në këto vlerësime. Kapaciteti institucional i Ministrisë së Financave mbetet i</w:t>
      </w:r>
      <w:r w:rsidRPr="00997551">
        <w:t xml:space="preserve"> kufizuar, </w:t>
      </w:r>
      <w:r w:rsidR="000B03EF" w:rsidRPr="00997551">
        <w:t>për shkak se lufton për të tërhequr dhe mbajtur personel të kualifikuar</w:t>
      </w:r>
      <w:r w:rsidRPr="00997551">
        <w:t>.</w:t>
      </w:r>
    </w:p>
    <w:p w14:paraId="1A79A5DF" w14:textId="19EBDC55" w:rsidR="000B03EF" w:rsidRPr="00997551" w:rsidRDefault="000B03EF">
      <w:pPr>
        <w:pStyle w:val="BodyText"/>
        <w:jc w:val="both"/>
        <w:rPr>
          <w:lang w:val="sq-AL"/>
        </w:rPr>
      </w:pPr>
      <w:r w:rsidRPr="00997551">
        <w:t xml:space="preserve">Procesi buxhetor është </w:t>
      </w:r>
      <w:r w:rsidRPr="00997551">
        <w:rPr>
          <w:lang w:val="sq-AL"/>
        </w:rPr>
        <w:t>krijuar</w:t>
      </w:r>
      <w:r w:rsidRPr="00997551">
        <w:t xml:space="preserve"> dhe i organizuar</w:t>
      </w:r>
      <w:r w:rsidRPr="00997551">
        <w:rPr>
          <w:lang w:val="sq-AL"/>
        </w:rPr>
        <w:t xml:space="preserve"> mirë</w:t>
      </w:r>
      <w:r w:rsidRPr="00997551">
        <w:t xml:space="preserve">. Kredibiliteti i buxhetit është përmirësuar, i mbështetur nga operacionalizimi i Këshillit Fiskal, përmirësimet </w:t>
      </w:r>
      <w:r w:rsidRPr="00997551">
        <w:rPr>
          <w:lang w:val="sq-AL"/>
        </w:rPr>
        <w:t>e</w:t>
      </w:r>
      <w:r w:rsidRPr="00997551">
        <w:t xml:space="preserve"> strategji</w:t>
      </w:r>
      <w:r w:rsidRPr="00997551">
        <w:rPr>
          <w:lang w:val="sq-AL"/>
        </w:rPr>
        <w:t>s</w:t>
      </w:r>
      <w:r w:rsidRPr="00997551">
        <w:t xml:space="preserve">ë fiskale dhe progresi në monitorimin e rreziqeve fiskale. Megjithatë, ende ekzistojnë shqetësime lidhur me besueshmërinë e projeksioneve makrofiskale. Ligji i ri për Buxhetet (LB) u </w:t>
      </w:r>
      <w:r w:rsidRPr="00997551">
        <w:rPr>
          <w:lang w:val="sq-AL"/>
        </w:rPr>
        <w:t>soll</w:t>
      </w:r>
      <w:r w:rsidRPr="00997551">
        <w:t xml:space="preserve"> nga Kuvendi në </w:t>
      </w:r>
      <w:r w:rsidRPr="00997551">
        <w:rPr>
          <w:lang w:val="sq-AL"/>
        </w:rPr>
        <w:t xml:space="preserve">muajin </w:t>
      </w:r>
      <w:r w:rsidRPr="00997551">
        <w:t xml:space="preserve">shtator </w:t>
      </w:r>
      <w:r w:rsidRPr="00997551">
        <w:rPr>
          <w:lang w:val="sq-AL"/>
        </w:rPr>
        <w:t xml:space="preserve">të vitit </w:t>
      </w:r>
      <w:r w:rsidRPr="00997551">
        <w:t xml:space="preserve">2022, por legjislacioni përkatës për </w:t>
      </w:r>
      <w:r w:rsidRPr="00997551">
        <w:rPr>
          <w:lang w:val="sq-AL"/>
        </w:rPr>
        <w:t>implementimin</w:t>
      </w:r>
      <w:r w:rsidRPr="00997551">
        <w:t xml:space="preserve"> dhe vendosjen e Sistemit të Integruar</w:t>
      </w:r>
      <w:r w:rsidRPr="00997551">
        <w:rPr>
          <w:lang w:val="sq-AL"/>
        </w:rPr>
        <w:t xml:space="preserve"> Informativ</w:t>
      </w:r>
      <w:r w:rsidRPr="00997551">
        <w:t xml:space="preserve"> </w:t>
      </w:r>
      <w:r w:rsidRPr="00997551">
        <w:rPr>
          <w:lang w:val="sq-AL"/>
        </w:rPr>
        <w:t>për</w:t>
      </w:r>
      <w:r w:rsidRPr="00997551">
        <w:t xml:space="preserve"> Menaxhim Financiar (</w:t>
      </w:r>
      <w:r w:rsidRPr="00997551">
        <w:rPr>
          <w:lang w:val="sq-AL"/>
        </w:rPr>
        <w:t>SIIMF-së</w:t>
      </w:r>
      <w:r w:rsidRPr="00997551">
        <w:t xml:space="preserve">) </w:t>
      </w:r>
      <w:r w:rsidRPr="00997551">
        <w:rPr>
          <w:lang w:val="sq-AL"/>
        </w:rPr>
        <w:t xml:space="preserve">dukshëm </w:t>
      </w:r>
      <w:r w:rsidRPr="00997551">
        <w:t>janë shtyrë.</w:t>
      </w:r>
    </w:p>
    <w:p w14:paraId="06743E94" w14:textId="5FA6702D" w:rsidR="000B03EF" w:rsidRPr="00997551" w:rsidRDefault="000B03EF">
      <w:pPr>
        <w:pStyle w:val="BodyText"/>
        <w:jc w:val="both"/>
        <w:rPr>
          <w:lang w:val="en-GB"/>
        </w:rPr>
      </w:pPr>
      <w:proofErr w:type="spellStart"/>
      <w:r w:rsidRPr="00997551">
        <w:rPr>
          <w:lang w:val="en-GB"/>
        </w:rPr>
        <w:t>Planifikimi</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investimeve</w:t>
      </w:r>
      <w:proofErr w:type="spellEnd"/>
      <w:r w:rsidRPr="00997551">
        <w:rPr>
          <w:lang w:val="en-GB"/>
        </w:rPr>
        <w:t xml:space="preserve"> publike </w:t>
      </w:r>
      <w:proofErr w:type="spellStart"/>
      <w:r w:rsidRPr="00997551">
        <w:rPr>
          <w:lang w:val="en-GB"/>
        </w:rPr>
        <w:t>mbetet</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dobët</w:t>
      </w:r>
      <w:proofErr w:type="spellEnd"/>
      <w:r w:rsidRPr="00997551">
        <w:rPr>
          <w:lang w:val="en-GB"/>
        </w:rPr>
        <w:t xml:space="preserve">. Është </w:t>
      </w:r>
      <w:proofErr w:type="spellStart"/>
      <w:r w:rsidRPr="00997551">
        <w:rPr>
          <w:lang w:val="en-GB"/>
        </w:rPr>
        <w:t>arritur</w:t>
      </w:r>
      <w:proofErr w:type="spellEnd"/>
      <w:r w:rsidRPr="00997551">
        <w:rPr>
          <w:lang w:val="en-GB"/>
        </w:rPr>
        <w:t xml:space="preserve"> </w:t>
      </w:r>
      <w:proofErr w:type="spellStart"/>
      <w:r w:rsidRPr="00997551">
        <w:rPr>
          <w:lang w:val="en-GB"/>
        </w:rPr>
        <w:t>progres</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caktuar</w:t>
      </w:r>
      <w:proofErr w:type="spellEnd"/>
      <w:r w:rsidRPr="00997551">
        <w:rPr>
          <w:lang w:val="en-GB"/>
        </w:rPr>
        <w:t xml:space="preserve"> në </w:t>
      </w:r>
      <w:proofErr w:type="spellStart"/>
      <w:r w:rsidRPr="00997551">
        <w:rPr>
          <w:lang w:val="en-GB"/>
        </w:rPr>
        <w:t>menaxhimin</w:t>
      </w:r>
      <w:proofErr w:type="spellEnd"/>
      <w:r w:rsidRPr="00997551">
        <w:rPr>
          <w:lang w:val="en-GB"/>
        </w:rPr>
        <w:t xml:space="preserve"> e </w:t>
      </w:r>
      <w:proofErr w:type="spellStart"/>
      <w:r w:rsidRPr="00997551">
        <w:rPr>
          <w:lang w:val="en-GB"/>
        </w:rPr>
        <w:t>investimeve</w:t>
      </w:r>
      <w:proofErr w:type="spellEnd"/>
      <w:r w:rsidRPr="00997551">
        <w:rPr>
          <w:lang w:val="en-GB"/>
        </w:rPr>
        <w:t xml:space="preserve"> publike (MIP), </w:t>
      </w:r>
      <w:proofErr w:type="spellStart"/>
      <w:r w:rsidRPr="00997551">
        <w:rPr>
          <w:lang w:val="en-GB"/>
        </w:rPr>
        <w:t>përfshirë</w:t>
      </w:r>
      <w:proofErr w:type="spellEnd"/>
      <w:r w:rsidRPr="00997551">
        <w:rPr>
          <w:lang w:val="en-GB"/>
        </w:rPr>
        <w:t xml:space="preserve"> </w:t>
      </w:r>
      <w:proofErr w:type="spellStart"/>
      <w:r w:rsidRPr="00997551">
        <w:rPr>
          <w:lang w:val="en-GB"/>
        </w:rPr>
        <w:t>themelimin</w:t>
      </w:r>
      <w:proofErr w:type="spellEnd"/>
      <w:r w:rsidRPr="00997551">
        <w:rPr>
          <w:lang w:val="en-GB"/>
        </w:rPr>
        <w:t xml:space="preserve"> e </w:t>
      </w:r>
      <w:proofErr w:type="spellStart"/>
      <w:r w:rsidRPr="00997551">
        <w:rPr>
          <w:lang w:val="en-GB"/>
        </w:rPr>
        <w:t>Njësisë</w:t>
      </w:r>
      <w:proofErr w:type="spellEnd"/>
      <w:r w:rsidRPr="00997551">
        <w:rPr>
          <w:lang w:val="en-GB"/>
        </w:rPr>
        <w:t xml:space="preserve"> së re për MIP-un në </w:t>
      </w:r>
      <w:proofErr w:type="spellStart"/>
      <w:r w:rsidRPr="00997551">
        <w:rPr>
          <w:lang w:val="en-GB"/>
        </w:rPr>
        <w:t>kuadër</w:t>
      </w:r>
      <w:proofErr w:type="spellEnd"/>
      <w:r w:rsidRPr="00997551">
        <w:rPr>
          <w:lang w:val="en-GB"/>
        </w:rPr>
        <w:t xml:space="preserve"> të </w:t>
      </w:r>
      <w:proofErr w:type="spellStart"/>
      <w:r w:rsidRPr="00997551">
        <w:rPr>
          <w:lang w:val="en-GB"/>
        </w:rPr>
        <w:t>Ministrisë</w:t>
      </w:r>
      <w:proofErr w:type="spellEnd"/>
      <w:r w:rsidRPr="00997551">
        <w:rPr>
          <w:lang w:val="en-GB"/>
        </w:rPr>
        <w:t xml:space="preserve"> së Financave. </w:t>
      </w:r>
      <w:proofErr w:type="spellStart"/>
      <w:r w:rsidRPr="00997551">
        <w:rPr>
          <w:lang w:val="en-GB"/>
        </w:rPr>
        <w:t>Rregullorja</w:t>
      </w:r>
      <w:proofErr w:type="spellEnd"/>
      <w:r w:rsidRPr="00997551">
        <w:rPr>
          <w:lang w:val="en-GB"/>
        </w:rPr>
        <w:t xml:space="preserve"> për MIP-in, e cila është </w:t>
      </w:r>
      <w:proofErr w:type="spellStart"/>
      <w:r w:rsidRPr="00997551">
        <w:rPr>
          <w:lang w:val="en-GB"/>
        </w:rPr>
        <w:t>kyçe</w:t>
      </w:r>
      <w:proofErr w:type="spellEnd"/>
      <w:r w:rsidRPr="00997551">
        <w:rPr>
          <w:lang w:val="en-GB"/>
        </w:rPr>
        <w:t xml:space="preserve"> për </w:t>
      </w:r>
      <w:proofErr w:type="spellStart"/>
      <w:r w:rsidRPr="00997551">
        <w:rPr>
          <w:lang w:val="en-GB"/>
        </w:rPr>
        <w:t>rregullimin</w:t>
      </w:r>
      <w:proofErr w:type="spellEnd"/>
      <w:r w:rsidRPr="00997551">
        <w:rPr>
          <w:lang w:val="en-GB"/>
        </w:rPr>
        <w:t xml:space="preserve"> e </w:t>
      </w:r>
      <w:proofErr w:type="spellStart"/>
      <w:r w:rsidRPr="00997551">
        <w:rPr>
          <w:lang w:val="en-GB"/>
        </w:rPr>
        <w:t>gjithë</w:t>
      </w:r>
      <w:proofErr w:type="spellEnd"/>
      <w:r w:rsidRPr="00997551">
        <w:rPr>
          <w:lang w:val="en-GB"/>
        </w:rPr>
        <w:t xml:space="preserve"> </w:t>
      </w:r>
      <w:proofErr w:type="spellStart"/>
      <w:r w:rsidRPr="00997551">
        <w:rPr>
          <w:lang w:val="en-GB"/>
        </w:rPr>
        <w:t>ciklit</w:t>
      </w:r>
      <w:proofErr w:type="spellEnd"/>
      <w:r w:rsidRPr="00997551">
        <w:rPr>
          <w:lang w:val="en-GB"/>
        </w:rPr>
        <w:t xml:space="preserve"> të </w:t>
      </w:r>
      <w:proofErr w:type="spellStart"/>
      <w:r w:rsidRPr="00997551">
        <w:rPr>
          <w:lang w:val="en-GB"/>
        </w:rPr>
        <w:t>menaxhimit</w:t>
      </w:r>
      <w:proofErr w:type="spellEnd"/>
      <w:r w:rsidRPr="00997551">
        <w:rPr>
          <w:lang w:val="en-GB"/>
        </w:rPr>
        <w:t xml:space="preserve"> të </w:t>
      </w:r>
      <w:proofErr w:type="spellStart"/>
      <w:r w:rsidRPr="00997551">
        <w:rPr>
          <w:lang w:val="en-GB"/>
        </w:rPr>
        <w:t>investimeve</w:t>
      </w:r>
      <w:proofErr w:type="spellEnd"/>
      <w:r w:rsidRPr="00997551">
        <w:rPr>
          <w:lang w:val="en-GB"/>
        </w:rPr>
        <w:t xml:space="preserve"> dhe për </w:t>
      </w:r>
      <w:proofErr w:type="spellStart"/>
      <w:r w:rsidRPr="00997551">
        <w:rPr>
          <w:lang w:val="en-GB"/>
        </w:rPr>
        <w:t>përmbushjen</w:t>
      </w:r>
      <w:proofErr w:type="spellEnd"/>
      <w:r w:rsidRPr="00997551">
        <w:rPr>
          <w:lang w:val="en-GB"/>
        </w:rPr>
        <w:t xml:space="preserve"> e </w:t>
      </w:r>
      <w:proofErr w:type="spellStart"/>
      <w:r w:rsidRPr="00997551">
        <w:rPr>
          <w:lang w:val="en-GB"/>
        </w:rPr>
        <w:t>kushteve</w:t>
      </w:r>
      <w:proofErr w:type="spellEnd"/>
      <w:r w:rsidRPr="00997551">
        <w:rPr>
          <w:lang w:val="en-GB"/>
        </w:rPr>
        <w:t xml:space="preserve"> të Agjendës reformuese, u </w:t>
      </w:r>
      <w:proofErr w:type="spellStart"/>
      <w:r w:rsidRPr="00997551">
        <w:rPr>
          <w:lang w:val="en-GB"/>
        </w:rPr>
        <w:t>soll</w:t>
      </w:r>
      <w:proofErr w:type="spellEnd"/>
      <w:r w:rsidRPr="00997551">
        <w:rPr>
          <w:lang w:val="en-GB"/>
        </w:rPr>
        <w:t xml:space="preserve"> në </w:t>
      </w:r>
      <w:proofErr w:type="spellStart"/>
      <w:r w:rsidRPr="00997551">
        <w:rPr>
          <w:lang w:val="en-GB"/>
        </w:rPr>
        <w:t>muajin</w:t>
      </w:r>
      <w:proofErr w:type="spellEnd"/>
      <w:r w:rsidRPr="00997551">
        <w:rPr>
          <w:lang w:val="en-GB"/>
        </w:rPr>
        <w:t xml:space="preserve"> </w:t>
      </w:r>
      <w:proofErr w:type="spellStart"/>
      <w:r w:rsidRPr="00997551">
        <w:rPr>
          <w:lang w:val="en-GB"/>
        </w:rPr>
        <w:t>prill</w:t>
      </w:r>
      <w:proofErr w:type="spellEnd"/>
      <w:r w:rsidRPr="00997551">
        <w:rPr>
          <w:lang w:val="en-GB"/>
        </w:rPr>
        <w:t xml:space="preserve"> pas një </w:t>
      </w:r>
      <w:proofErr w:type="spellStart"/>
      <w:r w:rsidRPr="00997551">
        <w:rPr>
          <w:lang w:val="en-GB"/>
        </w:rPr>
        <w:t>shtyerje</w:t>
      </w:r>
      <w:proofErr w:type="spellEnd"/>
      <w:r w:rsidRPr="00997551">
        <w:rPr>
          <w:lang w:val="en-GB"/>
        </w:rPr>
        <w:t xml:space="preserve"> të </w:t>
      </w:r>
      <w:proofErr w:type="spellStart"/>
      <w:r w:rsidRPr="00997551">
        <w:rPr>
          <w:lang w:val="en-GB"/>
        </w:rPr>
        <w:t>gjatë</w:t>
      </w:r>
      <w:proofErr w:type="spellEnd"/>
      <w:r w:rsidRPr="00997551">
        <w:rPr>
          <w:lang w:val="en-GB"/>
        </w:rPr>
        <w:t>.</w:t>
      </w:r>
    </w:p>
    <w:p w14:paraId="72E46BE9" w14:textId="6B2FDBA7" w:rsidR="00B913E1" w:rsidRPr="00997551" w:rsidRDefault="00B913E1">
      <w:pPr>
        <w:pStyle w:val="BodyText"/>
        <w:jc w:val="both"/>
        <w:rPr>
          <w:lang w:val="en-GB"/>
        </w:rPr>
      </w:pPr>
      <w:proofErr w:type="spellStart"/>
      <w:r w:rsidRPr="00997551">
        <w:rPr>
          <w:lang w:val="en-GB"/>
        </w:rPr>
        <w:t>Realizimi</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buxhetit</w:t>
      </w:r>
      <w:proofErr w:type="spellEnd"/>
      <w:r w:rsidRPr="00997551">
        <w:rPr>
          <w:lang w:val="en-GB"/>
        </w:rPr>
        <w:t xml:space="preserve"> është </w:t>
      </w:r>
      <w:proofErr w:type="spellStart"/>
      <w:r w:rsidRPr="00997551">
        <w:rPr>
          <w:lang w:val="en-GB"/>
        </w:rPr>
        <w:t>i</w:t>
      </w:r>
      <w:proofErr w:type="spellEnd"/>
      <w:r w:rsidRPr="00997551">
        <w:rPr>
          <w:lang w:val="en-GB"/>
        </w:rPr>
        <w:t xml:space="preserve"> </w:t>
      </w:r>
      <w:proofErr w:type="spellStart"/>
      <w:r w:rsidRPr="00997551">
        <w:rPr>
          <w:lang w:val="en-GB"/>
        </w:rPr>
        <w:t>mirëstrukturuar</w:t>
      </w:r>
      <w:proofErr w:type="spellEnd"/>
      <w:r w:rsidRPr="00997551">
        <w:rPr>
          <w:lang w:val="en-GB"/>
        </w:rPr>
        <w:t xml:space="preserve">. </w:t>
      </w:r>
      <w:proofErr w:type="spellStart"/>
      <w:r w:rsidRPr="00997551">
        <w:rPr>
          <w:lang w:val="en-GB"/>
        </w:rPr>
        <w:t>Qeveria</w:t>
      </w:r>
      <w:proofErr w:type="spellEnd"/>
      <w:r w:rsidRPr="00997551">
        <w:rPr>
          <w:lang w:val="en-GB"/>
        </w:rPr>
        <w:t xml:space="preserve"> </w:t>
      </w:r>
      <w:proofErr w:type="spellStart"/>
      <w:r w:rsidRPr="00997551">
        <w:rPr>
          <w:lang w:val="en-GB"/>
        </w:rPr>
        <w:t>menaxhon</w:t>
      </w:r>
      <w:proofErr w:type="spellEnd"/>
      <w:r w:rsidRPr="00997551">
        <w:rPr>
          <w:lang w:val="en-GB"/>
        </w:rPr>
        <w:t xml:space="preserve"> me </w:t>
      </w:r>
      <w:proofErr w:type="spellStart"/>
      <w:r w:rsidRPr="00997551">
        <w:rPr>
          <w:lang w:val="en-GB"/>
        </w:rPr>
        <w:t>Llogarinë</w:t>
      </w:r>
      <w:proofErr w:type="spellEnd"/>
      <w:r w:rsidRPr="00997551">
        <w:rPr>
          <w:lang w:val="en-GB"/>
        </w:rPr>
        <w:t xml:space="preserve"> e </w:t>
      </w:r>
      <w:proofErr w:type="spellStart"/>
      <w:r w:rsidRPr="00997551">
        <w:rPr>
          <w:lang w:val="en-GB"/>
        </w:rPr>
        <w:t>Vetme</w:t>
      </w:r>
      <w:proofErr w:type="spellEnd"/>
      <w:r w:rsidRPr="00997551">
        <w:rPr>
          <w:lang w:val="en-GB"/>
        </w:rPr>
        <w:t xml:space="preserve"> të </w:t>
      </w:r>
      <w:proofErr w:type="spellStart"/>
      <w:r w:rsidRPr="00997551">
        <w:rPr>
          <w:lang w:val="en-GB"/>
        </w:rPr>
        <w:t>Thesarit</w:t>
      </w:r>
      <w:proofErr w:type="spellEnd"/>
      <w:r w:rsidRPr="00997551">
        <w:rPr>
          <w:lang w:val="en-GB"/>
        </w:rPr>
        <w:t xml:space="preserve"> me </w:t>
      </w:r>
      <w:proofErr w:type="spellStart"/>
      <w:r w:rsidRPr="00997551">
        <w:rPr>
          <w:lang w:val="en-GB"/>
        </w:rPr>
        <w:t>bilanc</w:t>
      </w:r>
      <w:proofErr w:type="spellEnd"/>
      <w:r w:rsidRPr="00997551">
        <w:rPr>
          <w:lang w:val="en-GB"/>
        </w:rPr>
        <w:t xml:space="preserve"> zero në </w:t>
      </w:r>
      <w:proofErr w:type="spellStart"/>
      <w:r w:rsidRPr="00997551">
        <w:rPr>
          <w:lang w:val="en-GB"/>
        </w:rPr>
        <w:t>bazë</w:t>
      </w:r>
      <w:proofErr w:type="spellEnd"/>
      <w:r w:rsidRPr="00997551">
        <w:rPr>
          <w:lang w:val="en-GB"/>
        </w:rPr>
        <w:t xml:space="preserve"> </w:t>
      </w:r>
      <w:proofErr w:type="spellStart"/>
      <w:r w:rsidRPr="00997551">
        <w:rPr>
          <w:lang w:val="en-GB"/>
        </w:rPr>
        <w:t>ditore</w:t>
      </w:r>
      <w:proofErr w:type="spellEnd"/>
      <w:r w:rsidRPr="00997551">
        <w:rPr>
          <w:lang w:val="en-GB"/>
        </w:rPr>
        <w:t xml:space="preserve">. </w:t>
      </w:r>
      <w:proofErr w:type="spellStart"/>
      <w:r w:rsidRPr="00997551">
        <w:rPr>
          <w:lang w:val="en-GB"/>
        </w:rPr>
        <w:t>Kontrolli</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shpenzimeve</w:t>
      </w:r>
      <w:proofErr w:type="spellEnd"/>
      <w:r w:rsidRPr="00997551">
        <w:rPr>
          <w:lang w:val="en-GB"/>
        </w:rPr>
        <w:t xml:space="preserve"> në </w:t>
      </w:r>
      <w:proofErr w:type="spellStart"/>
      <w:r w:rsidRPr="00997551">
        <w:rPr>
          <w:lang w:val="en-GB"/>
        </w:rPr>
        <w:t>nivel</w:t>
      </w:r>
      <w:proofErr w:type="spellEnd"/>
      <w:r w:rsidRPr="00997551">
        <w:rPr>
          <w:lang w:val="en-GB"/>
        </w:rPr>
        <w:t xml:space="preserve"> të </w:t>
      </w:r>
      <w:proofErr w:type="spellStart"/>
      <w:r w:rsidRPr="00997551">
        <w:rPr>
          <w:lang w:val="en-GB"/>
        </w:rPr>
        <w:t>obligimeve</w:t>
      </w:r>
      <w:proofErr w:type="spellEnd"/>
      <w:r w:rsidRPr="00997551">
        <w:rPr>
          <w:lang w:val="en-GB"/>
        </w:rPr>
        <w:t xml:space="preserve"> dhe </w:t>
      </w:r>
      <w:proofErr w:type="spellStart"/>
      <w:r w:rsidRPr="00997551">
        <w:rPr>
          <w:lang w:val="en-GB"/>
        </w:rPr>
        <w:t>monitorimi</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ndërmarrjeve</w:t>
      </w:r>
      <w:proofErr w:type="spellEnd"/>
      <w:r w:rsidRPr="00997551">
        <w:rPr>
          <w:lang w:val="en-GB"/>
        </w:rPr>
        <w:t xml:space="preserve"> në </w:t>
      </w:r>
      <w:proofErr w:type="spellStart"/>
      <w:r w:rsidRPr="00997551">
        <w:rPr>
          <w:lang w:val="en-GB"/>
        </w:rPr>
        <w:t>pronësi</w:t>
      </w:r>
      <w:proofErr w:type="spellEnd"/>
      <w:r w:rsidRPr="00997551">
        <w:rPr>
          <w:lang w:val="en-GB"/>
        </w:rPr>
        <w:t xml:space="preserve"> të </w:t>
      </w:r>
      <w:proofErr w:type="spellStart"/>
      <w:r w:rsidRPr="00997551">
        <w:rPr>
          <w:lang w:val="en-GB"/>
        </w:rPr>
        <w:t>shtetit</w:t>
      </w:r>
      <w:proofErr w:type="spellEnd"/>
      <w:r w:rsidRPr="00997551">
        <w:rPr>
          <w:lang w:val="en-GB"/>
        </w:rPr>
        <w:t xml:space="preserve"> dhe </w:t>
      </w:r>
      <w:proofErr w:type="spellStart"/>
      <w:r w:rsidRPr="00997551">
        <w:rPr>
          <w:lang w:val="en-GB"/>
        </w:rPr>
        <w:t>komunave</w:t>
      </w:r>
      <w:proofErr w:type="spellEnd"/>
      <w:r w:rsidRPr="00997551">
        <w:rPr>
          <w:lang w:val="en-GB"/>
        </w:rPr>
        <w:t xml:space="preserve"> duhet të </w:t>
      </w:r>
      <w:proofErr w:type="spellStart"/>
      <w:r w:rsidRPr="00997551">
        <w:rPr>
          <w:lang w:val="en-GB"/>
        </w:rPr>
        <w:t>përforcohen</w:t>
      </w:r>
      <w:proofErr w:type="spellEnd"/>
      <w:r w:rsidRPr="00997551">
        <w:rPr>
          <w:lang w:val="en-GB"/>
        </w:rPr>
        <w:t xml:space="preserve"> për të </w:t>
      </w:r>
      <w:proofErr w:type="spellStart"/>
      <w:r w:rsidRPr="00997551">
        <w:rPr>
          <w:lang w:val="en-GB"/>
        </w:rPr>
        <w:t>parandaluar</w:t>
      </w:r>
      <w:proofErr w:type="spellEnd"/>
      <w:r w:rsidRPr="00997551">
        <w:rPr>
          <w:lang w:val="en-GB"/>
        </w:rPr>
        <w:t xml:space="preserve"> </w:t>
      </w:r>
      <w:proofErr w:type="spellStart"/>
      <w:r w:rsidRPr="00997551">
        <w:rPr>
          <w:lang w:val="en-GB"/>
        </w:rPr>
        <w:t>obligimet</w:t>
      </w:r>
      <w:proofErr w:type="spellEnd"/>
      <w:r w:rsidRPr="00997551">
        <w:rPr>
          <w:lang w:val="en-GB"/>
        </w:rPr>
        <w:t xml:space="preserve"> e </w:t>
      </w:r>
      <w:proofErr w:type="spellStart"/>
      <w:r w:rsidRPr="00997551">
        <w:rPr>
          <w:lang w:val="en-GB"/>
        </w:rPr>
        <w:t>mbetura</w:t>
      </w:r>
      <w:proofErr w:type="spellEnd"/>
      <w:r w:rsidRPr="00997551">
        <w:rPr>
          <w:lang w:val="en-GB"/>
        </w:rPr>
        <w:t>.</w:t>
      </w:r>
    </w:p>
    <w:p w14:paraId="2EED2272" w14:textId="41614A90" w:rsidR="00B913E1" w:rsidRPr="00997551" w:rsidRDefault="00B913E1">
      <w:pPr>
        <w:pStyle w:val="BodyText"/>
        <w:jc w:val="both"/>
        <w:rPr>
          <w:lang w:val="en-GB"/>
        </w:rPr>
      </w:pPr>
      <w:proofErr w:type="spellStart"/>
      <w:r w:rsidRPr="00997551">
        <w:rPr>
          <w:lang w:val="en-GB"/>
        </w:rPr>
        <w:t>Kontrollet</w:t>
      </w:r>
      <w:proofErr w:type="spellEnd"/>
      <w:r w:rsidRPr="00997551">
        <w:rPr>
          <w:lang w:val="en-GB"/>
        </w:rPr>
        <w:t xml:space="preserve"> e brendshme </w:t>
      </w:r>
      <w:proofErr w:type="spellStart"/>
      <w:r w:rsidRPr="00997551">
        <w:rPr>
          <w:lang w:val="en-GB"/>
        </w:rPr>
        <w:t>financiare</w:t>
      </w:r>
      <w:proofErr w:type="spellEnd"/>
      <w:r w:rsidRPr="00997551">
        <w:rPr>
          <w:lang w:val="en-GB"/>
        </w:rPr>
        <w:t xml:space="preserve"> publike (KBFP) </w:t>
      </w:r>
      <w:proofErr w:type="spellStart"/>
      <w:r w:rsidRPr="00997551">
        <w:rPr>
          <w:lang w:val="en-GB"/>
        </w:rPr>
        <w:t>mbeten</w:t>
      </w:r>
      <w:proofErr w:type="spellEnd"/>
      <w:r w:rsidRPr="00997551">
        <w:rPr>
          <w:lang w:val="en-GB"/>
        </w:rPr>
        <w:t xml:space="preserve"> të </w:t>
      </w:r>
      <w:proofErr w:type="spellStart"/>
      <w:r w:rsidRPr="00997551">
        <w:rPr>
          <w:lang w:val="en-GB"/>
        </w:rPr>
        <w:t>dobëta</w:t>
      </w:r>
      <w:proofErr w:type="spellEnd"/>
      <w:r w:rsidRPr="00997551">
        <w:rPr>
          <w:lang w:val="en-GB"/>
        </w:rPr>
        <w:t xml:space="preserve">, edhe </w:t>
      </w:r>
      <w:proofErr w:type="spellStart"/>
      <w:r w:rsidRPr="00997551">
        <w:rPr>
          <w:lang w:val="en-GB"/>
        </w:rPr>
        <w:t>përksaj</w:t>
      </w:r>
      <w:proofErr w:type="spellEnd"/>
      <w:r w:rsidRPr="00997551">
        <w:rPr>
          <w:lang w:val="en-GB"/>
        </w:rPr>
        <w:t xml:space="preserve"> </w:t>
      </w:r>
      <w:proofErr w:type="spellStart"/>
      <w:r w:rsidRPr="00997551">
        <w:rPr>
          <w:lang w:val="en-GB"/>
        </w:rPr>
        <w:t>prgresit</w:t>
      </w:r>
      <w:proofErr w:type="spellEnd"/>
      <w:r w:rsidRPr="00997551">
        <w:rPr>
          <w:lang w:val="en-GB"/>
        </w:rPr>
        <w:t xml:space="preserve"> të </w:t>
      </w:r>
      <w:proofErr w:type="spellStart"/>
      <w:r w:rsidRPr="00997551">
        <w:rPr>
          <w:lang w:val="en-GB"/>
        </w:rPr>
        <w:t>caktuar</w:t>
      </w:r>
      <w:proofErr w:type="spellEnd"/>
      <w:r w:rsidRPr="00997551">
        <w:rPr>
          <w:lang w:val="en-GB"/>
        </w:rPr>
        <w:t xml:space="preserve"> pas </w:t>
      </w:r>
      <w:proofErr w:type="spellStart"/>
      <w:r w:rsidRPr="00997551">
        <w:rPr>
          <w:lang w:val="en-GB"/>
        </w:rPr>
        <w:t>sjelljes</w:t>
      </w:r>
      <w:proofErr w:type="spellEnd"/>
      <w:r w:rsidRPr="00997551">
        <w:rPr>
          <w:lang w:val="en-GB"/>
        </w:rPr>
        <w:t xml:space="preserve"> së </w:t>
      </w:r>
      <w:proofErr w:type="spellStart"/>
      <w:r w:rsidRPr="00997551">
        <w:rPr>
          <w:lang w:val="en-GB"/>
        </w:rPr>
        <w:t>ligjit</w:t>
      </w:r>
      <w:proofErr w:type="spellEnd"/>
      <w:r w:rsidRPr="00997551">
        <w:rPr>
          <w:lang w:val="en-GB"/>
        </w:rPr>
        <w:t xml:space="preserve"> </w:t>
      </w:r>
      <w:proofErr w:type="spellStart"/>
      <w:r w:rsidRPr="00997551">
        <w:rPr>
          <w:lang w:val="en-GB"/>
        </w:rPr>
        <w:t>Ligjit</w:t>
      </w:r>
      <w:proofErr w:type="spellEnd"/>
      <w:r w:rsidRPr="00997551">
        <w:rPr>
          <w:lang w:val="en-GB"/>
        </w:rPr>
        <w:t xml:space="preserve"> për KBFP-së në </w:t>
      </w:r>
      <w:proofErr w:type="spellStart"/>
      <w:r w:rsidRPr="00997551">
        <w:rPr>
          <w:lang w:val="en-GB"/>
        </w:rPr>
        <w:t>muajin</w:t>
      </w:r>
      <w:proofErr w:type="spellEnd"/>
      <w:r w:rsidRPr="00997551">
        <w:rPr>
          <w:lang w:val="en-GB"/>
        </w:rPr>
        <w:t xml:space="preserve"> </w:t>
      </w:r>
      <w:proofErr w:type="spellStart"/>
      <w:r w:rsidRPr="00997551">
        <w:rPr>
          <w:lang w:val="en-GB"/>
        </w:rPr>
        <w:t>dhjetor</w:t>
      </w:r>
      <w:proofErr w:type="spellEnd"/>
      <w:r w:rsidRPr="00997551">
        <w:rPr>
          <w:lang w:val="en-GB"/>
        </w:rPr>
        <w:t xml:space="preserve"> të </w:t>
      </w:r>
      <w:proofErr w:type="spellStart"/>
      <w:r w:rsidRPr="00997551">
        <w:rPr>
          <w:lang w:val="en-GB"/>
        </w:rPr>
        <w:t>vitit</w:t>
      </w:r>
      <w:proofErr w:type="spellEnd"/>
      <w:r w:rsidRPr="00997551">
        <w:rPr>
          <w:lang w:val="en-GB"/>
        </w:rPr>
        <w:t xml:space="preserve"> 2024, pas </w:t>
      </w:r>
      <w:proofErr w:type="spellStart"/>
      <w:r w:rsidRPr="00997551">
        <w:rPr>
          <w:lang w:val="en-GB"/>
        </w:rPr>
        <w:t>katër</w:t>
      </w:r>
      <w:proofErr w:type="spellEnd"/>
      <w:r w:rsidRPr="00997551">
        <w:rPr>
          <w:lang w:val="en-GB"/>
        </w:rPr>
        <w:t xml:space="preserve"> </w:t>
      </w:r>
      <w:proofErr w:type="spellStart"/>
      <w:r w:rsidRPr="00997551">
        <w:rPr>
          <w:lang w:val="en-GB"/>
        </w:rPr>
        <w:t>viteve</w:t>
      </w:r>
      <w:proofErr w:type="spellEnd"/>
      <w:r w:rsidRPr="00997551">
        <w:rPr>
          <w:lang w:val="en-GB"/>
        </w:rPr>
        <w:t xml:space="preserve"> </w:t>
      </w:r>
      <w:proofErr w:type="spellStart"/>
      <w:r w:rsidRPr="00997551">
        <w:rPr>
          <w:lang w:val="en-GB"/>
        </w:rPr>
        <w:t>procedura</w:t>
      </w:r>
      <w:proofErr w:type="spellEnd"/>
      <w:r w:rsidRPr="00997551">
        <w:rPr>
          <w:lang w:val="en-GB"/>
        </w:rPr>
        <w:t xml:space="preserve"> </w:t>
      </w:r>
      <w:proofErr w:type="spellStart"/>
      <w:r w:rsidRPr="00997551">
        <w:rPr>
          <w:lang w:val="en-GB"/>
        </w:rPr>
        <w:t>parlamentare</w:t>
      </w:r>
      <w:proofErr w:type="spellEnd"/>
      <w:r w:rsidRPr="00997551">
        <w:rPr>
          <w:lang w:val="en-GB"/>
        </w:rPr>
        <w:t xml:space="preserve"> – edhe një </w:t>
      </w:r>
      <w:proofErr w:type="spellStart"/>
      <w:r w:rsidRPr="00997551">
        <w:rPr>
          <w:lang w:val="en-GB"/>
        </w:rPr>
        <w:t>kusht</w:t>
      </w:r>
      <w:proofErr w:type="spellEnd"/>
      <w:r w:rsidRPr="00997551">
        <w:rPr>
          <w:lang w:val="en-GB"/>
        </w:rPr>
        <w:t xml:space="preserve"> </w:t>
      </w:r>
      <w:proofErr w:type="spellStart"/>
      <w:r w:rsidRPr="00997551">
        <w:rPr>
          <w:lang w:val="en-GB"/>
        </w:rPr>
        <w:t>nga</w:t>
      </w:r>
      <w:proofErr w:type="spellEnd"/>
      <w:r w:rsidRPr="00997551">
        <w:rPr>
          <w:lang w:val="en-GB"/>
        </w:rPr>
        <w:t xml:space="preserve"> Agjenda reformuese. </w:t>
      </w:r>
      <w:proofErr w:type="spellStart"/>
      <w:r w:rsidRPr="00997551">
        <w:rPr>
          <w:lang w:val="en-GB"/>
        </w:rPr>
        <w:t>Pritet</w:t>
      </w:r>
      <w:proofErr w:type="spellEnd"/>
      <w:r w:rsidRPr="00997551">
        <w:rPr>
          <w:lang w:val="en-GB"/>
        </w:rPr>
        <w:t xml:space="preserve"> </w:t>
      </w:r>
      <w:proofErr w:type="spellStart"/>
      <w:r w:rsidRPr="00997551">
        <w:rPr>
          <w:lang w:val="en-GB"/>
        </w:rPr>
        <w:t>që</w:t>
      </w:r>
      <w:proofErr w:type="spellEnd"/>
      <w:r w:rsidRPr="00997551">
        <w:rPr>
          <w:lang w:val="en-GB"/>
        </w:rPr>
        <w:t xml:space="preserve"> </w:t>
      </w:r>
      <w:proofErr w:type="spellStart"/>
      <w:r w:rsidRPr="00997551">
        <w:rPr>
          <w:lang w:val="en-GB"/>
        </w:rPr>
        <w:t>ligji</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ri</w:t>
      </w:r>
      <w:proofErr w:type="spellEnd"/>
      <w:r w:rsidRPr="00997551">
        <w:rPr>
          <w:lang w:val="en-GB"/>
        </w:rPr>
        <w:t xml:space="preserve"> t’i </w:t>
      </w:r>
      <w:proofErr w:type="spellStart"/>
      <w:r w:rsidRPr="00997551">
        <w:rPr>
          <w:lang w:val="en-GB"/>
        </w:rPr>
        <w:t>lehtësojë</w:t>
      </w:r>
      <w:proofErr w:type="spellEnd"/>
      <w:r w:rsidRPr="00997551">
        <w:rPr>
          <w:lang w:val="en-GB"/>
        </w:rPr>
        <w:t xml:space="preserve"> reformat </w:t>
      </w:r>
      <w:proofErr w:type="spellStart"/>
      <w:r w:rsidRPr="00997551">
        <w:rPr>
          <w:lang w:val="en-GB"/>
        </w:rPr>
        <w:t>themelore</w:t>
      </w:r>
      <w:proofErr w:type="spellEnd"/>
      <w:r w:rsidRPr="00997551">
        <w:rPr>
          <w:lang w:val="en-GB"/>
        </w:rPr>
        <w:t xml:space="preserve">, </w:t>
      </w:r>
      <w:proofErr w:type="spellStart"/>
      <w:r w:rsidRPr="00997551">
        <w:rPr>
          <w:lang w:val="en-GB"/>
        </w:rPr>
        <w:t>përfshirë</w:t>
      </w:r>
      <w:proofErr w:type="spellEnd"/>
      <w:r w:rsidRPr="00997551">
        <w:rPr>
          <w:lang w:val="en-GB"/>
        </w:rPr>
        <w:t xml:space="preserve"> </w:t>
      </w:r>
      <w:proofErr w:type="spellStart"/>
      <w:r w:rsidRPr="00997551">
        <w:rPr>
          <w:lang w:val="en-GB"/>
        </w:rPr>
        <w:t>përforcimin</w:t>
      </w:r>
      <w:proofErr w:type="spellEnd"/>
      <w:r w:rsidRPr="00997551">
        <w:rPr>
          <w:lang w:val="en-GB"/>
        </w:rPr>
        <w:t xml:space="preserve"> e </w:t>
      </w:r>
      <w:proofErr w:type="spellStart"/>
      <w:r w:rsidRPr="00997551">
        <w:rPr>
          <w:lang w:val="en-GB"/>
        </w:rPr>
        <w:t>kapacitetit</w:t>
      </w:r>
      <w:proofErr w:type="spellEnd"/>
      <w:r w:rsidRPr="00997551">
        <w:rPr>
          <w:lang w:val="en-GB"/>
        </w:rPr>
        <w:t xml:space="preserve"> </w:t>
      </w:r>
      <w:proofErr w:type="spellStart"/>
      <w:r w:rsidRPr="00997551">
        <w:rPr>
          <w:lang w:val="en-GB"/>
        </w:rPr>
        <w:t>administrativ</w:t>
      </w:r>
      <w:proofErr w:type="spellEnd"/>
      <w:r w:rsidRPr="00997551">
        <w:rPr>
          <w:lang w:val="en-GB"/>
        </w:rPr>
        <w:t xml:space="preserve">, </w:t>
      </w:r>
      <w:proofErr w:type="spellStart"/>
      <w:r w:rsidRPr="00997551">
        <w:rPr>
          <w:lang w:val="en-GB"/>
        </w:rPr>
        <w:t>zvogëlimin</w:t>
      </w:r>
      <w:proofErr w:type="spellEnd"/>
      <w:r w:rsidRPr="00997551">
        <w:rPr>
          <w:lang w:val="en-GB"/>
        </w:rPr>
        <w:t xml:space="preserve"> e </w:t>
      </w:r>
      <w:proofErr w:type="spellStart"/>
      <w:r w:rsidRPr="00997551">
        <w:rPr>
          <w:lang w:val="en-GB"/>
        </w:rPr>
        <w:t>fragmentimit</w:t>
      </w:r>
      <w:proofErr w:type="spellEnd"/>
      <w:r w:rsidRPr="00997551">
        <w:rPr>
          <w:lang w:val="en-GB"/>
        </w:rPr>
        <w:t xml:space="preserve"> të </w:t>
      </w:r>
      <w:proofErr w:type="spellStart"/>
      <w:r w:rsidRPr="00997551">
        <w:rPr>
          <w:lang w:val="en-GB"/>
        </w:rPr>
        <w:t>njësive</w:t>
      </w:r>
      <w:proofErr w:type="spellEnd"/>
      <w:r w:rsidRPr="00997551">
        <w:rPr>
          <w:lang w:val="en-GB"/>
        </w:rPr>
        <w:t xml:space="preserve"> të </w:t>
      </w:r>
      <w:proofErr w:type="spellStart"/>
      <w:r w:rsidRPr="00997551">
        <w:rPr>
          <w:lang w:val="en-GB"/>
        </w:rPr>
        <w:t>revizionit</w:t>
      </w:r>
      <w:proofErr w:type="spellEnd"/>
      <w:r w:rsidRPr="00997551">
        <w:rPr>
          <w:lang w:val="en-GB"/>
        </w:rPr>
        <w:t xml:space="preserve"> të </w:t>
      </w:r>
      <w:proofErr w:type="spellStart"/>
      <w:r w:rsidRPr="00997551">
        <w:rPr>
          <w:lang w:val="en-GB"/>
        </w:rPr>
        <w:t>brendshëm</w:t>
      </w:r>
      <w:proofErr w:type="spellEnd"/>
      <w:r w:rsidRPr="00997551">
        <w:rPr>
          <w:lang w:val="en-GB"/>
        </w:rPr>
        <w:t xml:space="preserve"> dhe </w:t>
      </w:r>
      <w:proofErr w:type="spellStart"/>
      <w:r w:rsidRPr="00997551">
        <w:rPr>
          <w:lang w:val="en-GB"/>
        </w:rPr>
        <w:t>përforcimin</w:t>
      </w:r>
      <w:proofErr w:type="spellEnd"/>
      <w:r w:rsidRPr="00997551">
        <w:rPr>
          <w:lang w:val="en-GB"/>
        </w:rPr>
        <w:t xml:space="preserve"> e </w:t>
      </w:r>
      <w:proofErr w:type="spellStart"/>
      <w:r w:rsidRPr="00997551">
        <w:rPr>
          <w:lang w:val="en-GB"/>
        </w:rPr>
        <w:t>kontrolleve</w:t>
      </w:r>
      <w:proofErr w:type="spellEnd"/>
      <w:r w:rsidRPr="00997551">
        <w:rPr>
          <w:lang w:val="en-GB"/>
        </w:rPr>
        <w:t xml:space="preserve"> për </w:t>
      </w:r>
      <w:proofErr w:type="spellStart"/>
      <w:r w:rsidRPr="00997551">
        <w:rPr>
          <w:lang w:val="en-GB"/>
        </w:rPr>
        <w:t>menaxhimin</w:t>
      </w:r>
      <w:proofErr w:type="spellEnd"/>
      <w:r w:rsidRPr="00997551">
        <w:rPr>
          <w:lang w:val="en-GB"/>
        </w:rPr>
        <w:t xml:space="preserve"> </w:t>
      </w:r>
      <w:proofErr w:type="spellStart"/>
      <w:r w:rsidRPr="00997551">
        <w:rPr>
          <w:lang w:val="en-GB"/>
        </w:rPr>
        <w:t>financiar</w:t>
      </w:r>
      <w:proofErr w:type="spellEnd"/>
      <w:r w:rsidRPr="00997551">
        <w:rPr>
          <w:lang w:val="en-GB"/>
        </w:rPr>
        <w:t>.</w:t>
      </w:r>
    </w:p>
    <w:p w14:paraId="1310BE62" w14:textId="483599CE" w:rsidR="00B913E1" w:rsidRPr="00997551" w:rsidRDefault="00B913E1">
      <w:pPr>
        <w:pStyle w:val="BodyText"/>
        <w:jc w:val="both"/>
        <w:rPr>
          <w:lang w:val="en-GB"/>
        </w:rPr>
      </w:pPr>
      <w:proofErr w:type="spellStart"/>
      <w:r w:rsidRPr="00997551">
        <w:rPr>
          <w:lang w:val="en-GB"/>
        </w:rPr>
        <w:t>Legjislacioni</w:t>
      </w:r>
      <w:proofErr w:type="spellEnd"/>
      <w:r w:rsidRPr="00997551">
        <w:rPr>
          <w:lang w:val="en-GB"/>
        </w:rPr>
        <w:t xml:space="preserve"> për </w:t>
      </w:r>
      <w:proofErr w:type="spellStart"/>
      <w:r w:rsidRPr="00997551">
        <w:rPr>
          <w:lang w:val="en-GB"/>
        </w:rPr>
        <w:t>prokurimet</w:t>
      </w:r>
      <w:proofErr w:type="spellEnd"/>
      <w:r w:rsidRPr="00997551">
        <w:rPr>
          <w:lang w:val="en-GB"/>
        </w:rPr>
        <w:t xml:space="preserve"> publike është në masë të madhe </w:t>
      </w:r>
      <w:proofErr w:type="spellStart"/>
      <w:r w:rsidRPr="00997551">
        <w:rPr>
          <w:lang w:val="en-GB"/>
        </w:rPr>
        <w:t>i</w:t>
      </w:r>
      <w:proofErr w:type="spellEnd"/>
      <w:r w:rsidRPr="00997551">
        <w:rPr>
          <w:lang w:val="en-GB"/>
        </w:rPr>
        <w:t xml:space="preserve"> </w:t>
      </w:r>
      <w:proofErr w:type="spellStart"/>
      <w:r w:rsidRPr="00997551">
        <w:rPr>
          <w:lang w:val="en-GB"/>
        </w:rPr>
        <w:t>harmonizuar</w:t>
      </w:r>
      <w:proofErr w:type="spellEnd"/>
      <w:r w:rsidRPr="00997551">
        <w:rPr>
          <w:lang w:val="en-GB"/>
        </w:rPr>
        <w:t xml:space="preserve"> me </w:t>
      </w:r>
      <w:proofErr w:type="spellStart"/>
      <w:r w:rsidRPr="00997551">
        <w:rPr>
          <w:i/>
          <w:iCs/>
          <w:lang w:val="en-GB"/>
        </w:rPr>
        <w:t>ligjin</w:t>
      </w:r>
      <w:proofErr w:type="spellEnd"/>
      <w:r w:rsidRPr="00997551">
        <w:rPr>
          <w:lang w:val="en-GB"/>
        </w:rPr>
        <w:t xml:space="preserve"> e BE-së. Edhe </w:t>
      </w:r>
      <w:proofErr w:type="spellStart"/>
      <w:r w:rsidRPr="00997551">
        <w:rPr>
          <w:lang w:val="en-GB"/>
        </w:rPr>
        <w:t>përskaj</w:t>
      </w:r>
      <w:proofErr w:type="spellEnd"/>
      <w:r w:rsidRPr="00997551">
        <w:rPr>
          <w:lang w:val="en-GB"/>
        </w:rPr>
        <w:t xml:space="preserve"> </w:t>
      </w:r>
      <w:proofErr w:type="spellStart"/>
      <w:r w:rsidRPr="00997551">
        <w:rPr>
          <w:lang w:val="en-GB"/>
        </w:rPr>
        <w:t>notës</w:t>
      </w:r>
      <w:proofErr w:type="spellEnd"/>
      <w:r w:rsidRPr="00997551">
        <w:rPr>
          <w:lang w:val="en-GB"/>
        </w:rPr>
        <w:t xml:space="preserve"> </w:t>
      </w:r>
      <w:r w:rsidR="00410ED6" w:rsidRPr="00997551">
        <w:rPr>
          <w:lang w:val="en-GB"/>
        </w:rPr>
        <w:t>“</w:t>
      </w:r>
      <w:proofErr w:type="gramStart"/>
      <w:r w:rsidRPr="00997551">
        <w:rPr>
          <w:lang w:val="en-GB"/>
        </w:rPr>
        <w:t>A</w:t>
      </w:r>
      <w:r w:rsidR="00410ED6" w:rsidRPr="00997551">
        <w:rPr>
          <w:lang w:val="en-GB"/>
        </w:rPr>
        <w:t>“ të</w:t>
      </w:r>
      <w:proofErr w:type="gramEnd"/>
      <w:r w:rsidR="00410ED6" w:rsidRPr="00997551">
        <w:rPr>
          <w:lang w:val="en-GB"/>
        </w:rPr>
        <w:t xml:space="preserve"> </w:t>
      </w:r>
      <w:r w:rsidRPr="00997551">
        <w:rPr>
          <w:lang w:val="en-GB"/>
        </w:rPr>
        <w:t>Maqedoni</w:t>
      </w:r>
      <w:r w:rsidR="00410ED6" w:rsidRPr="00997551">
        <w:rPr>
          <w:lang w:val="en-GB"/>
        </w:rPr>
        <w:t>së</w:t>
      </w:r>
      <w:r w:rsidRPr="00997551">
        <w:rPr>
          <w:lang w:val="en-GB"/>
        </w:rPr>
        <w:t xml:space="preserve"> </w:t>
      </w:r>
      <w:r w:rsidR="00410ED6" w:rsidRPr="00997551">
        <w:rPr>
          <w:lang w:val="en-GB"/>
        </w:rPr>
        <w:t>së Veriut</w:t>
      </w:r>
      <w:r w:rsidRPr="00997551">
        <w:rPr>
          <w:lang w:val="en-GB"/>
        </w:rPr>
        <w:t xml:space="preserve"> në </w:t>
      </w:r>
      <w:proofErr w:type="spellStart"/>
      <w:r w:rsidRPr="00997551">
        <w:rPr>
          <w:lang w:val="en-GB"/>
        </w:rPr>
        <w:t>vlerësimet</w:t>
      </w:r>
      <w:proofErr w:type="spellEnd"/>
      <w:r w:rsidRPr="00997551">
        <w:rPr>
          <w:lang w:val="en-GB"/>
        </w:rPr>
        <w:t xml:space="preserve"> e </w:t>
      </w:r>
      <w:proofErr w:type="spellStart"/>
      <w:r w:rsidRPr="00997551">
        <w:rPr>
          <w:lang w:val="en-GB"/>
        </w:rPr>
        <w:t>fundit</w:t>
      </w:r>
      <w:proofErr w:type="spellEnd"/>
      <w:r w:rsidRPr="00997551">
        <w:rPr>
          <w:lang w:val="en-GB"/>
        </w:rPr>
        <w:t xml:space="preserve"> të PEFA-s, sfidat në </w:t>
      </w:r>
      <w:proofErr w:type="spellStart"/>
      <w:r w:rsidR="00410ED6" w:rsidRPr="00997551">
        <w:rPr>
          <w:lang w:val="en-GB"/>
        </w:rPr>
        <w:t>implementimin</w:t>
      </w:r>
      <w:proofErr w:type="spellEnd"/>
      <w:r w:rsidRPr="00997551">
        <w:rPr>
          <w:lang w:val="en-GB"/>
        </w:rPr>
        <w:t xml:space="preserve"> </w:t>
      </w:r>
      <w:proofErr w:type="spellStart"/>
      <w:r w:rsidRPr="00997551">
        <w:rPr>
          <w:lang w:val="en-GB"/>
        </w:rPr>
        <w:t>praktik</w:t>
      </w:r>
      <w:proofErr w:type="spellEnd"/>
      <w:r w:rsidRPr="00997551">
        <w:rPr>
          <w:lang w:val="en-GB"/>
        </w:rPr>
        <w:t xml:space="preserve"> </w:t>
      </w:r>
      <w:proofErr w:type="spellStart"/>
      <w:r w:rsidRPr="00997551">
        <w:rPr>
          <w:lang w:val="en-GB"/>
        </w:rPr>
        <w:t>ende</w:t>
      </w:r>
      <w:proofErr w:type="spellEnd"/>
      <w:r w:rsidRPr="00997551">
        <w:rPr>
          <w:lang w:val="en-GB"/>
        </w:rPr>
        <w:t xml:space="preserve"> </w:t>
      </w:r>
      <w:proofErr w:type="spellStart"/>
      <w:r w:rsidRPr="00997551">
        <w:rPr>
          <w:lang w:val="en-GB"/>
        </w:rPr>
        <w:t>ekzistojnë</w:t>
      </w:r>
      <w:proofErr w:type="spellEnd"/>
      <w:r w:rsidRPr="00997551">
        <w:rPr>
          <w:lang w:val="en-GB"/>
        </w:rPr>
        <w:t xml:space="preserve">, </w:t>
      </w:r>
      <w:proofErr w:type="spellStart"/>
      <w:r w:rsidRPr="00997551">
        <w:rPr>
          <w:lang w:val="en-GB"/>
        </w:rPr>
        <w:t>përfshirë</w:t>
      </w:r>
      <w:proofErr w:type="spellEnd"/>
      <w:r w:rsidRPr="00997551">
        <w:rPr>
          <w:lang w:val="en-GB"/>
        </w:rPr>
        <w:t xml:space="preserve"> </w:t>
      </w:r>
      <w:proofErr w:type="spellStart"/>
      <w:r w:rsidRPr="00997551">
        <w:rPr>
          <w:lang w:val="en-GB"/>
        </w:rPr>
        <w:t>konkurrencën</w:t>
      </w:r>
      <w:proofErr w:type="spellEnd"/>
      <w:r w:rsidRPr="00997551">
        <w:rPr>
          <w:lang w:val="en-GB"/>
        </w:rPr>
        <w:t xml:space="preserve"> e </w:t>
      </w:r>
      <w:proofErr w:type="spellStart"/>
      <w:r w:rsidRPr="00997551">
        <w:rPr>
          <w:lang w:val="en-GB"/>
        </w:rPr>
        <w:t>ulët</w:t>
      </w:r>
      <w:proofErr w:type="spellEnd"/>
      <w:r w:rsidRPr="00997551">
        <w:rPr>
          <w:lang w:val="en-GB"/>
        </w:rPr>
        <w:t xml:space="preserve">, </w:t>
      </w:r>
      <w:proofErr w:type="spellStart"/>
      <w:r w:rsidRPr="00997551">
        <w:rPr>
          <w:lang w:val="en-GB"/>
        </w:rPr>
        <w:t>ekspozimi</w:t>
      </w:r>
      <w:r w:rsidR="00410ED6" w:rsidRPr="00997551">
        <w:rPr>
          <w:lang w:val="en-GB"/>
        </w:rPr>
        <w:t>n</w:t>
      </w:r>
      <w:proofErr w:type="spellEnd"/>
      <w:r w:rsidRPr="00997551">
        <w:rPr>
          <w:lang w:val="en-GB"/>
        </w:rPr>
        <w:t xml:space="preserve"> </w:t>
      </w:r>
      <w:r w:rsidR="00410ED6" w:rsidRPr="00997551">
        <w:rPr>
          <w:lang w:val="en-GB"/>
        </w:rPr>
        <w:t xml:space="preserve">e </w:t>
      </w:r>
      <w:proofErr w:type="spellStart"/>
      <w:r w:rsidRPr="00997551">
        <w:rPr>
          <w:lang w:val="en-GB"/>
        </w:rPr>
        <w:t>korrupsionit</w:t>
      </w:r>
      <w:proofErr w:type="spellEnd"/>
      <w:r w:rsidRPr="00997551">
        <w:rPr>
          <w:lang w:val="en-GB"/>
        </w:rPr>
        <w:t xml:space="preserve"> dhe </w:t>
      </w:r>
      <w:r w:rsidR="00410ED6" w:rsidRPr="00997551">
        <w:rPr>
          <w:lang w:val="en-GB"/>
        </w:rPr>
        <w:t xml:space="preserve">të </w:t>
      </w:r>
      <w:proofErr w:type="spellStart"/>
      <w:r w:rsidR="00410ED6" w:rsidRPr="00997551">
        <w:rPr>
          <w:lang w:val="en-GB"/>
        </w:rPr>
        <w:t>zhvillimi</w:t>
      </w:r>
      <w:proofErr w:type="spellEnd"/>
      <w:r w:rsidR="00410ED6" w:rsidRPr="00997551">
        <w:rPr>
          <w:lang w:val="en-GB"/>
        </w:rPr>
        <w:t xml:space="preserve"> </w:t>
      </w:r>
      <w:proofErr w:type="spellStart"/>
      <w:r w:rsidR="00410ED6" w:rsidRPr="00997551">
        <w:rPr>
          <w:lang w:val="en-GB"/>
        </w:rPr>
        <w:t>i</w:t>
      </w:r>
      <w:proofErr w:type="spellEnd"/>
      <w:r w:rsidR="00410ED6" w:rsidRPr="00997551">
        <w:rPr>
          <w:lang w:val="en-GB"/>
        </w:rPr>
        <w:t xml:space="preserve"> </w:t>
      </w:r>
      <w:proofErr w:type="spellStart"/>
      <w:r w:rsidR="00410ED6" w:rsidRPr="00997551">
        <w:rPr>
          <w:lang w:val="en-GB"/>
        </w:rPr>
        <w:t>pamjaftueshëm</w:t>
      </w:r>
      <w:proofErr w:type="spellEnd"/>
      <w:r w:rsidR="00410ED6" w:rsidRPr="00997551">
        <w:rPr>
          <w:lang w:val="en-GB"/>
        </w:rPr>
        <w:t xml:space="preserve"> I </w:t>
      </w:r>
      <w:proofErr w:type="spellStart"/>
      <w:r w:rsidRPr="00997551">
        <w:rPr>
          <w:lang w:val="en-GB"/>
        </w:rPr>
        <w:t>partneritete</w:t>
      </w:r>
      <w:r w:rsidR="00410ED6" w:rsidRPr="00997551">
        <w:rPr>
          <w:lang w:val="en-GB"/>
        </w:rPr>
        <w:t>ve</w:t>
      </w:r>
      <w:proofErr w:type="spellEnd"/>
      <w:r w:rsidRPr="00997551">
        <w:rPr>
          <w:lang w:val="en-GB"/>
        </w:rPr>
        <w:t xml:space="preserve"> </w:t>
      </w:r>
      <w:proofErr w:type="spellStart"/>
      <w:r w:rsidRPr="00997551">
        <w:rPr>
          <w:lang w:val="en-GB"/>
        </w:rPr>
        <w:t>publik</w:t>
      </w:r>
      <w:r w:rsidR="00410ED6" w:rsidRPr="00997551">
        <w:rPr>
          <w:lang w:val="en-GB"/>
        </w:rPr>
        <w:t>o</w:t>
      </w:r>
      <w:proofErr w:type="spellEnd"/>
      <w:r w:rsidRPr="00997551">
        <w:rPr>
          <w:lang w:val="en-GB"/>
        </w:rPr>
        <w:t>-private (PPP).</w:t>
      </w:r>
    </w:p>
    <w:p w14:paraId="408509F1" w14:textId="4CD14E74" w:rsidR="00410ED6" w:rsidRPr="00997551" w:rsidRDefault="00410ED6">
      <w:pPr>
        <w:pStyle w:val="BodyText"/>
        <w:jc w:val="both"/>
        <w:rPr>
          <w:rStyle w:val="BodyTextChar"/>
          <w:lang w:val="sq-AL"/>
        </w:rPr>
      </w:pPr>
      <w:r w:rsidRPr="00997551">
        <w:t xml:space="preserve">Zgjidhja e këtyre çështjeve është </w:t>
      </w:r>
      <w:r w:rsidRPr="00997551">
        <w:rPr>
          <w:lang w:val="sq-AL"/>
        </w:rPr>
        <w:t>me rëndësi të veçantë</w:t>
      </w:r>
      <w:r w:rsidRPr="00997551">
        <w:t xml:space="preserve"> për përmirësimin e transparencës dhe efikasitetit të prokurimeve. Përdorimi i kritereve për ofertën më të favorshme ekonomik</w:t>
      </w:r>
      <w:r w:rsidRPr="00997551">
        <w:rPr>
          <w:lang w:val="sq-AL"/>
        </w:rPr>
        <w:t>e</w:t>
      </w:r>
      <w:r w:rsidRPr="00997551">
        <w:t xml:space="preserve"> (O</w:t>
      </w:r>
      <w:r w:rsidRPr="00997551">
        <w:rPr>
          <w:lang w:val="sq-AL"/>
        </w:rPr>
        <w:t>FE</w:t>
      </w:r>
      <w:r w:rsidRPr="00997551">
        <w:t xml:space="preserve">) </w:t>
      </w:r>
      <w:r w:rsidRPr="00997551">
        <w:lastRenderedPageBreak/>
        <w:t xml:space="preserve">mbetet i rrallë, </w:t>
      </w:r>
      <w:r w:rsidRPr="00997551">
        <w:rPr>
          <w:lang w:val="sq-AL"/>
        </w:rPr>
        <w:t>ku përafërisht</w:t>
      </w:r>
      <w:r w:rsidRPr="00997551">
        <w:t xml:space="preserve"> 96% </w:t>
      </w:r>
      <w:r w:rsidRPr="00997551">
        <w:rPr>
          <w:lang w:val="sq-AL"/>
        </w:rPr>
        <w:t>nga</w:t>
      </w:r>
      <w:r w:rsidRPr="00997551">
        <w:t xml:space="preserve"> </w:t>
      </w:r>
      <w:r w:rsidRPr="00997551">
        <w:rPr>
          <w:lang w:val="sq-AL"/>
        </w:rPr>
        <w:t>ofertat</w:t>
      </w:r>
      <w:r w:rsidRPr="00997551">
        <w:t xml:space="preserve"> jepen ekskluzivisht mbi bazën e çmimit më të ulët.</w:t>
      </w:r>
    </w:p>
    <w:p w14:paraId="77B7DEEE" w14:textId="6676F3E3" w:rsidR="00410ED6" w:rsidRPr="00997551" w:rsidRDefault="00410ED6" w:rsidP="000600EC">
      <w:pPr>
        <w:pStyle w:val="BodyText"/>
        <w:jc w:val="both"/>
        <w:rPr>
          <w:lang w:val="sq-AL"/>
        </w:rPr>
      </w:pPr>
      <w:r w:rsidRPr="00997551">
        <w:rPr>
          <w:lang w:val="sq-AL"/>
        </w:rPr>
        <w:t>Enti</w:t>
      </w:r>
      <w:r w:rsidRPr="00997551">
        <w:t xml:space="preserve"> Shtetëror </w:t>
      </w:r>
      <w:r w:rsidRPr="00997551">
        <w:rPr>
          <w:lang w:val="sq-AL"/>
        </w:rPr>
        <w:t xml:space="preserve">për Revizion </w:t>
      </w:r>
      <w:r w:rsidRPr="00997551">
        <w:t>(</w:t>
      </w:r>
      <w:r w:rsidRPr="00997551">
        <w:rPr>
          <w:lang w:val="sq-AL"/>
        </w:rPr>
        <w:t>ESHR-ja</w:t>
      </w:r>
      <w:r w:rsidRPr="00997551">
        <w:t xml:space="preserve">) konsiderohet si operativisht </w:t>
      </w:r>
      <w:r w:rsidRPr="00997551">
        <w:rPr>
          <w:lang w:val="sq-AL"/>
        </w:rPr>
        <w:t>e</w:t>
      </w:r>
      <w:r w:rsidRPr="00997551">
        <w:t xml:space="preserve"> pavarur, por statusi i saj zyrtar si institucion i pavarur ende nuk është njohur në Kushtetutë. </w:t>
      </w:r>
      <w:r w:rsidRPr="00997551">
        <w:rPr>
          <w:lang w:val="sq-AL"/>
        </w:rPr>
        <w:t>ESHR</w:t>
      </w:r>
      <w:r w:rsidRPr="00997551">
        <w:t>-ja plotësisht</w:t>
      </w:r>
      <w:r w:rsidRPr="00997551">
        <w:rPr>
          <w:lang w:val="sq-AL"/>
        </w:rPr>
        <w:t xml:space="preserve"> e realizoi</w:t>
      </w:r>
      <w:r w:rsidRPr="00997551">
        <w:t xml:space="preserve"> programin e saj </w:t>
      </w:r>
      <w:r w:rsidRPr="00997551">
        <w:rPr>
          <w:lang w:val="sq-AL"/>
        </w:rPr>
        <w:t>për</w:t>
      </w:r>
      <w:r w:rsidRPr="00997551">
        <w:t xml:space="preserve"> </w:t>
      </w:r>
      <w:r w:rsidRPr="00997551">
        <w:rPr>
          <w:lang w:val="sq-AL"/>
        </w:rPr>
        <w:t>revizion</w:t>
      </w:r>
      <w:r w:rsidRPr="00997551">
        <w:t xml:space="preserve"> për vitin 2024. Megjithatë, kapaciteti i saj institucional mbetet i pamjaftueshëm – edhe pse Rregullorja për sistematizimin e vendeve të punës në </w:t>
      </w:r>
      <w:r w:rsidRPr="00997551">
        <w:rPr>
          <w:lang w:val="sq-AL"/>
        </w:rPr>
        <w:t>ESHR</w:t>
      </w:r>
      <w:r w:rsidRPr="00997551">
        <w:t xml:space="preserve">, </w:t>
      </w:r>
      <w:r w:rsidRPr="00997551">
        <w:rPr>
          <w:lang w:val="sq-AL"/>
        </w:rPr>
        <w:t>i</w:t>
      </w:r>
      <w:r w:rsidRPr="00997551">
        <w:t xml:space="preserve"> miratua</w:t>
      </w:r>
      <w:r w:rsidRPr="00997551">
        <w:rPr>
          <w:lang w:val="sq-AL"/>
        </w:rPr>
        <w:t>r</w:t>
      </w:r>
      <w:r w:rsidRPr="00997551">
        <w:t xml:space="preserve"> në </w:t>
      </w:r>
      <w:r w:rsidRPr="00997551">
        <w:rPr>
          <w:lang w:val="sq-AL"/>
        </w:rPr>
        <w:t xml:space="preserve">muajin </w:t>
      </w:r>
      <w:r w:rsidRPr="00997551">
        <w:t xml:space="preserve">dhjetor </w:t>
      </w:r>
      <w:r w:rsidRPr="00997551">
        <w:rPr>
          <w:lang w:val="sq-AL"/>
        </w:rPr>
        <w:t xml:space="preserve">të vitit </w:t>
      </w:r>
      <w:r w:rsidRPr="00997551">
        <w:t>2022, parash</w:t>
      </w:r>
      <w:r w:rsidRPr="00997551">
        <w:rPr>
          <w:lang w:val="sq-AL"/>
        </w:rPr>
        <w:t>eh</w:t>
      </w:r>
      <w:r w:rsidRPr="00997551">
        <w:t xml:space="preserve"> 245 vende pune, vetëm 126 (51%) janë</w:t>
      </w:r>
      <w:r w:rsidRPr="00997551">
        <w:rPr>
          <w:lang w:val="sq-AL"/>
        </w:rPr>
        <w:t xml:space="preserve"> aktualisht</w:t>
      </w:r>
      <w:r w:rsidRPr="00997551">
        <w:t xml:space="preserve"> të mbushura. Mbikëqyrja parlamentare mbi raportet e </w:t>
      </w:r>
      <w:r w:rsidRPr="00997551">
        <w:rPr>
          <w:lang w:val="sq-AL"/>
        </w:rPr>
        <w:t>revizionit</w:t>
      </w:r>
      <w:r w:rsidRPr="00997551">
        <w:t xml:space="preserve"> mbetet e dobët, pasi nuk ekziston praktikë e </w:t>
      </w:r>
      <w:r w:rsidRPr="00997551">
        <w:rPr>
          <w:lang w:val="sq-AL"/>
        </w:rPr>
        <w:t>krijuar</w:t>
      </w:r>
      <w:r w:rsidRPr="00997551">
        <w:t xml:space="preserve"> për </w:t>
      </w:r>
      <w:r w:rsidRPr="00997551">
        <w:rPr>
          <w:lang w:val="sq-AL"/>
        </w:rPr>
        <w:t xml:space="preserve">monitorimin </w:t>
      </w:r>
      <w:r w:rsidRPr="00997551">
        <w:t xml:space="preserve">e </w:t>
      </w:r>
      <w:r w:rsidRPr="00997551">
        <w:rPr>
          <w:lang w:val="sq-AL"/>
        </w:rPr>
        <w:t>konstatimeve</w:t>
      </w:r>
      <w:r w:rsidRPr="00997551">
        <w:t xml:space="preserve"> individuale nga </w:t>
      </w:r>
      <w:r w:rsidRPr="00997551">
        <w:rPr>
          <w:lang w:val="sq-AL"/>
        </w:rPr>
        <w:t>revizionet</w:t>
      </w:r>
      <w:r w:rsidRPr="00997551">
        <w:t>.</w:t>
      </w:r>
    </w:p>
    <w:p w14:paraId="04997396" w14:textId="77777777" w:rsidR="000600EC" w:rsidRPr="00997551" w:rsidRDefault="000600EC" w:rsidP="000600EC">
      <w:pPr>
        <w:pStyle w:val="BodyText"/>
        <w:jc w:val="both"/>
        <w:rPr>
          <w:lang w:val="sq-AL"/>
        </w:rPr>
      </w:pPr>
    </w:p>
    <w:p w14:paraId="6262E744" w14:textId="77777777" w:rsidR="000600EC" w:rsidRPr="00997551" w:rsidRDefault="000600EC" w:rsidP="000600EC">
      <w:pPr>
        <w:pStyle w:val="BodyText"/>
        <w:jc w:val="both"/>
        <w:rPr>
          <w:rStyle w:val="BodyTextChar"/>
          <w:lang w:val="sq-AL"/>
        </w:rPr>
      </w:pPr>
    </w:p>
    <w:p w14:paraId="185F3480" w14:textId="72166431" w:rsidR="00410ED6" w:rsidRPr="00997551" w:rsidRDefault="00410ED6">
      <w:pPr>
        <w:pStyle w:val="BodyText"/>
        <w:spacing w:after="620"/>
        <w:jc w:val="both"/>
        <w:rPr>
          <w:b/>
          <w:bCs/>
          <w:sz w:val="22"/>
          <w:szCs w:val="22"/>
          <w:lang w:val="en-GB"/>
        </w:rPr>
      </w:pPr>
      <w:r w:rsidRPr="00997551">
        <w:rPr>
          <w:b/>
          <w:bCs/>
          <w:sz w:val="22"/>
          <w:szCs w:val="22"/>
          <w:lang w:val="en-GB"/>
        </w:rPr>
        <w:t xml:space="preserve">Si </w:t>
      </w:r>
      <w:proofErr w:type="spellStart"/>
      <w:r w:rsidRPr="00997551">
        <w:rPr>
          <w:b/>
          <w:bCs/>
          <w:sz w:val="22"/>
          <w:szCs w:val="22"/>
          <w:lang w:val="en-GB"/>
        </w:rPr>
        <w:t>përfundim</w:t>
      </w:r>
      <w:proofErr w:type="spellEnd"/>
      <w:r w:rsidRPr="00997551">
        <w:rPr>
          <w:b/>
          <w:bCs/>
          <w:sz w:val="22"/>
          <w:szCs w:val="22"/>
          <w:lang w:val="en-GB"/>
        </w:rPr>
        <w:t xml:space="preserve">, </w:t>
      </w:r>
      <w:proofErr w:type="spellStart"/>
      <w:r w:rsidRPr="00997551">
        <w:rPr>
          <w:b/>
          <w:bCs/>
          <w:sz w:val="22"/>
          <w:szCs w:val="22"/>
          <w:lang w:val="en-GB"/>
        </w:rPr>
        <w:t>saktësia</w:t>
      </w:r>
      <w:proofErr w:type="spellEnd"/>
      <w:r w:rsidRPr="00997551">
        <w:rPr>
          <w:b/>
          <w:bCs/>
          <w:sz w:val="22"/>
          <w:szCs w:val="22"/>
          <w:lang w:val="en-GB"/>
        </w:rPr>
        <w:t xml:space="preserve"> e </w:t>
      </w:r>
      <w:proofErr w:type="spellStart"/>
      <w:r w:rsidRPr="00997551">
        <w:rPr>
          <w:b/>
          <w:bCs/>
          <w:sz w:val="22"/>
          <w:szCs w:val="22"/>
          <w:lang w:val="en-GB"/>
        </w:rPr>
        <w:t>sistemit</w:t>
      </w:r>
      <w:proofErr w:type="spellEnd"/>
      <w:r w:rsidRPr="00997551">
        <w:rPr>
          <w:b/>
          <w:bCs/>
          <w:sz w:val="22"/>
          <w:szCs w:val="22"/>
          <w:lang w:val="en-GB"/>
        </w:rPr>
        <w:t xml:space="preserve"> për </w:t>
      </w:r>
      <w:proofErr w:type="spellStart"/>
      <w:r w:rsidRPr="00997551">
        <w:rPr>
          <w:b/>
          <w:bCs/>
          <w:sz w:val="22"/>
          <w:szCs w:val="22"/>
          <w:lang w:val="en-GB"/>
        </w:rPr>
        <w:t>menaxhim</w:t>
      </w:r>
      <w:proofErr w:type="spellEnd"/>
      <w:r w:rsidRPr="00997551">
        <w:rPr>
          <w:b/>
          <w:bCs/>
          <w:sz w:val="22"/>
          <w:szCs w:val="22"/>
          <w:lang w:val="en-GB"/>
        </w:rPr>
        <w:t xml:space="preserve"> me </w:t>
      </w:r>
      <w:proofErr w:type="spellStart"/>
      <w:r w:rsidRPr="00997551">
        <w:rPr>
          <w:b/>
          <w:bCs/>
          <w:sz w:val="22"/>
          <w:szCs w:val="22"/>
          <w:lang w:val="en-GB"/>
        </w:rPr>
        <w:t>financat</w:t>
      </w:r>
      <w:proofErr w:type="spellEnd"/>
      <w:r w:rsidRPr="00997551">
        <w:rPr>
          <w:b/>
          <w:bCs/>
          <w:sz w:val="22"/>
          <w:szCs w:val="22"/>
          <w:lang w:val="en-GB"/>
        </w:rPr>
        <w:t xml:space="preserve"> publike (</w:t>
      </w:r>
      <w:proofErr w:type="spellStart"/>
      <w:r w:rsidRPr="00997551">
        <w:rPr>
          <w:b/>
          <w:bCs/>
          <w:sz w:val="22"/>
          <w:szCs w:val="22"/>
          <w:lang w:val="en-GB"/>
        </w:rPr>
        <w:t>përfshirë</w:t>
      </w:r>
      <w:proofErr w:type="spellEnd"/>
      <w:r w:rsidRPr="00997551">
        <w:rPr>
          <w:b/>
          <w:bCs/>
          <w:sz w:val="22"/>
          <w:szCs w:val="22"/>
          <w:lang w:val="en-GB"/>
        </w:rPr>
        <w:t xml:space="preserve"> </w:t>
      </w:r>
      <w:proofErr w:type="spellStart"/>
      <w:r w:rsidRPr="00997551">
        <w:rPr>
          <w:b/>
          <w:bCs/>
          <w:sz w:val="22"/>
          <w:szCs w:val="22"/>
          <w:lang w:val="en-GB"/>
        </w:rPr>
        <w:t>strategjinë</w:t>
      </w:r>
      <w:proofErr w:type="spellEnd"/>
      <w:r w:rsidRPr="00997551">
        <w:rPr>
          <w:b/>
          <w:bCs/>
          <w:sz w:val="22"/>
          <w:szCs w:val="22"/>
          <w:lang w:val="en-GB"/>
        </w:rPr>
        <w:t xml:space="preserve"> </w:t>
      </w:r>
      <w:proofErr w:type="spellStart"/>
      <w:r w:rsidRPr="00997551">
        <w:rPr>
          <w:b/>
          <w:bCs/>
          <w:sz w:val="22"/>
          <w:szCs w:val="22"/>
          <w:lang w:val="en-GB"/>
        </w:rPr>
        <w:t>relevante</w:t>
      </w:r>
      <w:proofErr w:type="spellEnd"/>
      <w:r w:rsidRPr="00997551">
        <w:rPr>
          <w:b/>
          <w:bCs/>
          <w:sz w:val="22"/>
          <w:szCs w:val="22"/>
          <w:lang w:val="en-GB"/>
        </w:rPr>
        <w:t xml:space="preserve"> për </w:t>
      </w:r>
      <w:proofErr w:type="spellStart"/>
      <w:r w:rsidRPr="00997551">
        <w:rPr>
          <w:b/>
          <w:bCs/>
          <w:sz w:val="22"/>
          <w:szCs w:val="22"/>
          <w:lang w:val="en-GB"/>
        </w:rPr>
        <w:t>reforma</w:t>
      </w:r>
      <w:proofErr w:type="spellEnd"/>
      <w:r w:rsidRPr="00997551">
        <w:rPr>
          <w:b/>
          <w:bCs/>
          <w:sz w:val="22"/>
          <w:szCs w:val="22"/>
          <w:lang w:val="en-GB"/>
        </w:rPr>
        <w:t xml:space="preserve">) është e </w:t>
      </w:r>
      <w:proofErr w:type="spellStart"/>
      <w:r w:rsidRPr="00997551">
        <w:rPr>
          <w:b/>
          <w:bCs/>
          <w:sz w:val="22"/>
          <w:szCs w:val="22"/>
          <w:lang w:val="en-GB"/>
        </w:rPr>
        <w:t>mjaftueshëm</w:t>
      </w:r>
      <w:proofErr w:type="spellEnd"/>
      <w:r w:rsidRPr="00997551">
        <w:rPr>
          <w:b/>
          <w:bCs/>
          <w:sz w:val="22"/>
          <w:szCs w:val="22"/>
          <w:lang w:val="en-GB"/>
        </w:rPr>
        <w:t xml:space="preserve"> e </w:t>
      </w:r>
      <w:proofErr w:type="spellStart"/>
      <w:r w:rsidRPr="00997551">
        <w:rPr>
          <w:b/>
          <w:bCs/>
          <w:sz w:val="22"/>
          <w:szCs w:val="22"/>
          <w:lang w:val="en-GB"/>
        </w:rPr>
        <w:t>verifikuar</w:t>
      </w:r>
      <w:proofErr w:type="spellEnd"/>
      <w:r w:rsidRPr="00997551">
        <w:rPr>
          <w:b/>
          <w:bCs/>
          <w:sz w:val="22"/>
          <w:szCs w:val="22"/>
          <w:lang w:val="en-GB"/>
        </w:rPr>
        <w:t xml:space="preserve">, dhe kushti </w:t>
      </w:r>
      <w:proofErr w:type="spellStart"/>
      <w:r w:rsidRPr="00997551">
        <w:rPr>
          <w:b/>
          <w:bCs/>
          <w:sz w:val="22"/>
          <w:szCs w:val="22"/>
          <w:lang w:val="en-GB"/>
        </w:rPr>
        <w:t>i</w:t>
      </w:r>
      <w:proofErr w:type="spellEnd"/>
      <w:r w:rsidRPr="00997551">
        <w:rPr>
          <w:b/>
          <w:bCs/>
          <w:sz w:val="22"/>
          <w:szCs w:val="22"/>
          <w:lang w:val="en-GB"/>
        </w:rPr>
        <w:t xml:space="preserve"> </w:t>
      </w:r>
      <w:proofErr w:type="spellStart"/>
      <w:r w:rsidRPr="00997551">
        <w:rPr>
          <w:b/>
          <w:bCs/>
          <w:sz w:val="22"/>
          <w:szCs w:val="22"/>
          <w:lang w:val="en-GB"/>
        </w:rPr>
        <w:t>përgjithshëm</w:t>
      </w:r>
      <w:proofErr w:type="spellEnd"/>
      <w:r w:rsidRPr="00997551">
        <w:rPr>
          <w:b/>
          <w:bCs/>
          <w:sz w:val="22"/>
          <w:szCs w:val="22"/>
          <w:lang w:val="en-GB"/>
        </w:rPr>
        <w:t xml:space="preserve"> është </w:t>
      </w:r>
      <w:proofErr w:type="spellStart"/>
      <w:r w:rsidRPr="00997551">
        <w:rPr>
          <w:b/>
          <w:bCs/>
          <w:sz w:val="22"/>
          <w:szCs w:val="22"/>
          <w:lang w:val="en-GB"/>
        </w:rPr>
        <w:t>përmbushur</w:t>
      </w:r>
      <w:proofErr w:type="spellEnd"/>
      <w:r w:rsidRPr="00997551">
        <w:rPr>
          <w:b/>
          <w:bCs/>
          <w:sz w:val="22"/>
          <w:szCs w:val="22"/>
          <w:lang w:val="en-GB"/>
        </w:rPr>
        <w:t>.</w:t>
      </w:r>
    </w:p>
    <w:p w14:paraId="21677E18" w14:textId="085CC76A" w:rsidR="006866F8" w:rsidRPr="00997551" w:rsidRDefault="009D19A5" w:rsidP="00262A83">
      <w:pPr>
        <w:pStyle w:val="Heading20"/>
        <w:keepNext/>
        <w:keepLines/>
        <w:tabs>
          <w:tab w:val="left" w:pos="709"/>
          <w:tab w:val="left" w:pos="1134"/>
        </w:tabs>
        <w:spacing w:line="259" w:lineRule="auto"/>
        <w:jc w:val="both"/>
        <w:rPr>
          <w:sz w:val="22"/>
          <w:szCs w:val="22"/>
          <w:lang w:val="en-GB"/>
        </w:rPr>
      </w:pPr>
      <w:bookmarkStart w:id="1" w:name="bookmark11"/>
      <w:r w:rsidRPr="00997551">
        <w:rPr>
          <w:rStyle w:val="Heading2"/>
          <w:b/>
          <w:bCs/>
          <w:sz w:val="22"/>
          <w:szCs w:val="22"/>
          <w:lang w:val="sq-AL"/>
        </w:rPr>
        <w:t>c</w:t>
      </w:r>
      <w:r w:rsidR="00182DB0" w:rsidRPr="00997551">
        <w:rPr>
          <w:rStyle w:val="Heading2"/>
          <w:b/>
          <w:bCs/>
          <w:sz w:val="22"/>
          <w:szCs w:val="22"/>
          <w:lang w:val="mk-MK"/>
        </w:rPr>
        <w:t>)</w:t>
      </w:r>
      <w:r w:rsidR="00182DB0" w:rsidRPr="00997551">
        <w:rPr>
          <w:rStyle w:val="Heading2"/>
          <w:b/>
          <w:bCs/>
          <w:sz w:val="22"/>
          <w:szCs w:val="22"/>
          <w:lang w:val="mk-MK"/>
        </w:rPr>
        <w:tab/>
      </w:r>
      <w:bookmarkEnd w:id="1"/>
      <w:r w:rsidRPr="00997551">
        <w:rPr>
          <w:sz w:val="22"/>
          <w:szCs w:val="22"/>
        </w:rPr>
        <w:t>Vlerësimi i transparencës dhe mbikëqyrj</w:t>
      </w:r>
      <w:r w:rsidRPr="00997551">
        <w:rPr>
          <w:sz w:val="22"/>
          <w:szCs w:val="22"/>
          <w:lang w:val="sq-AL"/>
        </w:rPr>
        <w:t>a</w:t>
      </w:r>
      <w:r w:rsidRPr="00997551">
        <w:rPr>
          <w:sz w:val="22"/>
          <w:szCs w:val="22"/>
        </w:rPr>
        <w:t xml:space="preserve"> </w:t>
      </w:r>
      <w:r w:rsidRPr="00997551">
        <w:rPr>
          <w:sz w:val="22"/>
          <w:szCs w:val="22"/>
          <w:lang w:val="sq-AL"/>
        </w:rPr>
        <w:t>e</w:t>
      </w:r>
      <w:r w:rsidRPr="00997551">
        <w:rPr>
          <w:sz w:val="22"/>
          <w:szCs w:val="22"/>
        </w:rPr>
        <w:t xml:space="preserve"> buxhetit</w:t>
      </w:r>
    </w:p>
    <w:p w14:paraId="338F6A14" w14:textId="309B1D03" w:rsidR="00410ED6" w:rsidRPr="00997551" w:rsidRDefault="009D19A5">
      <w:pPr>
        <w:pStyle w:val="BodyText"/>
        <w:jc w:val="both"/>
        <w:rPr>
          <w:sz w:val="22"/>
          <w:szCs w:val="22"/>
          <w:lang w:val="en-GB"/>
        </w:rPr>
      </w:pPr>
      <w:proofErr w:type="spellStart"/>
      <w:r w:rsidRPr="00997551">
        <w:rPr>
          <w:sz w:val="22"/>
          <w:szCs w:val="22"/>
          <w:lang w:val="en-GB"/>
        </w:rPr>
        <w:t>Propozimi</w:t>
      </w:r>
      <w:proofErr w:type="spellEnd"/>
      <w:r w:rsidRPr="00997551">
        <w:rPr>
          <w:sz w:val="22"/>
          <w:szCs w:val="22"/>
          <w:lang w:val="en-GB"/>
        </w:rPr>
        <w:t xml:space="preserve"> për </w:t>
      </w:r>
      <w:proofErr w:type="spellStart"/>
      <w:r w:rsidRPr="00997551">
        <w:rPr>
          <w:sz w:val="22"/>
          <w:szCs w:val="22"/>
          <w:lang w:val="en-GB"/>
        </w:rPr>
        <w:t>realizimin</w:t>
      </w:r>
      <w:proofErr w:type="spellEnd"/>
      <w:r w:rsidRPr="00997551">
        <w:rPr>
          <w:sz w:val="22"/>
          <w:szCs w:val="22"/>
          <w:lang w:val="en-GB"/>
        </w:rPr>
        <w:t xml:space="preserve"> e </w:t>
      </w:r>
      <w:proofErr w:type="spellStart"/>
      <w:r w:rsidRPr="00997551">
        <w:rPr>
          <w:sz w:val="22"/>
          <w:szCs w:val="22"/>
          <w:lang w:val="en-GB"/>
        </w:rPr>
        <w:t>buxhetit</w:t>
      </w:r>
      <w:proofErr w:type="spellEnd"/>
      <w:r w:rsidRPr="00997551">
        <w:rPr>
          <w:sz w:val="22"/>
          <w:szCs w:val="22"/>
          <w:lang w:val="en-GB"/>
        </w:rPr>
        <w:t xml:space="preserve"> dhe </w:t>
      </w:r>
      <w:proofErr w:type="spellStart"/>
      <w:r w:rsidRPr="00997551">
        <w:rPr>
          <w:sz w:val="22"/>
          <w:szCs w:val="22"/>
          <w:lang w:val="en-GB"/>
        </w:rPr>
        <w:t>buxheti</w:t>
      </w:r>
      <w:proofErr w:type="spellEnd"/>
      <w:r w:rsidRPr="00997551">
        <w:rPr>
          <w:sz w:val="22"/>
          <w:szCs w:val="22"/>
          <w:lang w:val="en-GB"/>
        </w:rPr>
        <w:t xml:space="preserve"> </w:t>
      </w:r>
      <w:proofErr w:type="spellStart"/>
      <w:r w:rsidRPr="00997551">
        <w:rPr>
          <w:sz w:val="22"/>
          <w:szCs w:val="22"/>
          <w:lang w:val="en-GB"/>
        </w:rPr>
        <w:t>përfundimtar</w:t>
      </w:r>
      <w:proofErr w:type="spellEnd"/>
      <w:r w:rsidRPr="00997551">
        <w:rPr>
          <w:sz w:val="22"/>
          <w:szCs w:val="22"/>
          <w:lang w:val="en-GB"/>
        </w:rPr>
        <w:t xml:space="preserve"> </w:t>
      </w:r>
      <w:proofErr w:type="spellStart"/>
      <w:r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miratuar</w:t>
      </w:r>
      <w:proofErr w:type="spellEnd"/>
      <w:r w:rsidRPr="00997551">
        <w:rPr>
          <w:sz w:val="22"/>
          <w:szCs w:val="22"/>
          <w:lang w:val="en-GB"/>
        </w:rPr>
        <w:t xml:space="preserve"> </w:t>
      </w:r>
      <w:proofErr w:type="spellStart"/>
      <w:r w:rsidRPr="00997551">
        <w:rPr>
          <w:sz w:val="22"/>
          <w:szCs w:val="22"/>
          <w:lang w:val="en-GB"/>
        </w:rPr>
        <w:t>publikohen</w:t>
      </w:r>
      <w:proofErr w:type="spellEnd"/>
      <w:r w:rsidRPr="00997551">
        <w:rPr>
          <w:sz w:val="22"/>
          <w:szCs w:val="22"/>
          <w:lang w:val="en-GB"/>
        </w:rPr>
        <w:t xml:space="preserve"> në </w:t>
      </w:r>
      <w:proofErr w:type="spellStart"/>
      <w:r w:rsidRPr="00997551">
        <w:rPr>
          <w:sz w:val="22"/>
          <w:szCs w:val="22"/>
          <w:lang w:val="en-GB"/>
        </w:rPr>
        <w:t>kohë</w:t>
      </w:r>
      <w:proofErr w:type="spellEnd"/>
      <w:r w:rsidRPr="00997551">
        <w:rPr>
          <w:sz w:val="22"/>
          <w:szCs w:val="22"/>
          <w:lang w:val="en-GB"/>
        </w:rPr>
        <w:t xml:space="preserve"> në </w:t>
      </w:r>
      <w:proofErr w:type="spellStart"/>
      <w:r w:rsidRPr="00997551">
        <w:rPr>
          <w:sz w:val="22"/>
          <w:szCs w:val="22"/>
          <w:lang w:val="en-GB"/>
        </w:rPr>
        <w:t>ueb</w:t>
      </w:r>
      <w:proofErr w:type="spellEnd"/>
      <w:r w:rsidRPr="00997551">
        <w:rPr>
          <w:sz w:val="22"/>
          <w:szCs w:val="22"/>
          <w:lang w:val="en-GB"/>
        </w:rPr>
        <w:t xml:space="preserve"> faqet e </w:t>
      </w:r>
      <w:proofErr w:type="spellStart"/>
      <w:r w:rsidRPr="00997551">
        <w:rPr>
          <w:sz w:val="22"/>
          <w:szCs w:val="22"/>
          <w:lang w:val="en-GB"/>
        </w:rPr>
        <w:t>Kuvendit</w:t>
      </w:r>
      <w:proofErr w:type="spellEnd"/>
      <w:r w:rsidRPr="00997551">
        <w:rPr>
          <w:sz w:val="22"/>
          <w:szCs w:val="22"/>
          <w:lang w:val="en-GB"/>
        </w:rPr>
        <w:t xml:space="preserve"> dhe </w:t>
      </w:r>
      <w:proofErr w:type="spellStart"/>
      <w:r w:rsidRPr="00997551">
        <w:rPr>
          <w:sz w:val="22"/>
          <w:szCs w:val="22"/>
          <w:lang w:val="en-GB"/>
        </w:rPr>
        <w:t>Ministrisë</w:t>
      </w:r>
      <w:proofErr w:type="spellEnd"/>
      <w:r w:rsidRPr="00997551">
        <w:rPr>
          <w:sz w:val="22"/>
          <w:szCs w:val="22"/>
          <w:lang w:val="en-GB"/>
        </w:rPr>
        <w:t xml:space="preserve"> së Financave. </w:t>
      </w:r>
      <w:proofErr w:type="spellStart"/>
      <w:r w:rsidRPr="00997551">
        <w:rPr>
          <w:sz w:val="22"/>
          <w:szCs w:val="22"/>
          <w:lang w:val="en-GB"/>
        </w:rPr>
        <w:t>Dokumentet</w:t>
      </w:r>
      <w:proofErr w:type="spellEnd"/>
      <w:r w:rsidRPr="00997551">
        <w:rPr>
          <w:sz w:val="22"/>
          <w:szCs w:val="22"/>
          <w:lang w:val="en-GB"/>
        </w:rPr>
        <w:t xml:space="preserve"> </w:t>
      </w:r>
      <w:proofErr w:type="spellStart"/>
      <w:r w:rsidRPr="00997551">
        <w:rPr>
          <w:sz w:val="22"/>
          <w:szCs w:val="22"/>
          <w:lang w:val="en-GB"/>
        </w:rPr>
        <w:t>kryesore</w:t>
      </w:r>
      <w:proofErr w:type="spellEnd"/>
      <w:r w:rsidRPr="00997551">
        <w:rPr>
          <w:sz w:val="22"/>
          <w:szCs w:val="22"/>
          <w:lang w:val="en-GB"/>
        </w:rPr>
        <w:t xml:space="preserve"> </w:t>
      </w:r>
      <w:proofErr w:type="spellStart"/>
      <w:r w:rsidRPr="00997551">
        <w:rPr>
          <w:sz w:val="22"/>
          <w:szCs w:val="22"/>
          <w:lang w:val="en-GB"/>
        </w:rPr>
        <w:t>buxhetore</w:t>
      </w:r>
      <w:proofErr w:type="spellEnd"/>
      <w:r w:rsidRPr="00997551">
        <w:rPr>
          <w:sz w:val="22"/>
          <w:szCs w:val="22"/>
          <w:lang w:val="en-GB"/>
        </w:rPr>
        <w:t xml:space="preserve">, </w:t>
      </w:r>
      <w:proofErr w:type="spellStart"/>
      <w:r w:rsidRPr="00997551">
        <w:rPr>
          <w:sz w:val="22"/>
          <w:szCs w:val="22"/>
          <w:lang w:val="en-GB"/>
        </w:rPr>
        <w:t>përfshirë</w:t>
      </w:r>
      <w:proofErr w:type="spellEnd"/>
      <w:r w:rsidRPr="00997551">
        <w:rPr>
          <w:sz w:val="22"/>
          <w:szCs w:val="22"/>
          <w:lang w:val="en-GB"/>
        </w:rPr>
        <w:t xml:space="preserve"> </w:t>
      </w:r>
      <w:proofErr w:type="spellStart"/>
      <w:r w:rsidRPr="00997551">
        <w:rPr>
          <w:sz w:val="22"/>
          <w:szCs w:val="22"/>
          <w:lang w:val="en-GB"/>
        </w:rPr>
        <w:t>buxhetin</w:t>
      </w:r>
      <w:proofErr w:type="spellEnd"/>
      <w:r w:rsidRPr="00997551">
        <w:rPr>
          <w:sz w:val="22"/>
          <w:szCs w:val="22"/>
          <w:lang w:val="en-GB"/>
        </w:rPr>
        <w:t xml:space="preserve"> </w:t>
      </w:r>
      <w:proofErr w:type="spellStart"/>
      <w:r w:rsidRPr="00997551">
        <w:rPr>
          <w:sz w:val="22"/>
          <w:szCs w:val="22"/>
          <w:lang w:val="en-GB"/>
        </w:rPr>
        <w:t>vjetor</w:t>
      </w:r>
      <w:proofErr w:type="spellEnd"/>
      <w:r w:rsidRPr="00997551">
        <w:rPr>
          <w:sz w:val="22"/>
          <w:szCs w:val="22"/>
          <w:lang w:val="en-GB"/>
        </w:rPr>
        <w:t xml:space="preserve">, </w:t>
      </w:r>
      <w:proofErr w:type="spellStart"/>
      <w:r w:rsidRPr="00997551">
        <w:rPr>
          <w:sz w:val="22"/>
          <w:szCs w:val="22"/>
          <w:lang w:val="en-GB"/>
        </w:rPr>
        <w:t>Strategjinë</w:t>
      </w:r>
      <w:proofErr w:type="spellEnd"/>
      <w:r w:rsidRPr="00997551">
        <w:rPr>
          <w:sz w:val="22"/>
          <w:szCs w:val="22"/>
          <w:lang w:val="en-GB"/>
        </w:rPr>
        <w:t xml:space="preserve"> </w:t>
      </w:r>
      <w:proofErr w:type="spellStart"/>
      <w:r w:rsidRPr="00997551">
        <w:rPr>
          <w:sz w:val="22"/>
          <w:szCs w:val="22"/>
          <w:lang w:val="en-GB"/>
        </w:rPr>
        <w:t>Fiskale</w:t>
      </w:r>
      <w:proofErr w:type="spellEnd"/>
      <w:r w:rsidRPr="00997551">
        <w:rPr>
          <w:sz w:val="22"/>
          <w:szCs w:val="22"/>
          <w:lang w:val="en-GB"/>
        </w:rPr>
        <w:t xml:space="preserve">, </w:t>
      </w:r>
      <w:proofErr w:type="spellStart"/>
      <w:r w:rsidRPr="00997551">
        <w:rPr>
          <w:sz w:val="22"/>
          <w:szCs w:val="22"/>
          <w:lang w:val="en-GB"/>
        </w:rPr>
        <w:t>Strategjinë</w:t>
      </w:r>
      <w:proofErr w:type="spellEnd"/>
      <w:r w:rsidRPr="00997551">
        <w:rPr>
          <w:sz w:val="22"/>
          <w:szCs w:val="22"/>
          <w:lang w:val="en-GB"/>
        </w:rPr>
        <w:t xml:space="preserve"> për Menaxhimin e </w:t>
      </w:r>
      <w:proofErr w:type="spellStart"/>
      <w:r w:rsidRPr="00997551">
        <w:rPr>
          <w:sz w:val="22"/>
          <w:szCs w:val="22"/>
          <w:lang w:val="en-GB"/>
        </w:rPr>
        <w:t>Borxhit</w:t>
      </w:r>
      <w:proofErr w:type="spellEnd"/>
      <w:r w:rsidRPr="00997551">
        <w:rPr>
          <w:sz w:val="22"/>
          <w:szCs w:val="22"/>
          <w:lang w:val="en-GB"/>
        </w:rPr>
        <w:t xml:space="preserve"> Publik dhe </w:t>
      </w:r>
      <w:proofErr w:type="spellStart"/>
      <w:r w:rsidRPr="00997551">
        <w:rPr>
          <w:sz w:val="22"/>
          <w:szCs w:val="22"/>
          <w:lang w:val="en-GB"/>
        </w:rPr>
        <w:t>llogaritë</w:t>
      </w:r>
      <w:proofErr w:type="spellEnd"/>
      <w:r w:rsidRPr="00997551">
        <w:rPr>
          <w:sz w:val="22"/>
          <w:szCs w:val="22"/>
          <w:lang w:val="en-GB"/>
        </w:rPr>
        <w:t xml:space="preserve"> </w:t>
      </w:r>
      <w:proofErr w:type="spellStart"/>
      <w:r w:rsidRPr="00997551">
        <w:rPr>
          <w:sz w:val="22"/>
          <w:szCs w:val="22"/>
          <w:lang w:val="en-GB"/>
        </w:rPr>
        <w:t>përfundimtare</w:t>
      </w:r>
      <w:proofErr w:type="spellEnd"/>
      <w:r w:rsidRPr="00997551">
        <w:rPr>
          <w:sz w:val="22"/>
          <w:szCs w:val="22"/>
          <w:lang w:val="en-GB"/>
        </w:rPr>
        <w:t xml:space="preserve">, janë në </w:t>
      </w:r>
      <w:proofErr w:type="spellStart"/>
      <w:r w:rsidRPr="00997551">
        <w:rPr>
          <w:sz w:val="22"/>
          <w:szCs w:val="22"/>
          <w:lang w:val="en-GB"/>
        </w:rPr>
        <w:t>përgjithësi</w:t>
      </w:r>
      <w:proofErr w:type="spellEnd"/>
      <w:r w:rsidRPr="00997551">
        <w:rPr>
          <w:sz w:val="22"/>
          <w:szCs w:val="22"/>
          <w:lang w:val="en-GB"/>
        </w:rPr>
        <w:t xml:space="preserve"> të </w:t>
      </w:r>
      <w:proofErr w:type="spellStart"/>
      <w:r w:rsidRPr="00997551">
        <w:rPr>
          <w:sz w:val="22"/>
          <w:szCs w:val="22"/>
          <w:lang w:val="en-GB"/>
        </w:rPr>
        <w:t>qasëshme</w:t>
      </w:r>
      <w:proofErr w:type="spellEnd"/>
      <w:r w:rsidRPr="00997551">
        <w:rPr>
          <w:sz w:val="22"/>
          <w:szCs w:val="22"/>
          <w:lang w:val="en-GB"/>
        </w:rPr>
        <w:t xml:space="preserve"> për publikun. Megjithatë, </w:t>
      </w:r>
      <w:proofErr w:type="spellStart"/>
      <w:r w:rsidRPr="00997551">
        <w:rPr>
          <w:sz w:val="22"/>
          <w:szCs w:val="22"/>
          <w:lang w:val="en-GB"/>
        </w:rPr>
        <w:t>publikimi</w:t>
      </w:r>
      <w:proofErr w:type="spellEnd"/>
      <w:r w:rsidRPr="00997551">
        <w:rPr>
          <w:sz w:val="22"/>
          <w:szCs w:val="22"/>
          <w:lang w:val="en-GB"/>
        </w:rPr>
        <w:t xml:space="preserve"> </w:t>
      </w:r>
      <w:proofErr w:type="spellStart"/>
      <w:r w:rsidRPr="00997551">
        <w:rPr>
          <w:sz w:val="22"/>
          <w:szCs w:val="22"/>
          <w:lang w:val="en-GB"/>
        </w:rPr>
        <w:t>i</w:t>
      </w:r>
      <w:proofErr w:type="spellEnd"/>
      <w:r w:rsidRPr="00997551">
        <w:rPr>
          <w:sz w:val="22"/>
          <w:szCs w:val="22"/>
          <w:lang w:val="en-GB"/>
        </w:rPr>
        <w:t xml:space="preserve"> </w:t>
      </w:r>
      <w:proofErr w:type="spellStart"/>
      <w:r w:rsidRPr="00997551">
        <w:rPr>
          <w:sz w:val="22"/>
          <w:szCs w:val="22"/>
          <w:lang w:val="en-GB"/>
        </w:rPr>
        <w:t>Strategjive</w:t>
      </w:r>
      <w:proofErr w:type="spellEnd"/>
      <w:r w:rsidRPr="00997551">
        <w:rPr>
          <w:sz w:val="22"/>
          <w:szCs w:val="22"/>
          <w:lang w:val="en-GB"/>
        </w:rPr>
        <w:t xml:space="preserve"> </w:t>
      </w:r>
      <w:proofErr w:type="spellStart"/>
      <w:r w:rsidRPr="00997551">
        <w:rPr>
          <w:sz w:val="22"/>
          <w:szCs w:val="22"/>
          <w:lang w:val="en-GB"/>
        </w:rPr>
        <w:t>Fiskale</w:t>
      </w:r>
      <w:proofErr w:type="spellEnd"/>
      <w:r w:rsidRPr="00997551">
        <w:rPr>
          <w:sz w:val="22"/>
          <w:szCs w:val="22"/>
          <w:lang w:val="en-GB"/>
        </w:rPr>
        <w:t xml:space="preserve"> të </w:t>
      </w:r>
      <w:proofErr w:type="spellStart"/>
      <w:r w:rsidRPr="00997551">
        <w:rPr>
          <w:sz w:val="22"/>
          <w:szCs w:val="22"/>
          <w:lang w:val="en-GB"/>
        </w:rPr>
        <w:t>fundit</w:t>
      </w:r>
      <w:proofErr w:type="spellEnd"/>
      <w:r w:rsidRPr="00997551">
        <w:rPr>
          <w:sz w:val="22"/>
          <w:szCs w:val="22"/>
          <w:lang w:val="en-GB"/>
        </w:rPr>
        <w:t xml:space="preserve"> ka </w:t>
      </w:r>
      <w:proofErr w:type="spellStart"/>
      <w:r w:rsidRPr="00997551">
        <w:rPr>
          <w:sz w:val="22"/>
          <w:szCs w:val="22"/>
          <w:lang w:val="en-GB"/>
        </w:rPr>
        <w:t>hasur</w:t>
      </w:r>
      <w:proofErr w:type="spellEnd"/>
      <w:r w:rsidRPr="00997551">
        <w:rPr>
          <w:sz w:val="22"/>
          <w:szCs w:val="22"/>
          <w:lang w:val="en-GB"/>
        </w:rPr>
        <w:t xml:space="preserve"> me </w:t>
      </w:r>
      <w:proofErr w:type="spellStart"/>
      <w:r w:rsidRPr="00997551">
        <w:rPr>
          <w:sz w:val="22"/>
          <w:szCs w:val="22"/>
          <w:lang w:val="en-GB"/>
        </w:rPr>
        <w:t>vonesa</w:t>
      </w:r>
      <w:proofErr w:type="spellEnd"/>
      <w:r w:rsidRPr="00997551">
        <w:rPr>
          <w:sz w:val="22"/>
          <w:szCs w:val="22"/>
          <w:lang w:val="en-GB"/>
        </w:rPr>
        <w:t xml:space="preserve"> të </w:t>
      </w:r>
      <w:proofErr w:type="spellStart"/>
      <w:r w:rsidRPr="00997551">
        <w:rPr>
          <w:sz w:val="22"/>
          <w:szCs w:val="22"/>
          <w:lang w:val="en-GB"/>
        </w:rPr>
        <w:t>konsiderueshme</w:t>
      </w:r>
      <w:proofErr w:type="spellEnd"/>
      <w:r w:rsidRPr="00997551">
        <w:rPr>
          <w:sz w:val="22"/>
          <w:szCs w:val="22"/>
          <w:lang w:val="en-GB"/>
        </w:rPr>
        <w:t xml:space="preserve"> – </w:t>
      </w:r>
      <w:proofErr w:type="spellStart"/>
      <w:r w:rsidRPr="00997551">
        <w:rPr>
          <w:sz w:val="22"/>
          <w:szCs w:val="22"/>
          <w:lang w:val="en-GB"/>
        </w:rPr>
        <w:t>ato</w:t>
      </w:r>
      <w:proofErr w:type="spellEnd"/>
      <w:r w:rsidRPr="00997551">
        <w:rPr>
          <w:sz w:val="22"/>
          <w:szCs w:val="22"/>
          <w:lang w:val="en-GB"/>
        </w:rPr>
        <w:t xml:space="preserve"> për </w:t>
      </w:r>
      <w:proofErr w:type="spellStart"/>
      <w:r w:rsidRPr="00997551">
        <w:rPr>
          <w:sz w:val="22"/>
          <w:szCs w:val="22"/>
          <w:lang w:val="en-GB"/>
        </w:rPr>
        <w:t>periudhën</w:t>
      </w:r>
      <w:proofErr w:type="spellEnd"/>
      <w:r w:rsidRPr="00997551">
        <w:rPr>
          <w:sz w:val="22"/>
          <w:szCs w:val="22"/>
          <w:lang w:val="en-GB"/>
        </w:rPr>
        <w:t xml:space="preserve"> 2023-2027 u </w:t>
      </w:r>
      <w:proofErr w:type="spellStart"/>
      <w:r w:rsidRPr="00997551">
        <w:rPr>
          <w:sz w:val="22"/>
          <w:szCs w:val="22"/>
          <w:lang w:val="en-GB"/>
        </w:rPr>
        <w:t>shtynë</w:t>
      </w:r>
      <w:proofErr w:type="spellEnd"/>
      <w:r w:rsidRPr="00997551">
        <w:rPr>
          <w:sz w:val="22"/>
          <w:szCs w:val="22"/>
          <w:lang w:val="en-GB"/>
        </w:rPr>
        <w:t xml:space="preserve"> për </w:t>
      </w:r>
      <w:proofErr w:type="spellStart"/>
      <w:r w:rsidRPr="00997551">
        <w:rPr>
          <w:sz w:val="22"/>
          <w:szCs w:val="22"/>
          <w:lang w:val="en-GB"/>
        </w:rPr>
        <w:t>shkak</w:t>
      </w:r>
      <w:proofErr w:type="spellEnd"/>
      <w:r w:rsidRPr="00997551">
        <w:rPr>
          <w:sz w:val="22"/>
          <w:szCs w:val="22"/>
          <w:lang w:val="en-GB"/>
        </w:rPr>
        <w:t xml:space="preserve"> të </w:t>
      </w:r>
      <w:proofErr w:type="spellStart"/>
      <w:r w:rsidRPr="00997551">
        <w:rPr>
          <w:sz w:val="22"/>
          <w:szCs w:val="22"/>
          <w:lang w:val="en-GB"/>
        </w:rPr>
        <w:t>krizës</w:t>
      </w:r>
      <w:proofErr w:type="spellEnd"/>
      <w:r w:rsidRPr="00997551">
        <w:rPr>
          <w:sz w:val="22"/>
          <w:szCs w:val="22"/>
          <w:lang w:val="en-GB"/>
        </w:rPr>
        <w:t xml:space="preserve"> </w:t>
      </w:r>
      <w:proofErr w:type="spellStart"/>
      <w:r w:rsidRPr="00997551">
        <w:rPr>
          <w:sz w:val="22"/>
          <w:szCs w:val="22"/>
          <w:lang w:val="en-GB"/>
        </w:rPr>
        <w:t>energjetike</w:t>
      </w:r>
      <w:proofErr w:type="spellEnd"/>
      <w:r w:rsidRPr="00997551">
        <w:rPr>
          <w:sz w:val="22"/>
          <w:szCs w:val="22"/>
          <w:lang w:val="en-GB"/>
        </w:rPr>
        <w:t xml:space="preserve">, </w:t>
      </w:r>
      <w:proofErr w:type="spellStart"/>
      <w:r w:rsidRPr="00997551">
        <w:rPr>
          <w:sz w:val="22"/>
          <w:szCs w:val="22"/>
          <w:lang w:val="en-GB"/>
        </w:rPr>
        <w:t>ndërsa</w:t>
      </w:r>
      <w:proofErr w:type="spellEnd"/>
      <w:r w:rsidRPr="00997551">
        <w:rPr>
          <w:sz w:val="22"/>
          <w:szCs w:val="22"/>
          <w:lang w:val="en-GB"/>
        </w:rPr>
        <w:t xml:space="preserve"> </w:t>
      </w:r>
      <w:proofErr w:type="spellStart"/>
      <w:r w:rsidRPr="00997551">
        <w:rPr>
          <w:sz w:val="22"/>
          <w:szCs w:val="22"/>
          <w:lang w:val="en-GB"/>
        </w:rPr>
        <w:t>Strategjia</w:t>
      </w:r>
      <w:proofErr w:type="spellEnd"/>
      <w:r w:rsidRPr="00997551">
        <w:rPr>
          <w:sz w:val="22"/>
          <w:szCs w:val="22"/>
          <w:lang w:val="en-GB"/>
        </w:rPr>
        <w:t xml:space="preserve"> për Menaxhimin e </w:t>
      </w:r>
      <w:proofErr w:type="spellStart"/>
      <w:r w:rsidRPr="00997551">
        <w:rPr>
          <w:sz w:val="22"/>
          <w:szCs w:val="22"/>
          <w:lang w:val="en-GB"/>
        </w:rPr>
        <w:t>Borxhit</w:t>
      </w:r>
      <w:proofErr w:type="spellEnd"/>
      <w:r w:rsidRPr="00997551">
        <w:rPr>
          <w:sz w:val="22"/>
          <w:szCs w:val="22"/>
          <w:lang w:val="en-GB"/>
        </w:rPr>
        <w:t xml:space="preserve"> Publik për </w:t>
      </w:r>
      <w:proofErr w:type="spellStart"/>
      <w:r w:rsidRPr="00997551">
        <w:rPr>
          <w:sz w:val="22"/>
          <w:szCs w:val="22"/>
          <w:lang w:val="en-GB"/>
        </w:rPr>
        <w:t>periudhën</w:t>
      </w:r>
      <w:proofErr w:type="spellEnd"/>
      <w:r w:rsidRPr="00997551">
        <w:rPr>
          <w:sz w:val="22"/>
          <w:szCs w:val="22"/>
          <w:lang w:val="en-GB"/>
        </w:rPr>
        <w:t xml:space="preserve"> 2025-2029 u </w:t>
      </w:r>
      <w:proofErr w:type="spellStart"/>
      <w:r w:rsidRPr="00997551">
        <w:rPr>
          <w:sz w:val="22"/>
          <w:szCs w:val="22"/>
          <w:lang w:val="en-GB"/>
        </w:rPr>
        <w:t>shty</w:t>
      </w:r>
      <w:proofErr w:type="spellEnd"/>
      <w:r w:rsidRPr="00997551">
        <w:rPr>
          <w:sz w:val="22"/>
          <w:szCs w:val="22"/>
          <w:lang w:val="en-GB"/>
        </w:rPr>
        <w:t xml:space="preserve"> për </w:t>
      </w:r>
      <w:proofErr w:type="spellStart"/>
      <w:r w:rsidRPr="00997551">
        <w:rPr>
          <w:sz w:val="22"/>
          <w:szCs w:val="22"/>
          <w:lang w:val="en-GB"/>
        </w:rPr>
        <w:t>shkak</w:t>
      </w:r>
      <w:proofErr w:type="spellEnd"/>
      <w:r w:rsidRPr="00997551">
        <w:rPr>
          <w:sz w:val="22"/>
          <w:szCs w:val="22"/>
          <w:lang w:val="en-GB"/>
        </w:rPr>
        <w:t xml:space="preserve"> të </w:t>
      </w:r>
      <w:proofErr w:type="spellStart"/>
      <w:r w:rsidRPr="00997551">
        <w:rPr>
          <w:sz w:val="22"/>
          <w:szCs w:val="22"/>
          <w:lang w:val="en-GB"/>
        </w:rPr>
        <w:t>zgjedhjeve</w:t>
      </w:r>
      <w:proofErr w:type="spellEnd"/>
      <w:r w:rsidRPr="00997551">
        <w:rPr>
          <w:sz w:val="22"/>
          <w:szCs w:val="22"/>
          <w:lang w:val="en-GB"/>
        </w:rPr>
        <w:t>.</w:t>
      </w:r>
    </w:p>
    <w:p w14:paraId="366FEC28" w14:textId="20094ABE" w:rsidR="009D19A5" w:rsidRPr="00997551" w:rsidRDefault="009D19A5">
      <w:pPr>
        <w:pStyle w:val="BodyText"/>
        <w:jc w:val="both"/>
        <w:rPr>
          <w:sz w:val="22"/>
          <w:szCs w:val="22"/>
          <w:lang w:val="en-GB"/>
        </w:rPr>
      </w:pPr>
      <w:proofErr w:type="spellStart"/>
      <w:r w:rsidRPr="00997551">
        <w:rPr>
          <w:sz w:val="22"/>
          <w:szCs w:val="22"/>
          <w:lang w:val="en-GB"/>
        </w:rPr>
        <w:t>Ministria</w:t>
      </w:r>
      <w:proofErr w:type="spellEnd"/>
      <w:r w:rsidRPr="00997551">
        <w:rPr>
          <w:sz w:val="22"/>
          <w:szCs w:val="22"/>
          <w:lang w:val="en-GB"/>
        </w:rPr>
        <w:t xml:space="preserve"> e </w:t>
      </w:r>
      <w:proofErr w:type="spellStart"/>
      <w:r w:rsidRPr="00997551">
        <w:rPr>
          <w:sz w:val="22"/>
          <w:szCs w:val="22"/>
          <w:lang w:val="en-GB"/>
        </w:rPr>
        <w:t>Financave</w:t>
      </w:r>
      <w:proofErr w:type="spellEnd"/>
      <w:r w:rsidRPr="00997551">
        <w:rPr>
          <w:sz w:val="22"/>
          <w:szCs w:val="22"/>
          <w:lang w:val="en-GB"/>
        </w:rPr>
        <w:t xml:space="preserve"> </w:t>
      </w:r>
      <w:proofErr w:type="spellStart"/>
      <w:r w:rsidRPr="00997551">
        <w:rPr>
          <w:sz w:val="22"/>
          <w:szCs w:val="22"/>
          <w:lang w:val="en-GB"/>
        </w:rPr>
        <w:t>vazhdoi</w:t>
      </w:r>
      <w:proofErr w:type="spellEnd"/>
      <w:r w:rsidRPr="00997551">
        <w:rPr>
          <w:sz w:val="22"/>
          <w:szCs w:val="22"/>
          <w:lang w:val="en-GB"/>
        </w:rPr>
        <w:t xml:space="preserve"> me </w:t>
      </w:r>
      <w:proofErr w:type="spellStart"/>
      <w:r w:rsidRPr="00997551">
        <w:rPr>
          <w:sz w:val="22"/>
          <w:szCs w:val="22"/>
          <w:lang w:val="en-GB"/>
        </w:rPr>
        <w:t>përpjekjet</w:t>
      </w:r>
      <w:proofErr w:type="spellEnd"/>
      <w:r w:rsidRPr="00997551">
        <w:rPr>
          <w:sz w:val="22"/>
          <w:szCs w:val="22"/>
          <w:lang w:val="en-GB"/>
        </w:rPr>
        <w:t xml:space="preserve"> e saj për </w:t>
      </w:r>
      <w:proofErr w:type="spellStart"/>
      <w:r w:rsidRPr="00997551">
        <w:rPr>
          <w:sz w:val="22"/>
          <w:szCs w:val="22"/>
          <w:lang w:val="en-GB"/>
        </w:rPr>
        <w:t>përmirësimin</w:t>
      </w:r>
      <w:proofErr w:type="spellEnd"/>
      <w:r w:rsidRPr="00997551">
        <w:rPr>
          <w:sz w:val="22"/>
          <w:szCs w:val="22"/>
          <w:lang w:val="en-GB"/>
        </w:rPr>
        <w:t xml:space="preserve"> e </w:t>
      </w:r>
      <w:proofErr w:type="spellStart"/>
      <w:r w:rsidRPr="00997551">
        <w:rPr>
          <w:sz w:val="22"/>
          <w:szCs w:val="22"/>
          <w:lang w:val="en-GB"/>
        </w:rPr>
        <w:t>transparencës</w:t>
      </w:r>
      <w:proofErr w:type="spellEnd"/>
      <w:r w:rsidRPr="00997551">
        <w:rPr>
          <w:sz w:val="22"/>
          <w:szCs w:val="22"/>
          <w:lang w:val="en-GB"/>
        </w:rPr>
        <w:t xml:space="preserve"> së </w:t>
      </w:r>
      <w:proofErr w:type="spellStart"/>
      <w:r w:rsidRPr="00997551">
        <w:rPr>
          <w:sz w:val="22"/>
          <w:szCs w:val="22"/>
          <w:lang w:val="en-GB"/>
        </w:rPr>
        <w:t>buxhetit</w:t>
      </w:r>
      <w:proofErr w:type="spellEnd"/>
      <w:r w:rsidRPr="00997551">
        <w:rPr>
          <w:sz w:val="22"/>
          <w:szCs w:val="22"/>
          <w:lang w:val="en-GB"/>
        </w:rPr>
        <w:t xml:space="preserve"> </w:t>
      </w:r>
      <w:proofErr w:type="spellStart"/>
      <w:r w:rsidRPr="00997551">
        <w:rPr>
          <w:sz w:val="22"/>
          <w:szCs w:val="22"/>
          <w:lang w:val="en-GB"/>
        </w:rPr>
        <w:t>përmes</w:t>
      </w:r>
      <w:proofErr w:type="spellEnd"/>
      <w:r w:rsidRPr="00997551">
        <w:rPr>
          <w:sz w:val="22"/>
          <w:szCs w:val="22"/>
          <w:lang w:val="en-GB"/>
        </w:rPr>
        <w:t xml:space="preserve"> </w:t>
      </w:r>
      <w:proofErr w:type="spellStart"/>
      <w:r w:rsidRPr="00997551">
        <w:rPr>
          <w:sz w:val="22"/>
          <w:szCs w:val="22"/>
          <w:lang w:val="en-GB"/>
        </w:rPr>
        <w:t>publikimit</w:t>
      </w:r>
      <w:proofErr w:type="spellEnd"/>
      <w:r w:rsidRPr="00997551">
        <w:rPr>
          <w:sz w:val="22"/>
          <w:szCs w:val="22"/>
          <w:lang w:val="en-GB"/>
        </w:rPr>
        <w:t xml:space="preserve"> të </w:t>
      </w:r>
      <w:proofErr w:type="spellStart"/>
      <w:r w:rsidRPr="00997551">
        <w:rPr>
          <w:sz w:val="22"/>
          <w:szCs w:val="22"/>
          <w:lang w:val="en-GB"/>
        </w:rPr>
        <w:t>të</w:t>
      </w:r>
      <w:proofErr w:type="spellEnd"/>
      <w:r w:rsidRPr="00997551">
        <w:rPr>
          <w:sz w:val="22"/>
          <w:szCs w:val="22"/>
          <w:lang w:val="en-GB"/>
        </w:rPr>
        <w:t xml:space="preserve"> </w:t>
      </w:r>
      <w:proofErr w:type="spellStart"/>
      <w:r w:rsidRPr="00997551">
        <w:rPr>
          <w:sz w:val="22"/>
          <w:szCs w:val="22"/>
          <w:lang w:val="en-GB"/>
        </w:rPr>
        <w:t>dhënave</w:t>
      </w:r>
      <w:proofErr w:type="spellEnd"/>
      <w:r w:rsidRPr="00997551">
        <w:rPr>
          <w:sz w:val="22"/>
          <w:szCs w:val="22"/>
          <w:lang w:val="en-GB"/>
        </w:rPr>
        <w:t xml:space="preserve"> </w:t>
      </w:r>
      <w:proofErr w:type="spellStart"/>
      <w:r w:rsidRPr="00997551">
        <w:rPr>
          <w:sz w:val="22"/>
          <w:szCs w:val="22"/>
          <w:lang w:val="en-GB"/>
        </w:rPr>
        <w:t>tremujore</w:t>
      </w:r>
      <w:proofErr w:type="spellEnd"/>
      <w:r w:rsidRPr="00997551">
        <w:rPr>
          <w:sz w:val="22"/>
          <w:szCs w:val="22"/>
          <w:lang w:val="en-GB"/>
        </w:rPr>
        <w:t xml:space="preserve"> për të </w:t>
      </w:r>
      <w:proofErr w:type="spellStart"/>
      <w:r w:rsidRPr="00997551">
        <w:rPr>
          <w:sz w:val="22"/>
          <w:szCs w:val="22"/>
          <w:lang w:val="en-GB"/>
        </w:rPr>
        <w:t>ardhurat</w:t>
      </w:r>
      <w:proofErr w:type="spellEnd"/>
      <w:r w:rsidRPr="00997551">
        <w:rPr>
          <w:sz w:val="22"/>
          <w:szCs w:val="22"/>
          <w:lang w:val="en-GB"/>
        </w:rPr>
        <w:t xml:space="preserve"> dhe </w:t>
      </w:r>
      <w:proofErr w:type="spellStart"/>
      <w:r w:rsidRPr="00997551">
        <w:rPr>
          <w:sz w:val="22"/>
          <w:szCs w:val="22"/>
          <w:lang w:val="en-GB"/>
        </w:rPr>
        <w:t>shpenzimet</w:t>
      </w:r>
      <w:proofErr w:type="spellEnd"/>
      <w:r w:rsidRPr="00997551">
        <w:rPr>
          <w:sz w:val="22"/>
          <w:szCs w:val="22"/>
          <w:lang w:val="en-GB"/>
        </w:rPr>
        <w:t xml:space="preserve"> e </w:t>
      </w:r>
      <w:proofErr w:type="spellStart"/>
      <w:r w:rsidRPr="00997551">
        <w:rPr>
          <w:sz w:val="22"/>
          <w:szCs w:val="22"/>
          <w:lang w:val="en-GB"/>
        </w:rPr>
        <w:t>institucioneve</w:t>
      </w:r>
      <w:proofErr w:type="spellEnd"/>
      <w:r w:rsidRPr="00997551">
        <w:rPr>
          <w:sz w:val="22"/>
          <w:szCs w:val="22"/>
          <w:lang w:val="en-GB"/>
        </w:rPr>
        <w:t xml:space="preserve"> publike, </w:t>
      </w:r>
      <w:proofErr w:type="spellStart"/>
      <w:r w:rsidRPr="00997551">
        <w:rPr>
          <w:sz w:val="22"/>
          <w:szCs w:val="22"/>
          <w:lang w:val="en-GB"/>
        </w:rPr>
        <w:t>njësive</w:t>
      </w:r>
      <w:proofErr w:type="spellEnd"/>
      <w:r w:rsidRPr="00997551">
        <w:rPr>
          <w:sz w:val="22"/>
          <w:szCs w:val="22"/>
          <w:lang w:val="en-GB"/>
        </w:rPr>
        <w:t xml:space="preserve"> të </w:t>
      </w:r>
      <w:proofErr w:type="spellStart"/>
      <w:r w:rsidRPr="00997551">
        <w:rPr>
          <w:sz w:val="22"/>
          <w:szCs w:val="22"/>
          <w:lang w:val="en-GB"/>
        </w:rPr>
        <w:t>vetëqeverisjes</w:t>
      </w:r>
      <w:proofErr w:type="spellEnd"/>
      <w:r w:rsidRPr="00997551">
        <w:rPr>
          <w:sz w:val="22"/>
          <w:szCs w:val="22"/>
          <w:lang w:val="en-GB"/>
        </w:rPr>
        <w:t xml:space="preserve"> </w:t>
      </w:r>
      <w:proofErr w:type="spellStart"/>
      <w:r w:rsidRPr="00997551">
        <w:rPr>
          <w:sz w:val="22"/>
          <w:szCs w:val="22"/>
          <w:lang w:val="en-GB"/>
        </w:rPr>
        <w:t>lokale</w:t>
      </w:r>
      <w:proofErr w:type="spellEnd"/>
      <w:r w:rsidRPr="00997551">
        <w:rPr>
          <w:sz w:val="22"/>
          <w:szCs w:val="22"/>
          <w:lang w:val="en-GB"/>
        </w:rPr>
        <w:t xml:space="preserve"> dhe </w:t>
      </w:r>
      <w:proofErr w:type="spellStart"/>
      <w:r w:rsidRPr="00997551">
        <w:rPr>
          <w:sz w:val="22"/>
          <w:szCs w:val="22"/>
          <w:lang w:val="en-GB"/>
        </w:rPr>
        <w:t>ndërmarrjeve</w:t>
      </w:r>
      <w:proofErr w:type="spellEnd"/>
      <w:r w:rsidRPr="00997551">
        <w:rPr>
          <w:sz w:val="22"/>
          <w:szCs w:val="22"/>
          <w:lang w:val="en-GB"/>
        </w:rPr>
        <w:t xml:space="preserve"> në </w:t>
      </w:r>
      <w:proofErr w:type="spellStart"/>
      <w:r w:rsidRPr="00997551">
        <w:rPr>
          <w:sz w:val="22"/>
          <w:szCs w:val="22"/>
          <w:lang w:val="en-GB"/>
        </w:rPr>
        <w:t>pronësi</w:t>
      </w:r>
      <w:proofErr w:type="spellEnd"/>
      <w:r w:rsidRPr="00997551">
        <w:rPr>
          <w:sz w:val="22"/>
          <w:szCs w:val="22"/>
          <w:lang w:val="en-GB"/>
        </w:rPr>
        <w:t xml:space="preserve"> të </w:t>
      </w:r>
      <w:proofErr w:type="spellStart"/>
      <w:r w:rsidRPr="00997551">
        <w:rPr>
          <w:sz w:val="22"/>
          <w:szCs w:val="22"/>
          <w:lang w:val="en-GB"/>
        </w:rPr>
        <w:t>shtetit</w:t>
      </w:r>
      <w:proofErr w:type="spellEnd"/>
      <w:r w:rsidRPr="00997551">
        <w:rPr>
          <w:sz w:val="22"/>
          <w:szCs w:val="22"/>
          <w:lang w:val="en-GB"/>
        </w:rPr>
        <w:t xml:space="preserve">. Megjithatë, </w:t>
      </w:r>
      <w:proofErr w:type="spellStart"/>
      <w:r w:rsidRPr="00997551">
        <w:rPr>
          <w:sz w:val="22"/>
          <w:szCs w:val="22"/>
          <w:lang w:val="en-GB"/>
        </w:rPr>
        <w:t>gjithëprëfshirja</w:t>
      </w:r>
      <w:proofErr w:type="spellEnd"/>
      <w:r w:rsidRPr="00997551">
        <w:rPr>
          <w:sz w:val="22"/>
          <w:szCs w:val="22"/>
          <w:lang w:val="en-GB"/>
        </w:rPr>
        <w:t xml:space="preserve"> dhe </w:t>
      </w:r>
      <w:proofErr w:type="spellStart"/>
      <w:r w:rsidRPr="00997551">
        <w:rPr>
          <w:sz w:val="22"/>
          <w:szCs w:val="22"/>
          <w:lang w:val="en-GB"/>
        </w:rPr>
        <w:t>aksesueshmëria</w:t>
      </w:r>
      <w:proofErr w:type="spellEnd"/>
      <w:r w:rsidRPr="00997551">
        <w:rPr>
          <w:sz w:val="22"/>
          <w:szCs w:val="22"/>
          <w:lang w:val="en-GB"/>
        </w:rPr>
        <w:t xml:space="preserve"> e </w:t>
      </w:r>
      <w:proofErr w:type="spellStart"/>
      <w:r w:rsidRPr="00997551">
        <w:rPr>
          <w:sz w:val="22"/>
          <w:szCs w:val="22"/>
          <w:lang w:val="en-GB"/>
        </w:rPr>
        <w:t>këtyre</w:t>
      </w:r>
      <w:proofErr w:type="spellEnd"/>
      <w:r w:rsidRPr="00997551">
        <w:rPr>
          <w:sz w:val="22"/>
          <w:szCs w:val="22"/>
          <w:lang w:val="en-GB"/>
        </w:rPr>
        <w:t xml:space="preserve"> të </w:t>
      </w:r>
      <w:proofErr w:type="spellStart"/>
      <w:r w:rsidRPr="00997551">
        <w:rPr>
          <w:sz w:val="22"/>
          <w:szCs w:val="22"/>
          <w:lang w:val="en-GB"/>
        </w:rPr>
        <w:t>dhënave</w:t>
      </w:r>
      <w:proofErr w:type="spellEnd"/>
      <w:r w:rsidRPr="00997551">
        <w:rPr>
          <w:sz w:val="22"/>
          <w:szCs w:val="22"/>
          <w:lang w:val="en-GB"/>
        </w:rPr>
        <w:t xml:space="preserve"> </w:t>
      </w:r>
      <w:r w:rsidRPr="00997551">
        <w:rPr>
          <w:sz w:val="22"/>
          <w:szCs w:val="22"/>
        </w:rPr>
        <w:t xml:space="preserve">ka mundësi </w:t>
      </w:r>
      <w:r w:rsidRPr="00997551">
        <w:rPr>
          <w:sz w:val="22"/>
          <w:szCs w:val="22"/>
          <w:lang w:val="sq-AL"/>
        </w:rPr>
        <w:t>që të</w:t>
      </w:r>
      <w:r w:rsidRPr="00997551">
        <w:rPr>
          <w:sz w:val="22"/>
          <w:szCs w:val="22"/>
        </w:rPr>
        <w:t xml:space="preserve"> përmirës</w:t>
      </w:r>
      <w:r w:rsidRPr="00997551">
        <w:rPr>
          <w:sz w:val="22"/>
          <w:szCs w:val="22"/>
          <w:lang w:val="sq-AL"/>
        </w:rPr>
        <w:t>ohen</w:t>
      </w:r>
      <w:r w:rsidRPr="00997551">
        <w:rPr>
          <w:sz w:val="22"/>
          <w:szCs w:val="22"/>
          <w:lang w:val="en-GB"/>
        </w:rPr>
        <w:t>.</w:t>
      </w:r>
    </w:p>
    <w:p w14:paraId="5DCCC88B" w14:textId="1D37A553" w:rsidR="009D19A5" w:rsidRPr="00997551" w:rsidRDefault="009D19A5" w:rsidP="009D19A5">
      <w:pPr>
        <w:pStyle w:val="BodyText"/>
        <w:jc w:val="both"/>
        <w:rPr>
          <w:sz w:val="22"/>
          <w:szCs w:val="22"/>
          <w:lang w:val="en-GB"/>
        </w:rPr>
      </w:pPr>
      <w:r w:rsidRPr="00997551">
        <w:rPr>
          <w:sz w:val="22"/>
          <w:szCs w:val="22"/>
          <w:lang w:val="en-GB"/>
        </w:rPr>
        <w:t xml:space="preserve">Në </w:t>
      </w:r>
      <w:proofErr w:type="spellStart"/>
      <w:r w:rsidRPr="00997551">
        <w:rPr>
          <w:sz w:val="22"/>
          <w:szCs w:val="22"/>
          <w:lang w:val="en-GB"/>
        </w:rPr>
        <w:t>Anketën</w:t>
      </w:r>
      <w:proofErr w:type="spellEnd"/>
      <w:r w:rsidRPr="00997551">
        <w:rPr>
          <w:sz w:val="22"/>
          <w:szCs w:val="22"/>
          <w:lang w:val="en-GB"/>
        </w:rPr>
        <w:t xml:space="preserve"> për </w:t>
      </w:r>
      <w:proofErr w:type="spellStart"/>
      <w:r w:rsidRPr="00997551">
        <w:rPr>
          <w:sz w:val="22"/>
          <w:szCs w:val="22"/>
          <w:lang w:val="en-GB"/>
        </w:rPr>
        <w:t>Buxhetin</w:t>
      </w:r>
      <w:proofErr w:type="spellEnd"/>
      <w:r w:rsidRPr="00997551">
        <w:rPr>
          <w:sz w:val="22"/>
          <w:szCs w:val="22"/>
          <w:lang w:val="en-GB"/>
        </w:rPr>
        <w:t xml:space="preserve"> e </w:t>
      </w:r>
      <w:proofErr w:type="spellStart"/>
      <w:r w:rsidRPr="00997551">
        <w:rPr>
          <w:sz w:val="22"/>
          <w:szCs w:val="22"/>
          <w:lang w:val="en-GB"/>
        </w:rPr>
        <w:t>Hapur</w:t>
      </w:r>
      <w:proofErr w:type="spellEnd"/>
      <w:r w:rsidRPr="00997551">
        <w:rPr>
          <w:sz w:val="22"/>
          <w:szCs w:val="22"/>
          <w:lang w:val="en-GB"/>
        </w:rPr>
        <w:t xml:space="preserve"> (OBS) për </w:t>
      </w:r>
      <w:proofErr w:type="spellStart"/>
      <w:r w:rsidRPr="00997551">
        <w:rPr>
          <w:sz w:val="22"/>
          <w:szCs w:val="22"/>
          <w:lang w:val="en-GB"/>
        </w:rPr>
        <w:t>vitin</w:t>
      </w:r>
      <w:proofErr w:type="spellEnd"/>
      <w:r w:rsidRPr="00997551">
        <w:rPr>
          <w:sz w:val="22"/>
          <w:szCs w:val="22"/>
          <w:lang w:val="en-GB"/>
        </w:rPr>
        <w:t xml:space="preserve"> 2023, Maqedonia e Veriut </w:t>
      </w:r>
      <w:proofErr w:type="spellStart"/>
      <w:r w:rsidRPr="00997551">
        <w:rPr>
          <w:sz w:val="22"/>
          <w:szCs w:val="22"/>
          <w:lang w:val="en-GB"/>
        </w:rPr>
        <w:t>arriti</w:t>
      </w:r>
      <w:proofErr w:type="spellEnd"/>
      <w:r w:rsidRPr="00997551">
        <w:rPr>
          <w:sz w:val="22"/>
          <w:szCs w:val="22"/>
          <w:lang w:val="en-GB"/>
        </w:rPr>
        <w:t xml:space="preserve"> 35 </w:t>
      </w:r>
      <w:proofErr w:type="spellStart"/>
      <w:r w:rsidRPr="00997551">
        <w:rPr>
          <w:sz w:val="22"/>
          <w:szCs w:val="22"/>
          <w:lang w:val="en-GB"/>
        </w:rPr>
        <w:t>pikë</w:t>
      </w:r>
      <w:proofErr w:type="spellEnd"/>
      <w:r w:rsidRPr="00997551">
        <w:rPr>
          <w:sz w:val="22"/>
          <w:szCs w:val="22"/>
          <w:lang w:val="en-GB"/>
        </w:rPr>
        <w:t xml:space="preserve">, e cila është </w:t>
      </w:r>
      <w:proofErr w:type="spellStart"/>
      <w:r w:rsidRPr="00997551">
        <w:rPr>
          <w:sz w:val="22"/>
          <w:szCs w:val="22"/>
          <w:lang w:val="en-GB"/>
        </w:rPr>
        <w:t>nj</w:t>
      </w:r>
      <w:proofErr w:type="spellEnd"/>
      <w:r w:rsidR="004500BD" w:rsidRPr="00997551">
        <w:rPr>
          <w:sz w:val="22"/>
          <w:szCs w:val="22"/>
          <w:lang w:val="sq-AL"/>
        </w:rPr>
        <w:t>ë</w:t>
      </w:r>
      <w:r w:rsidRPr="00997551">
        <w:rPr>
          <w:sz w:val="22"/>
          <w:szCs w:val="22"/>
          <w:lang w:val="en-GB"/>
        </w:rPr>
        <w:t xml:space="preserve"> </w:t>
      </w:r>
      <w:proofErr w:type="spellStart"/>
      <w:r w:rsidRPr="00997551">
        <w:rPr>
          <w:sz w:val="22"/>
          <w:szCs w:val="22"/>
          <w:lang w:val="en-GB"/>
        </w:rPr>
        <w:t>ulje</w:t>
      </w:r>
      <w:proofErr w:type="spellEnd"/>
      <w:r w:rsidRPr="00997551">
        <w:rPr>
          <w:sz w:val="22"/>
          <w:szCs w:val="22"/>
          <w:lang w:val="en-GB"/>
        </w:rPr>
        <w:t xml:space="preserve"> e </w:t>
      </w:r>
      <w:proofErr w:type="spellStart"/>
      <w:r w:rsidRPr="00997551">
        <w:rPr>
          <w:sz w:val="22"/>
          <w:szCs w:val="22"/>
          <w:lang w:val="en-GB"/>
        </w:rPr>
        <w:t>vogël</w:t>
      </w:r>
      <w:proofErr w:type="spellEnd"/>
      <w:r w:rsidRPr="00997551">
        <w:rPr>
          <w:sz w:val="22"/>
          <w:szCs w:val="22"/>
          <w:lang w:val="en-GB"/>
        </w:rPr>
        <w:t xml:space="preserve"> </w:t>
      </w:r>
      <w:proofErr w:type="spellStart"/>
      <w:r w:rsidRPr="00997551">
        <w:rPr>
          <w:sz w:val="22"/>
          <w:szCs w:val="22"/>
          <w:lang w:val="en-GB"/>
        </w:rPr>
        <w:t>krahasuar</w:t>
      </w:r>
      <w:proofErr w:type="spellEnd"/>
      <w:r w:rsidRPr="00997551">
        <w:rPr>
          <w:sz w:val="22"/>
          <w:szCs w:val="22"/>
          <w:lang w:val="en-GB"/>
        </w:rPr>
        <w:t xml:space="preserve"> me </w:t>
      </w:r>
      <w:proofErr w:type="spellStart"/>
      <w:r w:rsidRPr="00997551">
        <w:rPr>
          <w:sz w:val="22"/>
          <w:szCs w:val="22"/>
          <w:lang w:val="en-GB"/>
        </w:rPr>
        <w:t>rezultatin</w:t>
      </w:r>
      <w:proofErr w:type="spellEnd"/>
      <w:r w:rsidRPr="00997551">
        <w:rPr>
          <w:sz w:val="22"/>
          <w:szCs w:val="22"/>
          <w:lang w:val="en-GB"/>
        </w:rPr>
        <w:t xml:space="preserve"> 36 në </w:t>
      </w:r>
      <w:proofErr w:type="spellStart"/>
      <w:r w:rsidRPr="00997551">
        <w:rPr>
          <w:sz w:val="22"/>
          <w:szCs w:val="22"/>
          <w:lang w:val="en-GB"/>
        </w:rPr>
        <w:t>vitin</w:t>
      </w:r>
      <w:proofErr w:type="spellEnd"/>
      <w:r w:rsidRPr="00997551">
        <w:rPr>
          <w:sz w:val="22"/>
          <w:szCs w:val="22"/>
          <w:lang w:val="en-GB"/>
        </w:rPr>
        <w:t xml:space="preserve"> 2021. Vendi </w:t>
      </w:r>
      <w:proofErr w:type="spellStart"/>
      <w:r w:rsidRPr="00997551">
        <w:rPr>
          <w:sz w:val="22"/>
          <w:szCs w:val="22"/>
          <w:lang w:val="en-GB"/>
        </w:rPr>
        <w:t>bën</w:t>
      </w:r>
      <w:proofErr w:type="spellEnd"/>
      <w:r w:rsidRPr="00997551">
        <w:rPr>
          <w:sz w:val="22"/>
          <w:szCs w:val="22"/>
          <w:lang w:val="en-GB"/>
        </w:rPr>
        <w:t xml:space="preserve"> </w:t>
      </w:r>
      <w:proofErr w:type="spellStart"/>
      <w:r w:rsidRPr="00997551">
        <w:rPr>
          <w:sz w:val="22"/>
          <w:szCs w:val="22"/>
          <w:lang w:val="en-GB"/>
        </w:rPr>
        <w:t>publikisht</w:t>
      </w:r>
      <w:proofErr w:type="spellEnd"/>
      <w:r w:rsidRPr="00997551">
        <w:rPr>
          <w:sz w:val="22"/>
          <w:szCs w:val="22"/>
          <w:lang w:val="en-GB"/>
        </w:rPr>
        <w:t xml:space="preserve"> të </w:t>
      </w:r>
      <w:proofErr w:type="spellStart"/>
      <w:r w:rsidRPr="00997551">
        <w:rPr>
          <w:sz w:val="22"/>
          <w:szCs w:val="22"/>
          <w:lang w:val="en-GB"/>
        </w:rPr>
        <w:t>disponueshëm</w:t>
      </w:r>
      <w:proofErr w:type="spellEnd"/>
      <w:r w:rsidRPr="00997551">
        <w:rPr>
          <w:sz w:val="22"/>
          <w:szCs w:val="22"/>
          <w:lang w:val="en-GB"/>
        </w:rPr>
        <w:t xml:space="preserve"> </w:t>
      </w:r>
      <w:proofErr w:type="spellStart"/>
      <w:r w:rsidRPr="00997551">
        <w:rPr>
          <w:sz w:val="22"/>
          <w:szCs w:val="22"/>
          <w:lang w:val="en-GB"/>
        </w:rPr>
        <w:t>pesë</w:t>
      </w:r>
      <w:proofErr w:type="spellEnd"/>
      <w:r w:rsidRPr="00997551">
        <w:rPr>
          <w:sz w:val="22"/>
          <w:szCs w:val="22"/>
          <w:lang w:val="en-GB"/>
        </w:rPr>
        <w:t xml:space="preserve"> </w:t>
      </w:r>
      <w:proofErr w:type="spellStart"/>
      <w:r w:rsidRPr="00997551">
        <w:rPr>
          <w:sz w:val="22"/>
          <w:szCs w:val="22"/>
          <w:lang w:val="en-GB"/>
        </w:rPr>
        <w:t>nga</w:t>
      </w:r>
      <w:proofErr w:type="spellEnd"/>
      <w:r w:rsidRPr="00997551">
        <w:rPr>
          <w:sz w:val="22"/>
          <w:szCs w:val="22"/>
          <w:lang w:val="en-GB"/>
        </w:rPr>
        <w:t xml:space="preserve"> </w:t>
      </w:r>
      <w:proofErr w:type="spellStart"/>
      <w:r w:rsidRPr="00997551">
        <w:rPr>
          <w:sz w:val="22"/>
          <w:szCs w:val="22"/>
          <w:lang w:val="en-GB"/>
        </w:rPr>
        <w:t>tetë</w:t>
      </w:r>
      <w:proofErr w:type="spellEnd"/>
      <w:r w:rsidRPr="00997551">
        <w:rPr>
          <w:sz w:val="22"/>
          <w:szCs w:val="22"/>
          <w:lang w:val="en-GB"/>
        </w:rPr>
        <w:t xml:space="preserve"> </w:t>
      </w:r>
      <w:proofErr w:type="spellStart"/>
      <w:r w:rsidRPr="00997551">
        <w:rPr>
          <w:sz w:val="22"/>
          <w:szCs w:val="22"/>
          <w:lang w:val="en-GB"/>
        </w:rPr>
        <w:t>dokumentet</w:t>
      </w:r>
      <w:proofErr w:type="spellEnd"/>
      <w:r w:rsidRPr="00997551">
        <w:rPr>
          <w:sz w:val="22"/>
          <w:szCs w:val="22"/>
          <w:lang w:val="en-GB"/>
        </w:rPr>
        <w:t xml:space="preserve"> </w:t>
      </w:r>
      <w:proofErr w:type="spellStart"/>
      <w:r w:rsidRPr="00997551">
        <w:rPr>
          <w:sz w:val="22"/>
          <w:szCs w:val="22"/>
          <w:lang w:val="en-GB"/>
        </w:rPr>
        <w:t>kryesore</w:t>
      </w:r>
      <w:proofErr w:type="spellEnd"/>
      <w:r w:rsidRPr="00997551">
        <w:rPr>
          <w:sz w:val="22"/>
          <w:szCs w:val="22"/>
          <w:lang w:val="en-GB"/>
        </w:rPr>
        <w:t xml:space="preserve"> </w:t>
      </w:r>
      <w:proofErr w:type="spellStart"/>
      <w:r w:rsidRPr="00997551">
        <w:rPr>
          <w:sz w:val="22"/>
          <w:szCs w:val="22"/>
          <w:lang w:val="en-GB"/>
        </w:rPr>
        <w:t>buxhetore</w:t>
      </w:r>
      <w:proofErr w:type="spellEnd"/>
      <w:r w:rsidRPr="00997551">
        <w:rPr>
          <w:sz w:val="22"/>
          <w:szCs w:val="22"/>
          <w:lang w:val="en-GB"/>
        </w:rPr>
        <w:t xml:space="preserve"> të </w:t>
      </w:r>
      <w:proofErr w:type="spellStart"/>
      <w:r w:rsidRPr="00997551">
        <w:rPr>
          <w:sz w:val="22"/>
          <w:szCs w:val="22"/>
          <w:lang w:val="en-GB"/>
        </w:rPr>
        <w:t>cilat</w:t>
      </w:r>
      <w:proofErr w:type="spellEnd"/>
      <w:r w:rsidRPr="00997551">
        <w:rPr>
          <w:sz w:val="22"/>
          <w:szCs w:val="22"/>
          <w:lang w:val="en-GB"/>
        </w:rPr>
        <w:t xml:space="preserve"> </w:t>
      </w:r>
      <w:proofErr w:type="spellStart"/>
      <w:r w:rsidRPr="00997551">
        <w:rPr>
          <w:sz w:val="22"/>
          <w:szCs w:val="22"/>
          <w:lang w:val="en-GB"/>
        </w:rPr>
        <w:t>ndiqen</w:t>
      </w:r>
      <w:proofErr w:type="spellEnd"/>
      <w:r w:rsidRPr="00997551">
        <w:rPr>
          <w:sz w:val="22"/>
          <w:szCs w:val="22"/>
          <w:lang w:val="en-GB"/>
        </w:rPr>
        <w:t xml:space="preserve"> </w:t>
      </w:r>
      <w:proofErr w:type="spellStart"/>
      <w:r w:rsidRPr="00997551">
        <w:rPr>
          <w:sz w:val="22"/>
          <w:szCs w:val="22"/>
          <w:lang w:val="en-GB"/>
        </w:rPr>
        <w:t>nga</w:t>
      </w:r>
      <w:proofErr w:type="spellEnd"/>
      <w:r w:rsidRPr="00997551">
        <w:rPr>
          <w:sz w:val="22"/>
          <w:szCs w:val="22"/>
          <w:lang w:val="en-GB"/>
        </w:rPr>
        <w:t xml:space="preserve"> OBS-</w:t>
      </w:r>
      <w:proofErr w:type="spellStart"/>
      <w:r w:rsidRPr="00997551">
        <w:rPr>
          <w:sz w:val="22"/>
          <w:szCs w:val="22"/>
          <w:lang w:val="en-GB"/>
        </w:rPr>
        <w:t>ja</w:t>
      </w:r>
      <w:proofErr w:type="spellEnd"/>
      <w:r w:rsidRPr="00997551">
        <w:rPr>
          <w:sz w:val="22"/>
          <w:szCs w:val="22"/>
          <w:lang w:val="en-GB"/>
        </w:rPr>
        <w:t xml:space="preserve"> në </w:t>
      </w:r>
      <w:proofErr w:type="spellStart"/>
      <w:r w:rsidRPr="00997551">
        <w:rPr>
          <w:sz w:val="22"/>
          <w:szCs w:val="22"/>
          <w:lang w:val="en-GB"/>
        </w:rPr>
        <w:t>kornizë</w:t>
      </w:r>
      <w:proofErr w:type="spellEnd"/>
      <w:r w:rsidRPr="00997551">
        <w:rPr>
          <w:sz w:val="22"/>
          <w:szCs w:val="22"/>
          <w:lang w:val="en-GB"/>
        </w:rPr>
        <w:t xml:space="preserve"> </w:t>
      </w:r>
      <w:proofErr w:type="spellStart"/>
      <w:r w:rsidRPr="00997551">
        <w:rPr>
          <w:sz w:val="22"/>
          <w:szCs w:val="22"/>
          <w:lang w:val="en-GB"/>
        </w:rPr>
        <w:t>kohore</w:t>
      </w:r>
      <w:proofErr w:type="spellEnd"/>
      <w:r w:rsidRPr="00997551">
        <w:rPr>
          <w:sz w:val="22"/>
          <w:szCs w:val="22"/>
          <w:lang w:val="en-GB"/>
        </w:rPr>
        <w:t xml:space="preserve"> në </w:t>
      </w:r>
      <w:proofErr w:type="spellStart"/>
      <w:r w:rsidRPr="00997551">
        <w:rPr>
          <w:sz w:val="22"/>
          <w:szCs w:val="22"/>
          <w:lang w:val="en-GB"/>
        </w:rPr>
        <w:t>pajtueshmëri</w:t>
      </w:r>
      <w:proofErr w:type="spellEnd"/>
      <w:r w:rsidRPr="00997551">
        <w:rPr>
          <w:sz w:val="22"/>
          <w:szCs w:val="22"/>
          <w:lang w:val="en-GB"/>
        </w:rPr>
        <w:t xml:space="preserve"> me </w:t>
      </w:r>
      <w:proofErr w:type="spellStart"/>
      <w:r w:rsidRPr="00997551">
        <w:rPr>
          <w:sz w:val="22"/>
          <w:szCs w:val="22"/>
          <w:lang w:val="en-GB"/>
        </w:rPr>
        <w:t>standarde</w:t>
      </w:r>
      <w:r w:rsidR="004500BD" w:rsidRPr="00997551">
        <w:rPr>
          <w:sz w:val="22"/>
          <w:szCs w:val="22"/>
          <w:lang w:val="en-GB"/>
        </w:rPr>
        <w:t>t</w:t>
      </w:r>
      <w:proofErr w:type="spellEnd"/>
      <w:r w:rsidRPr="00997551">
        <w:rPr>
          <w:sz w:val="22"/>
          <w:szCs w:val="22"/>
          <w:lang w:val="en-GB"/>
        </w:rPr>
        <w:t xml:space="preserve"> </w:t>
      </w:r>
      <w:proofErr w:type="spellStart"/>
      <w:r w:rsidRPr="00997551">
        <w:rPr>
          <w:sz w:val="22"/>
          <w:szCs w:val="22"/>
          <w:lang w:val="en-GB"/>
        </w:rPr>
        <w:t>ndërkombëtare</w:t>
      </w:r>
      <w:proofErr w:type="spellEnd"/>
      <w:r w:rsidRPr="00997551">
        <w:rPr>
          <w:sz w:val="22"/>
          <w:szCs w:val="22"/>
          <w:lang w:val="en-GB"/>
        </w:rPr>
        <w:t xml:space="preserve">. </w:t>
      </w:r>
      <w:proofErr w:type="spellStart"/>
      <w:r w:rsidRPr="00997551">
        <w:rPr>
          <w:sz w:val="22"/>
          <w:szCs w:val="22"/>
          <w:lang w:val="en-GB"/>
        </w:rPr>
        <w:t>Që</w:t>
      </w:r>
      <w:proofErr w:type="spellEnd"/>
      <w:r w:rsidRPr="00997551">
        <w:rPr>
          <w:sz w:val="22"/>
          <w:szCs w:val="22"/>
          <w:lang w:val="en-GB"/>
        </w:rPr>
        <w:t xml:space="preserve"> të </w:t>
      </w:r>
      <w:proofErr w:type="spellStart"/>
      <w:r w:rsidRPr="00997551">
        <w:rPr>
          <w:sz w:val="22"/>
          <w:szCs w:val="22"/>
          <w:lang w:val="en-GB"/>
        </w:rPr>
        <w:t>përmirësohet</w:t>
      </w:r>
      <w:proofErr w:type="spellEnd"/>
      <w:r w:rsidRPr="00997551">
        <w:rPr>
          <w:sz w:val="22"/>
          <w:szCs w:val="22"/>
          <w:lang w:val="en-GB"/>
        </w:rPr>
        <w:t xml:space="preserve"> </w:t>
      </w:r>
      <w:proofErr w:type="spellStart"/>
      <w:r w:rsidRPr="00997551">
        <w:rPr>
          <w:sz w:val="22"/>
          <w:szCs w:val="22"/>
          <w:lang w:val="en-GB"/>
        </w:rPr>
        <w:t>transparenca</w:t>
      </w:r>
      <w:proofErr w:type="spellEnd"/>
      <w:r w:rsidRPr="00997551">
        <w:rPr>
          <w:sz w:val="22"/>
          <w:szCs w:val="22"/>
          <w:lang w:val="en-GB"/>
        </w:rPr>
        <w:t xml:space="preserve"> e </w:t>
      </w:r>
      <w:proofErr w:type="spellStart"/>
      <w:r w:rsidRPr="00997551">
        <w:rPr>
          <w:sz w:val="22"/>
          <w:szCs w:val="22"/>
          <w:lang w:val="en-GB"/>
        </w:rPr>
        <w:t>buxhetit</w:t>
      </w:r>
      <w:proofErr w:type="spellEnd"/>
      <w:r w:rsidRPr="00997551">
        <w:rPr>
          <w:sz w:val="22"/>
          <w:szCs w:val="22"/>
          <w:lang w:val="en-GB"/>
        </w:rPr>
        <w:t xml:space="preserve">, duhet t’i </w:t>
      </w:r>
      <w:proofErr w:type="spellStart"/>
      <w:r w:rsidRPr="00997551">
        <w:rPr>
          <w:sz w:val="22"/>
          <w:szCs w:val="22"/>
          <w:lang w:val="en-GB"/>
        </w:rPr>
        <w:t>jepet</w:t>
      </w:r>
      <w:proofErr w:type="spellEnd"/>
      <w:r w:rsidRPr="00997551">
        <w:rPr>
          <w:sz w:val="22"/>
          <w:szCs w:val="22"/>
          <w:lang w:val="en-GB"/>
        </w:rPr>
        <w:t xml:space="preserve"> </w:t>
      </w:r>
      <w:proofErr w:type="spellStart"/>
      <w:r w:rsidRPr="00997551">
        <w:rPr>
          <w:sz w:val="22"/>
          <w:szCs w:val="22"/>
          <w:lang w:val="en-GB"/>
        </w:rPr>
        <w:t>prioritet</w:t>
      </w:r>
      <w:proofErr w:type="spellEnd"/>
      <w:r w:rsidRPr="00997551">
        <w:rPr>
          <w:sz w:val="22"/>
          <w:szCs w:val="22"/>
          <w:lang w:val="en-GB"/>
        </w:rPr>
        <w:t xml:space="preserve"> </w:t>
      </w:r>
      <w:proofErr w:type="spellStart"/>
      <w:r w:rsidRPr="00997551">
        <w:rPr>
          <w:sz w:val="22"/>
          <w:szCs w:val="22"/>
          <w:lang w:val="en-GB"/>
        </w:rPr>
        <w:t>publikimit</w:t>
      </w:r>
      <w:proofErr w:type="spellEnd"/>
      <w:r w:rsidRPr="00997551">
        <w:rPr>
          <w:sz w:val="22"/>
          <w:szCs w:val="22"/>
          <w:lang w:val="en-GB"/>
        </w:rPr>
        <w:t xml:space="preserve"> në </w:t>
      </w:r>
      <w:proofErr w:type="spellStart"/>
      <w:r w:rsidRPr="00997551">
        <w:rPr>
          <w:sz w:val="22"/>
          <w:szCs w:val="22"/>
          <w:lang w:val="en-GB"/>
        </w:rPr>
        <w:t>kohë</w:t>
      </w:r>
      <w:proofErr w:type="spellEnd"/>
      <w:r w:rsidRPr="00997551">
        <w:rPr>
          <w:sz w:val="22"/>
          <w:szCs w:val="22"/>
          <w:lang w:val="en-GB"/>
        </w:rPr>
        <w:t xml:space="preserve"> të </w:t>
      </w:r>
      <w:proofErr w:type="spellStart"/>
      <w:r w:rsidRPr="00997551">
        <w:rPr>
          <w:sz w:val="22"/>
          <w:szCs w:val="22"/>
          <w:lang w:val="en-GB"/>
        </w:rPr>
        <w:t>Buxhetit</w:t>
      </w:r>
      <w:proofErr w:type="spellEnd"/>
      <w:r w:rsidRPr="00997551">
        <w:rPr>
          <w:sz w:val="22"/>
          <w:szCs w:val="22"/>
          <w:lang w:val="en-GB"/>
        </w:rPr>
        <w:t xml:space="preserve"> </w:t>
      </w:r>
      <w:proofErr w:type="spellStart"/>
      <w:r w:rsidRPr="00997551">
        <w:rPr>
          <w:sz w:val="22"/>
          <w:szCs w:val="22"/>
          <w:lang w:val="en-GB"/>
        </w:rPr>
        <w:t>qytetarë</w:t>
      </w:r>
      <w:proofErr w:type="spellEnd"/>
      <w:r w:rsidRPr="00997551">
        <w:rPr>
          <w:sz w:val="22"/>
          <w:szCs w:val="22"/>
          <w:lang w:val="en-GB"/>
        </w:rPr>
        <w:t xml:space="preserve">, </w:t>
      </w:r>
      <w:proofErr w:type="spellStart"/>
      <w:r w:rsidRPr="00997551">
        <w:rPr>
          <w:sz w:val="22"/>
          <w:szCs w:val="22"/>
          <w:lang w:val="en-GB"/>
        </w:rPr>
        <w:t>pasqyrës</w:t>
      </w:r>
      <w:proofErr w:type="spellEnd"/>
      <w:r w:rsidRPr="00997551">
        <w:rPr>
          <w:sz w:val="22"/>
          <w:szCs w:val="22"/>
          <w:lang w:val="en-GB"/>
        </w:rPr>
        <w:t xml:space="preserve"> </w:t>
      </w:r>
      <w:proofErr w:type="spellStart"/>
      <w:r w:rsidRPr="00997551">
        <w:rPr>
          <w:sz w:val="22"/>
          <w:szCs w:val="22"/>
          <w:lang w:val="en-GB"/>
        </w:rPr>
        <w:t>tabelare</w:t>
      </w:r>
      <w:proofErr w:type="spellEnd"/>
      <w:r w:rsidRPr="00997551">
        <w:rPr>
          <w:sz w:val="22"/>
          <w:szCs w:val="22"/>
          <w:lang w:val="en-GB"/>
        </w:rPr>
        <w:t xml:space="preserve"> në </w:t>
      </w:r>
      <w:proofErr w:type="spellStart"/>
      <w:r w:rsidRPr="00997551">
        <w:rPr>
          <w:sz w:val="22"/>
          <w:szCs w:val="22"/>
          <w:lang w:val="en-GB"/>
        </w:rPr>
        <w:t>gjashtë</w:t>
      </w:r>
      <w:proofErr w:type="spellEnd"/>
      <w:r w:rsidRPr="00997551">
        <w:rPr>
          <w:sz w:val="22"/>
          <w:szCs w:val="22"/>
          <w:lang w:val="en-GB"/>
        </w:rPr>
        <w:t xml:space="preserve"> </w:t>
      </w:r>
      <w:proofErr w:type="spellStart"/>
      <w:r w:rsidRPr="00997551">
        <w:rPr>
          <w:sz w:val="22"/>
          <w:szCs w:val="22"/>
          <w:lang w:val="en-GB"/>
        </w:rPr>
        <w:t>mujorin</w:t>
      </w:r>
      <w:proofErr w:type="spellEnd"/>
      <w:r w:rsidRPr="00997551">
        <w:rPr>
          <w:sz w:val="22"/>
          <w:szCs w:val="22"/>
          <w:lang w:val="en-GB"/>
        </w:rPr>
        <w:t xml:space="preserve"> e parë të </w:t>
      </w:r>
      <w:proofErr w:type="spellStart"/>
      <w:r w:rsidRPr="00997551">
        <w:rPr>
          <w:sz w:val="22"/>
          <w:szCs w:val="22"/>
          <w:lang w:val="en-GB"/>
        </w:rPr>
        <w:t>Buxhetit</w:t>
      </w:r>
      <w:proofErr w:type="spellEnd"/>
      <w:r w:rsidRPr="00997551">
        <w:rPr>
          <w:sz w:val="22"/>
          <w:szCs w:val="22"/>
          <w:lang w:val="en-GB"/>
        </w:rPr>
        <w:t xml:space="preserve"> dhe </w:t>
      </w:r>
      <w:proofErr w:type="spellStart"/>
      <w:r w:rsidRPr="00997551">
        <w:rPr>
          <w:sz w:val="22"/>
          <w:szCs w:val="22"/>
          <w:lang w:val="en-GB"/>
        </w:rPr>
        <w:t>Strategjisë</w:t>
      </w:r>
      <w:proofErr w:type="spellEnd"/>
      <w:r w:rsidRPr="00997551">
        <w:rPr>
          <w:sz w:val="22"/>
          <w:szCs w:val="22"/>
          <w:lang w:val="en-GB"/>
        </w:rPr>
        <w:t xml:space="preserve"> </w:t>
      </w:r>
      <w:proofErr w:type="spellStart"/>
      <w:r w:rsidRPr="00997551">
        <w:rPr>
          <w:sz w:val="22"/>
          <w:szCs w:val="22"/>
          <w:lang w:val="en-GB"/>
        </w:rPr>
        <w:t>fiskale</w:t>
      </w:r>
      <w:proofErr w:type="spellEnd"/>
      <w:r w:rsidRPr="00997551">
        <w:rPr>
          <w:sz w:val="22"/>
          <w:szCs w:val="22"/>
          <w:lang w:val="en-GB"/>
        </w:rPr>
        <w:t>.</w:t>
      </w:r>
    </w:p>
    <w:p w14:paraId="164DBF05" w14:textId="1009BF7E" w:rsidR="009D19A5" w:rsidRPr="00997551" w:rsidRDefault="009D19A5">
      <w:pPr>
        <w:pStyle w:val="BodyText"/>
        <w:jc w:val="both"/>
        <w:rPr>
          <w:sz w:val="22"/>
          <w:szCs w:val="22"/>
          <w:lang w:val="sq-AL"/>
        </w:rPr>
      </w:pPr>
      <w:r w:rsidRPr="00997551">
        <w:rPr>
          <w:sz w:val="22"/>
          <w:szCs w:val="22"/>
        </w:rPr>
        <w:t>Sipas Anketës më të fundit të OB</w:t>
      </w:r>
      <w:r w:rsidRPr="00997551">
        <w:rPr>
          <w:sz w:val="22"/>
          <w:szCs w:val="22"/>
          <w:lang w:val="sq-AL"/>
        </w:rPr>
        <w:t>S</w:t>
      </w:r>
      <w:r w:rsidRPr="00997551">
        <w:rPr>
          <w:sz w:val="22"/>
          <w:szCs w:val="22"/>
        </w:rPr>
        <w:t xml:space="preserve">-së, </w:t>
      </w:r>
      <w:r w:rsidR="000600EC" w:rsidRPr="00997551">
        <w:rPr>
          <w:sz w:val="22"/>
          <w:szCs w:val="22"/>
          <w:lang w:val="sq-AL"/>
        </w:rPr>
        <w:t xml:space="preserve">ekziston </w:t>
      </w:r>
      <w:r w:rsidRPr="00997551">
        <w:rPr>
          <w:sz w:val="22"/>
          <w:szCs w:val="22"/>
        </w:rPr>
        <w:t>mbikëqyrj</w:t>
      </w:r>
      <w:r w:rsidR="000600EC" w:rsidRPr="00997551">
        <w:rPr>
          <w:sz w:val="22"/>
          <w:szCs w:val="22"/>
          <w:lang w:val="sq-AL"/>
        </w:rPr>
        <w:t>e</w:t>
      </w:r>
      <w:r w:rsidRPr="00997551">
        <w:rPr>
          <w:sz w:val="22"/>
          <w:szCs w:val="22"/>
        </w:rPr>
        <w:t xml:space="preserve"> </w:t>
      </w:r>
      <w:r w:rsidR="000600EC" w:rsidRPr="00997551">
        <w:rPr>
          <w:sz w:val="22"/>
          <w:szCs w:val="22"/>
          <w:lang w:val="sq-AL"/>
        </w:rPr>
        <w:t xml:space="preserve"> e kufizuar </w:t>
      </w:r>
      <w:r w:rsidR="000600EC" w:rsidRPr="00997551">
        <w:rPr>
          <w:sz w:val="22"/>
          <w:szCs w:val="22"/>
        </w:rPr>
        <w:t>për gjithë periudhën e ciklit buxhetor</w:t>
      </w:r>
      <w:r w:rsidRPr="00997551">
        <w:rPr>
          <w:sz w:val="22"/>
          <w:szCs w:val="22"/>
        </w:rPr>
        <w:t>. Qeveria duhet të sigurojë që propozim</w:t>
      </w:r>
      <w:r w:rsidR="000600EC" w:rsidRPr="00997551">
        <w:rPr>
          <w:sz w:val="22"/>
          <w:szCs w:val="22"/>
          <w:lang w:val="sq-AL"/>
        </w:rPr>
        <w:t>-buxheti</w:t>
      </w:r>
      <w:r w:rsidRPr="00997551">
        <w:rPr>
          <w:sz w:val="22"/>
          <w:szCs w:val="22"/>
        </w:rPr>
        <w:t xml:space="preserve"> të dorëzohet </w:t>
      </w:r>
      <w:r w:rsidR="000600EC" w:rsidRPr="00997551">
        <w:rPr>
          <w:sz w:val="22"/>
          <w:szCs w:val="22"/>
          <w:lang w:val="sq-AL"/>
        </w:rPr>
        <w:t>deri në</w:t>
      </w:r>
      <w:r w:rsidRPr="00997551">
        <w:rPr>
          <w:sz w:val="22"/>
          <w:szCs w:val="22"/>
        </w:rPr>
        <w:t xml:space="preserve"> Kuvend të paktën dy muaj para fillimit të vitit fiskal, duke mundësuar debate të thella mbi politikën buxhetore para </w:t>
      </w:r>
      <w:r w:rsidR="000600EC" w:rsidRPr="00997551">
        <w:rPr>
          <w:sz w:val="22"/>
          <w:szCs w:val="22"/>
          <w:lang w:val="sq-AL"/>
        </w:rPr>
        <w:t>sjelljes</w:t>
      </w:r>
      <w:r w:rsidRPr="00997551">
        <w:rPr>
          <w:sz w:val="22"/>
          <w:szCs w:val="22"/>
        </w:rPr>
        <w:t xml:space="preserve">. Mundësitë për pjesëmarrje të publikut në procesin buxhetor mbeten të kufizuara. Ministria e Financave </w:t>
      </w:r>
      <w:r w:rsidR="000600EC" w:rsidRPr="00997551">
        <w:rPr>
          <w:sz w:val="22"/>
          <w:szCs w:val="22"/>
          <w:lang w:val="sq-AL"/>
        </w:rPr>
        <w:t xml:space="preserve"> plotësueshëm </w:t>
      </w:r>
      <w:r w:rsidRPr="00997551">
        <w:rPr>
          <w:sz w:val="22"/>
          <w:szCs w:val="22"/>
        </w:rPr>
        <w:t xml:space="preserve">duhet të promovojë përfshirjen e publikut në të gjitha fazat e përgatitjes, </w:t>
      </w:r>
      <w:r w:rsidR="000600EC" w:rsidRPr="00997551">
        <w:rPr>
          <w:sz w:val="22"/>
          <w:szCs w:val="22"/>
          <w:lang w:val="sq-AL"/>
        </w:rPr>
        <w:t>realizimit</w:t>
      </w:r>
      <w:r w:rsidRPr="00997551">
        <w:rPr>
          <w:sz w:val="22"/>
          <w:szCs w:val="22"/>
        </w:rPr>
        <w:t xml:space="preserve"> dhe raportimit </w:t>
      </w:r>
      <w:r w:rsidR="000600EC" w:rsidRPr="00997551">
        <w:rPr>
          <w:sz w:val="22"/>
          <w:szCs w:val="22"/>
          <w:lang w:val="sq-AL"/>
        </w:rPr>
        <w:t>për</w:t>
      </w:r>
      <w:r w:rsidRPr="00997551">
        <w:rPr>
          <w:sz w:val="22"/>
          <w:szCs w:val="22"/>
        </w:rPr>
        <w:t xml:space="preserve"> buxheti</w:t>
      </w:r>
      <w:r w:rsidR="000600EC" w:rsidRPr="00997551">
        <w:rPr>
          <w:sz w:val="22"/>
          <w:szCs w:val="22"/>
          <w:lang w:val="sq-AL"/>
        </w:rPr>
        <w:t>n</w:t>
      </w:r>
      <w:r w:rsidRPr="00997551">
        <w:rPr>
          <w:sz w:val="22"/>
          <w:szCs w:val="22"/>
        </w:rPr>
        <w:t>.</w:t>
      </w:r>
    </w:p>
    <w:p w14:paraId="003D4ADC" w14:textId="77777777" w:rsidR="00601169" w:rsidRPr="00997551" w:rsidRDefault="00601169">
      <w:pPr>
        <w:pStyle w:val="BodyText"/>
        <w:spacing w:after="520"/>
        <w:jc w:val="both"/>
        <w:rPr>
          <w:rStyle w:val="BodyTextChar"/>
          <w:sz w:val="22"/>
          <w:szCs w:val="22"/>
          <w:highlight w:val="yellow"/>
          <w:lang w:val="sq-AL"/>
        </w:rPr>
      </w:pPr>
    </w:p>
    <w:p w14:paraId="690CC5C2" w14:textId="77777777" w:rsidR="00601169" w:rsidRPr="00997551" w:rsidRDefault="00601169">
      <w:pPr>
        <w:pStyle w:val="BodyText"/>
        <w:spacing w:after="520"/>
        <w:jc w:val="both"/>
        <w:rPr>
          <w:rStyle w:val="BodyTextChar"/>
          <w:sz w:val="22"/>
          <w:szCs w:val="22"/>
          <w:highlight w:val="yellow"/>
          <w:lang w:val="sq-AL"/>
        </w:rPr>
      </w:pPr>
    </w:p>
    <w:p w14:paraId="1A346BAA" w14:textId="77777777" w:rsidR="00601169" w:rsidRPr="00997551" w:rsidRDefault="00601169">
      <w:pPr>
        <w:pStyle w:val="BodyText"/>
        <w:spacing w:after="520"/>
        <w:jc w:val="both"/>
        <w:rPr>
          <w:rStyle w:val="BodyTextChar"/>
          <w:sz w:val="22"/>
          <w:szCs w:val="22"/>
          <w:highlight w:val="yellow"/>
          <w:lang w:val="sq-AL"/>
        </w:rPr>
      </w:pPr>
    </w:p>
    <w:p w14:paraId="43DE6281" w14:textId="3099D116" w:rsidR="00601169" w:rsidRPr="00997551" w:rsidRDefault="00601169">
      <w:pPr>
        <w:pStyle w:val="BodyText"/>
        <w:spacing w:after="520"/>
        <w:jc w:val="both"/>
        <w:rPr>
          <w:sz w:val="22"/>
          <w:szCs w:val="22"/>
          <w:lang w:val="sq-AL"/>
        </w:rPr>
      </w:pPr>
      <w:r w:rsidRPr="00997551">
        <w:rPr>
          <w:sz w:val="22"/>
          <w:szCs w:val="22"/>
          <w:lang w:val="sq-AL"/>
        </w:rPr>
        <w:lastRenderedPageBreak/>
        <w:t>Revizion</w:t>
      </w:r>
      <w:r w:rsidRPr="00997551">
        <w:rPr>
          <w:sz w:val="22"/>
          <w:szCs w:val="22"/>
        </w:rPr>
        <w:t xml:space="preserve"> i llogarive përfundimtare të Qeverisë nga </w:t>
      </w:r>
      <w:r w:rsidRPr="00997551">
        <w:rPr>
          <w:sz w:val="22"/>
          <w:szCs w:val="22"/>
          <w:lang w:val="sq-AL"/>
        </w:rPr>
        <w:t>Enti</w:t>
      </w:r>
      <w:r w:rsidRPr="00997551">
        <w:rPr>
          <w:sz w:val="22"/>
          <w:szCs w:val="22"/>
        </w:rPr>
        <w:t xml:space="preserve"> Shtetëror </w:t>
      </w:r>
      <w:r w:rsidRPr="00997551">
        <w:rPr>
          <w:sz w:val="22"/>
          <w:szCs w:val="22"/>
          <w:lang w:val="sq-AL"/>
        </w:rPr>
        <w:t>për</w:t>
      </w:r>
      <w:r w:rsidRPr="00997551">
        <w:rPr>
          <w:sz w:val="22"/>
          <w:szCs w:val="22"/>
        </w:rPr>
        <w:t xml:space="preserve"> </w:t>
      </w:r>
      <w:r w:rsidRPr="00997551">
        <w:rPr>
          <w:sz w:val="22"/>
          <w:szCs w:val="22"/>
          <w:lang w:val="sq-AL"/>
        </w:rPr>
        <w:t>Revizion</w:t>
      </w:r>
      <w:r w:rsidRPr="00997551">
        <w:rPr>
          <w:sz w:val="22"/>
          <w:szCs w:val="22"/>
        </w:rPr>
        <w:t xml:space="preserve"> (</w:t>
      </w:r>
      <w:r w:rsidRPr="00997551">
        <w:rPr>
          <w:sz w:val="22"/>
          <w:szCs w:val="22"/>
          <w:lang w:val="sq-AL"/>
        </w:rPr>
        <w:t>ESHR-ja</w:t>
      </w:r>
      <w:r w:rsidRPr="00997551">
        <w:rPr>
          <w:sz w:val="22"/>
          <w:szCs w:val="22"/>
        </w:rPr>
        <w:t xml:space="preserve">) aktualisht është i kufizuar vetëm në çështjet </w:t>
      </w:r>
      <w:r w:rsidRPr="00997551">
        <w:rPr>
          <w:sz w:val="22"/>
          <w:szCs w:val="22"/>
          <w:lang w:val="sq-AL"/>
        </w:rPr>
        <w:t>lidhur me harmonizimin</w:t>
      </w:r>
      <w:r w:rsidRPr="00997551">
        <w:rPr>
          <w:sz w:val="22"/>
          <w:szCs w:val="22"/>
        </w:rPr>
        <w:t xml:space="preserve">. Ajo ende nuk jep </w:t>
      </w:r>
      <w:r w:rsidRPr="00997551">
        <w:rPr>
          <w:sz w:val="22"/>
          <w:szCs w:val="22"/>
          <w:lang w:val="sq-AL"/>
        </w:rPr>
        <w:t>mendim revizorial</w:t>
      </w:r>
      <w:r w:rsidRPr="00997551">
        <w:rPr>
          <w:sz w:val="22"/>
          <w:szCs w:val="22"/>
        </w:rPr>
        <w:t xml:space="preserve"> </w:t>
      </w:r>
      <w:r w:rsidRPr="00997551">
        <w:rPr>
          <w:sz w:val="22"/>
          <w:szCs w:val="22"/>
          <w:lang w:val="sq-AL"/>
        </w:rPr>
        <w:t>për</w:t>
      </w:r>
      <w:r w:rsidRPr="00997551">
        <w:rPr>
          <w:sz w:val="22"/>
          <w:szCs w:val="22"/>
        </w:rPr>
        <w:t xml:space="preserve"> saktësinë dhe drejtësinë bazuar në metodologjinë e </w:t>
      </w:r>
      <w:r w:rsidRPr="00997551">
        <w:rPr>
          <w:sz w:val="22"/>
          <w:szCs w:val="22"/>
          <w:lang w:val="sq-AL"/>
        </w:rPr>
        <w:t>revizonit</w:t>
      </w:r>
      <w:r w:rsidRPr="00997551">
        <w:rPr>
          <w:sz w:val="22"/>
          <w:szCs w:val="22"/>
        </w:rPr>
        <w:t xml:space="preserve"> financiar. Megjithatë, </w:t>
      </w:r>
      <w:r w:rsidRPr="00997551">
        <w:rPr>
          <w:sz w:val="22"/>
          <w:szCs w:val="22"/>
          <w:lang w:val="sq-AL"/>
        </w:rPr>
        <w:t>mendimet e këtilla</w:t>
      </w:r>
      <w:r w:rsidRPr="00997551">
        <w:rPr>
          <w:sz w:val="22"/>
          <w:szCs w:val="22"/>
        </w:rPr>
        <w:t xml:space="preserve"> do të </w:t>
      </w:r>
      <w:r w:rsidRPr="00997551">
        <w:rPr>
          <w:sz w:val="22"/>
          <w:szCs w:val="22"/>
          <w:lang w:val="sq-AL"/>
        </w:rPr>
        <w:t>nevojiten</w:t>
      </w:r>
      <w:r w:rsidRPr="00997551">
        <w:rPr>
          <w:sz w:val="22"/>
          <w:szCs w:val="22"/>
        </w:rPr>
        <w:t xml:space="preserve"> pasi të hyjë në fuqi Ligji i ri për Buxhetet (LB).</w:t>
      </w:r>
    </w:p>
    <w:p w14:paraId="3124DFA7" w14:textId="77777777" w:rsidR="00601169" w:rsidRPr="00997551" w:rsidRDefault="00601169" w:rsidP="00601169">
      <w:pPr>
        <w:pStyle w:val="BodyText"/>
        <w:spacing w:after="620"/>
        <w:jc w:val="both"/>
        <w:rPr>
          <w:sz w:val="22"/>
          <w:szCs w:val="22"/>
          <w:lang w:val="sq-AL"/>
        </w:rPr>
      </w:pPr>
      <w:r w:rsidRPr="00997551">
        <w:rPr>
          <w:b/>
          <w:bCs/>
          <w:sz w:val="22"/>
          <w:szCs w:val="22"/>
        </w:rPr>
        <w:t>Si përfundim, transparenca dhe mbikëqyrja mbi buxhetin janë mjaftuesh</w:t>
      </w:r>
      <w:r w:rsidRPr="00997551">
        <w:rPr>
          <w:b/>
          <w:bCs/>
          <w:sz w:val="22"/>
          <w:szCs w:val="22"/>
          <w:lang w:val="sq-AL"/>
        </w:rPr>
        <w:t>ëm të besueshëm</w:t>
      </w:r>
      <w:r w:rsidRPr="00997551">
        <w:rPr>
          <w:b/>
          <w:bCs/>
          <w:sz w:val="22"/>
          <w:szCs w:val="22"/>
        </w:rPr>
        <w:t xml:space="preserve"> dhe kushti i përgjithshëm është përmbushur</w:t>
      </w:r>
      <w:r w:rsidRPr="00997551">
        <w:rPr>
          <w:sz w:val="22"/>
          <w:szCs w:val="22"/>
        </w:rPr>
        <w:t>.</w:t>
      </w:r>
    </w:p>
    <w:p w14:paraId="29EDBDEB" w14:textId="0483035E" w:rsidR="00601169" w:rsidRPr="00997551" w:rsidRDefault="00601169" w:rsidP="00601169">
      <w:pPr>
        <w:pStyle w:val="BodyText"/>
        <w:spacing w:after="620"/>
        <w:jc w:val="both"/>
        <w:rPr>
          <w:sz w:val="22"/>
          <w:szCs w:val="22"/>
          <w:lang w:val="sq-AL"/>
        </w:rPr>
      </w:pPr>
      <w:r w:rsidRPr="00997551">
        <w:rPr>
          <w:b/>
          <w:bCs/>
          <w:i/>
          <w:iCs/>
          <w:u w:val="single"/>
        </w:rPr>
        <w:t>Kushtet e përgjithshme konfirmohen si të përmbushura.</w:t>
      </w:r>
    </w:p>
    <w:p w14:paraId="30626253" w14:textId="7ACE215D" w:rsidR="00AC241D" w:rsidRPr="00997551" w:rsidRDefault="00601169" w:rsidP="00AC241D">
      <w:pPr>
        <w:pStyle w:val="Heading20"/>
        <w:keepNext/>
        <w:keepLines/>
        <w:numPr>
          <w:ilvl w:val="0"/>
          <w:numId w:val="1"/>
        </w:numPr>
        <w:tabs>
          <w:tab w:val="left" w:pos="329"/>
        </w:tabs>
        <w:spacing w:after="620"/>
        <w:jc w:val="both"/>
        <w:rPr>
          <w:b w:val="0"/>
          <w:bCs w:val="0"/>
          <w:lang w:val="sq-AL"/>
        </w:rPr>
      </w:pPr>
      <w:r w:rsidRPr="00997551">
        <w:t>P</w:t>
      </w:r>
      <w:r w:rsidR="00AC241D" w:rsidRPr="00997551">
        <w:rPr>
          <w:lang w:val="sq-AL"/>
        </w:rPr>
        <w:t>asqyra tabelare</w:t>
      </w:r>
      <w:r w:rsidRPr="00997551">
        <w:t xml:space="preserve"> nga KE</w:t>
      </w:r>
      <w:r w:rsidR="00AC241D" w:rsidRPr="00997551">
        <w:rPr>
          <w:lang w:val="sq-AL"/>
        </w:rPr>
        <w:t>-ja</w:t>
      </w:r>
      <w:r w:rsidRPr="00997551">
        <w:t xml:space="preserve"> për arritjen e hapave në Agjendat </w:t>
      </w:r>
      <w:r w:rsidR="00AC241D" w:rsidRPr="00997551">
        <w:rPr>
          <w:lang w:val="sq-AL"/>
        </w:rPr>
        <w:t>reformuese</w:t>
      </w:r>
    </w:p>
    <w:p w14:paraId="6C605C46" w14:textId="54287D79" w:rsidR="00601169" w:rsidRPr="00997551" w:rsidRDefault="00601169" w:rsidP="00AC241D">
      <w:pPr>
        <w:pStyle w:val="Heading20"/>
        <w:keepNext/>
        <w:keepLines/>
        <w:tabs>
          <w:tab w:val="left" w:pos="329"/>
        </w:tabs>
        <w:spacing w:after="620"/>
        <w:jc w:val="both"/>
        <w:rPr>
          <w:b w:val="0"/>
          <w:bCs w:val="0"/>
          <w:lang w:val="sq-AL"/>
        </w:rPr>
      </w:pPr>
      <w:r w:rsidRPr="00997551">
        <w:rPr>
          <w:b w:val="0"/>
          <w:bCs w:val="0"/>
        </w:rPr>
        <w:t xml:space="preserve">Komisioni </w:t>
      </w:r>
      <w:r w:rsidR="00AC241D" w:rsidRPr="00997551">
        <w:rPr>
          <w:b w:val="0"/>
          <w:bCs w:val="0"/>
          <w:lang w:val="sq-AL"/>
        </w:rPr>
        <w:t xml:space="preserve">i </w:t>
      </w:r>
      <w:r w:rsidRPr="00997551">
        <w:rPr>
          <w:b w:val="0"/>
          <w:bCs w:val="0"/>
        </w:rPr>
        <w:t xml:space="preserve">shqyrtoi informacionet e dorëzuara nga </w:t>
      </w:r>
      <w:r w:rsidR="00AC241D" w:rsidRPr="00997551">
        <w:rPr>
          <w:b w:val="0"/>
          <w:bCs w:val="0"/>
          <w:lang w:val="sq-AL"/>
        </w:rPr>
        <w:t>shfrytëzuesi</w:t>
      </w:r>
      <w:r w:rsidRPr="00997551">
        <w:rPr>
          <w:b w:val="0"/>
          <w:bCs w:val="0"/>
        </w:rPr>
        <w:t xml:space="preserve"> dhe nuk ka </w:t>
      </w:r>
      <w:r w:rsidR="00AC241D" w:rsidRPr="00997551">
        <w:rPr>
          <w:b w:val="0"/>
          <w:bCs w:val="0"/>
          <w:lang w:val="sq-AL"/>
        </w:rPr>
        <w:t>indikacione</w:t>
      </w:r>
      <w:r w:rsidRPr="00997551">
        <w:rPr>
          <w:b w:val="0"/>
          <w:bCs w:val="0"/>
        </w:rPr>
        <w:t xml:space="preserve"> </w:t>
      </w:r>
      <w:r w:rsidR="00AC241D" w:rsidRPr="00997551">
        <w:rPr>
          <w:b w:val="0"/>
          <w:bCs w:val="0"/>
          <w:lang w:val="sq-AL"/>
        </w:rPr>
        <w:t>se</w:t>
      </w:r>
      <w:r w:rsidRPr="00997551">
        <w:rPr>
          <w:b w:val="0"/>
          <w:bCs w:val="0"/>
        </w:rPr>
        <w:t xml:space="preserve"> </w:t>
      </w:r>
      <w:r w:rsidR="00AC241D" w:rsidRPr="00997551">
        <w:rPr>
          <w:b w:val="0"/>
          <w:bCs w:val="0"/>
          <w:lang w:val="sq-AL"/>
        </w:rPr>
        <w:t>realizimi</w:t>
      </w:r>
      <w:r w:rsidRPr="00997551">
        <w:rPr>
          <w:b w:val="0"/>
          <w:bCs w:val="0"/>
        </w:rPr>
        <w:t xml:space="preserve"> i hapave </w:t>
      </w:r>
      <w:r w:rsidR="00AC241D" w:rsidRPr="00997551">
        <w:rPr>
          <w:b w:val="0"/>
          <w:bCs w:val="0"/>
          <w:lang w:val="sq-AL"/>
        </w:rPr>
        <w:t>është në kundërhtim</w:t>
      </w:r>
      <w:r w:rsidRPr="00997551">
        <w:rPr>
          <w:b w:val="0"/>
          <w:bCs w:val="0"/>
        </w:rPr>
        <w:t xml:space="preserve"> me parimet e përgjithshme të </w:t>
      </w:r>
      <w:r w:rsidR="00AC241D" w:rsidRPr="00997551">
        <w:rPr>
          <w:b w:val="0"/>
          <w:bCs w:val="0"/>
          <w:lang w:val="sq-AL"/>
        </w:rPr>
        <w:t>shënuara</w:t>
      </w:r>
      <w:r w:rsidRPr="00997551">
        <w:rPr>
          <w:b w:val="0"/>
          <w:bCs w:val="0"/>
        </w:rPr>
        <w:t xml:space="preserve"> në nenin 4 dhe 11(4) të Rregullores (BE</w:t>
      </w:r>
      <w:r w:rsidR="00AC241D" w:rsidRPr="00997551">
        <w:rPr>
          <w:b w:val="0"/>
          <w:bCs w:val="0"/>
          <w:lang w:val="sq-AL"/>
        </w:rPr>
        <w:t>-së</w:t>
      </w:r>
      <w:r w:rsidRPr="00997551">
        <w:rPr>
          <w:b w:val="0"/>
          <w:bCs w:val="0"/>
        </w:rPr>
        <w:t>) 2024/1449 dhe nenin 3 të Marrëveshjes për instrumentin, ose me parimin “Mos shkakto dëm të konsiderueshëm” (MS</w:t>
      </w:r>
      <w:r w:rsidR="00AC241D" w:rsidRPr="00997551">
        <w:rPr>
          <w:b w:val="0"/>
          <w:bCs w:val="0"/>
          <w:lang w:val="sq-AL"/>
        </w:rPr>
        <w:t>HD</w:t>
      </w:r>
      <w:r w:rsidRPr="00997551">
        <w:rPr>
          <w:b w:val="0"/>
          <w:bCs w:val="0"/>
        </w:rPr>
        <w:t>K).</w:t>
      </w:r>
    </w:p>
    <w:p w14:paraId="05274F84" w14:textId="7EAC8D24" w:rsidR="00AC241D" w:rsidRPr="00997551" w:rsidRDefault="00AC241D" w:rsidP="00AC241D">
      <w:pPr>
        <w:pStyle w:val="Tablecaption0"/>
        <w:numPr>
          <w:ilvl w:val="2"/>
          <w:numId w:val="19"/>
        </w:numPr>
        <w:rPr>
          <w:lang w:val="en-GB"/>
        </w:rPr>
      </w:pPr>
      <w:proofErr w:type="spellStart"/>
      <w:r w:rsidRPr="00997551">
        <w:rPr>
          <w:lang w:val="en-GB"/>
        </w:rPr>
        <w:t>Përforcimi</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kontrollit</w:t>
      </w:r>
      <w:proofErr w:type="spellEnd"/>
      <w:r w:rsidRPr="00997551">
        <w:rPr>
          <w:lang w:val="en-GB"/>
        </w:rPr>
        <w:t xml:space="preserve"> të </w:t>
      </w:r>
      <w:proofErr w:type="spellStart"/>
      <w:r w:rsidRPr="00997551">
        <w:rPr>
          <w:lang w:val="en-GB"/>
        </w:rPr>
        <w:t>brendshëm</w:t>
      </w:r>
      <w:proofErr w:type="spellEnd"/>
      <w:r w:rsidRPr="00997551">
        <w:rPr>
          <w:lang w:val="en-GB"/>
        </w:rPr>
        <w:t xml:space="preserve"> </w:t>
      </w:r>
      <w:proofErr w:type="spellStart"/>
      <w:r w:rsidRPr="00997551">
        <w:rPr>
          <w:lang w:val="en-GB"/>
        </w:rPr>
        <w:t>financiar</w:t>
      </w:r>
      <w:proofErr w:type="spellEnd"/>
      <w:r w:rsidRPr="00997551">
        <w:rPr>
          <w:lang w:val="en-GB"/>
        </w:rPr>
        <w:t xml:space="preserve"> </w:t>
      </w:r>
      <w:proofErr w:type="spellStart"/>
      <w:r w:rsidRPr="00997551">
        <w:rPr>
          <w:lang w:val="en-GB"/>
        </w:rPr>
        <w:t>publik</w:t>
      </w:r>
      <w:proofErr w:type="spellEnd"/>
    </w:p>
    <w:p w14:paraId="7BFAEA24" w14:textId="77777777" w:rsidR="00AC241D" w:rsidRPr="00997551" w:rsidRDefault="00AC241D" w:rsidP="00AC241D">
      <w:pPr>
        <w:pStyle w:val="Tablecaption0"/>
        <w:rPr>
          <w:lang w:val="sq-A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4"/>
        <w:gridCol w:w="7810"/>
      </w:tblGrid>
      <w:tr w:rsidR="006866F8" w:rsidRPr="00997551" w14:paraId="2FEA9FCE" w14:textId="77777777">
        <w:trPr>
          <w:trHeight w:hRule="exact" w:val="682"/>
          <w:jc w:val="center"/>
        </w:trPr>
        <w:tc>
          <w:tcPr>
            <w:tcW w:w="1704" w:type="dxa"/>
            <w:tcBorders>
              <w:top w:val="single" w:sz="4" w:space="0" w:color="auto"/>
              <w:left w:val="single" w:sz="4" w:space="0" w:color="auto"/>
            </w:tcBorders>
            <w:shd w:val="clear" w:color="auto" w:fill="E8E8E8"/>
            <w:vAlign w:val="center"/>
          </w:tcPr>
          <w:p w14:paraId="0CD5756B" w14:textId="75A139FE" w:rsidR="006866F8" w:rsidRPr="00997551" w:rsidRDefault="00AC241D">
            <w:pPr>
              <w:pStyle w:val="Other0"/>
            </w:pPr>
            <w:r w:rsidRPr="00997551">
              <w:rPr>
                <w:b/>
                <w:bCs/>
              </w:rPr>
              <w:t xml:space="preserve">Hapi </w:t>
            </w:r>
            <w:r w:rsidRPr="00997551">
              <w:rPr>
                <w:b/>
                <w:bCs/>
                <w:lang w:val="sq-AL"/>
              </w:rPr>
              <w:t>i cili</w:t>
            </w:r>
            <w:r w:rsidRPr="00997551">
              <w:rPr>
                <w:b/>
                <w:bCs/>
              </w:rPr>
              <w:t xml:space="preserve"> po shqyrtohet</w:t>
            </w:r>
          </w:p>
        </w:tc>
        <w:tc>
          <w:tcPr>
            <w:tcW w:w="7810" w:type="dxa"/>
            <w:tcBorders>
              <w:top w:val="single" w:sz="4" w:space="0" w:color="auto"/>
              <w:left w:val="single" w:sz="4" w:space="0" w:color="auto"/>
              <w:right w:val="single" w:sz="4" w:space="0" w:color="auto"/>
            </w:tcBorders>
          </w:tcPr>
          <w:p w14:paraId="7406474F" w14:textId="2A4CEAC6" w:rsidR="00274329" w:rsidRPr="00997551" w:rsidRDefault="00274329">
            <w:pPr>
              <w:pStyle w:val="Other0"/>
              <w:spacing w:before="80"/>
              <w:rPr>
                <w:lang w:val="sq-AL"/>
              </w:rPr>
            </w:pPr>
            <w:r w:rsidRPr="00997551">
              <w:rPr>
                <w:i/>
                <w:iCs/>
              </w:rPr>
              <w:t xml:space="preserve">Ligji për </w:t>
            </w:r>
            <w:r w:rsidRPr="00997551">
              <w:rPr>
                <w:i/>
                <w:iCs/>
                <w:lang w:val="sq-AL"/>
              </w:rPr>
              <w:t>K</w:t>
            </w:r>
            <w:r w:rsidRPr="00997551">
              <w:rPr>
                <w:i/>
                <w:iCs/>
              </w:rPr>
              <w:t xml:space="preserve">ontrollin e </w:t>
            </w:r>
            <w:r w:rsidRPr="00997551">
              <w:rPr>
                <w:i/>
                <w:iCs/>
                <w:lang w:val="sq-AL"/>
              </w:rPr>
              <w:t>B</w:t>
            </w:r>
            <w:r w:rsidRPr="00997551">
              <w:rPr>
                <w:i/>
                <w:iCs/>
              </w:rPr>
              <w:t xml:space="preserve">rendshëm </w:t>
            </w:r>
            <w:r w:rsidRPr="00997551">
              <w:rPr>
                <w:i/>
                <w:iCs/>
                <w:lang w:val="sq-AL"/>
              </w:rPr>
              <w:t>F</w:t>
            </w:r>
            <w:r w:rsidRPr="00997551">
              <w:rPr>
                <w:i/>
                <w:iCs/>
              </w:rPr>
              <w:t xml:space="preserve">inanciar </w:t>
            </w:r>
            <w:r w:rsidRPr="00997551">
              <w:rPr>
                <w:i/>
                <w:iCs/>
                <w:lang w:val="sq-AL"/>
              </w:rPr>
              <w:t>P</w:t>
            </w:r>
            <w:r w:rsidRPr="00997551">
              <w:rPr>
                <w:i/>
                <w:iCs/>
              </w:rPr>
              <w:t>ublik (L</w:t>
            </w:r>
            <w:r w:rsidRPr="00997551">
              <w:rPr>
                <w:i/>
                <w:iCs/>
                <w:lang w:val="sq-AL"/>
              </w:rPr>
              <w:t>KBFP</w:t>
            </w:r>
            <w:r w:rsidRPr="00997551">
              <w:rPr>
                <w:i/>
                <w:iCs/>
              </w:rPr>
              <w:t xml:space="preserve">) është </w:t>
            </w:r>
            <w:r w:rsidRPr="00997551">
              <w:rPr>
                <w:i/>
                <w:iCs/>
                <w:lang w:val="sq-AL"/>
              </w:rPr>
              <w:t>sjellur</w:t>
            </w:r>
            <w:r w:rsidRPr="00997551">
              <w:rPr>
                <w:i/>
                <w:iCs/>
              </w:rPr>
              <w:t xml:space="preserve"> nga Kuvendi.</w:t>
            </w:r>
          </w:p>
        </w:tc>
      </w:tr>
      <w:tr w:rsidR="006866F8" w:rsidRPr="00997551" w14:paraId="6B918153" w14:textId="77777777" w:rsidTr="00262A83">
        <w:trPr>
          <w:trHeight w:hRule="exact" w:val="577"/>
          <w:jc w:val="center"/>
        </w:trPr>
        <w:tc>
          <w:tcPr>
            <w:tcW w:w="1704" w:type="dxa"/>
            <w:tcBorders>
              <w:top w:val="single" w:sz="4" w:space="0" w:color="auto"/>
              <w:left w:val="single" w:sz="4" w:space="0" w:color="auto"/>
            </w:tcBorders>
            <w:shd w:val="clear" w:color="auto" w:fill="E8E8E8"/>
            <w:vAlign w:val="center"/>
          </w:tcPr>
          <w:p w14:paraId="57017049" w14:textId="7A0A79C8" w:rsidR="006866F8" w:rsidRPr="00997551" w:rsidRDefault="00AC241D">
            <w:pPr>
              <w:pStyle w:val="Other0"/>
              <w:rPr>
                <w:lang w:val="sq-AL"/>
              </w:rPr>
            </w:pPr>
            <w:r w:rsidRPr="00997551">
              <w:rPr>
                <w:b/>
                <w:bCs/>
              </w:rPr>
              <w:t xml:space="preserve">Gjendja </w:t>
            </w:r>
            <w:r w:rsidRPr="00997551">
              <w:rPr>
                <w:b/>
                <w:bCs/>
                <w:lang w:val="sq-AL"/>
              </w:rPr>
              <w:t>themelore</w:t>
            </w:r>
          </w:p>
        </w:tc>
        <w:tc>
          <w:tcPr>
            <w:tcW w:w="7810" w:type="dxa"/>
            <w:tcBorders>
              <w:top w:val="single" w:sz="4" w:space="0" w:color="auto"/>
              <w:left w:val="single" w:sz="4" w:space="0" w:color="auto"/>
              <w:right w:val="single" w:sz="4" w:space="0" w:color="auto"/>
            </w:tcBorders>
            <w:vAlign w:val="center"/>
          </w:tcPr>
          <w:p w14:paraId="6D3D812D" w14:textId="0FAC0173" w:rsidR="006866F8" w:rsidRPr="00997551" w:rsidRDefault="00B8240F">
            <w:pPr>
              <w:pStyle w:val="Other0"/>
            </w:pPr>
            <w:r w:rsidRPr="00997551">
              <w:rPr>
                <w:rStyle w:val="Other"/>
              </w:rPr>
              <w:t>0 (2024). (</w:t>
            </w:r>
            <w:r w:rsidR="00274329" w:rsidRPr="00997551">
              <w:rPr>
                <w:rStyle w:val="Other"/>
                <w:lang w:val="sq-AL"/>
              </w:rPr>
              <w:t>Ligji nuk është sjellur</w:t>
            </w:r>
            <w:r w:rsidRPr="00997551">
              <w:rPr>
                <w:rStyle w:val="Other"/>
              </w:rPr>
              <w:t>)</w:t>
            </w:r>
          </w:p>
        </w:tc>
      </w:tr>
      <w:tr w:rsidR="006866F8" w:rsidRPr="00997551" w14:paraId="6EB61025" w14:textId="77777777">
        <w:trPr>
          <w:trHeight w:hRule="exact" w:val="754"/>
          <w:jc w:val="center"/>
        </w:trPr>
        <w:tc>
          <w:tcPr>
            <w:tcW w:w="1704" w:type="dxa"/>
            <w:tcBorders>
              <w:top w:val="single" w:sz="4" w:space="0" w:color="auto"/>
              <w:left w:val="single" w:sz="4" w:space="0" w:color="auto"/>
            </w:tcBorders>
            <w:shd w:val="clear" w:color="auto" w:fill="E8E8E8"/>
            <w:vAlign w:val="center"/>
          </w:tcPr>
          <w:p w14:paraId="481B2F3C" w14:textId="453B41D9" w:rsidR="006866F8" w:rsidRPr="00997551" w:rsidRDefault="00AC241D">
            <w:pPr>
              <w:pStyle w:val="Other0"/>
            </w:pPr>
            <w:r w:rsidRPr="00997551">
              <w:rPr>
                <w:b/>
                <w:bCs/>
              </w:rPr>
              <w:t>Afati i fundit i hapit</w:t>
            </w:r>
          </w:p>
        </w:tc>
        <w:tc>
          <w:tcPr>
            <w:tcW w:w="7810" w:type="dxa"/>
            <w:tcBorders>
              <w:top w:val="single" w:sz="4" w:space="0" w:color="auto"/>
              <w:left w:val="single" w:sz="4" w:space="0" w:color="auto"/>
              <w:right w:val="single" w:sz="4" w:space="0" w:color="auto"/>
            </w:tcBorders>
          </w:tcPr>
          <w:p w14:paraId="55EFE1CB" w14:textId="43B38A83" w:rsidR="006866F8" w:rsidRPr="00997551" w:rsidRDefault="00274329">
            <w:pPr>
              <w:pStyle w:val="Other0"/>
              <w:spacing w:before="80"/>
              <w:rPr>
                <w:lang w:val="en-US"/>
              </w:rPr>
            </w:pPr>
            <w:r w:rsidRPr="00997551">
              <w:rPr>
                <w:rStyle w:val="Other"/>
                <w:lang w:val="sq-AL"/>
              </w:rPr>
              <w:t>Në muajin dhejtor</w:t>
            </w:r>
            <w:r w:rsidR="00B8240F" w:rsidRPr="00997551">
              <w:rPr>
                <w:rStyle w:val="Other"/>
              </w:rPr>
              <w:t xml:space="preserve"> 2024 </w:t>
            </w:r>
          </w:p>
        </w:tc>
      </w:tr>
      <w:tr w:rsidR="006866F8" w:rsidRPr="00997551" w14:paraId="305A0D1A" w14:textId="77777777">
        <w:trPr>
          <w:trHeight w:hRule="exact" w:val="1181"/>
          <w:jc w:val="center"/>
        </w:trPr>
        <w:tc>
          <w:tcPr>
            <w:tcW w:w="1704" w:type="dxa"/>
            <w:tcBorders>
              <w:top w:val="single" w:sz="4" w:space="0" w:color="auto"/>
              <w:left w:val="single" w:sz="4" w:space="0" w:color="auto"/>
            </w:tcBorders>
            <w:shd w:val="clear" w:color="auto" w:fill="E8E8E8"/>
            <w:vAlign w:val="center"/>
          </w:tcPr>
          <w:p w14:paraId="59964EC1" w14:textId="5B85F908" w:rsidR="006866F8" w:rsidRPr="00997551" w:rsidRDefault="00AC241D">
            <w:pPr>
              <w:pStyle w:val="Other0"/>
              <w:rPr>
                <w:lang w:val="sq-AL"/>
              </w:rPr>
            </w:pPr>
            <w:r w:rsidRPr="00997551">
              <w:rPr>
                <w:b/>
                <w:bCs/>
                <w:lang w:val="sq-AL"/>
              </w:rPr>
              <w:t>Konkludimi</w:t>
            </w:r>
            <w:r w:rsidRPr="00997551">
              <w:rPr>
                <w:b/>
                <w:bCs/>
              </w:rPr>
              <w:t xml:space="preserve"> i shqyrtimit të hapit nga </w:t>
            </w:r>
            <w:r w:rsidRPr="00997551">
              <w:rPr>
                <w:b/>
                <w:bCs/>
                <w:lang w:val="sq-AL"/>
              </w:rPr>
              <w:t>shfrytëzuesi</w:t>
            </w:r>
          </w:p>
        </w:tc>
        <w:tc>
          <w:tcPr>
            <w:tcW w:w="7810" w:type="dxa"/>
            <w:tcBorders>
              <w:top w:val="single" w:sz="4" w:space="0" w:color="auto"/>
              <w:left w:val="single" w:sz="4" w:space="0" w:color="auto"/>
              <w:right w:val="single" w:sz="4" w:space="0" w:color="auto"/>
            </w:tcBorders>
          </w:tcPr>
          <w:p w14:paraId="1306282D" w14:textId="5999CBB5" w:rsidR="00274329" w:rsidRPr="00997551" w:rsidRDefault="00274329" w:rsidP="00274329">
            <w:pPr>
              <w:pStyle w:val="Other0"/>
              <w:spacing w:before="80"/>
              <w:rPr>
                <w:lang w:val="en-GB"/>
              </w:rPr>
            </w:pPr>
            <w:proofErr w:type="spellStart"/>
            <w:r w:rsidRPr="00997551">
              <w:rPr>
                <w:lang w:val="en-GB"/>
              </w:rPr>
              <w:t>Shfrytëzuesi</w:t>
            </w:r>
            <w:proofErr w:type="spellEnd"/>
            <w:r w:rsidRPr="00997551">
              <w:rPr>
                <w:lang w:val="en-GB"/>
              </w:rPr>
              <w:t xml:space="preserve"> e </w:t>
            </w:r>
            <w:proofErr w:type="spellStart"/>
            <w:r w:rsidRPr="00997551">
              <w:rPr>
                <w:lang w:val="en-GB"/>
              </w:rPr>
              <w:t>konsideron</w:t>
            </w:r>
            <w:proofErr w:type="spellEnd"/>
            <w:r w:rsidRPr="00997551">
              <w:rPr>
                <w:lang w:val="en-GB"/>
              </w:rPr>
              <w:t xml:space="preserve"> këtë hap </w:t>
            </w:r>
            <w:r w:rsidRPr="00997551">
              <w:t>si</w:t>
            </w:r>
            <w:r w:rsidRPr="00997551">
              <w:rPr>
                <w:lang w:val="sq-AL"/>
              </w:rPr>
              <w:t xml:space="preserve"> </w:t>
            </w:r>
            <w:r w:rsidRPr="00997551">
              <w:t>arrit</w:t>
            </w:r>
            <w:r w:rsidRPr="00997551">
              <w:rPr>
                <w:lang w:val="sq-AL"/>
              </w:rPr>
              <w:t xml:space="preserve">je të </w:t>
            </w:r>
            <w:r w:rsidRPr="00997551">
              <w:t>plotë</w:t>
            </w:r>
            <w:r w:rsidRPr="00997551">
              <w:rPr>
                <w:lang w:val="en-GB"/>
              </w:rPr>
              <w:t>.</w:t>
            </w:r>
          </w:p>
          <w:p w14:paraId="765830EE" w14:textId="77777777" w:rsidR="00274329" w:rsidRPr="00997551" w:rsidRDefault="00274329">
            <w:pPr>
              <w:pStyle w:val="Other0"/>
              <w:spacing w:before="80"/>
              <w:rPr>
                <w:lang w:val="sq-AL"/>
              </w:rPr>
            </w:pPr>
          </w:p>
        </w:tc>
      </w:tr>
      <w:tr w:rsidR="006866F8" w:rsidRPr="00997551" w14:paraId="4BBED41B" w14:textId="77777777">
        <w:trPr>
          <w:trHeight w:hRule="exact" w:val="1162"/>
          <w:jc w:val="center"/>
        </w:trPr>
        <w:tc>
          <w:tcPr>
            <w:tcW w:w="1704" w:type="dxa"/>
            <w:vMerge w:val="restart"/>
            <w:tcBorders>
              <w:top w:val="single" w:sz="4" w:space="0" w:color="auto"/>
              <w:left w:val="single" w:sz="4" w:space="0" w:color="auto"/>
            </w:tcBorders>
            <w:shd w:val="clear" w:color="auto" w:fill="E8E8E8"/>
          </w:tcPr>
          <w:p w14:paraId="4C72F7D6" w14:textId="77777777" w:rsidR="00AC241D" w:rsidRPr="00997551" w:rsidRDefault="00AC241D" w:rsidP="00AC241D">
            <w:pPr>
              <w:pStyle w:val="Other0"/>
              <w:spacing w:before="80"/>
              <w:rPr>
                <w:b/>
                <w:bCs/>
                <w:lang w:val="en-GB"/>
              </w:rPr>
            </w:pPr>
            <w:proofErr w:type="spellStart"/>
            <w:r w:rsidRPr="00997551">
              <w:rPr>
                <w:b/>
                <w:bCs/>
                <w:lang w:val="en-GB"/>
              </w:rPr>
              <w:t>Vlerësimi</w:t>
            </w:r>
            <w:proofErr w:type="spellEnd"/>
            <w:r w:rsidRPr="00997551">
              <w:rPr>
                <w:b/>
                <w:bCs/>
                <w:lang w:val="en-GB"/>
              </w:rPr>
              <w:t xml:space="preserve"> </w:t>
            </w:r>
            <w:proofErr w:type="spellStart"/>
            <w:r w:rsidRPr="00997551">
              <w:rPr>
                <w:b/>
                <w:bCs/>
                <w:lang w:val="en-GB"/>
              </w:rPr>
              <w:t>i</w:t>
            </w:r>
            <w:proofErr w:type="spellEnd"/>
            <w:r w:rsidRPr="00997551">
              <w:rPr>
                <w:b/>
                <w:bCs/>
                <w:lang w:val="en-GB"/>
              </w:rPr>
              <w:t xml:space="preserve"> </w:t>
            </w:r>
            <w:proofErr w:type="spellStart"/>
            <w:r w:rsidRPr="00997551">
              <w:rPr>
                <w:b/>
                <w:bCs/>
                <w:lang w:val="en-GB"/>
              </w:rPr>
              <w:t>rezultateve</w:t>
            </w:r>
            <w:proofErr w:type="spellEnd"/>
            <w:r w:rsidRPr="00997551">
              <w:rPr>
                <w:b/>
                <w:bCs/>
                <w:lang w:val="en-GB"/>
              </w:rPr>
              <w:t xml:space="preserve"> </w:t>
            </w:r>
            <w:proofErr w:type="spellStart"/>
            <w:r w:rsidRPr="00997551">
              <w:rPr>
                <w:b/>
                <w:bCs/>
                <w:lang w:val="en-GB"/>
              </w:rPr>
              <w:t>nga</w:t>
            </w:r>
            <w:proofErr w:type="spellEnd"/>
            <w:r w:rsidRPr="00997551">
              <w:rPr>
                <w:b/>
                <w:bCs/>
                <w:lang w:val="en-GB"/>
              </w:rPr>
              <w:t xml:space="preserve"> </w:t>
            </w:r>
            <w:proofErr w:type="spellStart"/>
            <w:r w:rsidRPr="00997551">
              <w:rPr>
                <w:b/>
                <w:bCs/>
                <w:lang w:val="en-GB"/>
              </w:rPr>
              <w:t>Komisioni</w:t>
            </w:r>
            <w:proofErr w:type="spellEnd"/>
          </w:p>
          <w:p w14:paraId="09B574FE" w14:textId="27DA4D2F" w:rsidR="006866F8" w:rsidRPr="00997551" w:rsidRDefault="006866F8">
            <w:pPr>
              <w:pStyle w:val="Other0"/>
              <w:spacing w:before="80"/>
            </w:pPr>
          </w:p>
        </w:tc>
        <w:tc>
          <w:tcPr>
            <w:tcW w:w="7810" w:type="dxa"/>
            <w:tcBorders>
              <w:top w:val="single" w:sz="4" w:space="0" w:color="auto"/>
              <w:left w:val="single" w:sz="4" w:space="0" w:color="auto"/>
              <w:right w:val="single" w:sz="4" w:space="0" w:color="auto"/>
            </w:tcBorders>
            <w:vAlign w:val="bottom"/>
          </w:tcPr>
          <w:p w14:paraId="1155DFE3" w14:textId="4D4FFD48" w:rsidR="006866F8" w:rsidRPr="00997551" w:rsidRDefault="00274329">
            <w:pPr>
              <w:pStyle w:val="Other0"/>
              <w:spacing w:after="60"/>
              <w:jc w:val="both"/>
              <w:rPr>
                <w:lang w:val="en-GB"/>
              </w:rPr>
            </w:pPr>
            <w:r w:rsidRPr="00997551">
              <w:rPr>
                <w:rStyle w:val="Other"/>
                <w:lang w:val="sq-AL"/>
              </w:rPr>
              <w:t xml:space="preserve"> </w:t>
            </w:r>
            <w:proofErr w:type="spellStart"/>
            <w:r w:rsidRPr="00997551">
              <w:rPr>
                <w:lang w:val="en-GB"/>
              </w:rPr>
              <w:t>Ligji</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ri</w:t>
            </w:r>
            <w:proofErr w:type="spellEnd"/>
            <w:r w:rsidRPr="00997551">
              <w:rPr>
                <w:lang w:val="en-GB"/>
              </w:rPr>
              <w:t xml:space="preserve"> për </w:t>
            </w:r>
            <w:proofErr w:type="spellStart"/>
            <w:r w:rsidRPr="00997551">
              <w:rPr>
                <w:lang w:val="en-GB"/>
              </w:rPr>
              <w:t>Kontrollin</w:t>
            </w:r>
            <w:proofErr w:type="spellEnd"/>
            <w:r w:rsidRPr="00997551">
              <w:rPr>
                <w:lang w:val="en-GB"/>
              </w:rPr>
              <w:t xml:space="preserve"> e </w:t>
            </w:r>
            <w:proofErr w:type="spellStart"/>
            <w:r w:rsidRPr="00997551">
              <w:rPr>
                <w:lang w:val="en-GB"/>
              </w:rPr>
              <w:t>Brendshëm</w:t>
            </w:r>
            <w:proofErr w:type="spellEnd"/>
            <w:r w:rsidRPr="00997551">
              <w:rPr>
                <w:lang w:val="en-GB"/>
              </w:rPr>
              <w:t xml:space="preserve"> </w:t>
            </w:r>
            <w:proofErr w:type="spellStart"/>
            <w:r w:rsidRPr="00997551">
              <w:rPr>
                <w:lang w:val="en-GB"/>
              </w:rPr>
              <w:t>Financiar</w:t>
            </w:r>
            <w:proofErr w:type="spellEnd"/>
            <w:r w:rsidRPr="00997551">
              <w:rPr>
                <w:lang w:val="en-GB"/>
              </w:rPr>
              <w:t xml:space="preserve"> Publik u </w:t>
            </w:r>
            <w:proofErr w:type="spellStart"/>
            <w:r w:rsidRPr="00997551">
              <w:rPr>
                <w:lang w:val="en-GB"/>
              </w:rPr>
              <w:t>soll</w:t>
            </w:r>
            <w:proofErr w:type="spellEnd"/>
            <w:r w:rsidRPr="00997551">
              <w:rPr>
                <w:lang w:val="en-GB"/>
              </w:rPr>
              <w:t xml:space="preserve"> </w:t>
            </w:r>
            <w:proofErr w:type="spellStart"/>
            <w:r w:rsidRPr="00997551">
              <w:rPr>
                <w:lang w:val="en-GB"/>
              </w:rPr>
              <w:t>nga</w:t>
            </w:r>
            <w:proofErr w:type="spellEnd"/>
            <w:r w:rsidRPr="00997551">
              <w:rPr>
                <w:lang w:val="en-GB"/>
              </w:rPr>
              <w:t xml:space="preserve"> </w:t>
            </w:r>
            <w:proofErr w:type="spellStart"/>
            <w:r w:rsidRPr="00997551">
              <w:rPr>
                <w:lang w:val="en-GB"/>
              </w:rPr>
              <w:t>Kuvendi</w:t>
            </w:r>
            <w:proofErr w:type="spellEnd"/>
            <w:r w:rsidRPr="00997551">
              <w:rPr>
                <w:lang w:val="en-GB"/>
              </w:rPr>
              <w:t xml:space="preserve"> më 12 </w:t>
            </w:r>
            <w:proofErr w:type="spellStart"/>
            <w:r w:rsidRPr="00997551">
              <w:rPr>
                <w:lang w:val="en-GB"/>
              </w:rPr>
              <w:t>dhjetor</w:t>
            </w:r>
            <w:proofErr w:type="spellEnd"/>
            <w:r w:rsidRPr="00997551">
              <w:rPr>
                <w:lang w:val="en-GB"/>
              </w:rPr>
              <w:t xml:space="preserve"> të </w:t>
            </w:r>
            <w:proofErr w:type="spellStart"/>
            <w:r w:rsidRPr="00997551">
              <w:rPr>
                <w:lang w:val="en-GB"/>
              </w:rPr>
              <w:t>vitit</w:t>
            </w:r>
            <w:proofErr w:type="spellEnd"/>
            <w:r w:rsidRPr="00997551">
              <w:rPr>
                <w:lang w:val="en-GB"/>
              </w:rPr>
              <w:t xml:space="preserve"> 2024, </w:t>
            </w:r>
            <w:proofErr w:type="spellStart"/>
            <w:r w:rsidRPr="00997551">
              <w:rPr>
                <w:lang w:val="en-GB"/>
              </w:rPr>
              <w:t>ndërsa</w:t>
            </w:r>
            <w:proofErr w:type="spellEnd"/>
            <w:r w:rsidRPr="00997551">
              <w:rPr>
                <w:lang w:val="en-GB"/>
              </w:rPr>
              <w:t xml:space="preserve"> u </w:t>
            </w:r>
            <w:proofErr w:type="spellStart"/>
            <w:r w:rsidRPr="00997551">
              <w:rPr>
                <w:lang w:val="en-GB"/>
              </w:rPr>
              <w:t>publikua</w:t>
            </w:r>
            <w:proofErr w:type="spellEnd"/>
            <w:r w:rsidRPr="00997551">
              <w:rPr>
                <w:lang w:val="en-GB"/>
              </w:rPr>
              <w:t xml:space="preserve"> më 17 </w:t>
            </w:r>
            <w:proofErr w:type="spellStart"/>
            <w:r w:rsidRPr="00997551">
              <w:rPr>
                <w:lang w:val="en-GB"/>
              </w:rPr>
              <w:t>dhjetor</w:t>
            </w:r>
            <w:proofErr w:type="spellEnd"/>
            <w:r w:rsidRPr="00997551">
              <w:rPr>
                <w:lang w:val="en-GB"/>
              </w:rPr>
              <w:t xml:space="preserve"> të </w:t>
            </w:r>
            <w:proofErr w:type="spellStart"/>
            <w:r w:rsidRPr="00997551">
              <w:rPr>
                <w:lang w:val="en-GB"/>
              </w:rPr>
              <w:t>vitit</w:t>
            </w:r>
            <w:proofErr w:type="spellEnd"/>
            <w:r w:rsidRPr="00997551">
              <w:rPr>
                <w:lang w:val="en-GB"/>
              </w:rPr>
              <w:t xml:space="preserve"> 2024 në </w:t>
            </w:r>
            <w:proofErr w:type="spellStart"/>
            <w:r w:rsidRPr="00997551">
              <w:rPr>
                <w:lang w:val="en-GB"/>
              </w:rPr>
              <w:t>Gazetën</w:t>
            </w:r>
            <w:proofErr w:type="spellEnd"/>
            <w:r w:rsidRPr="00997551">
              <w:rPr>
                <w:lang w:val="en-GB"/>
              </w:rPr>
              <w:t xml:space="preserve"> </w:t>
            </w:r>
            <w:proofErr w:type="spellStart"/>
            <w:r w:rsidRPr="00997551">
              <w:rPr>
                <w:lang w:val="en-GB"/>
              </w:rPr>
              <w:t>Zyrtare</w:t>
            </w:r>
            <w:proofErr w:type="spellEnd"/>
            <w:r w:rsidRPr="00997551">
              <w:rPr>
                <w:lang w:val="en-GB"/>
              </w:rPr>
              <w:t xml:space="preserve"> të </w:t>
            </w:r>
            <w:proofErr w:type="spellStart"/>
            <w:r w:rsidRPr="00997551">
              <w:rPr>
                <w:lang w:val="en-GB"/>
              </w:rPr>
              <w:t>Republikës</w:t>
            </w:r>
            <w:proofErr w:type="spellEnd"/>
            <w:r w:rsidRPr="00997551">
              <w:rPr>
                <w:lang w:val="en-GB"/>
              </w:rPr>
              <w:t xml:space="preserve"> së Maqedonisë së Veriut nr. 255</w:t>
            </w:r>
            <w:r w:rsidR="00B8240F" w:rsidRPr="00997551">
              <w:rPr>
                <w:rStyle w:val="Other"/>
              </w:rPr>
              <w:t>:</w:t>
            </w:r>
          </w:p>
          <w:p w14:paraId="267AB001" w14:textId="77777777" w:rsidR="006866F8" w:rsidRPr="00997551" w:rsidRDefault="006866F8">
            <w:pPr>
              <w:pStyle w:val="Other0"/>
              <w:jc w:val="both"/>
            </w:pPr>
            <w:hyperlink r:id="rId8" w:history="1">
              <w:r w:rsidRPr="00997551">
                <w:rPr>
                  <w:rStyle w:val="Other"/>
                  <w:i/>
                  <w:iCs/>
                  <w:color w:val="467886"/>
                </w:rPr>
                <w:t>https://www.slvesnik.com.mk/Issues/8c2e6621d184423b9e7393d838f63421.pdf</w:t>
              </w:r>
            </w:hyperlink>
          </w:p>
        </w:tc>
      </w:tr>
      <w:tr w:rsidR="006866F8" w:rsidRPr="00997551" w14:paraId="12A310BB" w14:textId="77777777">
        <w:trPr>
          <w:trHeight w:hRule="exact" w:val="941"/>
          <w:jc w:val="center"/>
        </w:trPr>
        <w:tc>
          <w:tcPr>
            <w:tcW w:w="1704" w:type="dxa"/>
            <w:vMerge/>
            <w:tcBorders>
              <w:left w:val="single" w:sz="4" w:space="0" w:color="auto"/>
            </w:tcBorders>
            <w:shd w:val="clear" w:color="auto" w:fill="E8E8E8"/>
          </w:tcPr>
          <w:p w14:paraId="72DBDD0F" w14:textId="77777777" w:rsidR="006866F8" w:rsidRPr="00997551" w:rsidRDefault="006866F8">
            <w:pPr>
              <w:rPr>
                <w:rFonts w:ascii="Times New Roman" w:hAnsi="Times New Roman" w:cs="Times New Roman"/>
              </w:rPr>
            </w:pPr>
          </w:p>
        </w:tc>
        <w:tc>
          <w:tcPr>
            <w:tcW w:w="7810" w:type="dxa"/>
            <w:tcBorders>
              <w:top w:val="single" w:sz="4" w:space="0" w:color="auto"/>
              <w:left w:val="single" w:sz="4" w:space="0" w:color="auto"/>
              <w:right w:val="single" w:sz="4" w:space="0" w:color="auto"/>
            </w:tcBorders>
            <w:vAlign w:val="center"/>
          </w:tcPr>
          <w:p w14:paraId="72C2833A" w14:textId="3AB660C2" w:rsidR="006866F8" w:rsidRPr="00997551" w:rsidRDefault="00274329">
            <w:pPr>
              <w:pStyle w:val="Other0"/>
              <w:jc w:val="both"/>
              <w:rPr>
                <w:rStyle w:val="Other"/>
                <w:lang w:val="sq-AL"/>
              </w:rPr>
            </w:pPr>
            <w:r w:rsidRPr="00997551">
              <w:t xml:space="preserve">Njësia qendrore për harmonizim përgatiti Plan Veprimi për </w:t>
            </w:r>
            <w:r w:rsidRPr="00997551">
              <w:rPr>
                <w:lang w:val="sq-AL"/>
              </w:rPr>
              <w:t>implementimin</w:t>
            </w:r>
            <w:r w:rsidRPr="00997551">
              <w:t xml:space="preserve"> e Ligjit. Sipas këtij plani, </w:t>
            </w:r>
            <w:r w:rsidRPr="00997551">
              <w:rPr>
                <w:lang w:val="sq-AL"/>
              </w:rPr>
              <w:t xml:space="preserve">sjellja e </w:t>
            </w:r>
            <w:r w:rsidRPr="00997551">
              <w:t xml:space="preserve"> të gjitha akte</w:t>
            </w:r>
            <w:r w:rsidRPr="00997551">
              <w:rPr>
                <w:lang w:val="sq-AL"/>
              </w:rPr>
              <w:t>ve</w:t>
            </w:r>
            <w:r w:rsidRPr="00997551">
              <w:t xml:space="preserve"> nënligjor</w:t>
            </w:r>
            <w:r w:rsidRPr="00997551">
              <w:rPr>
                <w:lang w:val="sq-AL"/>
              </w:rPr>
              <w:t>e të cilat dalin</w:t>
            </w:r>
            <w:r w:rsidRPr="00997551">
              <w:t xml:space="preserve"> nga ky ligj do të </w:t>
            </w:r>
            <w:r w:rsidRPr="00997551">
              <w:rPr>
                <w:lang w:val="sq-AL"/>
              </w:rPr>
              <w:t>zbatohen në</w:t>
            </w:r>
            <w:r w:rsidRPr="00997551">
              <w:t xml:space="preserve"> 18 muaj</w:t>
            </w:r>
            <w:r w:rsidRPr="00997551">
              <w:rPr>
                <w:lang w:val="sq-AL"/>
              </w:rPr>
              <w:t>t</w:t>
            </w:r>
            <w:r w:rsidRPr="00997551">
              <w:t xml:space="preserve"> </w:t>
            </w:r>
            <w:r w:rsidRPr="00997551">
              <w:rPr>
                <w:lang w:val="sq-AL"/>
              </w:rPr>
              <w:t>e</w:t>
            </w:r>
            <w:r w:rsidRPr="00997551">
              <w:t xml:space="preserve"> ardhshëm</w:t>
            </w:r>
            <w:r w:rsidR="00B8240F" w:rsidRPr="00997551">
              <w:rPr>
                <w:rStyle w:val="Other"/>
              </w:rPr>
              <w:t>.</w:t>
            </w:r>
          </w:p>
          <w:p w14:paraId="77BC6CB3" w14:textId="4E947238" w:rsidR="00274329" w:rsidRPr="00997551" w:rsidRDefault="00274329">
            <w:pPr>
              <w:pStyle w:val="Other0"/>
              <w:jc w:val="both"/>
              <w:rPr>
                <w:lang w:val="sq-AL"/>
              </w:rPr>
            </w:pPr>
          </w:p>
        </w:tc>
      </w:tr>
      <w:tr w:rsidR="006866F8" w:rsidRPr="00997551" w14:paraId="613B53FE" w14:textId="77777777" w:rsidTr="001E749F">
        <w:trPr>
          <w:trHeight w:hRule="exact" w:val="2497"/>
          <w:jc w:val="center"/>
        </w:trPr>
        <w:tc>
          <w:tcPr>
            <w:tcW w:w="1704" w:type="dxa"/>
            <w:tcBorders>
              <w:top w:val="single" w:sz="4" w:space="0" w:color="auto"/>
              <w:left w:val="single" w:sz="4" w:space="0" w:color="auto"/>
              <w:bottom w:val="single" w:sz="4" w:space="0" w:color="auto"/>
            </w:tcBorders>
            <w:shd w:val="clear" w:color="auto" w:fill="E8E8E8"/>
          </w:tcPr>
          <w:p w14:paraId="14C59999" w14:textId="61091B07" w:rsidR="006866F8" w:rsidRPr="00997551" w:rsidRDefault="00AC241D">
            <w:pPr>
              <w:pStyle w:val="Other0"/>
              <w:spacing w:before="80"/>
              <w:rPr>
                <w:lang w:val="sq-AL"/>
              </w:rPr>
            </w:pPr>
            <w:r w:rsidRPr="00997551">
              <w:rPr>
                <w:b/>
                <w:bCs/>
              </w:rPr>
              <w:lastRenderedPageBreak/>
              <w:t xml:space="preserve">Kontrollet e kryera dhe </w:t>
            </w:r>
            <w:r w:rsidRPr="00997551">
              <w:rPr>
                <w:b/>
                <w:bCs/>
                <w:lang w:val="sq-AL"/>
              </w:rPr>
              <w:t>provat</w:t>
            </w:r>
            <w:r w:rsidRPr="00997551">
              <w:rPr>
                <w:b/>
                <w:bCs/>
              </w:rPr>
              <w:t xml:space="preserve"> e </w:t>
            </w:r>
            <w:r w:rsidRPr="00997551">
              <w:rPr>
                <w:b/>
                <w:bCs/>
                <w:lang w:val="sq-AL"/>
              </w:rPr>
              <w:t>shfrytëzuara</w:t>
            </w:r>
            <w:r w:rsidRPr="00997551">
              <w:rPr>
                <w:b/>
                <w:bCs/>
              </w:rPr>
              <w:t xml:space="preserve"> </w:t>
            </w:r>
            <w:r w:rsidRPr="00997551">
              <w:rPr>
                <w:b/>
                <w:bCs/>
                <w:lang w:val="sq-AL"/>
              </w:rPr>
              <w:t>gjatë</w:t>
            </w:r>
            <w:r w:rsidRPr="00997551">
              <w:rPr>
                <w:b/>
                <w:bCs/>
              </w:rPr>
              <w:t xml:space="preserve"> verifikimi</w:t>
            </w:r>
            <w:r w:rsidRPr="00997551">
              <w:rPr>
                <w:b/>
                <w:bCs/>
                <w:lang w:val="sq-AL"/>
              </w:rPr>
              <w:t>t</w:t>
            </w:r>
            <w:r w:rsidRPr="00997551">
              <w:rPr>
                <w:b/>
                <w:bCs/>
              </w:rPr>
              <w:t xml:space="preserve"> </w:t>
            </w:r>
            <w:r w:rsidRPr="00997551">
              <w:rPr>
                <w:b/>
                <w:bCs/>
                <w:lang w:val="sq-AL"/>
              </w:rPr>
              <w:t>të</w:t>
            </w:r>
            <w:r w:rsidRPr="00997551">
              <w:rPr>
                <w:b/>
                <w:bCs/>
              </w:rPr>
              <w:t xml:space="preserve"> hapit dhe </w:t>
            </w:r>
            <w:r w:rsidRPr="00997551">
              <w:rPr>
                <w:b/>
                <w:bCs/>
                <w:lang w:val="sq-AL"/>
              </w:rPr>
              <w:t>konsatimet</w:t>
            </w:r>
            <w:r w:rsidRPr="00997551">
              <w:rPr>
                <w:b/>
                <w:bCs/>
              </w:rPr>
              <w:t xml:space="preserve"> </w:t>
            </w:r>
            <w:r w:rsidRPr="00997551">
              <w:rPr>
                <w:b/>
                <w:bCs/>
                <w:lang w:val="sq-AL"/>
              </w:rPr>
              <w:t>e lidhura</w:t>
            </w:r>
          </w:p>
        </w:tc>
        <w:tc>
          <w:tcPr>
            <w:tcW w:w="7810" w:type="dxa"/>
            <w:tcBorders>
              <w:top w:val="single" w:sz="4" w:space="0" w:color="auto"/>
              <w:left w:val="single" w:sz="4" w:space="0" w:color="auto"/>
              <w:bottom w:val="single" w:sz="4" w:space="0" w:color="auto"/>
              <w:right w:val="single" w:sz="4" w:space="0" w:color="auto"/>
            </w:tcBorders>
            <w:vAlign w:val="bottom"/>
          </w:tcPr>
          <w:p w14:paraId="15615F52" w14:textId="0BA571BD" w:rsidR="00274329" w:rsidRPr="00997551" w:rsidRDefault="00274329" w:rsidP="00274329">
            <w:pPr>
              <w:pStyle w:val="Other0"/>
              <w:spacing w:after="60"/>
              <w:jc w:val="both"/>
              <w:rPr>
                <w:lang w:val="en-GB"/>
              </w:rPr>
            </w:pPr>
            <w:proofErr w:type="spellStart"/>
            <w:r w:rsidRPr="00997551">
              <w:rPr>
                <w:lang w:val="en-GB"/>
              </w:rPr>
              <w:t>Takime</w:t>
            </w:r>
            <w:proofErr w:type="spellEnd"/>
            <w:r w:rsidRPr="00997551">
              <w:rPr>
                <w:lang w:val="en-GB"/>
              </w:rPr>
              <w:t xml:space="preserve"> </w:t>
            </w:r>
            <w:proofErr w:type="spellStart"/>
            <w:r w:rsidRPr="00997551">
              <w:rPr>
                <w:lang w:val="en-GB"/>
              </w:rPr>
              <w:t>nga</w:t>
            </w:r>
            <w:proofErr w:type="spellEnd"/>
            <w:r w:rsidRPr="00997551">
              <w:rPr>
                <w:lang w:val="en-GB"/>
              </w:rPr>
              <w:t xml:space="preserve"> </w:t>
            </w:r>
            <w:proofErr w:type="spellStart"/>
            <w:r w:rsidRPr="00997551">
              <w:rPr>
                <w:lang w:val="en-GB"/>
              </w:rPr>
              <w:t>distanca</w:t>
            </w:r>
            <w:proofErr w:type="spellEnd"/>
            <w:r w:rsidRPr="00997551">
              <w:rPr>
                <w:lang w:val="en-GB"/>
              </w:rPr>
              <w:t xml:space="preserve"> për </w:t>
            </w:r>
            <w:proofErr w:type="spellStart"/>
            <w:r w:rsidRPr="00997551">
              <w:rPr>
                <w:lang w:val="en-GB"/>
              </w:rPr>
              <w:t>shqyrtim</w:t>
            </w:r>
            <w:proofErr w:type="spellEnd"/>
            <w:r w:rsidRPr="00997551">
              <w:rPr>
                <w:lang w:val="en-GB"/>
              </w:rPr>
              <w:t>/</w:t>
            </w:r>
            <w:proofErr w:type="spellStart"/>
            <w:r w:rsidRPr="00997551">
              <w:rPr>
                <w:lang w:val="en-GB"/>
              </w:rPr>
              <w:t>monitorim</w:t>
            </w:r>
            <w:proofErr w:type="spellEnd"/>
            <w:r w:rsidRPr="00997551">
              <w:rPr>
                <w:lang w:val="en-GB"/>
              </w:rPr>
              <w:t xml:space="preserve"> me </w:t>
            </w:r>
            <w:proofErr w:type="spellStart"/>
            <w:r w:rsidRPr="00997551">
              <w:rPr>
                <w:lang w:val="en-GB"/>
              </w:rPr>
              <w:t>Qeverinë</w:t>
            </w:r>
            <w:proofErr w:type="spellEnd"/>
            <w:r w:rsidRPr="00997551">
              <w:rPr>
                <w:lang w:val="en-GB"/>
              </w:rPr>
              <w:t>.</w:t>
            </w:r>
            <w:r w:rsidRPr="00997551">
              <w:rPr>
                <w:lang w:val="en-GB"/>
              </w:rPr>
              <w:br/>
              <w:t>Projekt-</w:t>
            </w:r>
            <w:proofErr w:type="spellStart"/>
            <w:r w:rsidRPr="00997551">
              <w:rPr>
                <w:lang w:val="en-GB"/>
              </w:rPr>
              <w:t>ligji</w:t>
            </w:r>
            <w:proofErr w:type="spellEnd"/>
            <w:r w:rsidRPr="00997551">
              <w:rPr>
                <w:lang w:val="en-GB"/>
              </w:rPr>
              <w:t xml:space="preserve"> për </w:t>
            </w:r>
            <w:proofErr w:type="spellStart"/>
            <w:r w:rsidRPr="00997551">
              <w:rPr>
                <w:lang w:val="en-GB"/>
              </w:rPr>
              <w:t>kontrollin</w:t>
            </w:r>
            <w:proofErr w:type="spellEnd"/>
            <w:r w:rsidRPr="00997551">
              <w:rPr>
                <w:lang w:val="en-GB"/>
              </w:rPr>
              <w:t xml:space="preserve"> e </w:t>
            </w:r>
            <w:proofErr w:type="spellStart"/>
            <w:r w:rsidRPr="00997551">
              <w:rPr>
                <w:lang w:val="en-GB"/>
              </w:rPr>
              <w:t>brendshëm</w:t>
            </w:r>
            <w:proofErr w:type="spellEnd"/>
            <w:r w:rsidRPr="00997551">
              <w:rPr>
                <w:lang w:val="en-GB"/>
              </w:rPr>
              <w:t xml:space="preserve"> </w:t>
            </w:r>
            <w:proofErr w:type="spellStart"/>
            <w:r w:rsidRPr="00997551">
              <w:rPr>
                <w:lang w:val="en-GB"/>
              </w:rPr>
              <w:t>financiar</w:t>
            </w:r>
            <w:proofErr w:type="spellEnd"/>
            <w:r w:rsidRPr="00997551">
              <w:rPr>
                <w:lang w:val="en-GB"/>
              </w:rPr>
              <w:t xml:space="preserve"> </w:t>
            </w:r>
            <w:proofErr w:type="spellStart"/>
            <w:r w:rsidRPr="00997551">
              <w:rPr>
                <w:lang w:val="en-GB"/>
              </w:rPr>
              <w:t>publik</w:t>
            </w:r>
            <w:proofErr w:type="spellEnd"/>
            <w:r w:rsidRPr="00997551">
              <w:rPr>
                <w:lang w:val="en-GB"/>
              </w:rPr>
              <w:t xml:space="preserve"> (</w:t>
            </w:r>
            <w:r w:rsidR="00077710" w:rsidRPr="00997551">
              <w:rPr>
                <w:lang w:val="en-GB"/>
              </w:rPr>
              <w:t>KBFP</w:t>
            </w:r>
            <w:r w:rsidRPr="00997551">
              <w:rPr>
                <w:lang w:val="en-GB"/>
              </w:rPr>
              <w:t xml:space="preserve">) u </w:t>
            </w:r>
            <w:proofErr w:type="spellStart"/>
            <w:r w:rsidRPr="00997551">
              <w:rPr>
                <w:lang w:val="en-GB"/>
              </w:rPr>
              <w:t>përgatit</w:t>
            </w:r>
            <w:proofErr w:type="spellEnd"/>
            <w:r w:rsidRPr="00997551">
              <w:rPr>
                <w:lang w:val="en-GB"/>
              </w:rPr>
              <w:t xml:space="preserve"> me </w:t>
            </w:r>
            <w:proofErr w:type="spellStart"/>
            <w:r w:rsidRPr="00997551">
              <w:rPr>
                <w:lang w:val="en-GB"/>
              </w:rPr>
              <w:t>mbështetjen</w:t>
            </w:r>
            <w:proofErr w:type="spellEnd"/>
            <w:r w:rsidRPr="00997551">
              <w:rPr>
                <w:lang w:val="en-GB"/>
              </w:rPr>
              <w:t xml:space="preserve"> e </w:t>
            </w:r>
            <w:proofErr w:type="spellStart"/>
            <w:r w:rsidR="00077710" w:rsidRPr="00997551">
              <w:rPr>
                <w:lang w:val="en-GB"/>
              </w:rPr>
              <w:t>p</w:t>
            </w:r>
            <w:r w:rsidRPr="00997551">
              <w:rPr>
                <w:lang w:val="en-GB"/>
              </w:rPr>
              <w:t>rojekti</w:t>
            </w:r>
            <w:r w:rsidR="00077710" w:rsidRPr="00997551">
              <w:rPr>
                <w:lang w:val="en-GB"/>
              </w:rPr>
              <w:t>t</w:t>
            </w:r>
            <w:proofErr w:type="spellEnd"/>
            <w:r w:rsidRPr="00997551">
              <w:rPr>
                <w:lang w:val="en-GB"/>
              </w:rPr>
              <w:t xml:space="preserve"> twinning të </w:t>
            </w:r>
            <w:proofErr w:type="spellStart"/>
            <w:r w:rsidRPr="00997551">
              <w:rPr>
                <w:lang w:val="en-GB"/>
              </w:rPr>
              <w:t>financuar</w:t>
            </w:r>
            <w:proofErr w:type="spellEnd"/>
            <w:r w:rsidRPr="00997551">
              <w:rPr>
                <w:lang w:val="en-GB"/>
              </w:rPr>
              <w:t xml:space="preserve"> </w:t>
            </w:r>
            <w:proofErr w:type="spellStart"/>
            <w:r w:rsidRPr="00997551">
              <w:rPr>
                <w:lang w:val="en-GB"/>
              </w:rPr>
              <w:t>nga</w:t>
            </w:r>
            <w:proofErr w:type="spellEnd"/>
            <w:r w:rsidRPr="00997551">
              <w:rPr>
                <w:lang w:val="en-GB"/>
              </w:rPr>
              <w:t xml:space="preserve"> BE</w:t>
            </w:r>
            <w:r w:rsidR="00077710" w:rsidRPr="00997551">
              <w:rPr>
                <w:lang w:val="en-GB"/>
              </w:rPr>
              <w:t>-</w:t>
            </w:r>
            <w:proofErr w:type="spellStart"/>
            <w:r w:rsidR="00077710" w:rsidRPr="00997551">
              <w:rPr>
                <w:lang w:val="en-GB"/>
              </w:rPr>
              <w:t>ja</w:t>
            </w:r>
            <w:proofErr w:type="spellEnd"/>
            <w:r w:rsidRPr="00997551">
              <w:rPr>
                <w:lang w:val="en-GB"/>
              </w:rPr>
              <w:t xml:space="preserve"> në </w:t>
            </w:r>
            <w:proofErr w:type="spellStart"/>
            <w:r w:rsidRPr="00997551">
              <w:rPr>
                <w:lang w:val="en-GB"/>
              </w:rPr>
              <w:t>vitin</w:t>
            </w:r>
            <w:proofErr w:type="spellEnd"/>
            <w:r w:rsidRPr="00997551">
              <w:rPr>
                <w:lang w:val="en-GB"/>
              </w:rPr>
              <w:t xml:space="preserve"> 2021 dhe u </w:t>
            </w:r>
            <w:proofErr w:type="spellStart"/>
            <w:r w:rsidRPr="00997551">
              <w:rPr>
                <w:lang w:val="en-GB"/>
              </w:rPr>
              <w:t>diskutua</w:t>
            </w:r>
            <w:proofErr w:type="spellEnd"/>
            <w:r w:rsidRPr="00997551">
              <w:rPr>
                <w:lang w:val="en-GB"/>
              </w:rPr>
              <w:t xml:space="preserve"> </w:t>
            </w:r>
            <w:proofErr w:type="spellStart"/>
            <w:r w:rsidRPr="00997551">
              <w:rPr>
                <w:lang w:val="en-GB"/>
              </w:rPr>
              <w:t>gjerësisht</w:t>
            </w:r>
            <w:proofErr w:type="spellEnd"/>
            <w:r w:rsidRPr="00997551">
              <w:rPr>
                <w:lang w:val="en-GB"/>
              </w:rPr>
              <w:t xml:space="preserve"> me BE-në. </w:t>
            </w:r>
            <w:proofErr w:type="spellStart"/>
            <w:r w:rsidRPr="00997551">
              <w:rPr>
                <w:lang w:val="en-GB"/>
              </w:rPr>
              <w:t>Ligji</w:t>
            </w:r>
            <w:proofErr w:type="spellEnd"/>
            <w:r w:rsidRPr="00997551">
              <w:rPr>
                <w:lang w:val="en-GB"/>
              </w:rPr>
              <w:t xml:space="preserve"> është </w:t>
            </w:r>
            <w:proofErr w:type="spellStart"/>
            <w:r w:rsidR="00077710" w:rsidRPr="00997551">
              <w:rPr>
                <w:lang w:val="en-GB"/>
              </w:rPr>
              <w:t>G</w:t>
            </w:r>
            <w:r w:rsidRPr="00997551">
              <w:rPr>
                <w:lang w:val="en-GB"/>
              </w:rPr>
              <w:t>jithëpërfshirës</w:t>
            </w:r>
            <w:proofErr w:type="spellEnd"/>
            <w:r w:rsidRPr="00997551">
              <w:rPr>
                <w:lang w:val="en-GB"/>
              </w:rPr>
              <w:t xml:space="preserve"> dhe </w:t>
            </w:r>
            <w:proofErr w:type="spellStart"/>
            <w:r w:rsidRPr="00997551">
              <w:rPr>
                <w:lang w:val="en-GB"/>
              </w:rPr>
              <w:t>krijon</w:t>
            </w:r>
            <w:proofErr w:type="spellEnd"/>
            <w:r w:rsidR="00077710" w:rsidRPr="00997551">
              <w:rPr>
                <w:lang w:val="en-GB"/>
              </w:rPr>
              <w:t xml:space="preserve"> </w:t>
            </w:r>
            <w:proofErr w:type="spellStart"/>
            <w:r w:rsidR="00077710" w:rsidRPr="00997551">
              <w:rPr>
                <w:lang w:val="en-GB"/>
              </w:rPr>
              <w:t>kornizë</w:t>
            </w:r>
            <w:proofErr w:type="spellEnd"/>
            <w:r w:rsidR="00077710" w:rsidRPr="00997551">
              <w:rPr>
                <w:lang w:val="en-GB"/>
              </w:rPr>
              <w:t xml:space="preserve"> </w:t>
            </w:r>
            <w:proofErr w:type="spellStart"/>
            <w:r w:rsidR="00077710" w:rsidRPr="00997551">
              <w:rPr>
                <w:lang w:val="en-GB"/>
              </w:rPr>
              <w:t>legjislative</w:t>
            </w:r>
            <w:proofErr w:type="spellEnd"/>
            <w:r w:rsidR="00077710" w:rsidRPr="00997551">
              <w:rPr>
                <w:lang w:val="en-GB"/>
              </w:rPr>
              <w:t xml:space="preserve"> </w:t>
            </w:r>
            <w:proofErr w:type="spellStart"/>
            <w:r w:rsidR="00077710" w:rsidRPr="00997551">
              <w:rPr>
                <w:lang w:val="en-GB"/>
              </w:rPr>
              <w:t>solide</w:t>
            </w:r>
            <w:proofErr w:type="spellEnd"/>
            <w:r w:rsidRPr="00997551">
              <w:rPr>
                <w:lang w:val="en-GB"/>
              </w:rPr>
              <w:t xml:space="preserve"> për zbatimin e reformave </w:t>
            </w:r>
            <w:proofErr w:type="spellStart"/>
            <w:r w:rsidRPr="00997551">
              <w:rPr>
                <w:lang w:val="en-GB"/>
              </w:rPr>
              <w:t>kyçe</w:t>
            </w:r>
            <w:proofErr w:type="spellEnd"/>
            <w:r w:rsidRPr="00997551">
              <w:rPr>
                <w:lang w:val="en-GB"/>
              </w:rPr>
              <w:t xml:space="preserve"> në </w:t>
            </w:r>
            <w:proofErr w:type="spellStart"/>
            <w:r w:rsidR="00077710" w:rsidRPr="00997551">
              <w:rPr>
                <w:lang w:val="en-GB"/>
              </w:rPr>
              <w:t>revizionin</w:t>
            </w:r>
            <w:proofErr w:type="spellEnd"/>
            <w:r w:rsidRPr="00997551">
              <w:rPr>
                <w:lang w:val="en-GB"/>
              </w:rPr>
              <w:t xml:space="preserve"> e </w:t>
            </w:r>
            <w:proofErr w:type="spellStart"/>
            <w:r w:rsidRPr="00997551">
              <w:rPr>
                <w:lang w:val="en-GB"/>
              </w:rPr>
              <w:t>brendshëm</w:t>
            </w:r>
            <w:proofErr w:type="spellEnd"/>
            <w:r w:rsidRPr="00997551">
              <w:rPr>
                <w:lang w:val="en-GB"/>
              </w:rPr>
              <w:t xml:space="preserve">, </w:t>
            </w:r>
            <w:proofErr w:type="spellStart"/>
            <w:r w:rsidRPr="00997551">
              <w:rPr>
                <w:lang w:val="en-GB"/>
              </w:rPr>
              <w:t>kontroll</w:t>
            </w:r>
            <w:r w:rsidR="00077710" w:rsidRPr="00997551">
              <w:rPr>
                <w:lang w:val="en-GB"/>
              </w:rPr>
              <w:t>in</w:t>
            </w:r>
            <w:proofErr w:type="spellEnd"/>
            <w:r w:rsidRPr="00997551">
              <w:rPr>
                <w:lang w:val="en-GB"/>
              </w:rPr>
              <w:t xml:space="preserve"> </w:t>
            </w:r>
            <w:r w:rsidR="00077710" w:rsidRPr="00997551">
              <w:rPr>
                <w:lang w:val="en-GB"/>
              </w:rPr>
              <w:t>e</w:t>
            </w:r>
            <w:r w:rsidRPr="00997551">
              <w:rPr>
                <w:lang w:val="en-GB"/>
              </w:rPr>
              <w:t xml:space="preserve"> </w:t>
            </w:r>
            <w:proofErr w:type="spellStart"/>
            <w:r w:rsidRPr="00997551">
              <w:rPr>
                <w:lang w:val="en-GB"/>
              </w:rPr>
              <w:t>menaxhimit</w:t>
            </w:r>
            <w:proofErr w:type="spellEnd"/>
            <w:r w:rsidRPr="00997551">
              <w:rPr>
                <w:lang w:val="en-GB"/>
              </w:rPr>
              <w:t xml:space="preserve"> </w:t>
            </w:r>
            <w:proofErr w:type="spellStart"/>
            <w:r w:rsidRPr="00997551">
              <w:rPr>
                <w:lang w:val="en-GB"/>
              </w:rPr>
              <w:t>financiar</w:t>
            </w:r>
            <w:proofErr w:type="spellEnd"/>
            <w:r w:rsidRPr="00997551">
              <w:rPr>
                <w:lang w:val="en-GB"/>
              </w:rPr>
              <w:t xml:space="preserve"> dhe </w:t>
            </w:r>
            <w:proofErr w:type="spellStart"/>
            <w:r w:rsidRPr="00997551">
              <w:rPr>
                <w:lang w:val="en-GB"/>
              </w:rPr>
              <w:t>përgjegjësinë</w:t>
            </w:r>
            <w:proofErr w:type="spellEnd"/>
            <w:r w:rsidRPr="00997551">
              <w:rPr>
                <w:lang w:val="en-GB"/>
              </w:rPr>
              <w:t xml:space="preserve"> </w:t>
            </w:r>
            <w:proofErr w:type="spellStart"/>
            <w:r w:rsidRPr="00997551">
              <w:rPr>
                <w:lang w:val="en-GB"/>
              </w:rPr>
              <w:t>menaxheriale</w:t>
            </w:r>
            <w:proofErr w:type="spellEnd"/>
            <w:r w:rsidRPr="00997551">
              <w:rPr>
                <w:lang w:val="en-GB"/>
              </w:rPr>
              <w:t>.</w:t>
            </w:r>
          </w:p>
          <w:p w14:paraId="53927DB7" w14:textId="31A17A42" w:rsidR="00274329" w:rsidRPr="00997551" w:rsidRDefault="00274329" w:rsidP="00274329">
            <w:pPr>
              <w:pStyle w:val="Other0"/>
              <w:spacing w:after="60"/>
              <w:jc w:val="both"/>
              <w:rPr>
                <w:lang w:val="en-GB"/>
              </w:rPr>
            </w:pPr>
            <w:proofErr w:type="spellStart"/>
            <w:r w:rsidRPr="00997551">
              <w:rPr>
                <w:lang w:val="en-GB"/>
              </w:rPr>
              <w:t>Ligji</w:t>
            </w:r>
            <w:proofErr w:type="spellEnd"/>
            <w:r w:rsidRPr="00997551">
              <w:rPr>
                <w:lang w:val="en-GB"/>
              </w:rPr>
              <w:t xml:space="preserve"> për </w:t>
            </w:r>
            <w:proofErr w:type="spellStart"/>
            <w:r w:rsidR="00077710" w:rsidRPr="00997551">
              <w:rPr>
                <w:lang w:val="en-GB"/>
              </w:rPr>
              <w:t>K</w:t>
            </w:r>
            <w:r w:rsidRPr="00997551">
              <w:rPr>
                <w:lang w:val="en-GB"/>
              </w:rPr>
              <w:t>ontrollin</w:t>
            </w:r>
            <w:proofErr w:type="spellEnd"/>
            <w:r w:rsidRPr="00997551">
              <w:rPr>
                <w:lang w:val="en-GB"/>
              </w:rPr>
              <w:t xml:space="preserve"> e </w:t>
            </w:r>
            <w:proofErr w:type="spellStart"/>
            <w:r w:rsidR="00077710" w:rsidRPr="00997551">
              <w:rPr>
                <w:lang w:val="en-GB"/>
              </w:rPr>
              <w:t>B</w:t>
            </w:r>
            <w:r w:rsidRPr="00997551">
              <w:rPr>
                <w:lang w:val="en-GB"/>
              </w:rPr>
              <w:t>rendshëm</w:t>
            </w:r>
            <w:proofErr w:type="spellEnd"/>
            <w:r w:rsidRPr="00997551">
              <w:rPr>
                <w:lang w:val="en-GB"/>
              </w:rPr>
              <w:t xml:space="preserve"> </w:t>
            </w:r>
            <w:proofErr w:type="spellStart"/>
            <w:r w:rsidR="00077710" w:rsidRPr="00997551">
              <w:rPr>
                <w:lang w:val="en-GB"/>
              </w:rPr>
              <w:t>F</w:t>
            </w:r>
            <w:r w:rsidRPr="00997551">
              <w:rPr>
                <w:lang w:val="en-GB"/>
              </w:rPr>
              <w:t>inanciar</w:t>
            </w:r>
            <w:proofErr w:type="spellEnd"/>
            <w:r w:rsidRPr="00997551">
              <w:rPr>
                <w:lang w:val="en-GB"/>
              </w:rPr>
              <w:t xml:space="preserve"> </w:t>
            </w:r>
            <w:r w:rsidR="00077710" w:rsidRPr="00997551">
              <w:rPr>
                <w:lang w:val="en-GB"/>
              </w:rPr>
              <w:t>P</w:t>
            </w:r>
            <w:r w:rsidRPr="00997551">
              <w:rPr>
                <w:lang w:val="en-GB"/>
              </w:rPr>
              <w:t xml:space="preserve">ublik </w:t>
            </w:r>
            <w:proofErr w:type="spellStart"/>
            <w:r w:rsidR="00077710" w:rsidRPr="00997551">
              <w:rPr>
                <w:lang w:val="en-GB"/>
              </w:rPr>
              <w:t>mbeti</w:t>
            </w:r>
            <w:proofErr w:type="spellEnd"/>
            <w:r w:rsidR="00077710" w:rsidRPr="00997551">
              <w:rPr>
                <w:lang w:val="en-GB"/>
              </w:rPr>
              <w:t xml:space="preserve"> </w:t>
            </w:r>
            <w:r w:rsidRPr="00997551">
              <w:rPr>
                <w:lang w:val="en-GB"/>
              </w:rPr>
              <w:t xml:space="preserve">në </w:t>
            </w:r>
            <w:proofErr w:type="spellStart"/>
            <w:r w:rsidRPr="00997551">
              <w:rPr>
                <w:lang w:val="en-GB"/>
              </w:rPr>
              <w:t>procedurë</w:t>
            </w:r>
            <w:proofErr w:type="spellEnd"/>
            <w:r w:rsidRPr="00997551">
              <w:rPr>
                <w:lang w:val="en-GB"/>
              </w:rPr>
              <w:t xml:space="preserve"> </w:t>
            </w:r>
            <w:proofErr w:type="spellStart"/>
            <w:r w:rsidRPr="00997551">
              <w:rPr>
                <w:lang w:val="en-GB"/>
              </w:rPr>
              <w:t>parlamentare</w:t>
            </w:r>
            <w:proofErr w:type="spellEnd"/>
            <w:r w:rsidRPr="00997551">
              <w:rPr>
                <w:lang w:val="en-GB"/>
              </w:rPr>
              <w:t xml:space="preserve"> për </w:t>
            </w:r>
            <w:proofErr w:type="spellStart"/>
            <w:r w:rsidRPr="00997551">
              <w:rPr>
                <w:lang w:val="en-GB"/>
              </w:rPr>
              <w:t>katër</w:t>
            </w:r>
            <w:proofErr w:type="spellEnd"/>
            <w:r w:rsidRPr="00997551">
              <w:rPr>
                <w:lang w:val="en-GB"/>
              </w:rPr>
              <w:t xml:space="preserve"> </w:t>
            </w:r>
            <w:proofErr w:type="spellStart"/>
            <w:r w:rsidRPr="00997551">
              <w:rPr>
                <w:lang w:val="en-GB"/>
              </w:rPr>
              <w:t>vjet</w:t>
            </w:r>
            <w:proofErr w:type="spellEnd"/>
            <w:r w:rsidRPr="00997551">
              <w:rPr>
                <w:lang w:val="en-GB"/>
              </w:rPr>
              <w:t xml:space="preserve"> para </w:t>
            </w:r>
            <w:proofErr w:type="spellStart"/>
            <w:r w:rsidRPr="00997551">
              <w:rPr>
                <w:lang w:val="en-GB"/>
              </w:rPr>
              <w:t>miratimit</w:t>
            </w:r>
            <w:proofErr w:type="spellEnd"/>
            <w:r w:rsidRPr="00997551">
              <w:rPr>
                <w:lang w:val="en-GB"/>
              </w:rPr>
              <w:t xml:space="preserve"> të </w:t>
            </w:r>
            <w:proofErr w:type="spellStart"/>
            <w:r w:rsidRPr="00997551">
              <w:rPr>
                <w:lang w:val="en-GB"/>
              </w:rPr>
              <w:t>tij</w:t>
            </w:r>
            <w:proofErr w:type="spellEnd"/>
            <w:r w:rsidRPr="00997551">
              <w:rPr>
                <w:lang w:val="en-GB"/>
              </w:rPr>
              <w:t xml:space="preserve">. Para se të </w:t>
            </w:r>
            <w:proofErr w:type="spellStart"/>
            <w:r w:rsidRPr="00997551">
              <w:rPr>
                <w:lang w:val="en-GB"/>
              </w:rPr>
              <w:t>dorëzo</w:t>
            </w:r>
            <w:r w:rsidR="00077710" w:rsidRPr="00997551">
              <w:rPr>
                <w:lang w:val="en-GB"/>
              </w:rPr>
              <w:t>j</w:t>
            </w:r>
            <w:proofErr w:type="spellEnd"/>
            <w:r w:rsidR="00077710" w:rsidRPr="00997551">
              <w:rPr>
                <w:lang w:val="en-GB"/>
              </w:rPr>
              <w:t xml:space="preserve"> </w:t>
            </w:r>
            <w:proofErr w:type="spellStart"/>
            <w:r w:rsidR="00077710" w:rsidRPr="00997551">
              <w:rPr>
                <w:lang w:val="en-GB"/>
              </w:rPr>
              <w:t>ligjin</w:t>
            </w:r>
            <w:proofErr w:type="spellEnd"/>
            <w:r w:rsidRPr="00997551">
              <w:rPr>
                <w:lang w:val="en-GB"/>
              </w:rPr>
              <w:t xml:space="preserve"> </w:t>
            </w:r>
            <w:proofErr w:type="spellStart"/>
            <w:r w:rsidRPr="00997551">
              <w:rPr>
                <w:lang w:val="en-GB"/>
              </w:rPr>
              <w:t>përsëri</w:t>
            </w:r>
            <w:proofErr w:type="spellEnd"/>
            <w:r w:rsidRPr="00997551">
              <w:rPr>
                <w:lang w:val="en-GB"/>
              </w:rPr>
              <w:t xml:space="preserve"> në </w:t>
            </w:r>
            <w:proofErr w:type="spellStart"/>
            <w:r w:rsidRPr="00997551">
              <w:rPr>
                <w:lang w:val="en-GB"/>
              </w:rPr>
              <w:t>Kuvend</w:t>
            </w:r>
            <w:proofErr w:type="spellEnd"/>
            <w:r w:rsidRPr="00997551">
              <w:rPr>
                <w:lang w:val="en-GB"/>
              </w:rPr>
              <w:t xml:space="preserve">, </w:t>
            </w:r>
            <w:proofErr w:type="spellStart"/>
            <w:r w:rsidRPr="00997551">
              <w:rPr>
                <w:lang w:val="en-GB"/>
              </w:rPr>
              <w:t>Qeveria</w:t>
            </w:r>
            <w:proofErr w:type="spellEnd"/>
            <w:r w:rsidRPr="00997551">
              <w:rPr>
                <w:lang w:val="en-GB"/>
              </w:rPr>
              <w:t xml:space="preserve"> </w:t>
            </w:r>
            <w:r w:rsidR="00077710" w:rsidRPr="00997551">
              <w:rPr>
                <w:lang w:val="en-GB"/>
              </w:rPr>
              <w:t xml:space="preserve">e </w:t>
            </w:r>
            <w:proofErr w:type="spellStart"/>
            <w:r w:rsidR="00077710" w:rsidRPr="00997551">
              <w:rPr>
                <w:lang w:val="en-GB"/>
              </w:rPr>
              <w:t>revidoi</w:t>
            </w:r>
            <w:proofErr w:type="spellEnd"/>
            <w:r w:rsidRPr="00997551">
              <w:rPr>
                <w:lang w:val="en-GB"/>
              </w:rPr>
              <w:t xml:space="preserve"> </w:t>
            </w:r>
            <w:proofErr w:type="spellStart"/>
            <w:r w:rsidRPr="00997551">
              <w:rPr>
                <w:lang w:val="en-GB"/>
              </w:rPr>
              <w:t>projekt-ligjin</w:t>
            </w:r>
            <w:proofErr w:type="spellEnd"/>
            <w:r w:rsidRPr="00997551">
              <w:rPr>
                <w:lang w:val="en-GB"/>
              </w:rPr>
              <w:t>. BE</w:t>
            </w:r>
            <w:r w:rsidR="00077710" w:rsidRPr="00997551">
              <w:rPr>
                <w:lang w:val="en-GB"/>
              </w:rPr>
              <w:t>-</w:t>
            </w:r>
            <w:proofErr w:type="spellStart"/>
            <w:r w:rsidR="00077710" w:rsidRPr="00997551">
              <w:rPr>
                <w:lang w:val="en-GB"/>
              </w:rPr>
              <w:t>ja</w:t>
            </w:r>
            <w:proofErr w:type="spellEnd"/>
          </w:p>
          <w:p w14:paraId="07519E87" w14:textId="35A1A5C6" w:rsidR="00274329" w:rsidRPr="00997551" w:rsidRDefault="00274329">
            <w:pPr>
              <w:pStyle w:val="Other0"/>
              <w:spacing w:after="60"/>
              <w:jc w:val="both"/>
              <w:rPr>
                <w:lang w:val="sq-AL"/>
              </w:rPr>
            </w:pPr>
          </w:p>
        </w:tc>
      </w:tr>
      <w:tr w:rsidR="00262A83" w:rsidRPr="00997551" w14:paraId="7277DDFA" w14:textId="77777777" w:rsidTr="002A21B4">
        <w:trPr>
          <w:trHeight w:hRule="exact" w:val="1641"/>
          <w:jc w:val="center"/>
        </w:trPr>
        <w:tc>
          <w:tcPr>
            <w:tcW w:w="1704" w:type="dxa"/>
            <w:tcBorders>
              <w:top w:val="single" w:sz="4" w:space="0" w:color="auto"/>
              <w:left w:val="single" w:sz="4" w:space="0" w:color="auto"/>
            </w:tcBorders>
            <w:shd w:val="clear" w:color="auto" w:fill="E8E8E8"/>
          </w:tcPr>
          <w:p w14:paraId="4FA27B52" w14:textId="2D1BBE8F" w:rsidR="00262A83" w:rsidRPr="00997551" w:rsidRDefault="00B8240F" w:rsidP="00CF22B1">
            <w:pPr>
              <w:rPr>
                <w:rFonts w:ascii="Times New Roman" w:hAnsi="Times New Roman" w:cs="Times New Roman"/>
                <w:sz w:val="10"/>
                <w:szCs w:val="10"/>
              </w:rPr>
            </w:pPr>
            <w:r w:rsidRPr="00997551">
              <w:rPr>
                <w:rFonts w:ascii="Times New Roman" w:hAnsi="Times New Roman" w:cs="Times New Roman"/>
              </w:rPr>
              <w:br w:type="page"/>
            </w:r>
          </w:p>
        </w:tc>
        <w:tc>
          <w:tcPr>
            <w:tcW w:w="7810" w:type="dxa"/>
            <w:tcBorders>
              <w:top w:val="single" w:sz="4" w:space="0" w:color="auto"/>
              <w:left w:val="single" w:sz="4" w:space="0" w:color="auto"/>
              <w:right w:val="single" w:sz="4" w:space="0" w:color="auto"/>
            </w:tcBorders>
            <w:vAlign w:val="center"/>
          </w:tcPr>
          <w:p w14:paraId="2761EAC2" w14:textId="6562CB01" w:rsidR="00262A83" w:rsidRPr="00997551" w:rsidRDefault="00077710" w:rsidP="00CF22B1">
            <w:pPr>
              <w:pStyle w:val="Other0"/>
              <w:jc w:val="both"/>
            </w:pPr>
            <w:r w:rsidRPr="00997551">
              <w:t>Delegacioni (DEU) e monitoro</w:t>
            </w:r>
            <w:r w:rsidRPr="00997551">
              <w:rPr>
                <w:lang w:val="sq-AL"/>
              </w:rPr>
              <w:t>nte</w:t>
            </w:r>
            <w:r w:rsidRPr="00997551">
              <w:t xml:space="preserve"> procesin që të</w:t>
            </w:r>
            <w:r w:rsidRPr="00997551">
              <w:rPr>
                <w:lang w:val="sq-AL"/>
              </w:rPr>
              <w:t xml:space="preserve"> sigurohet se</w:t>
            </w:r>
            <w:r w:rsidRPr="00997551">
              <w:t xml:space="preserve"> </w:t>
            </w:r>
            <w:r w:rsidRPr="00997551">
              <w:rPr>
                <w:lang w:val="sq-AL"/>
              </w:rPr>
              <w:t xml:space="preserve">nuk janë futur </w:t>
            </w:r>
            <w:r w:rsidRPr="00997551">
              <w:t xml:space="preserve">ndryshime thelbësore. </w:t>
            </w:r>
            <w:r w:rsidRPr="00997551">
              <w:rPr>
                <w:lang w:val="sq-AL"/>
              </w:rPr>
              <w:t>Azhurinimet ishin të kufizuara</w:t>
            </w:r>
            <w:r w:rsidRPr="00997551">
              <w:t xml:space="preserve"> vetëm në </w:t>
            </w:r>
            <w:r w:rsidRPr="00997551">
              <w:rPr>
                <w:lang w:val="sq-AL"/>
              </w:rPr>
              <w:t>revidimin</w:t>
            </w:r>
            <w:r w:rsidRPr="00997551">
              <w:t xml:space="preserve"> e definicioneve teknike për t</w:t>
            </w:r>
            <w:r w:rsidRPr="00997551">
              <w:rPr>
                <w:lang w:val="sq-AL"/>
              </w:rPr>
              <w:t>u</w:t>
            </w:r>
            <w:r w:rsidRPr="00997551">
              <w:t xml:space="preserve"> harmonizuar projekt-ligjin me Ligjin për </w:t>
            </w:r>
            <w:r w:rsidRPr="00997551">
              <w:rPr>
                <w:lang w:val="sq-AL"/>
              </w:rPr>
              <w:t>B</w:t>
            </w:r>
            <w:r w:rsidRPr="00997551">
              <w:t xml:space="preserve">uxhetet dhe standardet më të fundit të </w:t>
            </w:r>
            <w:r w:rsidRPr="00997551">
              <w:rPr>
                <w:lang w:val="sq-AL"/>
              </w:rPr>
              <w:t>revizionit</w:t>
            </w:r>
            <w:r w:rsidRPr="00997551">
              <w:t xml:space="preserve"> të brendshëm.</w:t>
            </w:r>
          </w:p>
        </w:tc>
      </w:tr>
      <w:tr w:rsidR="00262A83" w:rsidRPr="00997551" w14:paraId="2E7ADF0E" w14:textId="77777777" w:rsidTr="002A21B4">
        <w:trPr>
          <w:trHeight w:hRule="exact" w:val="857"/>
          <w:jc w:val="center"/>
        </w:trPr>
        <w:tc>
          <w:tcPr>
            <w:tcW w:w="1704" w:type="dxa"/>
            <w:tcBorders>
              <w:top w:val="single" w:sz="4" w:space="0" w:color="auto"/>
              <w:left w:val="single" w:sz="4" w:space="0" w:color="auto"/>
            </w:tcBorders>
            <w:shd w:val="clear" w:color="auto" w:fill="E8E8E8"/>
          </w:tcPr>
          <w:p w14:paraId="7B8BC74A" w14:textId="1BDFE065" w:rsidR="00262A83" w:rsidRPr="00997551" w:rsidRDefault="00AC241D" w:rsidP="00CF22B1">
            <w:pPr>
              <w:pStyle w:val="Other0"/>
              <w:spacing w:before="80"/>
            </w:pPr>
            <w:r w:rsidRPr="00997551">
              <w:rPr>
                <w:b/>
              </w:rPr>
              <w:t>Financim i dyfishtë</w:t>
            </w:r>
          </w:p>
        </w:tc>
        <w:tc>
          <w:tcPr>
            <w:tcW w:w="7810" w:type="dxa"/>
            <w:tcBorders>
              <w:top w:val="single" w:sz="4" w:space="0" w:color="auto"/>
              <w:left w:val="single" w:sz="4" w:space="0" w:color="auto"/>
              <w:right w:val="single" w:sz="4" w:space="0" w:color="auto"/>
            </w:tcBorders>
            <w:vAlign w:val="center"/>
          </w:tcPr>
          <w:p w14:paraId="3C694B4F" w14:textId="7F77C631" w:rsidR="00262A83" w:rsidRPr="00997551" w:rsidRDefault="00077710" w:rsidP="00CF22B1">
            <w:pPr>
              <w:pStyle w:val="Other0"/>
              <w:jc w:val="both"/>
              <w:rPr>
                <w:lang w:val="sq-AL"/>
              </w:rPr>
            </w:pPr>
            <w:r w:rsidRPr="00997551">
              <w:t>Nuk u raportuan kontribute nga palë të treta si mbështetje për arritjen e këtij hapi.</w:t>
            </w:r>
          </w:p>
        </w:tc>
      </w:tr>
      <w:tr w:rsidR="00262A83" w:rsidRPr="00997551" w14:paraId="5AE0CCAF" w14:textId="77777777" w:rsidTr="00CF22B1">
        <w:trPr>
          <w:trHeight w:hRule="exact" w:val="1445"/>
          <w:jc w:val="center"/>
        </w:trPr>
        <w:tc>
          <w:tcPr>
            <w:tcW w:w="1704" w:type="dxa"/>
            <w:tcBorders>
              <w:top w:val="single" w:sz="4" w:space="0" w:color="auto"/>
              <w:left w:val="single" w:sz="4" w:space="0" w:color="auto"/>
              <w:bottom w:val="single" w:sz="4" w:space="0" w:color="auto"/>
            </w:tcBorders>
            <w:shd w:val="clear" w:color="auto" w:fill="E8E8E8"/>
            <w:vAlign w:val="center"/>
          </w:tcPr>
          <w:p w14:paraId="3B8DA512" w14:textId="46A6C276" w:rsidR="00AC241D" w:rsidRPr="00997551" w:rsidRDefault="00AC241D" w:rsidP="00AC241D">
            <w:pPr>
              <w:pStyle w:val="Other0"/>
              <w:rPr>
                <w:b/>
                <w:bCs/>
                <w:lang w:val="en-GB"/>
              </w:rPr>
            </w:pPr>
            <w:proofErr w:type="spellStart"/>
            <w:r w:rsidRPr="00997551">
              <w:rPr>
                <w:b/>
                <w:bCs/>
                <w:lang w:val="en-GB"/>
              </w:rPr>
              <w:t>Konkludim</w:t>
            </w:r>
            <w:proofErr w:type="spellEnd"/>
            <w:r w:rsidRPr="00997551">
              <w:rPr>
                <w:b/>
                <w:bCs/>
                <w:lang w:val="en-GB"/>
              </w:rPr>
              <w:t xml:space="preserve"> </w:t>
            </w:r>
            <w:proofErr w:type="spellStart"/>
            <w:r w:rsidRPr="00997551">
              <w:rPr>
                <w:b/>
                <w:bCs/>
                <w:lang w:val="en-GB"/>
              </w:rPr>
              <w:t>i</w:t>
            </w:r>
            <w:proofErr w:type="spellEnd"/>
            <w:r w:rsidRPr="00997551">
              <w:rPr>
                <w:b/>
                <w:bCs/>
                <w:lang w:val="en-GB"/>
              </w:rPr>
              <w:t xml:space="preserve"> qartë </w:t>
            </w:r>
            <w:proofErr w:type="spellStart"/>
            <w:r w:rsidR="00274329" w:rsidRPr="00997551">
              <w:rPr>
                <w:b/>
                <w:bCs/>
                <w:lang w:val="en-GB"/>
              </w:rPr>
              <w:t>i</w:t>
            </w:r>
            <w:proofErr w:type="spellEnd"/>
            <w:r w:rsidRPr="00997551">
              <w:rPr>
                <w:b/>
                <w:bCs/>
                <w:lang w:val="en-GB"/>
              </w:rPr>
              <w:t xml:space="preserve"> </w:t>
            </w:r>
            <w:proofErr w:type="spellStart"/>
            <w:r w:rsidRPr="00997551">
              <w:rPr>
                <w:b/>
                <w:bCs/>
                <w:lang w:val="en-GB"/>
              </w:rPr>
              <w:t>arritje</w:t>
            </w:r>
            <w:r w:rsidR="00274329" w:rsidRPr="00997551">
              <w:rPr>
                <w:b/>
                <w:bCs/>
                <w:lang w:val="en-GB"/>
              </w:rPr>
              <w:t>s</w:t>
            </w:r>
            <w:proofErr w:type="spellEnd"/>
            <w:r w:rsidRPr="00997551">
              <w:rPr>
                <w:b/>
                <w:bCs/>
                <w:lang w:val="en-GB"/>
              </w:rPr>
              <w:t xml:space="preserve"> </w:t>
            </w:r>
            <w:r w:rsidR="00274329" w:rsidRPr="00997551">
              <w:rPr>
                <w:b/>
                <w:bCs/>
                <w:lang w:val="en-GB"/>
              </w:rPr>
              <w:t>së</w:t>
            </w:r>
            <w:r w:rsidRPr="00997551">
              <w:rPr>
                <w:b/>
                <w:bCs/>
                <w:lang w:val="en-GB"/>
              </w:rPr>
              <w:t xml:space="preserve"> </w:t>
            </w:r>
            <w:proofErr w:type="spellStart"/>
            <w:r w:rsidRPr="00997551">
              <w:rPr>
                <w:b/>
                <w:bCs/>
                <w:lang w:val="en-GB"/>
              </w:rPr>
              <w:t>hapit</w:t>
            </w:r>
            <w:proofErr w:type="spellEnd"/>
          </w:p>
          <w:p w14:paraId="3ACBEF42" w14:textId="77777777" w:rsidR="00AC241D" w:rsidRPr="00997551" w:rsidRDefault="00AC241D" w:rsidP="00CF22B1">
            <w:pPr>
              <w:pStyle w:val="Other0"/>
              <w:rPr>
                <w:lang w:val="sq-AL"/>
              </w:rPr>
            </w:pPr>
          </w:p>
        </w:tc>
        <w:tc>
          <w:tcPr>
            <w:tcW w:w="7810" w:type="dxa"/>
            <w:tcBorders>
              <w:top w:val="single" w:sz="4" w:space="0" w:color="auto"/>
              <w:left w:val="single" w:sz="4" w:space="0" w:color="auto"/>
              <w:bottom w:val="single" w:sz="4" w:space="0" w:color="auto"/>
              <w:right w:val="single" w:sz="4" w:space="0" w:color="auto"/>
            </w:tcBorders>
          </w:tcPr>
          <w:p w14:paraId="3CA68248" w14:textId="29D603DE" w:rsidR="00077710" w:rsidRPr="00997551" w:rsidRDefault="00BD3ABE" w:rsidP="00CF22B1">
            <w:pPr>
              <w:pStyle w:val="Other0"/>
              <w:spacing w:before="80"/>
              <w:jc w:val="both"/>
              <w:rPr>
                <w:lang w:val="sq-AL"/>
              </w:rPr>
            </w:pPr>
            <w:r w:rsidRPr="00997551">
              <w:rPr>
                <w:lang w:val="sq-AL"/>
              </w:rPr>
              <w:t>Plotësisht i</w:t>
            </w:r>
            <w:r w:rsidR="00077710" w:rsidRPr="00997551">
              <w:rPr>
                <w:lang w:val="sq-AL"/>
              </w:rPr>
              <w:t xml:space="preserve"> a</w:t>
            </w:r>
            <w:r w:rsidR="00077710" w:rsidRPr="00997551">
              <w:t xml:space="preserve">rritur </w:t>
            </w:r>
            <w:r w:rsidR="00077710" w:rsidRPr="00997551">
              <w:rPr>
                <w:lang w:val="sq-AL"/>
              </w:rPr>
              <w:t xml:space="preserve"> </w:t>
            </w:r>
          </w:p>
        </w:tc>
      </w:tr>
    </w:tbl>
    <w:p w14:paraId="7D194F2E" w14:textId="77777777" w:rsidR="00262A83" w:rsidRPr="00997551" w:rsidRDefault="00262A83" w:rsidP="00AE7433">
      <w:pPr>
        <w:spacing w:after="459" w:line="1" w:lineRule="exact"/>
        <w:rPr>
          <w:rFonts w:ascii="Times New Roman" w:hAnsi="Times New Roman" w:cs="Times New Roman"/>
        </w:rPr>
      </w:pPr>
    </w:p>
    <w:p w14:paraId="4EFF9058" w14:textId="6DC73E2B" w:rsidR="00262A83" w:rsidRPr="00997551" w:rsidRDefault="00262A83" w:rsidP="00AE7433">
      <w:pPr>
        <w:pStyle w:val="Heading20"/>
        <w:keepNext/>
        <w:keepLines/>
        <w:spacing w:after="140"/>
        <w:rPr>
          <w:rStyle w:val="Heading2"/>
          <w:b/>
          <w:bCs/>
          <w:lang w:val="sq-AL"/>
        </w:rPr>
      </w:pPr>
      <w:r w:rsidRPr="00997551">
        <w:rPr>
          <w:rStyle w:val="Heading2"/>
          <w:b/>
          <w:bCs/>
        </w:rPr>
        <w:t>1.1.3.</w:t>
      </w:r>
      <w:r w:rsidR="00BD3ABE" w:rsidRPr="00997551">
        <w:t xml:space="preserve">Zbatim i </w:t>
      </w:r>
      <w:r w:rsidR="00D73768" w:rsidRPr="00997551">
        <w:rPr>
          <w:lang w:val="sq-AL"/>
        </w:rPr>
        <w:t>plotë</w:t>
      </w:r>
      <w:r w:rsidR="00BD3ABE" w:rsidRPr="00997551">
        <w:t xml:space="preserve"> i Ligjit për </w:t>
      </w:r>
      <w:r w:rsidR="00BD3ABE" w:rsidRPr="00997551">
        <w:rPr>
          <w:lang w:val="sq-AL"/>
        </w:rPr>
        <w:t>B</w:t>
      </w:r>
      <w:r w:rsidR="00BD3ABE" w:rsidRPr="00997551">
        <w:t>uxhetet për vitin 2022, përfshirë masat reformuese të para</w:t>
      </w:r>
      <w:r w:rsidR="00BD3ABE" w:rsidRPr="00997551">
        <w:rPr>
          <w:lang w:val="sq-AL"/>
        </w:rPr>
        <w:t>para</w:t>
      </w:r>
      <w:r w:rsidR="00BD3ABE" w:rsidRPr="00997551">
        <w:t xml:space="preserve"> në menaxhimin</w:t>
      </w:r>
      <w:r w:rsidR="00D73768" w:rsidRPr="00997551">
        <w:rPr>
          <w:lang w:val="sq-AL"/>
        </w:rPr>
        <w:t xml:space="preserve"> me</w:t>
      </w:r>
      <w:r w:rsidR="00BD3ABE" w:rsidRPr="00997551">
        <w:t xml:space="preserve"> investime</w:t>
      </w:r>
      <w:r w:rsidR="00D73768" w:rsidRPr="00997551">
        <w:rPr>
          <w:lang w:val="sq-AL"/>
        </w:rPr>
        <w:t>t</w:t>
      </w:r>
      <w:r w:rsidR="00BD3ABE" w:rsidRPr="00997551">
        <w:t xml:space="preserve"> publike.</w:t>
      </w:r>
    </w:p>
    <w:p w14:paraId="2AA6CED9" w14:textId="77777777" w:rsidR="00BD3ABE" w:rsidRPr="00997551" w:rsidRDefault="00BD3ABE" w:rsidP="00AE7433">
      <w:pPr>
        <w:pStyle w:val="Heading20"/>
        <w:keepNext/>
        <w:keepLines/>
        <w:spacing w:after="140"/>
        <w:rPr>
          <w:b w:val="0"/>
          <w:bCs w:val="0"/>
          <w:lang w:val="sq-A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805"/>
      </w:tblGrid>
      <w:tr w:rsidR="00262A83" w:rsidRPr="00997551" w14:paraId="4D293279" w14:textId="77777777" w:rsidTr="002A21B4">
        <w:trPr>
          <w:trHeight w:hRule="exact" w:val="1999"/>
          <w:jc w:val="center"/>
        </w:trPr>
        <w:tc>
          <w:tcPr>
            <w:tcW w:w="1714" w:type="dxa"/>
            <w:tcBorders>
              <w:top w:val="single" w:sz="4" w:space="0" w:color="auto"/>
              <w:left w:val="single" w:sz="4" w:space="0" w:color="auto"/>
            </w:tcBorders>
            <w:shd w:val="clear" w:color="auto" w:fill="E8E8E8"/>
          </w:tcPr>
          <w:p w14:paraId="3D516AE4" w14:textId="4FB59D80" w:rsidR="00262A83" w:rsidRPr="00997551" w:rsidRDefault="00D73768" w:rsidP="00CF22B1">
            <w:pPr>
              <w:pStyle w:val="Other0"/>
              <w:spacing w:before="100"/>
            </w:pPr>
            <w:r w:rsidRPr="00997551">
              <w:rPr>
                <w:b/>
                <w:bCs/>
              </w:rPr>
              <w:t xml:space="preserve">Hapi </w:t>
            </w:r>
            <w:r w:rsidRPr="00997551">
              <w:rPr>
                <w:b/>
                <w:bCs/>
                <w:lang w:val="sq-AL"/>
              </w:rPr>
              <w:t>i cili</w:t>
            </w:r>
            <w:r w:rsidRPr="00997551">
              <w:rPr>
                <w:b/>
                <w:bCs/>
              </w:rPr>
              <w:t xml:space="preserve"> po shqyrtohet</w:t>
            </w:r>
          </w:p>
        </w:tc>
        <w:tc>
          <w:tcPr>
            <w:tcW w:w="7805" w:type="dxa"/>
            <w:tcBorders>
              <w:top w:val="single" w:sz="4" w:space="0" w:color="auto"/>
              <w:left w:val="single" w:sz="4" w:space="0" w:color="auto"/>
              <w:right w:val="single" w:sz="4" w:space="0" w:color="auto"/>
            </w:tcBorders>
            <w:vAlign w:val="center"/>
          </w:tcPr>
          <w:p w14:paraId="777E8E62" w14:textId="2BE41D28" w:rsidR="00262A83" w:rsidRPr="00997551" w:rsidRDefault="00D73768" w:rsidP="00CF22B1">
            <w:pPr>
              <w:pStyle w:val="Other0"/>
              <w:jc w:val="both"/>
              <w:rPr>
                <w:lang w:val="sq-AL"/>
              </w:rPr>
            </w:pPr>
            <w:r w:rsidRPr="00997551">
              <w:rPr>
                <w:lang w:val="sq-AL"/>
              </w:rPr>
              <w:t>Sjellja</w:t>
            </w:r>
            <w:r w:rsidRPr="00997551">
              <w:rPr>
                <w:i/>
              </w:rPr>
              <w:t xml:space="preserve"> </w:t>
            </w:r>
            <w:r w:rsidRPr="00997551">
              <w:rPr>
                <w:i/>
                <w:lang w:val="sq-AL"/>
              </w:rPr>
              <w:t>e</w:t>
            </w:r>
            <w:r w:rsidRPr="00997551">
              <w:rPr>
                <w:i/>
              </w:rPr>
              <w:t xml:space="preserve"> </w:t>
            </w:r>
            <w:r w:rsidRPr="00997551">
              <w:rPr>
                <w:i/>
                <w:lang w:val="sq-AL"/>
              </w:rPr>
              <w:t>të</w:t>
            </w:r>
            <w:r w:rsidRPr="00997551">
              <w:rPr>
                <w:i/>
              </w:rPr>
              <w:t xml:space="preserve"> pak</w:t>
            </w:r>
            <w:r w:rsidRPr="00997551">
              <w:rPr>
                <w:i/>
                <w:lang w:val="sq-AL"/>
              </w:rPr>
              <w:t>tën</w:t>
            </w:r>
            <w:r w:rsidRPr="00997551">
              <w:rPr>
                <w:i/>
              </w:rPr>
              <w:t xml:space="preserve"> 17 akteve nënligjore të par</w:t>
            </w:r>
            <w:r w:rsidRPr="00997551">
              <w:rPr>
                <w:i/>
                <w:lang w:val="sq-AL"/>
              </w:rPr>
              <w:t>apara</w:t>
            </w:r>
            <w:r w:rsidRPr="00997551">
              <w:rPr>
                <w:i/>
              </w:rPr>
              <w:t xml:space="preserve"> në Ligjin për </w:t>
            </w:r>
            <w:r w:rsidRPr="00997551">
              <w:rPr>
                <w:i/>
                <w:lang w:val="sq-AL"/>
              </w:rPr>
              <w:t>B</w:t>
            </w:r>
            <w:r w:rsidRPr="00997551">
              <w:rPr>
                <w:i/>
              </w:rPr>
              <w:t>uxhetet (LB), përfshirë krijimin e regjistri</w:t>
            </w:r>
            <w:r w:rsidRPr="00997551">
              <w:rPr>
                <w:i/>
                <w:lang w:val="sq-AL"/>
              </w:rPr>
              <w:t>t</w:t>
            </w:r>
            <w:r w:rsidRPr="00997551">
              <w:rPr>
                <w:i/>
              </w:rPr>
              <w:t xml:space="preserve"> të subjekteve publike (neni 4), </w:t>
            </w:r>
            <w:r w:rsidRPr="00997551">
              <w:rPr>
                <w:i/>
                <w:lang w:val="sq-AL"/>
              </w:rPr>
              <w:t>revizionin</w:t>
            </w:r>
            <w:r w:rsidRPr="00997551">
              <w:rPr>
                <w:i/>
              </w:rPr>
              <w:t xml:space="preserve"> e klasifikimit buxhetor (neni 5) dhe </w:t>
            </w:r>
            <w:r w:rsidRPr="00997551">
              <w:rPr>
                <w:i/>
                <w:lang w:val="sq-AL"/>
              </w:rPr>
              <w:t>zvogëlimin e shfrytëzuesëve</w:t>
            </w:r>
            <w:r w:rsidRPr="00997551">
              <w:rPr>
                <w:i/>
              </w:rPr>
              <w:t xml:space="preserve"> primarë (“</w:t>
            </w:r>
            <w:r w:rsidRPr="00997551">
              <w:rPr>
                <w:i/>
                <w:lang w:val="sq-AL"/>
              </w:rPr>
              <w:t>amë</w:t>
            </w:r>
            <w:r w:rsidRPr="00997551">
              <w:rPr>
                <w:i/>
              </w:rPr>
              <w:t xml:space="preserve">”) të buxhetit për të paktën 40% në klasifikimin administrativ, si dhe </w:t>
            </w:r>
            <w:r w:rsidRPr="00997551">
              <w:rPr>
                <w:i/>
                <w:lang w:val="sq-AL"/>
              </w:rPr>
              <w:t>Rregullorja</w:t>
            </w:r>
            <w:r w:rsidRPr="00997551">
              <w:rPr>
                <w:i/>
              </w:rPr>
              <w:t xml:space="preserve"> për menaxhimin</w:t>
            </w:r>
            <w:r w:rsidRPr="00997551">
              <w:rPr>
                <w:i/>
                <w:lang w:val="sq-AL"/>
              </w:rPr>
              <w:t xml:space="preserve"> me</w:t>
            </w:r>
            <w:r w:rsidRPr="00997551">
              <w:rPr>
                <w:i/>
              </w:rPr>
              <w:t xml:space="preserve"> investime</w:t>
            </w:r>
            <w:r w:rsidRPr="00997551">
              <w:rPr>
                <w:i/>
                <w:lang w:val="sq-AL"/>
              </w:rPr>
              <w:t>t</w:t>
            </w:r>
            <w:r w:rsidRPr="00997551">
              <w:rPr>
                <w:i/>
              </w:rPr>
              <w:t xml:space="preserve"> publike (neni 20).</w:t>
            </w:r>
          </w:p>
        </w:tc>
      </w:tr>
      <w:tr w:rsidR="00262A83" w:rsidRPr="00997551" w14:paraId="62AC1E33" w14:textId="77777777" w:rsidTr="002A21B4">
        <w:trPr>
          <w:trHeight w:hRule="exact" w:val="851"/>
          <w:jc w:val="center"/>
        </w:trPr>
        <w:tc>
          <w:tcPr>
            <w:tcW w:w="1714" w:type="dxa"/>
            <w:tcBorders>
              <w:top w:val="single" w:sz="4" w:space="0" w:color="auto"/>
              <w:left w:val="single" w:sz="4" w:space="0" w:color="auto"/>
            </w:tcBorders>
            <w:shd w:val="clear" w:color="auto" w:fill="E8E8E8"/>
          </w:tcPr>
          <w:p w14:paraId="408222F3" w14:textId="54BF2386" w:rsidR="00262A83" w:rsidRPr="00997551" w:rsidRDefault="00D73768" w:rsidP="00CF22B1">
            <w:pPr>
              <w:pStyle w:val="Other0"/>
              <w:spacing w:before="80"/>
              <w:rPr>
                <w:lang w:val="sq-AL"/>
              </w:rPr>
            </w:pPr>
            <w:r w:rsidRPr="00997551">
              <w:rPr>
                <w:b/>
                <w:bCs/>
              </w:rPr>
              <w:t xml:space="preserve">Gjendja </w:t>
            </w:r>
            <w:r w:rsidRPr="00997551">
              <w:rPr>
                <w:b/>
                <w:bCs/>
                <w:lang w:val="sq-AL"/>
              </w:rPr>
              <w:t>themelore</w:t>
            </w:r>
          </w:p>
        </w:tc>
        <w:tc>
          <w:tcPr>
            <w:tcW w:w="7805" w:type="dxa"/>
            <w:tcBorders>
              <w:top w:val="single" w:sz="4" w:space="0" w:color="auto"/>
              <w:left w:val="single" w:sz="4" w:space="0" w:color="auto"/>
              <w:right w:val="single" w:sz="4" w:space="0" w:color="auto"/>
            </w:tcBorders>
            <w:vAlign w:val="center"/>
          </w:tcPr>
          <w:p w14:paraId="0A1CAE1E" w14:textId="062DFA3E" w:rsidR="00B5518F" w:rsidRPr="00997551" w:rsidRDefault="00B5518F" w:rsidP="00B5518F">
            <w:pPr>
              <w:pStyle w:val="Other0"/>
              <w:jc w:val="both"/>
              <w:rPr>
                <w:b/>
                <w:bCs/>
                <w:lang w:val="sq-AL"/>
              </w:rPr>
            </w:pPr>
          </w:p>
          <w:p w14:paraId="0950581E" w14:textId="27452215" w:rsidR="00B5518F" w:rsidRPr="00997551" w:rsidRDefault="00B5518F" w:rsidP="00B5518F">
            <w:pPr>
              <w:pStyle w:val="Other0"/>
              <w:jc w:val="both"/>
              <w:rPr>
                <w:lang w:val="en-GB"/>
              </w:rPr>
            </w:pPr>
            <w:r w:rsidRPr="00997551">
              <w:rPr>
                <w:lang w:val="en-GB"/>
              </w:rPr>
              <w:t>0 (</w:t>
            </w:r>
            <w:proofErr w:type="spellStart"/>
            <w:r w:rsidRPr="00997551">
              <w:rPr>
                <w:lang w:val="en-GB"/>
              </w:rPr>
              <w:t>viti</w:t>
            </w:r>
            <w:proofErr w:type="spellEnd"/>
            <w:r w:rsidRPr="00997551">
              <w:rPr>
                <w:lang w:val="en-GB"/>
              </w:rPr>
              <w:t xml:space="preserve"> 2024). (</w:t>
            </w:r>
            <w:proofErr w:type="spellStart"/>
            <w:r w:rsidRPr="00997551">
              <w:rPr>
                <w:lang w:val="en-GB"/>
              </w:rPr>
              <w:t>Ligji</w:t>
            </w:r>
            <w:proofErr w:type="spellEnd"/>
            <w:r w:rsidRPr="00997551">
              <w:rPr>
                <w:lang w:val="en-GB"/>
              </w:rPr>
              <w:t xml:space="preserve"> për </w:t>
            </w:r>
            <w:proofErr w:type="spellStart"/>
            <w:r w:rsidRPr="00997551">
              <w:rPr>
                <w:lang w:val="en-GB"/>
              </w:rPr>
              <w:t>Buxhetet</w:t>
            </w:r>
            <w:proofErr w:type="spellEnd"/>
            <w:r w:rsidRPr="00997551">
              <w:rPr>
                <w:lang w:val="en-GB"/>
              </w:rPr>
              <w:t xml:space="preserve"> u </w:t>
            </w:r>
            <w:proofErr w:type="spellStart"/>
            <w:r w:rsidRPr="00997551">
              <w:rPr>
                <w:lang w:val="en-GB"/>
              </w:rPr>
              <w:t>soll</w:t>
            </w:r>
            <w:proofErr w:type="spellEnd"/>
            <w:r w:rsidRPr="00997551">
              <w:rPr>
                <w:lang w:val="en-GB"/>
              </w:rPr>
              <w:t xml:space="preserve"> në </w:t>
            </w:r>
            <w:proofErr w:type="spellStart"/>
            <w:r w:rsidRPr="00997551">
              <w:rPr>
                <w:lang w:val="en-GB"/>
              </w:rPr>
              <w:t>muajin</w:t>
            </w:r>
            <w:proofErr w:type="spellEnd"/>
            <w:r w:rsidRPr="00997551">
              <w:rPr>
                <w:lang w:val="en-GB"/>
              </w:rPr>
              <w:t xml:space="preserve"> </w:t>
            </w:r>
            <w:proofErr w:type="spellStart"/>
            <w:r w:rsidRPr="00997551">
              <w:rPr>
                <w:lang w:val="en-GB"/>
              </w:rPr>
              <w:t>shtator</w:t>
            </w:r>
            <w:proofErr w:type="spellEnd"/>
            <w:r w:rsidRPr="00997551">
              <w:rPr>
                <w:lang w:val="en-GB"/>
              </w:rPr>
              <w:t xml:space="preserve"> të </w:t>
            </w:r>
            <w:proofErr w:type="spellStart"/>
            <w:r w:rsidRPr="00997551">
              <w:rPr>
                <w:lang w:val="en-GB"/>
              </w:rPr>
              <w:t>vitit</w:t>
            </w:r>
            <w:proofErr w:type="spellEnd"/>
            <w:r w:rsidRPr="00997551">
              <w:rPr>
                <w:lang w:val="en-GB"/>
              </w:rPr>
              <w:t xml:space="preserve"> 2022, </w:t>
            </w:r>
            <w:proofErr w:type="spellStart"/>
            <w:r w:rsidRPr="00997551">
              <w:rPr>
                <w:lang w:val="en-GB"/>
              </w:rPr>
              <w:t>por</w:t>
            </w:r>
            <w:proofErr w:type="spellEnd"/>
            <w:r w:rsidRPr="00997551">
              <w:rPr>
                <w:lang w:val="en-GB"/>
              </w:rPr>
              <w:t xml:space="preserve"> nuk janë </w:t>
            </w:r>
            <w:proofErr w:type="spellStart"/>
            <w:r w:rsidRPr="00997551">
              <w:rPr>
                <w:lang w:val="en-GB"/>
              </w:rPr>
              <w:t>sjellë</w:t>
            </w:r>
            <w:proofErr w:type="spellEnd"/>
            <w:r w:rsidRPr="00997551">
              <w:rPr>
                <w:lang w:val="en-GB"/>
              </w:rPr>
              <w:t xml:space="preserve"> </w:t>
            </w:r>
            <w:proofErr w:type="spellStart"/>
            <w:r w:rsidRPr="00997551">
              <w:rPr>
                <w:lang w:val="en-GB"/>
              </w:rPr>
              <w:t>aktet</w:t>
            </w:r>
            <w:proofErr w:type="spellEnd"/>
            <w:r w:rsidRPr="00997551">
              <w:rPr>
                <w:lang w:val="en-GB"/>
              </w:rPr>
              <w:t xml:space="preserve"> </w:t>
            </w:r>
            <w:proofErr w:type="spellStart"/>
            <w:r w:rsidRPr="00997551">
              <w:rPr>
                <w:lang w:val="en-GB"/>
              </w:rPr>
              <w:t>nënligjore</w:t>
            </w:r>
            <w:proofErr w:type="spellEnd"/>
            <w:r w:rsidRPr="00997551">
              <w:rPr>
                <w:lang w:val="en-GB"/>
              </w:rPr>
              <w:t xml:space="preserve"> të </w:t>
            </w:r>
            <w:proofErr w:type="spellStart"/>
            <w:r w:rsidRPr="00997551">
              <w:rPr>
                <w:lang w:val="en-GB"/>
              </w:rPr>
              <w:t>cilat</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siguron</w:t>
            </w:r>
            <w:proofErr w:type="spellEnd"/>
            <w:r w:rsidRPr="00997551">
              <w:rPr>
                <w:lang w:val="en-GB"/>
              </w:rPr>
              <w:t xml:space="preserve"> </w:t>
            </w:r>
            <w:proofErr w:type="spellStart"/>
            <w:r w:rsidRPr="00997551">
              <w:rPr>
                <w:lang w:val="en-GB"/>
              </w:rPr>
              <w:t>zbatimi</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tij</w:t>
            </w:r>
            <w:proofErr w:type="spellEnd"/>
            <w:r w:rsidRPr="00997551">
              <w:rPr>
                <w:lang w:val="en-GB"/>
              </w:rPr>
              <w:t>)</w:t>
            </w:r>
          </w:p>
          <w:p w14:paraId="5B8399B2" w14:textId="6A51389C" w:rsidR="00262A83" w:rsidRPr="00997551" w:rsidRDefault="00262A83" w:rsidP="00CF22B1">
            <w:pPr>
              <w:pStyle w:val="Other0"/>
              <w:jc w:val="both"/>
            </w:pPr>
          </w:p>
        </w:tc>
      </w:tr>
      <w:tr w:rsidR="00262A83" w:rsidRPr="00997551" w14:paraId="6714D46B" w14:textId="77777777" w:rsidTr="00CF22B1">
        <w:trPr>
          <w:trHeight w:hRule="exact" w:val="682"/>
          <w:jc w:val="center"/>
        </w:trPr>
        <w:tc>
          <w:tcPr>
            <w:tcW w:w="1714" w:type="dxa"/>
            <w:tcBorders>
              <w:top w:val="single" w:sz="4" w:space="0" w:color="auto"/>
              <w:left w:val="single" w:sz="4" w:space="0" w:color="auto"/>
            </w:tcBorders>
            <w:shd w:val="clear" w:color="auto" w:fill="E8E8E8"/>
            <w:vAlign w:val="center"/>
          </w:tcPr>
          <w:p w14:paraId="000F70E2" w14:textId="4122CC99" w:rsidR="00262A83" w:rsidRPr="00997551" w:rsidRDefault="00D73768" w:rsidP="00CF22B1">
            <w:pPr>
              <w:pStyle w:val="Other0"/>
            </w:pPr>
            <w:r w:rsidRPr="00997551">
              <w:rPr>
                <w:b/>
                <w:bCs/>
              </w:rPr>
              <w:t>Afati i fundit i hapit</w:t>
            </w:r>
          </w:p>
        </w:tc>
        <w:tc>
          <w:tcPr>
            <w:tcW w:w="7805" w:type="dxa"/>
            <w:tcBorders>
              <w:top w:val="single" w:sz="4" w:space="0" w:color="auto"/>
              <w:left w:val="single" w:sz="4" w:space="0" w:color="auto"/>
              <w:right w:val="single" w:sz="4" w:space="0" w:color="auto"/>
            </w:tcBorders>
          </w:tcPr>
          <w:p w14:paraId="6B6A4638" w14:textId="346EFAEC" w:rsidR="00262A83" w:rsidRPr="00997551" w:rsidRDefault="00D73768" w:rsidP="00CF22B1">
            <w:pPr>
              <w:pStyle w:val="Other0"/>
              <w:spacing w:before="80"/>
              <w:jc w:val="both"/>
            </w:pPr>
            <w:r w:rsidRPr="00997551">
              <w:rPr>
                <w:rStyle w:val="Other"/>
                <w:lang w:val="sq-AL"/>
              </w:rPr>
              <w:t>Në muajin dhejtor</w:t>
            </w:r>
            <w:r w:rsidRPr="00997551">
              <w:rPr>
                <w:rStyle w:val="Other"/>
              </w:rPr>
              <w:t xml:space="preserve"> 2024</w:t>
            </w:r>
          </w:p>
        </w:tc>
      </w:tr>
      <w:tr w:rsidR="00262A83" w:rsidRPr="00997551" w14:paraId="4C86A949" w14:textId="77777777" w:rsidTr="00CF22B1">
        <w:trPr>
          <w:trHeight w:hRule="exact" w:val="1186"/>
          <w:jc w:val="center"/>
        </w:trPr>
        <w:tc>
          <w:tcPr>
            <w:tcW w:w="1714" w:type="dxa"/>
            <w:tcBorders>
              <w:top w:val="single" w:sz="4" w:space="0" w:color="auto"/>
              <w:left w:val="single" w:sz="4" w:space="0" w:color="auto"/>
            </w:tcBorders>
            <w:shd w:val="clear" w:color="auto" w:fill="E8E8E8"/>
            <w:vAlign w:val="center"/>
          </w:tcPr>
          <w:p w14:paraId="25260116" w14:textId="0D5F9E0A" w:rsidR="00262A83" w:rsidRPr="00997551" w:rsidRDefault="00D73768" w:rsidP="00CF22B1">
            <w:pPr>
              <w:pStyle w:val="Other0"/>
            </w:pPr>
            <w:r w:rsidRPr="00997551">
              <w:rPr>
                <w:b/>
                <w:bCs/>
                <w:lang w:val="sq-AL"/>
              </w:rPr>
              <w:t>Konkludimi</w:t>
            </w:r>
            <w:r w:rsidRPr="00997551">
              <w:rPr>
                <w:b/>
                <w:bCs/>
              </w:rPr>
              <w:t xml:space="preserve"> i shqyrtimit të hapit nga </w:t>
            </w:r>
            <w:r w:rsidRPr="00997551">
              <w:rPr>
                <w:b/>
                <w:bCs/>
                <w:lang w:val="sq-AL"/>
              </w:rPr>
              <w:t>shfrytëzuesi</w:t>
            </w:r>
          </w:p>
        </w:tc>
        <w:tc>
          <w:tcPr>
            <w:tcW w:w="7805" w:type="dxa"/>
            <w:tcBorders>
              <w:top w:val="single" w:sz="4" w:space="0" w:color="auto"/>
              <w:left w:val="single" w:sz="4" w:space="0" w:color="auto"/>
              <w:right w:val="single" w:sz="4" w:space="0" w:color="auto"/>
            </w:tcBorders>
          </w:tcPr>
          <w:p w14:paraId="3E047844" w14:textId="4F633455" w:rsidR="00262A83" w:rsidRPr="00997551" w:rsidRDefault="00B5518F" w:rsidP="00CF22B1">
            <w:pPr>
              <w:pStyle w:val="Other0"/>
              <w:spacing w:before="80"/>
              <w:rPr>
                <w:lang w:val="sq-AL"/>
              </w:rPr>
            </w:pPr>
            <w:r w:rsidRPr="00997551">
              <w:rPr>
                <w:rStyle w:val="Other"/>
                <w:lang w:val="sq-AL"/>
              </w:rPr>
              <w:t xml:space="preserve">Shfrytëzuesi e konsideron si e arritur e pjesërishme </w:t>
            </w:r>
          </w:p>
        </w:tc>
      </w:tr>
      <w:tr w:rsidR="00262A83" w:rsidRPr="00997551" w14:paraId="586F1733" w14:textId="77777777" w:rsidTr="00CF22B1">
        <w:trPr>
          <w:trHeight w:hRule="exact" w:val="4450"/>
          <w:jc w:val="center"/>
        </w:trPr>
        <w:tc>
          <w:tcPr>
            <w:tcW w:w="1714" w:type="dxa"/>
            <w:tcBorders>
              <w:top w:val="single" w:sz="4" w:space="0" w:color="auto"/>
              <w:left w:val="single" w:sz="4" w:space="0" w:color="auto"/>
              <w:bottom w:val="single" w:sz="4" w:space="0" w:color="auto"/>
            </w:tcBorders>
            <w:shd w:val="clear" w:color="auto" w:fill="E8E8E8"/>
          </w:tcPr>
          <w:p w14:paraId="224CB785" w14:textId="77777777" w:rsidR="00D73768" w:rsidRPr="00997551" w:rsidRDefault="00D73768" w:rsidP="00D73768">
            <w:pPr>
              <w:pStyle w:val="Other0"/>
              <w:spacing w:before="80"/>
              <w:rPr>
                <w:b/>
                <w:bCs/>
                <w:lang w:val="en-GB"/>
              </w:rPr>
            </w:pPr>
            <w:proofErr w:type="spellStart"/>
            <w:r w:rsidRPr="00997551">
              <w:rPr>
                <w:b/>
                <w:bCs/>
                <w:lang w:val="en-GB"/>
              </w:rPr>
              <w:lastRenderedPageBreak/>
              <w:t>Vlerësimi</w:t>
            </w:r>
            <w:proofErr w:type="spellEnd"/>
            <w:r w:rsidRPr="00997551">
              <w:rPr>
                <w:b/>
                <w:bCs/>
                <w:lang w:val="en-GB"/>
              </w:rPr>
              <w:t xml:space="preserve"> </w:t>
            </w:r>
            <w:proofErr w:type="spellStart"/>
            <w:r w:rsidRPr="00997551">
              <w:rPr>
                <w:b/>
                <w:bCs/>
                <w:lang w:val="en-GB"/>
              </w:rPr>
              <w:t>i</w:t>
            </w:r>
            <w:proofErr w:type="spellEnd"/>
            <w:r w:rsidRPr="00997551">
              <w:rPr>
                <w:b/>
                <w:bCs/>
                <w:lang w:val="en-GB"/>
              </w:rPr>
              <w:t xml:space="preserve"> </w:t>
            </w:r>
            <w:proofErr w:type="spellStart"/>
            <w:r w:rsidRPr="00997551">
              <w:rPr>
                <w:b/>
                <w:bCs/>
                <w:lang w:val="en-GB"/>
              </w:rPr>
              <w:t>rezultateve</w:t>
            </w:r>
            <w:proofErr w:type="spellEnd"/>
            <w:r w:rsidRPr="00997551">
              <w:rPr>
                <w:b/>
                <w:bCs/>
                <w:lang w:val="en-GB"/>
              </w:rPr>
              <w:t xml:space="preserve"> </w:t>
            </w:r>
            <w:proofErr w:type="spellStart"/>
            <w:r w:rsidRPr="00997551">
              <w:rPr>
                <w:b/>
                <w:bCs/>
                <w:lang w:val="en-GB"/>
              </w:rPr>
              <w:t>nga</w:t>
            </w:r>
            <w:proofErr w:type="spellEnd"/>
            <w:r w:rsidRPr="00997551">
              <w:rPr>
                <w:b/>
                <w:bCs/>
                <w:lang w:val="en-GB"/>
              </w:rPr>
              <w:t xml:space="preserve"> </w:t>
            </w:r>
            <w:proofErr w:type="spellStart"/>
            <w:r w:rsidRPr="00997551">
              <w:rPr>
                <w:b/>
                <w:bCs/>
                <w:lang w:val="en-GB"/>
              </w:rPr>
              <w:t>Komisioni</w:t>
            </w:r>
            <w:proofErr w:type="spellEnd"/>
          </w:p>
          <w:p w14:paraId="65193487" w14:textId="026CC84C" w:rsidR="00262A83" w:rsidRPr="00997551" w:rsidRDefault="00262A83" w:rsidP="00CF22B1">
            <w:pPr>
              <w:pStyle w:val="Other0"/>
              <w:spacing w:before="80"/>
              <w:rPr>
                <w:lang w:val="sq-AL"/>
              </w:rPr>
            </w:pPr>
          </w:p>
        </w:tc>
        <w:tc>
          <w:tcPr>
            <w:tcW w:w="7805" w:type="dxa"/>
            <w:tcBorders>
              <w:top w:val="single" w:sz="4" w:space="0" w:color="auto"/>
              <w:left w:val="single" w:sz="4" w:space="0" w:color="auto"/>
              <w:bottom w:val="single" w:sz="4" w:space="0" w:color="auto"/>
              <w:right w:val="single" w:sz="4" w:space="0" w:color="auto"/>
            </w:tcBorders>
            <w:vAlign w:val="center"/>
          </w:tcPr>
          <w:p w14:paraId="1301052C" w14:textId="43A6BB11" w:rsidR="00262A83" w:rsidRPr="00997551" w:rsidRDefault="00B5518F" w:rsidP="00CF22B1">
            <w:pPr>
              <w:pStyle w:val="Other0"/>
              <w:spacing w:after="60"/>
            </w:pPr>
            <w:r w:rsidRPr="00997551">
              <w:rPr>
                <w:lang w:val="sq-AL"/>
              </w:rPr>
              <w:t>Në</w:t>
            </w:r>
            <w:r w:rsidRPr="00997551">
              <w:t xml:space="preserve"> periudhë</w:t>
            </w:r>
            <w:r w:rsidRPr="00997551">
              <w:rPr>
                <w:lang w:val="sq-AL"/>
              </w:rPr>
              <w:t xml:space="preserve">n </w:t>
            </w:r>
            <w:r w:rsidRPr="00997551">
              <w:t>raport</w:t>
            </w:r>
            <w:r w:rsidRPr="00997551">
              <w:rPr>
                <w:lang w:val="sq-AL"/>
              </w:rPr>
              <w:t>uese</w:t>
            </w:r>
            <w:r w:rsidRPr="00997551">
              <w:t xml:space="preserve"> u publikuan aktet nënligjore </w:t>
            </w:r>
            <w:r w:rsidRPr="00997551">
              <w:rPr>
                <w:lang w:val="sq-AL"/>
              </w:rPr>
              <w:t>vijuese</w:t>
            </w:r>
            <w:r w:rsidR="00262A83" w:rsidRPr="00997551">
              <w:rPr>
                <w:rStyle w:val="Other"/>
              </w:rPr>
              <w:t>:</w:t>
            </w:r>
          </w:p>
          <w:p w14:paraId="29303291" w14:textId="652BEE2E" w:rsidR="00262A83" w:rsidRPr="00997551" w:rsidRDefault="00B5518F" w:rsidP="00262A83">
            <w:pPr>
              <w:pStyle w:val="Other0"/>
              <w:numPr>
                <w:ilvl w:val="0"/>
                <w:numId w:val="3"/>
              </w:numPr>
              <w:tabs>
                <w:tab w:val="left" w:pos="336"/>
              </w:tabs>
              <w:spacing w:after="60"/>
            </w:pPr>
            <w:r w:rsidRPr="00997551">
              <w:t>Deklarat</w:t>
            </w:r>
            <w:r w:rsidRPr="00997551">
              <w:rPr>
                <w:lang w:val="sq-AL"/>
              </w:rPr>
              <w:t>ë</w:t>
            </w:r>
            <w:r w:rsidRPr="00997551">
              <w:t xml:space="preserve"> për politikën fiskale</w:t>
            </w:r>
            <w:r w:rsidR="00262A83" w:rsidRPr="00997551">
              <w:rPr>
                <w:rStyle w:val="Other"/>
              </w:rPr>
              <w:t>:</w:t>
            </w:r>
          </w:p>
          <w:p w14:paraId="3910A663" w14:textId="77777777" w:rsidR="00262A83" w:rsidRPr="00997551" w:rsidRDefault="00262A83" w:rsidP="00CF22B1">
            <w:pPr>
              <w:pStyle w:val="Other0"/>
              <w:spacing w:after="60"/>
            </w:pPr>
            <w:hyperlink r:id="rId9" w:history="1">
              <w:r w:rsidRPr="00997551">
                <w:rPr>
                  <w:rStyle w:val="Other"/>
                  <w:i/>
                  <w:color w:val="467886"/>
                </w:rPr>
                <w:t>https://finance.gov.mk/wp-content/uploads/2025/02/FISCAL-POLICY-STATEMENT-</w:t>
              </w:r>
            </w:hyperlink>
            <w:r w:rsidRPr="00997551">
              <w:rPr>
                <w:rStyle w:val="Other"/>
                <w:i/>
                <w:color w:val="467886"/>
              </w:rPr>
              <w:t xml:space="preserve"> </w:t>
            </w:r>
            <w:hyperlink r:id="rId10" w:history="1">
              <w:r w:rsidRPr="00997551">
                <w:rPr>
                  <w:rStyle w:val="Other"/>
                  <w:i/>
                  <w:color w:val="467886"/>
                  <w:u w:val="single"/>
                </w:rPr>
                <w:t>FOR-THE-PERIOD-2024-2028.pdf</w:t>
              </w:r>
            </w:hyperlink>
          </w:p>
          <w:p w14:paraId="4ECC0944" w14:textId="4541C4FB" w:rsidR="00262A83" w:rsidRPr="00997551" w:rsidRDefault="00B5518F" w:rsidP="00262A83">
            <w:pPr>
              <w:pStyle w:val="Other0"/>
              <w:numPr>
                <w:ilvl w:val="0"/>
                <w:numId w:val="3"/>
              </w:numPr>
              <w:tabs>
                <w:tab w:val="left" w:pos="336"/>
              </w:tabs>
              <w:spacing w:after="60"/>
            </w:pPr>
            <w:r w:rsidRPr="00997551">
              <w:t>Regjist</w:t>
            </w:r>
            <w:r w:rsidRPr="00997551">
              <w:rPr>
                <w:lang w:val="sq-AL"/>
              </w:rPr>
              <w:t xml:space="preserve">ër </w:t>
            </w:r>
            <w:r w:rsidRPr="00997551">
              <w:t>i subjekteve publike</w:t>
            </w:r>
            <w:r w:rsidR="00262A83" w:rsidRPr="00997551">
              <w:rPr>
                <w:rStyle w:val="Other"/>
              </w:rPr>
              <w:t>:</w:t>
            </w:r>
          </w:p>
          <w:p w14:paraId="048C65BA" w14:textId="77777777" w:rsidR="00262A83" w:rsidRPr="00997551" w:rsidRDefault="00262A83" w:rsidP="00CF22B1">
            <w:pPr>
              <w:pStyle w:val="Other0"/>
            </w:pPr>
            <w:hyperlink r:id="rId11" w:history="1">
              <w:r w:rsidRPr="00997551">
                <w:rPr>
                  <w:rStyle w:val="Other"/>
                  <w:i/>
                  <w:color w:val="467886"/>
                  <w:u w:val="single"/>
                </w:rPr>
                <w:t>https://fmance.gov.mk/wp-content/uploads/2025/02/REGISTER-OF-PUBLIC-</w:t>
              </w:r>
            </w:hyperlink>
          </w:p>
          <w:p w14:paraId="192732E4" w14:textId="77777777" w:rsidR="00262A83" w:rsidRPr="00997551" w:rsidRDefault="00262A83" w:rsidP="00CF22B1">
            <w:pPr>
              <w:pStyle w:val="Other0"/>
              <w:spacing w:after="60"/>
            </w:pPr>
            <w:hyperlink r:id="rId12" w:history="1">
              <w:r w:rsidRPr="00997551">
                <w:rPr>
                  <w:rStyle w:val="Other"/>
                  <w:i/>
                  <w:color w:val="467886"/>
                  <w:u w:val="single"/>
                </w:rPr>
                <w:t>ENTITIES.xlsx</w:t>
              </w:r>
            </w:hyperlink>
          </w:p>
          <w:p w14:paraId="0FD80FA6" w14:textId="77777777" w:rsidR="00262A83" w:rsidRPr="00997551" w:rsidRDefault="00262A83" w:rsidP="00CF22B1">
            <w:pPr>
              <w:pStyle w:val="Other0"/>
              <w:spacing w:after="60"/>
            </w:pPr>
            <w:hyperlink r:id="rId13" w:history="1">
              <w:r w:rsidRPr="00997551">
                <w:rPr>
                  <w:rStyle w:val="Other"/>
                  <w:i/>
                  <w:color w:val="467886"/>
                  <w:u w:val="single"/>
                </w:rPr>
                <w:t>https://fmance.gov.mk/wp-content/uploads/2025/02/RULEBOOK.pdf</w:t>
              </w:r>
            </w:hyperlink>
          </w:p>
          <w:p w14:paraId="6EDD1D55" w14:textId="3457DA19" w:rsidR="00262A83" w:rsidRPr="00997551" w:rsidRDefault="00B5518F" w:rsidP="00262A83">
            <w:pPr>
              <w:pStyle w:val="Other0"/>
              <w:numPr>
                <w:ilvl w:val="0"/>
                <w:numId w:val="3"/>
              </w:numPr>
              <w:tabs>
                <w:tab w:val="left" w:pos="336"/>
              </w:tabs>
              <w:spacing w:after="60"/>
            </w:pPr>
            <w:r w:rsidRPr="00997551">
              <w:t>Klasifikimi organizativ</w:t>
            </w:r>
            <w:r w:rsidR="00262A83" w:rsidRPr="00997551">
              <w:rPr>
                <w:rStyle w:val="Other"/>
              </w:rPr>
              <w:t>:</w:t>
            </w:r>
          </w:p>
          <w:p w14:paraId="33BB3167" w14:textId="77777777" w:rsidR="00262A83" w:rsidRPr="00997551" w:rsidRDefault="00262A83" w:rsidP="00CF22B1">
            <w:pPr>
              <w:pStyle w:val="Other0"/>
            </w:pPr>
            <w:hyperlink r:id="rId14" w:history="1">
              <w:r w:rsidRPr="00997551">
                <w:rPr>
                  <w:rStyle w:val="Other"/>
                  <w:i/>
                  <w:color w:val="467886"/>
                  <w:u w:val="single"/>
                </w:rPr>
                <w:t>https://fmance.gov.mk/wp-content/uploads/2025/02/Rulebook-on-Organizational-</w:t>
              </w:r>
            </w:hyperlink>
          </w:p>
          <w:p w14:paraId="2F630912" w14:textId="77777777" w:rsidR="00262A83" w:rsidRPr="00997551" w:rsidRDefault="00262A83" w:rsidP="00CF22B1">
            <w:pPr>
              <w:pStyle w:val="Other0"/>
              <w:spacing w:after="60"/>
            </w:pPr>
            <w:hyperlink r:id="rId15" w:history="1">
              <w:r w:rsidRPr="00997551">
                <w:rPr>
                  <w:rStyle w:val="Other"/>
                  <w:i/>
                  <w:color w:val="467886"/>
                  <w:u w:val="single"/>
                </w:rPr>
                <w:t>Classification.pdf</w:t>
              </w:r>
            </w:hyperlink>
          </w:p>
          <w:p w14:paraId="055FCA6A" w14:textId="77777777" w:rsidR="00262A83" w:rsidRPr="00997551" w:rsidRDefault="00262A83" w:rsidP="00CF22B1">
            <w:pPr>
              <w:pStyle w:val="Other0"/>
              <w:spacing w:after="60"/>
            </w:pPr>
            <w:hyperlink r:id="rId16" w:history="1">
              <w:r w:rsidRPr="00997551">
                <w:rPr>
                  <w:rStyle w:val="Other"/>
                  <w:i/>
                  <w:color w:val="467886"/>
                  <w:u w:val="single"/>
                </w:rPr>
                <w:t>https://fmance.gov.mk/wp-content/uploads/2025/02/Organizational-</w:t>
              </w:r>
            </w:hyperlink>
            <w:r w:rsidRPr="00997551">
              <w:rPr>
                <w:rStyle w:val="Other"/>
                <w:i/>
                <w:color w:val="467886"/>
                <w:u w:val="single"/>
              </w:rPr>
              <w:t xml:space="preserve"> </w:t>
            </w:r>
            <w:hyperlink r:id="rId17" w:history="1">
              <w:r w:rsidRPr="00997551">
                <w:rPr>
                  <w:rStyle w:val="Other"/>
                  <w:i/>
                  <w:color w:val="467886"/>
                  <w:u w:val="single"/>
                </w:rPr>
                <w:t>classification.pdf</w:t>
              </w:r>
            </w:hyperlink>
          </w:p>
          <w:p w14:paraId="46E4F3F0" w14:textId="2EE1A1D0" w:rsidR="00262A83" w:rsidRPr="00997551" w:rsidRDefault="00B5518F" w:rsidP="00262A83">
            <w:pPr>
              <w:pStyle w:val="Other0"/>
              <w:numPr>
                <w:ilvl w:val="0"/>
                <w:numId w:val="3"/>
              </w:numPr>
              <w:tabs>
                <w:tab w:val="left" w:pos="336"/>
              </w:tabs>
              <w:spacing w:after="60"/>
            </w:pPr>
            <w:r w:rsidRPr="00997551">
              <w:t xml:space="preserve">Klasifikimi </w:t>
            </w:r>
            <w:r w:rsidRPr="00997551">
              <w:rPr>
                <w:lang w:val="sq-AL"/>
              </w:rPr>
              <w:t>ekonomik</w:t>
            </w:r>
            <w:r w:rsidR="00262A83" w:rsidRPr="00997551">
              <w:rPr>
                <w:rStyle w:val="Other"/>
              </w:rPr>
              <w:t>:</w:t>
            </w:r>
          </w:p>
        </w:tc>
      </w:tr>
    </w:tbl>
    <w:p w14:paraId="38D9F7A3" w14:textId="77777777" w:rsidR="00262A83" w:rsidRPr="00997551" w:rsidRDefault="00262A83" w:rsidP="00AE7433">
      <w:pPr>
        <w:spacing w:line="1" w:lineRule="exact"/>
        <w:rPr>
          <w:rFonts w:ascii="Times New Roman" w:hAnsi="Times New Roman" w:cs="Times New Roman"/>
        </w:rPr>
      </w:pPr>
      <w:r w:rsidRPr="00997551">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805"/>
      </w:tblGrid>
      <w:tr w:rsidR="00262A83" w:rsidRPr="00997551" w14:paraId="69287C5A" w14:textId="77777777" w:rsidTr="00CF22B1">
        <w:trPr>
          <w:trHeight w:hRule="exact" w:val="245"/>
          <w:jc w:val="center"/>
        </w:trPr>
        <w:tc>
          <w:tcPr>
            <w:tcW w:w="1714" w:type="dxa"/>
            <w:vMerge w:val="restart"/>
            <w:tcBorders>
              <w:top w:val="single" w:sz="4" w:space="0" w:color="auto"/>
              <w:left w:val="single" w:sz="4" w:space="0" w:color="auto"/>
            </w:tcBorders>
            <w:shd w:val="clear" w:color="auto" w:fill="E8E8E8"/>
          </w:tcPr>
          <w:p w14:paraId="1CFE0893" w14:textId="77777777" w:rsidR="00262A83" w:rsidRPr="00997551" w:rsidRDefault="00262A83" w:rsidP="00CF22B1">
            <w:pPr>
              <w:rPr>
                <w:rFonts w:ascii="Times New Roman" w:hAnsi="Times New Roman" w:cs="Times New Roman"/>
                <w:sz w:val="10"/>
                <w:szCs w:val="10"/>
              </w:rPr>
            </w:pPr>
          </w:p>
        </w:tc>
        <w:tc>
          <w:tcPr>
            <w:tcW w:w="7805" w:type="dxa"/>
            <w:tcBorders>
              <w:top w:val="single" w:sz="4" w:space="0" w:color="auto"/>
              <w:left w:val="single" w:sz="4" w:space="0" w:color="auto"/>
              <w:right w:val="single" w:sz="4" w:space="0" w:color="auto"/>
            </w:tcBorders>
            <w:vAlign w:val="bottom"/>
          </w:tcPr>
          <w:p w14:paraId="589BB981" w14:textId="77777777" w:rsidR="00262A83" w:rsidRPr="00997551" w:rsidRDefault="00262A83" w:rsidP="00CF22B1">
            <w:pPr>
              <w:pStyle w:val="Other0"/>
              <w:jc w:val="both"/>
            </w:pPr>
            <w:hyperlink r:id="rId18" w:history="1">
              <w:r w:rsidRPr="00997551">
                <w:rPr>
                  <w:rStyle w:val="Other"/>
                  <w:i/>
                  <w:color w:val="467886"/>
                </w:rPr>
                <w:t>https://finance.gov.mk/wp-content/uploads/2025/02/RULEBOOK-ON-ECONOMIC-</w:t>
              </w:r>
            </w:hyperlink>
          </w:p>
        </w:tc>
      </w:tr>
      <w:tr w:rsidR="00262A83" w:rsidRPr="00997551" w14:paraId="6F9FE90C" w14:textId="77777777" w:rsidTr="00CF22B1">
        <w:trPr>
          <w:trHeight w:hRule="exact" w:val="590"/>
          <w:jc w:val="center"/>
        </w:trPr>
        <w:tc>
          <w:tcPr>
            <w:tcW w:w="1714" w:type="dxa"/>
            <w:vMerge/>
            <w:tcBorders>
              <w:left w:val="single" w:sz="4" w:space="0" w:color="auto"/>
            </w:tcBorders>
            <w:shd w:val="clear" w:color="auto" w:fill="E8E8E8"/>
          </w:tcPr>
          <w:p w14:paraId="51377783" w14:textId="77777777" w:rsidR="00262A83" w:rsidRPr="00997551" w:rsidRDefault="00262A83" w:rsidP="00CF22B1">
            <w:pPr>
              <w:rPr>
                <w:rFonts w:ascii="Times New Roman" w:hAnsi="Times New Roman" w:cs="Times New Roman"/>
              </w:rPr>
            </w:pPr>
          </w:p>
        </w:tc>
        <w:tc>
          <w:tcPr>
            <w:tcW w:w="7805" w:type="dxa"/>
            <w:tcBorders>
              <w:top w:val="single" w:sz="4" w:space="0" w:color="auto"/>
              <w:left w:val="single" w:sz="4" w:space="0" w:color="auto"/>
              <w:right w:val="single" w:sz="4" w:space="0" w:color="auto"/>
            </w:tcBorders>
            <w:vAlign w:val="bottom"/>
          </w:tcPr>
          <w:p w14:paraId="57F0CF3B" w14:textId="77777777" w:rsidR="00262A83" w:rsidRPr="00997551" w:rsidRDefault="00262A83" w:rsidP="00CF22B1">
            <w:pPr>
              <w:pStyle w:val="Other0"/>
              <w:spacing w:after="60"/>
              <w:jc w:val="both"/>
            </w:pPr>
            <w:hyperlink r:id="rId19" w:history="1">
              <w:r w:rsidRPr="00997551">
                <w:rPr>
                  <w:rStyle w:val="Other"/>
                  <w:i/>
                  <w:color w:val="467886"/>
                  <w:u w:val="single"/>
                </w:rPr>
                <w:t>CLASSIFICATION.pdf</w:t>
              </w:r>
            </w:hyperlink>
          </w:p>
          <w:p w14:paraId="4C4AE0D3" w14:textId="77777777" w:rsidR="00262A83" w:rsidRPr="00997551" w:rsidRDefault="00262A83" w:rsidP="00CF22B1">
            <w:pPr>
              <w:pStyle w:val="Other0"/>
              <w:jc w:val="both"/>
            </w:pPr>
            <w:hyperlink r:id="rId20" w:history="1">
              <w:r w:rsidRPr="00997551">
                <w:rPr>
                  <w:rStyle w:val="Other"/>
                  <w:i/>
                  <w:color w:val="467886"/>
                </w:rPr>
                <w:t>https://finance.gov.mk/wp-content/uploads/2025/02/Economic-revenues.pdf</w:t>
              </w:r>
            </w:hyperlink>
          </w:p>
        </w:tc>
      </w:tr>
      <w:tr w:rsidR="00262A83" w:rsidRPr="00997551" w14:paraId="162D02BF" w14:textId="77777777" w:rsidTr="00CF22B1">
        <w:trPr>
          <w:trHeight w:hRule="exact" w:val="331"/>
          <w:jc w:val="center"/>
        </w:trPr>
        <w:tc>
          <w:tcPr>
            <w:tcW w:w="1714" w:type="dxa"/>
            <w:vMerge/>
            <w:tcBorders>
              <w:left w:val="single" w:sz="4" w:space="0" w:color="auto"/>
            </w:tcBorders>
            <w:shd w:val="clear" w:color="auto" w:fill="E8E8E8"/>
          </w:tcPr>
          <w:p w14:paraId="64BC6EDD" w14:textId="77777777" w:rsidR="00262A83" w:rsidRPr="00997551" w:rsidRDefault="00262A83" w:rsidP="00CF22B1">
            <w:pPr>
              <w:rPr>
                <w:rFonts w:ascii="Times New Roman" w:hAnsi="Times New Roman" w:cs="Times New Roman"/>
              </w:rPr>
            </w:pPr>
          </w:p>
        </w:tc>
        <w:tc>
          <w:tcPr>
            <w:tcW w:w="7805" w:type="dxa"/>
            <w:tcBorders>
              <w:top w:val="single" w:sz="4" w:space="0" w:color="auto"/>
              <w:left w:val="single" w:sz="4" w:space="0" w:color="auto"/>
              <w:right w:val="single" w:sz="4" w:space="0" w:color="auto"/>
            </w:tcBorders>
            <w:vAlign w:val="bottom"/>
          </w:tcPr>
          <w:p w14:paraId="2BF5F7B7" w14:textId="77777777" w:rsidR="00262A83" w:rsidRPr="00997551" w:rsidRDefault="00262A83" w:rsidP="00CF22B1">
            <w:pPr>
              <w:pStyle w:val="Other0"/>
              <w:jc w:val="both"/>
            </w:pPr>
            <w:hyperlink r:id="rId21" w:history="1">
              <w:r w:rsidRPr="00997551">
                <w:rPr>
                  <w:rStyle w:val="Other"/>
                  <w:i/>
                  <w:color w:val="467886"/>
                </w:rPr>
                <w:t>https://finance. gov.mk/wp-content/uploads/2025/02/Economic-expenditure.pdf</w:t>
              </w:r>
            </w:hyperlink>
          </w:p>
        </w:tc>
      </w:tr>
      <w:tr w:rsidR="00262A83" w:rsidRPr="00997551" w14:paraId="09515D25" w14:textId="77777777" w:rsidTr="00CF22B1">
        <w:trPr>
          <w:trHeight w:hRule="exact" w:val="998"/>
          <w:jc w:val="center"/>
        </w:trPr>
        <w:tc>
          <w:tcPr>
            <w:tcW w:w="1714" w:type="dxa"/>
            <w:vMerge/>
            <w:tcBorders>
              <w:left w:val="single" w:sz="4" w:space="0" w:color="auto"/>
            </w:tcBorders>
            <w:shd w:val="clear" w:color="auto" w:fill="E8E8E8"/>
          </w:tcPr>
          <w:p w14:paraId="57CF1601" w14:textId="77777777" w:rsidR="00262A83" w:rsidRPr="00997551" w:rsidRDefault="00262A83" w:rsidP="00CF22B1">
            <w:pPr>
              <w:rPr>
                <w:rFonts w:ascii="Times New Roman" w:hAnsi="Times New Roman" w:cs="Times New Roman"/>
              </w:rPr>
            </w:pPr>
          </w:p>
        </w:tc>
        <w:tc>
          <w:tcPr>
            <w:tcW w:w="7805" w:type="dxa"/>
            <w:tcBorders>
              <w:top w:val="single" w:sz="4" w:space="0" w:color="auto"/>
              <w:left w:val="single" w:sz="4" w:space="0" w:color="auto"/>
              <w:right w:val="single" w:sz="4" w:space="0" w:color="auto"/>
            </w:tcBorders>
            <w:vAlign w:val="bottom"/>
          </w:tcPr>
          <w:p w14:paraId="3E8BFC2E" w14:textId="32404D8E" w:rsidR="00262A83" w:rsidRPr="00997551" w:rsidRDefault="00262A83" w:rsidP="00CF22B1">
            <w:pPr>
              <w:pStyle w:val="Other0"/>
              <w:spacing w:after="60"/>
              <w:jc w:val="both"/>
            </w:pPr>
            <w:r w:rsidRPr="00997551">
              <w:rPr>
                <w:rStyle w:val="Other"/>
              </w:rPr>
              <w:t xml:space="preserve">5. </w:t>
            </w:r>
            <w:r w:rsidR="00B5518F" w:rsidRPr="00997551">
              <w:t xml:space="preserve">Klasifikimi </w:t>
            </w:r>
            <w:r w:rsidR="00B5518F" w:rsidRPr="00997551">
              <w:rPr>
                <w:lang w:val="sq-AL"/>
              </w:rPr>
              <w:t>funksional</w:t>
            </w:r>
            <w:r w:rsidRPr="00997551">
              <w:rPr>
                <w:rStyle w:val="Other"/>
              </w:rPr>
              <w:t>:</w:t>
            </w:r>
          </w:p>
          <w:p w14:paraId="1B56460F" w14:textId="77777777" w:rsidR="00262A83" w:rsidRPr="00997551" w:rsidRDefault="00262A83" w:rsidP="00CF22B1">
            <w:pPr>
              <w:pStyle w:val="Other0"/>
              <w:spacing w:after="60"/>
              <w:jc w:val="both"/>
            </w:pPr>
            <w:hyperlink r:id="rId22" w:history="1">
              <w:r w:rsidRPr="00997551">
                <w:rPr>
                  <w:rStyle w:val="Other"/>
                  <w:i/>
                  <w:color w:val="467886"/>
                  <w:u w:val="single"/>
                </w:rPr>
                <w:t>Att-2-OECD-Class-Definitions-Functional-classification.pdf</w:t>
              </w:r>
            </w:hyperlink>
          </w:p>
          <w:p w14:paraId="57CA5CA7" w14:textId="77777777" w:rsidR="00262A83" w:rsidRPr="00997551" w:rsidRDefault="00262A83" w:rsidP="00CF22B1">
            <w:pPr>
              <w:pStyle w:val="Other0"/>
              <w:spacing w:after="60"/>
              <w:jc w:val="both"/>
            </w:pPr>
            <w:hyperlink r:id="rId23" w:history="1">
              <w:r w:rsidRPr="00997551">
                <w:rPr>
                  <w:rStyle w:val="Other"/>
                  <w:i/>
                  <w:color w:val="467886"/>
                </w:rPr>
                <w:t>https://finance.gov.mk/wp-content/uploads/2025/02/Rulebook-on-Functional-</w:t>
              </w:r>
            </w:hyperlink>
          </w:p>
        </w:tc>
      </w:tr>
      <w:tr w:rsidR="00262A83" w:rsidRPr="00997551" w14:paraId="7CDF0653" w14:textId="77777777" w:rsidTr="00CF22B1">
        <w:trPr>
          <w:trHeight w:hRule="exact" w:val="917"/>
          <w:jc w:val="center"/>
        </w:trPr>
        <w:tc>
          <w:tcPr>
            <w:tcW w:w="1714" w:type="dxa"/>
            <w:vMerge/>
            <w:tcBorders>
              <w:left w:val="single" w:sz="4" w:space="0" w:color="auto"/>
            </w:tcBorders>
            <w:shd w:val="clear" w:color="auto" w:fill="E8E8E8"/>
          </w:tcPr>
          <w:p w14:paraId="116F0C31" w14:textId="77777777" w:rsidR="00262A83" w:rsidRPr="00997551" w:rsidRDefault="00262A83" w:rsidP="00CF22B1">
            <w:pPr>
              <w:rPr>
                <w:rFonts w:ascii="Times New Roman" w:hAnsi="Times New Roman" w:cs="Times New Roman"/>
              </w:rPr>
            </w:pPr>
          </w:p>
        </w:tc>
        <w:tc>
          <w:tcPr>
            <w:tcW w:w="7805" w:type="dxa"/>
            <w:tcBorders>
              <w:top w:val="single" w:sz="4" w:space="0" w:color="auto"/>
              <w:left w:val="single" w:sz="4" w:space="0" w:color="auto"/>
              <w:right w:val="single" w:sz="4" w:space="0" w:color="auto"/>
            </w:tcBorders>
            <w:vAlign w:val="bottom"/>
          </w:tcPr>
          <w:p w14:paraId="6C336CAB" w14:textId="77777777" w:rsidR="00262A83" w:rsidRPr="00997551" w:rsidRDefault="00262A83" w:rsidP="00CF22B1">
            <w:pPr>
              <w:pStyle w:val="Other0"/>
              <w:spacing w:after="60"/>
              <w:jc w:val="both"/>
            </w:pPr>
            <w:hyperlink r:id="rId24" w:history="1">
              <w:r w:rsidRPr="00997551">
                <w:rPr>
                  <w:rStyle w:val="Other"/>
                  <w:i/>
                  <w:color w:val="467886"/>
                  <w:u w:val="single"/>
                </w:rPr>
                <w:t>Classiflcation.pdf</w:t>
              </w:r>
            </w:hyperlink>
          </w:p>
          <w:p w14:paraId="0BDCD728" w14:textId="1B88A69F" w:rsidR="00262A83" w:rsidRPr="00997551" w:rsidRDefault="00262A83" w:rsidP="00CF22B1">
            <w:pPr>
              <w:pStyle w:val="Other0"/>
              <w:spacing w:after="60"/>
              <w:jc w:val="both"/>
            </w:pPr>
            <w:r w:rsidRPr="00997551">
              <w:rPr>
                <w:rStyle w:val="Other"/>
              </w:rPr>
              <w:t xml:space="preserve">6. </w:t>
            </w:r>
            <w:r w:rsidR="00B5518F" w:rsidRPr="00997551">
              <w:t xml:space="preserve">Klasifikimi </w:t>
            </w:r>
            <w:r w:rsidR="00B5518F" w:rsidRPr="00997551">
              <w:rPr>
                <w:lang w:val="sq-AL"/>
              </w:rPr>
              <w:t>i programit</w:t>
            </w:r>
            <w:r w:rsidRPr="00997551">
              <w:rPr>
                <w:rStyle w:val="Other"/>
              </w:rPr>
              <w:t>:</w:t>
            </w:r>
          </w:p>
          <w:p w14:paraId="3236D6E6" w14:textId="77777777" w:rsidR="00262A83" w:rsidRPr="00997551" w:rsidRDefault="00262A83" w:rsidP="00CF22B1">
            <w:pPr>
              <w:pStyle w:val="Other0"/>
              <w:spacing w:after="60"/>
              <w:jc w:val="both"/>
            </w:pPr>
            <w:hyperlink r:id="rId25" w:history="1">
              <w:r w:rsidRPr="00997551">
                <w:rPr>
                  <w:rStyle w:val="Other"/>
                  <w:i/>
                  <w:color w:val="467886"/>
                </w:rPr>
                <w:t>https://finance.gov.mk/wp-content/uploads/2025/02/Program-Classification-</w:t>
              </w:r>
            </w:hyperlink>
          </w:p>
        </w:tc>
      </w:tr>
      <w:tr w:rsidR="00262A83" w:rsidRPr="00997551" w14:paraId="2DC81209" w14:textId="77777777" w:rsidTr="00CF22B1">
        <w:trPr>
          <w:trHeight w:hRule="exact" w:val="922"/>
          <w:jc w:val="center"/>
        </w:trPr>
        <w:tc>
          <w:tcPr>
            <w:tcW w:w="1714" w:type="dxa"/>
            <w:vMerge/>
            <w:tcBorders>
              <w:left w:val="single" w:sz="4" w:space="0" w:color="auto"/>
            </w:tcBorders>
            <w:shd w:val="clear" w:color="auto" w:fill="E8E8E8"/>
          </w:tcPr>
          <w:p w14:paraId="13029704" w14:textId="77777777" w:rsidR="00262A83" w:rsidRPr="00997551" w:rsidRDefault="00262A83" w:rsidP="00CF22B1">
            <w:pPr>
              <w:rPr>
                <w:rFonts w:ascii="Times New Roman" w:hAnsi="Times New Roman" w:cs="Times New Roman"/>
              </w:rPr>
            </w:pPr>
          </w:p>
        </w:tc>
        <w:tc>
          <w:tcPr>
            <w:tcW w:w="7805" w:type="dxa"/>
            <w:tcBorders>
              <w:top w:val="single" w:sz="4" w:space="0" w:color="auto"/>
              <w:left w:val="single" w:sz="4" w:space="0" w:color="auto"/>
              <w:right w:val="single" w:sz="4" w:space="0" w:color="auto"/>
            </w:tcBorders>
            <w:vAlign w:val="bottom"/>
          </w:tcPr>
          <w:p w14:paraId="6568277A" w14:textId="77777777" w:rsidR="00262A83" w:rsidRPr="00997551" w:rsidRDefault="00262A83" w:rsidP="00CF22B1">
            <w:pPr>
              <w:pStyle w:val="Other0"/>
              <w:spacing w:after="60"/>
              <w:jc w:val="both"/>
            </w:pPr>
            <w:hyperlink r:id="rId26" w:history="1">
              <w:r w:rsidRPr="00997551">
                <w:rPr>
                  <w:rStyle w:val="Other"/>
                  <w:i/>
                  <w:color w:val="467886"/>
                  <w:u w:val="single"/>
                </w:rPr>
                <w:t>Rulebook.pdf</w:t>
              </w:r>
            </w:hyperlink>
          </w:p>
          <w:p w14:paraId="67BF67E8" w14:textId="34B99427" w:rsidR="00262A83" w:rsidRPr="00997551" w:rsidRDefault="00262A83" w:rsidP="00CF22B1">
            <w:pPr>
              <w:pStyle w:val="Other0"/>
              <w:spacing w:after="60"/>
              <w:jc w:val="both"/>
            </w:pPr>
            <w:r w:rsidRPr="00997551">
              <w:rPr>
                <w:rStyle w:val="Other"/>
              </w:rPr>
              <w:t xml:space="preserve">7. </w:t>
            </w:r>
            <w:r w:rsidR="00B5518F" w:rsidRPr="00997551">
              <w:t>Klasifikimi sipas burimeve të financimit</w:t>
            </w:r>
            <w:r w:rsidRPr="00997551">
              <w:rPr>
                <w:rStyle w:val="Other"/>
              </w:rPr>
              <w:t>:</w:t>
            </w:r>
          </w:p>
          <w:p w14:paraId="35022166" w14:textId="77777777" w:rsidR="00262A83" w:rsidRPr="00997551" w:rsidRDefault="00262A83" w:rsidP="00CF22B1">
            <w:pPr>
              <w:pStyle w:val="Other0"/>
              <w:spacing w:after="60"/>
              <w:jc w:val="both"/>
            </w:pPr>
            <w:hyperlink r:id="rId27" w:history="1">
              <w:r w:rsidRPr="00997551">
                <w:rPr>
                  <w:rStyle w:val="Other"/>
                  <w:i/>
                  <w:color w:val="467886"/>
                </w:rPr>
                <w:t>https://finance.gov.mk/wp-content/uploads/2025/02/Rulebook-on-Budget-</w:t>
              </w:r>
            </w:hyperlink>
          </w:p>
        </w:tc>
      </w:tr>
      <w:tr w:rsidR="00262A83" w:rsidRPr="00997551" w14:paraId="37CD4E51" w14:textId="77777777" w:rsidTr="00CF22B1">
        <w:trPr>
          <w:trHeight w:hRule="exact" w:val="1171"/>
          <w:jc w:val="center"/>
        </w:trPr>
        <w:tc>
          <w:tcPr>
            <w:tcW w:w="1714" w:type="dxa"/>
            <w:vMerge/>
            <w:tcBorders>
              <w:left w:val="single" w:sz="4" w:space="0" w:color="auto"/>
            </w:tcBorders>
            <w:shd w:val="clear" w:color="auto" w:fill="E8E8E8"/>
          </w:tcPr>
          <w:p w14:paraId="6F689DC9" w14:textId="77777777" w:rsidR="00262A83" w:rsidRPr="00997551" w:rsidRDefault="00262A83" w:rsidP="00CF22B1">
            <w:pPr>
              <w:rPr>
                <w:rFonts w:ascii="Times New Roman" w:hAnsi="Times New Roman" w:cs="Times New Roman"/>
              </w:rPr>
            </w:pPr>
          </w:p>
        </w:tc>
        <w:tc>
          <w:tcPr>
            <w:tcW w:w="7805" w:type="dxa"/>
            <w:tcBorders>
              <w:top w:val="single" w:sz="4" w:space="0" w:color="auto"/>
              <w:left w:val="single" w:sz="4" w:space="0" w:color="auto"/>
              <w:right w:val="single" w:sz="4" w:space="0" w:color="auto"/>
            </w:tcBorders>
            <w:vAlign w:val="bottom"/>
          </w:tcPr>
          <w:p w14:paraId="1B7A22E8" w14:textId="77777777" w:rsidR="00262A83" w:rsidRPr="00997551" w:rsidRDefault="00262A83" w:rsidP="00CF22B1">
            <w:pPr>
              <w:pStyle w:val="Other0"/>
              <w:spacing w:after="60"/>
              <w:jc w:val="both"/>
            </w:pPr>
            <w:hyperlink r:id="rId28" w:history="1">
              <w:r w:rsidRPr="00997551">
                <w:rPr>
                  <w:rStyle w:val="Other"/>
                  <w:i/>
                  <w:color w:val="467886"/>
                </w:rPr>
                <w:t>Classification-by-Sources-of-Financing.pdf</w:t>
              </w:r>
            </w:hyperlink>
          </w:p>
          <w:p w14:paraId="3799CD90" w14:textId="7A3E1B73" w:rsidR="00262A83" w:rsidRPr="00997551" w:rsidRDefault="00262A83" w:rsidP="00CF22B1">
            <w:pPr>
              <w:pStyle w:val="Other0"/>
              <w:spacing w:after="60"/>
              <w:ind w:left="440" w:hanging="440"/>
              <w:jc w:val="both"/>
            </w:pPr>
            <w:r w:rsidRPr="00997551">
              <w:rPr>
                <w:rStyle w:val="Other"/>
              </w:rPr>
              <w:t xml:space="preserve">8. </w:t>
            </w:r>
            <w:r w:rsidR="00B5518F" w:rsidRPr="00997551">
              <w:t>Rregullor</w:t>
            </w:r>
            <w:r w:rsidR="00B5518F" w:rsidRPr="00997551">
              <w:rPr>
                <w:lang w:val="sq-AL"/>
              </w:rPr>
              <w:t>e</w:t>
            </w:r>
            <w:r w:rsidR="00B5518F" w:rsidRPr="00997551">
              <w:t xml:space="preserve"> për formën dhe përmbajtjen e formularit për vlerësimin e implikimeve fiskale afatmesme</w:t>
            </w:r>
            <w:r w:rsidRPr="00997551">
              <w:rPr>
                <w:rStyle w:val="Other"/>
              </w:rPr>
              <w:t>:</w:t>
            </w:r>
          </w:p>
          <w:p w14:paraId="226FD865" w14:textId="77777777" w:rsidR="00262A83" w:rsidRPr="00997551" w:rsidRDefault="00262A83" w:rsidP="00CF22B1">
            <w:pPr>
              <w:pStyle w:val="Other0"/>
              <w:spacing w:after="60"/>
              <w:jc w:val="both"/>
            </w:pPr>
            <w:hyperlink r:id="rId29" w:history="1">
              <w:r w:rsidRPr="00997551">
                <w:rPr>
                  <w:rStyle w:val="Other"/>
                  <w:i/>
                  <w:color w:val="467886"/>
                </w:rPr>
                <w:t>https://finance.gov.mk/wp-content/uploads/2025/02/Rulebook-on-assessing-fiscal-</w:t>
              </w:r>
            </w:hyperlink>
          </w:p>
        </w:tc>
      </w:tr>
      <w:tr w:rsidR="00262A83" w:rsidRPr="00997551" w14:paraId="68DB6CA0" w14:textId="77777777" w:rsidTr="00CF22B1">
        <w:trPr>
          <w:trHeight w:hRule="exact" w:val="917"/>
          <w:jc w:val="center"/>
        </w:trPr>
        <w:tc>
          <w:tcPr>
            <w:tcW w:w="1714" w:type="dxa"/>
            <w:vMerge/>
            <w:tcBorders>
              <w:left w:val="single" w:sz="4" w:space="0" w:color="auto"/>
            </w:tcBorders>
            <w:shd w:val="clear" w:color="auto" w:fill="E8E8E8"/>
          </w:tcPr>
          <w:p w14:paraId="5A425908" w14:textId="77777777" w:rsidR="00262A83" w:rsidRPr="00997551" w:rsidRDefault="00262A83" w:rsidP="00CF22B1">
            <w:pPr>
              <w:rPr>
                <w:rFonts w:ascii="Times New Roman" w:hAnsi="Times New Roman" w:cs="Times New Roman"/>
              </w:rPr>
            </w:pPr>
          </w:p>
        </w:tc>
        <w:tc>
          <w:tcPr>
            <w:tcW w:w="7805" w:type="dxa"/>
            <w:tcBorders>
              <w:top w:val="single" w:sz="4" w:space="0" w:color="auto"/>
              <w:left w:val="single" w:sz="4" w:space="0" w:color="auto"/>
              <w:right w:val="single" w:sz="4" w:space="0" w:color="auto"/>
            </w:tcBorders>
            <w:vAlign w:val="bottom"/>
          </w:tcPr>
          <w:p w14:paraId="3E5E7F6B" w14:textId="77777777" w:rsidR="00262A83" w:rsidRPr="00997551" w:rsidRDefault="00262A83" w:rsidP="00CF22B1">
            <w:pPr>
              <w:pStyle w:val="Other0"/>
              <w:spacing w:after="60"/>
              <w:jc w:val="both"/>
            </w:pPr>
            <w:hyperlink r:id="rId30" w:history="1">
              <w:r w:rsidRPr="00997551">
                <w:rPr>
                  <w:rStyle w:val="Other"/>
                  <w:i/>
                  <w:color w:val="467886"/>
                  <w:u w:val="single"/>
                </w:rPr>
                <w:t>implications.pdf</w:t>
              </w:r>
            </w:hyperlink>
          </w:p>
          <w:p w14:paraId="4A4AFAD8" w14:textId="3EA9F6E4" w:rsidR="00262A83" w:rsidRPr="00997551" w:rsidRDefault="00262A83" w:rsidP="00CF22B1">
            <w:pPr>
              <w:pStyle w:val="Other0"/>
              <w:spacing w:after="60"/>
              <w:jc w:val="both"/>
              <w:rPr>
                <w:lang w:val="en-GB"/>
              </w:rPr>
            </w:pPr>
            <w:r w:rsidRPr="00997551">
              <w:rPr>
                <w:rStyle w:val="Other"/>
              </w:rPr>
              <w:t xml:space="preserve">9. </w:t>
            </w:r>
            <w:proofErr w:type="spellStart"/>
            <w:r w:rsidR="00B5518F" w:rsidRPr="00997551">
              <w:rPr>
                <w:lang w:val="en-GB"/>
              </w:rPr>
              <w:t>Rregullore</w:t>
            </w:r>
            <w:proofErr w:type="spellEnd"/>
            <w:r w:rsidR="00B5518F" w:rsidRPr="00997551">
              <w:rPr>
                <w:lang w:val="en-GB"/>
              </w:rPr>
              <w:t xml:space="preserve"> për </w:t>
            </w:r>
            <w:proofErr w:type="spellStart"/>
            <w:r w:rsidR="00B5518F" w:rsidRPr="00997551">
              <w:rPr>
                <w:lang w:val="en-GB"/>
              </w:rPr>
              <w:t>formatin</w:t>
            </w:r>
            <w:proofErr w:type="spellEnd"/>
            <w:r w:rsidR="00B5518F" w:rsidRPr="00997551">
              <w:rPr>
                <w:lang w:val="en-GB"/>
              </w:rPr>
              <w:t xml:space="preserve"> dhe </w:t>
            </w:r>
            <w:proofErr w:type="spellStart"/>
            <w:r w:rsidR="00B5518F" w:rsidRPr="00997551">
              <w:rPr>
                <w:lang w:val="en-GB"/>
              </w:rPr>
              <w:t>përmbajtjen</w:t>
            </w:r>
            <w:proofErr w:type="spellEnd"/>
            <w:r w:rsidR="00B5518F" w:rsidRPr="00997551">
              <w:rPr>
                <w:lang w:val="en-GB"/>
              </w:rPr>
              <w:t xml:space="preserve"> e </w:t>
            </w:r>
            <w:proofErr w:type="spellStart"/>
            <w:r w:rsidR="00B5518F" w:rsidRPr="00997551">
              <w:rPr>
                <w:lang w:val="en-GB"/>
              </w:rPr>
              <w:t>deklaratës</w:t>
            </w:r>
            <w:proofErr w:type="spellEnd"/>
            <w:r w:rsidR="00B5518F" w:rsidRPr="00997551">
              <w:rPr>
                <w:lang w:val="en-GB"/>
              </w:rPr>
              <w:t xml:space="preserve"> </w:t>
            </w:r>
            <w:proofErr w:type="spellStart"/>
            <w:r w:rsidR="00B5518F" w:rsidRPr="00997551">
              <w:rPr>
                <w:lang w:val="en-GB"/>
              </w:rPr>
              <w:t>buxhetore</w:t>
            </w:r>
            <w:proofErr w:type="spellEnd"/>
            <w:r w:rsidR="00B5518F" w:rsidRPr="00997551">
              <w:rPr>
                <w:lang w:val="en-GB"/>
              </w:rPr>
              <w:t xml:space="preserve"> me </w:t>
            </w:r>
            <w:proofErr w:type="spellStart"/>
            <w:r w:rsidR="00B5518F" w:rsidRPr="00997551">
              <w:rPr>
                <w:lang w:val="en-GB"/>
              </w:rPr>
              <w:t>përgjegjësi</w:t>
            </w:r>
            <w:proofErr w:type="spellEnd"/>
            <w:r w:rsidR="00B5518F" w:rsidRPr="00997551">
              <w:rPr>
                <w:lang w:val="en-GB"/>
              </w:rPr>
              <w:t xml:space="preserve"> </w:t>
            </w:r>
            <w:proofErr w:type="spellStart"/>
            <w:r w:rsidR="00B5518F" w:rsidRPr="00997551">
              <w:rPr>
                <w:lang w:val="en-GB"/>
              </w:rPr>
              <w:t>gjinore</w:t>
            </w:r>
            <w:proofErr w:type="spellEnd"/>
            <w:r w:rsidRPr="00997551">
              <w:rPr>
                <w:rStyle w:val="Other"/>
              </w:rPr>
              <w:t>:</w:t>
            </w:r>
          </w:p>
          <w:p w14:paraId="39861B8B" w14:textId="77777777" w:rsidR="00262A83" w:rsidRPr="00997551" w:rsidRDefault="00262A83" w:rsidP="00CF22B1">
            <w:pPr>
              <w:pStyle w:val="Other0"/>
              <w:spacing w:after="60"/>
              <w:jc w:val="both"/>
            </w:pPr>
            <w:hyperlink r:id="rId31" w:history="1">
              <w:r w:rsidRPr="00997551">
                <w:rPr>
                  <w:rStyle w:val="Other"/>
                  <w:i/>
                  <w:color w:val="467886"/>
                </w:rPr>
                <w:t>https://finance.gov.mk/wp-content/uploads/2025/02/Gender-responsive-budget-</w:t>
              </w:r>
            </w:hyperlink>
          </w:p>
        </w:tc>
      </w:tr>
      <w:tr w:rsidR="00262A83" w:rsidRPr="00997551" w14:paraId="15F9DD7D" w14:textId="77777777" w:rsidTr="00CF22B1">
        <w:trPr>
          <w:trHeight w:hRule="exact" w:val="1426"/>
          <w:jc w:val="center"/>
        </w:trPr>
        <w:tc>
          <w:tcPr>
            <w:tcW w:w="1714" w:type="dxa"/>
            <w:vMerge/>
            <w:tcBorders>
              <w:left w:val="single" w:sz="4" w:space="0" w:color="auto"/>
            </w:tcBorders>
            <w:shd w:val="clear" w:color="auto" w:fill="E8E8E8"/>
          </w:tcPr>
          <w:p w14:paraId="44E31AC1" w14:textId="77777777" w:rsidR="00262A83" w:rsidRPr="00997551" w:rsidRDefault="00262A83" w:rsidP="00CF22B1">
            <w:pPr>
              <w:rPr>
                <w:rFonts w:ascii="Times New Roman" w:hAnsi="Times New Roman" w:cs="Times New Roman"/>
              </w:rPr>
            </w:pPr>
          </w:p>
        </w:tc>
        <w:tc>
          <w:tcPr>
            <w:tcW w:w="7805" w:type="dxa"/>
            <w:tcBorders>
              <w:top w:val="single" w:sz="4" w:space="0" w:color="auto"/>
              <w:left w:val="single" w:sz="4" w:space="0" w:color="auto"/>
              <w:right w:val="single" w:sz="4" w:space="0" w:color="auto"/>
            </w:tcBorders>
            <w:vAlign w:val="bottom"/>
          </w:tcPr>
          <w:p w14:paraId="578635C7" w14:textId="77777777" w:rsidR="00262A83" w:rsidRPr="00997551" w:rsidRDefault="00262A83" w:rsidP="00CF22B1">
            <w:pPr>
              <w:pStyle w:val="Other0"/>
              <w:spacing w:after="60"/>
              <w:jc w:val="both"/>
            </w:pPr>
            <w:hyperlink r:id="rId32" w:history="1">
              <w:r w:rsidRPr="00997551">
                <w:rPr>
                  <w:rStyle w:val="Other"/>
                  <w:i/>
                  <w:color w:val="467886"/>
                  <w:u w:val="single"/>
                </w:rPr>
                <w:t>statement.pdf</w:t>
              </w:r>
            </w:hyperlink>
          </w:p>
          <w:p w14:paraId="52CA0110" w14:textId="68FA2B97" w:rsidR="00262A83" w:rsidRPr="00997551" w:rsidRDefault="00262A83" w:rsidP="00CF22B1">
            <w:pPr>
              <w:pStyle w:val="Other0"/>
              <w:spacing w:after="60"/>
              <w:ind w:left="440" w:hanging="440"/>
              <w:jc w:val="both"/>
            </w:pPr>
            <w:r w:rsidRPr="00997551">
              <w:rPr>
                <w:rStyle w:val="Other"/>
              </w:rPr>
              <w:t xml:space="preserve">10. </w:t>
            </w:r>
            <w:r w:rsidR="00B5518F" w:rsidRPr="00997551">
              <w:t xml:space="preserve">Udhëzime për mënyrën e përgatitjes së projeksioneve makroekonomike dhe fiskale dhe për procesin e koordinimit </w:t>
            </w:r>
            <w:r w:rsidR="00B5518F" w:rsidRPr="00997551">
              <w:rPr>
                <w:lang w:val="sq-AL"/>
              </w:rPr>
              <w:t>në mes të</w:t>
            </w:r>
            <w:r w:rsidR="00B5518F" w:rsidRPr="00997551">
              <w:t xml:space="preserve"> njësive organizative dhe institucioneve</w:t>
            </w:r>
            <w:r w:rsidR="00B5518F" w:rsidRPr="00997551">
              <w:rPr>
                <w:lang w:val="sq-AL"/>
              </w:rPr>
              <w:t xml:space="preserve"> lidhur</w:t>
            </w:r>
            <w:r w:rsidR="00B5518F" w:rsidRPr="00997551">
              <w:t xml:space="preserve"> </w:t>
            </w:r>
            <w:r w:rsidR="00B5518F" w:rsidRPr="00997551">
              <w:rPr>
                <w:lang w:val="sq-AL"/>
              </w:rPr>
              <w:t>me</w:t>
            </w:r>
            <w:r w:rsidR="00B5518F" w:rsidRPr="00997551">
              <w:t xml:space="preserve"> planifikimin makroekonomik dhe fiskal</w:t>
            </w:r>
            <w:r w:rsidRPr="00997551">
              <w:rPr>
                <w:rStyle w:val="Other"/>
              </w:rPr>
              <w:t>:</w:t>
            </w:r>
          </w:p>
          <w:p w14:paraId="2A97A0A0" w14:textId="77777777" w:rsidR="00262A83" w:rsidRPr="00997551" w:rsidRDefault="00262A83" w:rsidP="00CF22B1">
            <w:pPr>
              <w:pStyle w:val="Other0"/>
              <w:spacing w:after="60"/>
              <w:jc w:val="both"/>
            </w:pPr>
            <w:hyperlink r:id="rId33" w:history="1">
              <w:r w:rsidRPr="00997551">
                <w:rPr>
                  <w:rStyle w:val="Other"/>
                  <w:i/>
                  <w:color w:val="467886"/>
                </w:rPr>
                <w:t>https://finance.gov.mk/wp-content/uploads/2025/02/Guidelines-on-the-method-of-</w:t>
              </w:r>
            </w:hyperlink>
          </w:p>
        </w:tc>
      </w:tr>
      <w:tr w:rsidR="00262A83" w:rsidRPr="00997551" w14:paraId="75F7CCBD" w14:textId="77777777" w:rsidTr="00CF22B1">
        <w:trPr>
          <w:trHeight w:hRule="exact" w:val="922"/>
          <w:jc w:val="center"/>
        </w:trPr>
        <w:tc>
          <w:tcPr>
            <w:tcW w:w="1714" w:type="dxa"/>
            <w:vMerge/>
            <w:tcBorders>
              <w:left w:val="single" w:sz="4" w:space="0" w:color="auto"/>
            </w:tcBorders>
            <w:shd w:val="clear" w:color="auto" w:fill="E8E8E8"/>
          </w:tcPr>
          <w:p w14:paraId="2DB2C334" w14:textId="77777777" w:rsidR="00262A83" w:rsidRPr="00997551" w:rsidRDefault="00262A83" w:rsidP="00CF22B1">
            <w:pPr>
              <w:rPr>
                <w:rFonts w:ascii="Times New Roman" w:hAnsi="Times New Roman" w:cs="Times New Roman"/>
              </w:rPr>
            </w:pPr>
          </w:p>
        </w:tc>
        <w:tc>
          <w:tcPr>
            <w:tcW w:w="7805" w:type="dxa"/>
            <w:tcBorders>
              <w:top w:val="single" w:sz="4" w:space="0" w:color="auto"/>
              <w:left w:val="single" w:sz="4" w:space="0" w:color="auto"/>
              <w:right w:val="single" w:sz="4" w:space="0" w:color="auto"/>
            </w:tcBorders>
            <w:vAlign w:val="bottom"/>
          </w:tcPr>
          <w:p w14:paraId="3DF75D9C" w14:textId="77777777" w:rsidR="00262A83" w:rsidRPr="00997551" w:rsidRDefault="00262A83" w:rsidP="00CF22B1">
            <w:pPr>
              <w:pStyle w:val="Other0"/>
              <w:spacing w:after="60"/>
              <w:jc w:val="both"/>
            </w:pPr>
            <w:hyperlink r:id="rId34" w:history="1">
              <w:r w:rsidRPr="00997551">
                <w:rPr>
                  <w:rStyle w:val="Other"/>
                  <w:i/>
                  <w:color w:val="467886"/>
                  <w:u w:val="single"/>
                </w:rPr>
                <w:t>preparing-macro-fiscal-projections.pdf</w:t>
              </w:r>
            </w:hyperlink>
          </w:p>
          <w:p w14:paraId="55CEFA98" w14:textId="5279DDFF" w:rsidR="00262A83" w:rsidRPr="00997551" w:rsidRDefault="00262A83" w:rsidP="00CF22B1">
            <w:pPr>
              <w:pStyle w:val="Other0"/>
              <w:spacing w:after="60"/>
              <w:jc w:val="both"/>
            </w:pPr>
            <w:r w:rsidRPr="00997551">
              <w:rPr>
                <w:rStyle w:val="Other"/>
              </w:rPr>
              <w:t xml:space="preserve">11. </w:t>
            </w:r>
            <w:r w:rsidR="009C2A4D" w:rsidRPr="00997551">
              <w:t>Formati dhe përmbajtja e urdhëresës së pagesës për kundërvajtje</w:t>
            </w:r>
            <w:r w:rsidRPr="00997551">
              <w:rPr>
                <w:rStyle w:val="Other"/>
              </w:rPr>
              <w:t>:</w:t>
            </w:r>
          </w:p>
          <w:p w14:paraId="007079A8" w14:textId="77777777" w:rsidR="00262A83" w:rsidRPr="00997551" w:rsidRDefault="00262A83" w:rsidP="00CF22B1">
            <w:pPr>
              <w:pStyle w:val="Other0"/>
              <w:spacing w:after="60"/>
              <w:jc w:val="both"/>
            </w:pPr>
            <w:hyperlink r:id="rId35" w:history="1">
              <w:r w:rsidRPr="00997551">
                <w:rPr>
                  <w:rStyle w:val="Other"/>
                  <w:i/>
                  <w:color w:val="467886"/>
                </w:rPr>
                <w:t>https://finance.gov.mk/wp-content/uploads/2025/02/Misdemeanor-pavment-</w:t>
              </w:r>
            </w:hyperlink>
          </w:p>
        </w:tc>
      </w:tr>
      <w:tr w:rsidR="00262A83" w:rsidRPr="00997551" w14:paraId="1D6C11BC" w14:textId="77777777" w:rsidTr="00CF22B1">
        <w:trPr>
          <w:trHeight w:hRule="exact" w:val="922"/>
          <w:jc w:val="center"/>
        </w:trPr>
        <w:tc>
          <w:tcPr>
            <w:tcW w:w="1714" w:type="dxa"/>
            <w:vMerge/>
            <w:tcBorders>
              <w:left w:val="single" w:sz="4" w:space="0" w:color="auto"/>
            </w:tcBorders>
            <w:shd w:val="clear" w:color="auto" w:fill="E8E8E8"/>
          </w:tcPr>
          <w:p w14:paraId="3E765D08" w14:textId="77777777" w:rsidR="00262A83" w:rsidRPr="00997551" w:rsidRDefault="00262A83" w:rsidP="00CF22B1">
            <w:pPr>
              <w:rPr>
                <w:rFonts w:ascii="Times New Roman" w:hAnsi="Times New Roman" w:cs="Times New Roman"/>
              </w:rPr>
            </w:pPr>
          </w:p>
        </w:tc>
        <w:tc>
          <w:tcPr>
            <w:tcW w:w="7805" w:type="dxa"/>
            <w:tcBorders>
              <w:top w:val="single" w:sz="4" w:space="0" w:color="auto"/>
              <w:left w:val="single" w:sz="4" w:space="0" w:color="auto"/>
              <w:right w:val="single" w:sz="4" w:space="0" w:color="auto"/>
            </w:tcBorders>
            <w:vAlign w:val="bottom"/>
          </w:tcPr>
          <w:p w14:paraId="5DDBD059" w14:textId="77777777" w:rsidR="00262A83" w:rsidRPr="00997551" w:rsidRDefault="00262A83" w:rsidP="00CF22B1">
            <w:pPr>
              <w:pStyle w:val="Other0"/>
              <w:spacing w:after="60"/>
              <w:jc w:val="both"/>
            </w:pPr>
            <w:hyperlink r:id="rId36" w:history="1">
              <w:r w:rsidRPr="00997551">
                <w:rPr>
                  <w:rStyle w:val="Other"/>
                  <w:i/>
                  <w:color w:val="467886"/>
                  <w:u w:val="single"/>
                </w:rPr>
                <w:t>order.pdf</w:t>
              </w:r>
            </w:hyperlink>
          </w:p>
          <w:p w14:paraId="54D4DB5E" w14:textId="146E5115" w:rsidR="00262A83" w:rsidRPr="00997551" w:rsidRDefault="00262A83" w:rsidP="00CF22B1">
            <w:pPr>
              <w:pStyle w:val="Other0"/>
              <w:spacing w:after="60"/>
              <w:jc w:val="both"/>
            </w:pPr>
            <w:r w:rsidRPr="00997551">
              <w:rPr>
                <w:rStyle w:val="Other"/>
              </w:rPr>
              <w:t xml:space="preserve">12. </w:t>
            </w:r>
            <w:r w:rsidR="009C2A4D" w:rsidRPr="00997551">
              <w:rPr>
                <w:rStyle w:val="Other"/>
                <w:lang w:val="sq-AL"/>
              </w:rPr>
              <w:t>Strategjia fiskale</w:t>
            </w:r>
            <w:r w:rsidRPr="00997551">
              <w:rPr>
                <w:rStyle w:val="Other"/>
              </w:rPr>
              <w:t>:</w:t>
            </w:r>
          </w:p>
          <w:p w14:paraId="04F09AB7" w14:textId="77777777" w:rsidR="00262A83" w:rsidRPr="00997551" w:rsidRDefault="00262A83" w:rsidP="00CF22B1">
            <w:pPr>
              <w:pStyle w:val="Other0"/>
              <w:spacing w:after="60"/>
              <w:jc w:val="both"/>
            </w:pPr>
            <w:hyperlink r:id="rId37" w:history="1">
              <w:r w:rsidRPr="00997551">
                <w:rPr>
                  <w:rStyle w:val="Other"/>
                  <w:i/>
                  <w:color w:val="467886"/>
                </w:rPr>
                <w:t>https://finance.gov.mk/wp-content/uploads/2025/03/2025-2029-Fiscal-Strategy-of-</w:t>
              </w:r>
            </w:hyperlink>
          </w:p>
        </w:tc>
      </w:tr>
      <w:tr w:rsidR="00262A83" w:rsidRPr="00997551" w14:paraId="07EBB81B" w14:textId="77777777" w:rsidTr="00CF22B1">
        <w:trPr>
          <w:trHeight w:hRule="exact" w:val="2184"/>
          <w:jc w:val="center"/>
        </w:trPr>
        <w:tc>
          <w:tcPr>
            <w:tcW w:w="1714" w:type="dxa"/>
            <w:vMerge/>
            <w:tcBorders>
              <w:left w:val="single" w:sz="4" w:space="0" w:color="auto"/>
            </w:tcBorders>
            <w:shd w:val="clear" w:color="auto" w:fill="E8E8E8"/>
          </w:tcPr>
          <w:p w14:paraId="55F11610" w14:textId="77777777" w:rsidR="00262A83" w:rsidRPr="00997551" w:rsidRDefault="00262A83" w:rsidP="00CF22B1">
            <w:pPr>
              <w:rPr>
                <w:rFonts w:ascii="Times New Roman" w:hAnsi="Times New Roman" w:cs="Times New Roman"/>
              </w:rPr>
            </w:pPr>
          </w:p>
        </w:tc>
        <w:tc>
          <w:tcPr>
            <w:tcW w:w="7805" w:type="dxa"/>
            <w:tcBorders>
              <w:top w:val="single" w:sz="4" w:space="0" w:color="auto"/>
              <w:left w:val="single" w:sz="4" w:space="0" w:color="auto"/>
              <w:right w:val="single" w:sz="4" w:space="0" w:color="auto"/>
            </w:tcBorders>
            <w:vAlign w:val="bottom"/>
          </w:tcPr>
          <w:p w14:paraId="1CE84991" w14:textId="77777777" w:rsidR="00262A83" w:rsidRPr="00997551" w:rsidRDefault="00262A83" w:rsidP="00CF22B1">
            <w:pPr>
              <w:pStyle w:val="Other0"/>
              <w:spacing w:after="60"/>
              <w:jc w:val="both"/>
            </w:pPr>
            <w:hyperlink r:id="rId38" w:history="1">
              <w:r w:rsidRPr="00997551">
                <w:rPr>
                  <w:rStyle w:val="Other"/>
                  <w:i/>
                  <w:color w:val="467886"/>
                  <w:u w:val="single"/>
                </w:rPr>
                <w:t>the-MK.pdf</w:t>
              </w:r>
            </w:hyperlink>
          </w:p>
          <w:p w14:paraId="165B0CC8" w14:textId="2E9953C9" w:rsidR="00262A83" w:rsidRPr="00997551" w:rsidRDefault="00262A83" w:rsidP="00CF22B1">
            <w:pPr>
              <w:pStyle w:val="Other0"/>
              <w:spacing w:after="60"/>
              <w:ind w:left="440" w:hanging="440"/>
              <w:jc w:val="both"/>
            </w:pPr>
            <w:r w:rsidRPr="00997551">
              <w:rPr>
                <w:rStyle w:val="Other"/>
              </w:rPr>
              <w:t xml:space="preserve">13. </w:t>
            </w:r>
            <w:r w:rsidR="009C2A4D" w:rsidRPr="00997551">
              <w:t>Rregullor</w:t>
            </w:r>
            <w:r w:rsidR="009C2A4D" w:rsidRPr="00997551">
              <w:rPr>
                <w:lang w:val="sq-AL"/>
              </w:rPr>
              <w:t>e</w:t>
            </w:r>
            <w:r w:rsidR="009C2A4D" w:rsidRPr="00997551">
              <w:t xml:space="preserve"> për mënyrën dhe afatet e dorëzimit të informacion</w:t>
            </w:r>
            <w:r w:rsidR="009C2A4D" w:rsidRPr="00997551">
              <w:rPr>
                <w:lang w:val="sq-AL"/>
              </w:rPr>
              <w:t>eve të cilat</w:t>
            </w:r>
            <w:r w:rsidR="009C2A4D" w:rsidRPr="00997551">
              <w:t xml:space="preserve"> sigurohe</w:t>
            </w:r>
            <w:r w:rsidR="009C2A4D" w:rsidRPr="00997551">
              <w:rPr>
                <w:lang w:val="sq-AL"/>
              </w:rPr>
              <w:t>n</w:t>
            </w:r>
            <w:r w:rsidR="009C2A4D" w:rsidRPr="00997551">
              <w:t xml:space="preserve"> nga komunat, </w:t>
            </w:r>
            <w:r w:rsidR="009C2A4D" w:rsidRPr="00997551">
              <w:rPr>
                <w:lang w:val="sq-AL"/>
              </w:rPr>
              <w:t>shfrytëzuesit</w:t>
            </w:r>
            <w:r w:rsidR="009C2A4D" w:rsidRPr="00997551">
              <w:t xml:space="preserve"> e tjerë të buxhetit dhe subjektet e tjera publike</w:t>
            </w:r>
            <w:r w:rsidR="009C2A4D" w:rsidRPr="00997551">
              <w:rPr>
                <w:lang w:val="sq-AL"/>
              </w:rPr>
              <w:t xml:space="preserve"> të cilat</w:t>
            </w:r>
            <w:r w:rsidR="009C2A4D" w:rsidRPr="00997551">
              <w:t xml:space="preserve"> menaxhojnë</w:t>
            </w:r>
            <w:r w:rsidR="009C2A4D" w:rsidRPr="00997551">
              <w:rPr>
                <w:lang w:val="sq-AL"/>
              </w:rPr>
              <w:t xml:space="preserve"> me</w:t>
            </w:r>
            <w:r w:rsidR="009C2A4D" w:rsidRPr="00997551">
              <w:t xml:space="preserve"> </w:t>
            </w:r>
            <w:r w:rsidR="009C2A4D" w:rsidRPr="00997551">
              <w:rPr>
                <w:lang w:val="sq-AL"/>
              </w:rPr>
              <w:t>mjetet</w:t>
            </w:r>
            <w:r w:rsidR="009C2A4D" w:rsidRPr="00997551">
              <w:t xml:space="preserve"> financiare të shtetit ose komunave, personat juridikë ku shteti ose komunat kanë pjesëmarrje të drejtpërdrejtë ose të tërthortë në kapital, dhe personat</w:t>
            </w:r>
            <w:r w:rsidR="009C2A4D" w:rsidRPr="00997551">
              <w:rPr>
                <w:lang w:val="sq-AL"/>
              </w:rPr>
              <w:t xml:space="preserve"> të tjerë</w:t>
            </w:r>
            <w:r w:rsidR="009C2A4D" w:rsidRPr="00997551">
              <w:t xml:space="preserve"> juridikë, për nevojat e Regjistrit të aksioneve, kuotave dhe pjesëmarrje në kapital në personat juridikë të shtetit dhe</w:t>
            </w:r>
            <w:r w:rsidR="009C2A4D" w:rsidRPr="00997551">
              <w:rPr>
                <w:lang w:val="sq-AL"/>
              </w:rPr>
              <w:t xml:space="preserve"> të</w:t>
            </w:r>
            <w:r w:rsidR="009C2A4D" w:rsidRPr="00997551">
              <w:t xml:space="preserve"> komunave (4767, f. 12</w:t>
            </w:r>
            <w:r w:rsidRPr="00997551">
              <w:rPr>
                <w:rStyle w:val="Other"/>
              </w:rPr>
              <w:t>):</w:t>
            </w:r>
          </w:p>
          <w:p w14:paraId="3E06049C" w14:textId="77777777" w:rsidR="00262A83" w:rsidRPr="00997551" w:rsidRDefault="00262A83" w:rsidP="00CF22B1">
            <w:pPr>
              <w:pStyle w:val="Other0"/>
              <w:spacing w:after="60"/>
              <w:jc w:val="both"/>
            </w:pPr>
            <w:hyperlink r:id="rId39" w:history="1">
              <w:r w:rsidRPr="00997551">
                <w:rPr>
                  <w:rStyle w:val="Other"/>
                  <w:i/>
                  <w:color w:val="467886"/>
                </w:rPr>
                <w:t>https://www.slvesnik.com.mk/Issues/74c71826579f4863a327830e2fb7ac36.pdf</w:t>
              </w:r>
            </w:hyperlink>
          </w:p>
        </w:tc>
      </w:tr>
      <w:tr w:rsidR="00262A83" w:rsidRPr="00997551" w14:paraId="15430BD4" w14:textId="77777777" w:rsidTr="00CF22B1">
        <w:trPr>
          <w:trHeight w:hRule="exact" w:val="1037"/>
          <w:jc w:val="center"/>
        </w:trPr>
        <w:tc>
          <w:tcPr>
            <w:tcW w:w="1714" w:type="dxa"/>
            <w:vMerge/>
            <w:tcBorders>
              <w:left w:val="single" w:sz="4" w:space="0" w:color="auto"/>
              <w:bottom w:val="single" w:sz="4" w:space="0" w:color="auto"/>
            </w:tcBorders>
            <w:shd w:val="clear" w:color="auto" w:fill="E8E8E8"/>
          </w:tcPr>
          <w:p w14:paraId="790298B4" w14:textId="77777777" w:rsidR="00262A83" w:rsidRPr="00997551" w:rsidRDefault="00262A83" w:rsidP="00CF22B1">
            <w:pPr>
              <w:rPr>
                <w:rFonts w:ascii="Times New Roman" w:hAnsi="Times New Roman" w:cs="Times New Roman"/>
              </w:rPr>
            </w:pPr>
          </w:p>
        </w:tc>
        <w:tc>
          <w:tcPr>
            <w:tcW w:w="7805" w:type="dxa"/>
            <w:tcBorders>
              <w:top w:val="single" w:sz="4" w:space="0" w:color="auto"/>
              <w:left w:val="single" w:sz="4" w:space="0" w:color="auto"/>
              <w:bottom w:val="single" w:sz="4" w:space="0" w:color="auto"/>
              <w:right w:val="single" w:sz="4" w:space="0" w:color="auto"/>
            </w:tcBorders>
            <w:vAlign w:val="center"/>
          </w:tcPr>
          <w:p w14:paraId="73A93ABB" w14:textId="23E4B155" w:rsidR="00262A83" w:rsidRPr="00997551" w:rsidRDefault="00262A83" w:rsidP="00CF22B1">
            <w:pPr>
              <w:pStyle w:val="Other0"/>
              <w:spacing w:after="80"/>
              <w:ind w:left="440" w:hanging="440"/>
              <w:jc w:val="both"/>
            </w:pPr>
            <w:r w:rsidRPr="00997551">
              <w:rPr>
                <w:rStyle w:val="Other"/>
              </w:rPr>
              <w:t xml:space="preserve">14. </w:t>
            </w:r>
            <w:r w:rsidR="009C2A4D" w:rsidRPr="00997551">
              <w:t>Rregullor</w:t>
            </w:r>
            <w:r w:rsidR="009C2A4D" w:rsidRPr="00997551">
              <w:rPr>
                <w:lang w:val="sq-AL"/>
              </w:rPr>
              <w:t>e</w:t>
            </w:r>
            <w:r w:rsidR="009C2A4D" w:rsidRPr="00997551">
              <w:t xml:space="preserve"> për mënyrën e hapjes së llogarive devizore të</w:t>
            </w:r>
            <w:r w:rsidR="009C2A4D" w:rsidRPr="00997551">
              <w:rPr>
                <w:lang w:val="sq-AL"/>
              </w:rPr>
              <w:t xml:space="preserve"> shfrytëzuesëve</w:t>
            </w:r>
            <w:r w:rsidR="009C2A4D" w:rsidRPr="00997551">
              <w:t xml:space="preserve"> buxhetorë (4768, f. 12</w:t>
            </w:r>
            <w:r w:rsidRPr="00997551">
              <w:rPr>
                <w:rStyle w:val="Other"/>
              </w:rPr>
              <w:t>):</w:t>
            </w:r>
          </w:p>
          <w:p w14:paraId="3E3F1630" w14:textId="77777777" w:rsidR="00262A83" w:rsidRPr="00997551" w:rsidRDefault="00262A83" w:rsidP="00CF22B1">
            <w:pPr>
              <w:pStyle w:val="Other0"/>
              <w:jc w:val="both"/>
            </w:pPr>
            <w:hyperlink r:id="rId40" w:history="1">
              <w:r w:rsidRPr="00997551">
                <w:rPr>
                  <w:rStyle w:val="Other"/>
                  <w:i/>
                  <w:color w:val="467886"/>
                  <w:u w:val="single"/>
                </w:rPr>
                <w:t>https://www.slvesnik.com.mk/Issues/74c71826579f4863a327830e2fb7ac36.pdf</w:t>
              </w:r>
            </w:hyperlink>
          </w:p>
        </w:tc>
      </w:tr>
    </w:tbl>
    <w:p w14:paraId="48297611" w14:textId="77777777" w:rsidR="00262A83" w:rsidRPr="00997551" w:rsidRDefault="00262A83" w:rsidP="00AE7433">
      <w:pPr>
        <w:spacing w:line="1" w:lineRule="exact"/>
        <w:rPr>
          <w:rFonts w:ascii="Times New Roman" w:hAnsi="Times New Roman" w:cs="Times New Roman"/>
        </w:rPr>
      </w:pPr>
      <w:r w:rsidRPr="00997551">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805"/>
      </w:tblGrid>
      <w:tr w:rsidR="00262A83" w:rsidRPr="00997551" w14:paraId="4B66BAE5" w14:textId="77777777" w:rsidTr="002A21B4">
        <w:trPr>
          <w:trHeight w:hRule="exact" w:val="12975"/>
          <w:jc w:val="center"/>
        </w:trPr>
        <w:tc>
          <w:tcPr>
            <w:tcW w:w="1714" w:type="dxa"/>
            <w:tcBorders>
              <w:top w:val="single" w:sz="4" w:space="0" w:color="auto"/>
              <w:left w:val="single" w:sz="4" w:space="0" w:color="auto"/>
            </w:tcBorders>
            <w:shd w:val="clear" w:color="auto" w:fill="E8E8E8"/>
          </w:tcPr>
          <w:p w14:paraId="79A350E6" w14:textId="77777777" w:rsidR="00262A83" w:rsidRPr="00997551" w:rsidRDefault="00262A83" w:rsidP="00CF22B1">
            <w:pPr>
              <w:rPr>
                <w:rFonts w:ascii="Times New Roman" w:hAnsi="Times New Roman" w:cs="Times New Roman"/>
                <w:sz w:val="10"/>
                <w:szCs w:val="10"/>
              </w:rPr>
            </w:pPr>
          </w:p>
        </w:tc>
        <w:tc>
          <w:tcPr>
            <w:tcW w:w="7805" w:type="dxa"/>
            <w:tcBorders>
              <w:top w:val="single" w:sz="4" w:space="0" w:color="auto"/>
              <w:left w:val="single" w:sz="4" w:space="0" w:color="auto"/>
              <w:right w:val="single" w:sz="4" w:space="0" w:color="auto"/>
            </w:tcBorders>
            <w:vAlign w:val="center"/>
          </w:tcPr>
          <w:p w14:paraId="096388E2" w14:textId="4B69FDE9" w:rsidR="00262A83" w:rsidRPr="00997551" w:rsidRDefault="009C2A4D" w:rsidP="00262A83">
            <w:pPr>
              <w:pStyle w:val="Other0"/>
              <w:numPr>
                <w:ilvl w:val="0"/>
                <w:numId w:val="4"/>
              </w:numPr>
              <w:tabs>
                <w:tab w:val="left" w:pos="336"/>
              </w:tabs>
              <w:spacing w:after="80"/>
              <w:ind w:left="440" w:hanging="440"/>
              <w:jc w:val="both"/>
            </w:pPr>
            <w:r w:rsidRPr="00997551">
              <w:t>Rregullor</w:t>
            </w:r>
            <w:r w:rsidRPr="00997551">
              <w:rPr>
                <w:lang w:val="sq-AL"/>
              </w:rPr>
              <w:t>e</w:t>
            </w:r>
            <w:r w:rsidRPr="00997551">
              <w:t xml:space="preserve"> për mënyrën e lëshimit të autorizimit për propozimet</w:t>
            </w:r>
            <w:r w:rsidRPr="00997551">
              <w:rPr>
                <w:lang w:val="sq-AL"/>
              </w:rPr>
              <w:t xml:space="preserve"> </w:t>
            </w:r>
            <w:r w:rsidRPr="00997551">
              <w:t>për lidhjen e kontratave për l</w:t>
            </w:r>
            <w:r w:rsidRPr="00997551">
              <w:rPr>
                <w:lang w:val="sq-AL"/>
              </w:rPr>
              <w:t>izing</w:t>
            </w:r>
            <w:r w:rsidRPr="00997551">
              <w:t xml:space="preserve"> financiar </w:t>
            </w:r>
            <w:r w:rsidRPr="00997551">
              <w:rPr>
                <w:lang w:val="sq-AL"/>
              </w:rPr>
              <w:t xml:space="preserve">të shfrytëzuesëve </w:t>
            </w:r>
            <w:r w:rsidRPr="00997551">
              <w:t xml:space="preserve">buxhetorë </w:t>
            </w:r>
            <w:r w:rsidRPr="00997551">
              <w:rPr>
                <w:lang w:val="sq-AL"/>
              </w:rPr>
              <w:t>nga</w:t>
            </w:r>
            <w:r w:rsidRPr="00997551">
              <w:t xml:space="preserve"> Buxheti </w:t>
            </w:r>
            <w:r w:rsidRPr="00997551">
              <w:rPr>
                <w:lang w:val="sq-AL"/>
              </w:rPr>
              <w:t>i</w:t>
            </w:r>
            <w:r w:rsidRPr="00997551">
              <w:t xml:space="preserve"> shtetit ose të komunave (4769, f. 13</w:t>
            </w:r>
            <w:r w:rsidR="00262A83" w:rsidRPr="00997551">
              <w:rPr>
                <w:rStyle w:val="Other"/>
              </w:rPr>
              <w:t>):</w:t>
            </w:r>
          </w:p>
          <w:p w14:paraId="4A870D5C" w14:textId="77777777" w:rsidR="00262A83" w:rsidRPr="00997551" w:rsidRDefault="00262A83" w:rsidP="00CF22B1">
            <w:pPr>
              <w:pStyle w:val="Other0"/>
              <w:spacing w:after="80"/>
            </w:pPr>
            <w:hyperlink r:id="rId41" w:history="1">
              <w:r w:rsidRPr="00997551">
                <w:rPr>
                  <w:rStyle w:val="Other"/>
                  <w:i/>
                  <w:color w:val="467886"/>
                  <w:u w:val="single"/>
                </w:rPr>
                <w:t>https://www.slvesnik.com.mk/Issues/74c71826579f4863a327830e2fb7ac36.pdf</w:t>
              </w:r>
            </w:hyperlink>
          </w:p>
          <w:p w14:paraId="3A18524C" w14:textId="516C1B27" w:rsidR="00262A83" w:rsidRPr="00997551" w:rsidRDefault="009C2A4D" w:rsidP="00262A83">
            <w:pPr>
              <w:pStyle w:val="Other0"/>
              <w:numPr>
                <w:ilvl w:val="0"/>
                <w:numId w:val="4"/>
              </w:numPr>
              <w:tabs>
                <w:tab w:val="left" w:pos="336"/>
              </w:tabs>
              <w:spacing w:after="80"/>
            </w:pPr>
            <w:r w:rsidRPr="00997551">
              <w:t>Udhëzim për mënyrën e planifikimit të likuiditetit të buxhetit</w:t>
            </w:r>
            <w:r w:rsidR="00262A83" w:rsidRPr="00997551">
              <w:rPr>
                <w:rStyle w:val="Other"/>
              </w:rPr>
              <w:t>:</w:t>
            </w:r>
          </w:p>
          <w:p w14:paraId="5219F936" w14:textId="77777777" w:rsidR="00262A83" w:rsidRPr="00997551" w:rsidRDefault="00262A83" w:rsidP="00CF22B1">
            <w:pPr>
              <w:pStyle w:val="Other0"/>
            </w:pPr>
            <w:hyperlink r:id="rId42" w:history="1">
              <w:r w:rsidRPr="00997551">
                <w:rPr>
                  <w:rStyle w:val="Other"/>
                  <w:i/>
                  <w:color w:val="467886"/>
                  <w:u w:val="single"/>
                </w:rPr>
                <w:t>https://finance.gov.mk/wp-</w:t>
              </w:r>
            </w:hyperlink>
          </w:p>
          <w:p w14:paraId="497A7105" w14:textId="77777777" w:rsidR="00262A83" w:rsidRPr="00997551" w:rsidRDefault="00262A83" w:rsidP="00CF22B1">
            <w:pPr>
              <w:pStyle w:val="Other0"/>
              <w:spacing w:after="80"/>
            </w:pPr>
            <w:hyperlink r:id="rId43" w:history="1">
              <w:r w:rsidRPr="00997551">
                <w:rPr>
                  <w:rStyle w:val="Other"/>
                  <w:i/>
                  <w:color w:val="467886"/>
                  <w:u w:val="single"/>
                </w:rPr>
                <w:t>content/uploads/2025/02/28e08ed95f77419c9ebc39c5faa197d0.pdf</w:t>
              </w:r>
            </w:hyperlink>
          </w:p>
          <w:p w14:paraId="794EB5F0" w14:textId="7602235D" w:rsidR="00262A83" w:rsidRPr="00997551" w:rsidRDefault="009C2A4D" w:rsidP="009C2A4D">
            <w:pPr>
              <w:pStyle w:val="Other0"/>
              <w:numPr>
                <w:ilvl w:val="0"/>
                <w:numId w:val="4"/>
              </w:numPr>
              <w:tabs>
                <w:tab w:val="left" w:pos="336"/>
              </w:tabs>
              <w:spacing w:after="80"/>
              <w:rPr>
                <w:lang w:val="en-GB"/>
              </w:rPr>
            </w:pPr>
            <w:proofErr w:type="spellStart"/>
            <w:r w:rsidRPr="00997551">
              <w:rPr>
                <w:lang w:val="en-GB"/>
              </w:rPr>
              <w:t>Udhëzim</w:t>
            </w:r>
            <w:proofErr w:type="spellEnd"/>
            <w:r w:rsidRPr="00997551">
              <w:rPr>
                <w:lang w:val="en-GB"/>
              </w:rPr>
              <w:t xml:space="preserve"> për </w:t>
            </w:r>
            <w:proofErr w:type="spellStart"/>
            <w:r w:rsidRPr="00997551">
              <w:rPr>
                <w:lang w:val="en-GB"/>
              </w:rPr>
              <w:t>mënyrën</w:t>
            </w:r>
            <w:proofErr w:type="spellEnd"/>
            <w:r w:rsidRPr="00997551">
              <w:rPr>
                <w:lang w:val="en-GB"/>
              </w:rPr>
              <w:t xml:space="preserve"> e </w:t>
            </w:r>
            <w:proofErr w:type="spellStart"/>
            <w:r w:rsidRPr="00997551">
              <w:rPr>
                <w:lang w:val="en-GB"/>
              </w:rPr>
              <w:t>menaxhimit</w:t>
            </w:r>
            <w:proofErr w:type="spellEnd"/>
            <w:r w:rsidRPr="00997551">
              <w:rPr>
                <w:lang w:val="en-GB"/>
              </w:rPr>
              <w:t xml:space="preserve"> të </w:t>
            </w:r>
            <w:proofErr w:type="spellStart"/>
            <w:r w:rsidRPr="00997551">
              <w:rPr>
                <w:lang w:val="en-GB"/>
              </w:rPr>
              <w:t>likuiditetit</w:t>
            </w:r>
            <w:proofErr w:type="spellEnd"/>
            <w:r w:rsidRPr="00997551">
              <w:rPr>
                <w:lang w:val="en-GB"/>
              </w:rPr>
              <w:t xml:space="preserve"> të </w:t>
            </w:r>
            <w:proofErr w:type="spellStart"/>
            <w:r w:rsidRPr="00997551">
              <w:rPr>
                <w:lang w:val="en-GB"/>
              </w:rPr>
              <w:t>Llogarisë</w:t>
            </w:r>
            <w:proofErr w:type="spellEnd"/>
            <w:r w:rsidRPr="00997551">
              <w:rPr>
                <w:lang w:val="en-GB"/>
              </w:rPr>
              <w:t xml:space="preserve"> së </w:t>
            </w:r>
            <w:proofErr w:type="spellStart"/>
            <w:r w:rsidRPr="00997551">
              <w:rPr>
                <w:lang w:val="en-GB"/>
              </w:rPr>
              <w:t>Vetme</w:t>
            </w:r>
            <w:proofErr w:type="spellEnd"/>
            <w:r w:rsidRPr="00997551">
              <w:rPr>
                <w:lang w:val="en-GB"/>
              </w:rPr>
              <w:t xml:space="preserve"> </w:t>
            </w:r>
            <w:r w:rsidR="0016649D" w:rsidRPr="00997551">
              <w:rPr>
                <w:lang w:val="en-GB"/>
              </w:rPr>
              <w:t xml:space="preserve">të </w:t>
            </w:r>
            <w:proofErr w:type="spellStart"/>
            <w:r w:rsidRPr="00997551">
              <w:rPr>
                <w:lang w:val="en-GB"/>
              </w:rPr>
              <w:t>Thesar</w:t>
            </w:r>
            <w:r w:rsidR="0016649D" w:rsidRPr="00997551">
              <w:rPr>
                <w:lang w:val="en-GB"/>
              </w:rPr>
              <w:t>it</w:t>
            </w:r>
            <w:proofErr w:type="spellEnd"/>
            <w:r w:rsidRPr="00997551">
              <w:rPr>
                <w:lang w:val="en-GB"/>
              </w:rPr>
              <w:t>.</w:t>
            </w:r>
          </w:p>
          <w:p w14:paraId="5BA6B252" w14:textId="77777777" w:rsidR="00262A83" w:rsidRPr="00997551" w:rsidRDefault="00262A83" w:rsidP="00CF22B1">
            <w:pPr>
              <w:pStyle w:val="Other0"/>
            </w:pPr>
            <w:hyperlink r:id="rId44" w:history="1">
              <w:r w:rsidRPr="00997551">
                <w:rPr>
                  <w:rStyle w:val="Other"/>
                  <w:i/>
                  <w:color w:val="467886"/>
                  <w:u w:val="single"/>
                </w:rPr>
                <w:t>https://finance. gov.mk/wp-</w:t>
              </w:r>
            </w:hyperlink>
          </w:p>
          <w:p w14:paraId="2513D0A1" w14:textId="77777777" w:rsidR="00262A83" w:rsidRPr="00997551" w:rsidRDefault="00262A83" w:rsidP="00CF22B1">
            <w:pPr>
              <w:pStyle w:val="Other0"/>
              <w:spacing w:after="80"/>
              <w:jc w:val="both"/>
            </w:pPr>
            <w:hyperlink r:id="rId45" w:history="1">
              <w:r w:rsidRPr="00997551">
                <w:rPr>
                  <w:rStyle w:val="Other"/>
                  <w:i/>
                  <w:color w:val="467886"/>
                </w:rPr>
                <w:t>content/uploads/2025/02/46a578e94ee04f168Qbde4a56e98b3da.pdf</w:t>
              </w:r>
            </w:hyperlink>
          </w:p>
          <w:p w14:paraId="043765FE" w14:textId="37B98C7F" w:rsidR="00262A83" w:rsidRPr="00997551" w:rsidRDefault="0016649D" w:rsidP="00262A83">
            <w:pPr>
              <w:pStyle w:val="Other0"/>
              <w:numPr>
                <w:ilvl w:val="0"/>
                <w:numId w:val="4"/>
              </w:numPr>
              <w:tabs>
                <w:tab w:val="left" w:pos="336"/>
              </w:tabs>
              <w:spacing w:after="80"/>
              <w:ind w:left="440" w:hanging="440"/>
              <w:jc w:val="both"/>
            </w:pPr>
            <w:r w:rsidRPr="00997551">
              <w:t>Rregullor</w:t>
            </w:r>
            <w:r w:rsidRPr="00997551">
              <w:rPr>
                <w:lang w:val="sq-AL"/>
              </w:rPr>
              <w:t>e</w:t>
            </w:r>
            <w:r w:rsidRPr="00997551">
              <w:t xml:space="preserve"> për mënyrën </w:t>
            </w:r>
            <w:r w:rsidRPr="00997551">
              <w:rPr>
                <w:lang w:val="sq-AL"/>
              </w:rPr>
              <w:t>e</w:t>
            </w:r>
            <w:r w:rsidRPr="00997551">
              <w:t xml:space="preserve"> marrje</w:t>
            </w:r>
            <w:r w:rsidRPr="00997551">
              <w:rPr>
                <w:lang w:val="sq-AL"/>
              </w:rPr>
              <w:t>s</w:t>
            </w:r>
            <w:r w:rsidRPr="00997551">
              <w:t xml:space="preserve"> </w:t>
            </w:r>
            <w:r w:rsidRPr="00997551">
              <w:rPr>
                <w:lang w:val="sq-AL"/>
              </w:rPr>
              <w:t>së</w:t>
            </w:r>
            <w:r w:rsidRPr="00997551">
              <w:t xml:space="preserve"> detyrimeve në buxhetin e vitit aktual dhe në buxhetet e viteve të ardhshme, si dhe për mënyrën e disponueshmërisë së të drejtave për shpenzim në buxhet para fillimit të procesit </w:t>
            </w:r>
            <w:r w:rsidRPr="00997551">
              <w:rPr>
                <w:lang w:val="sq-AL"/>
              </w:rPr>
              <w:t>për</w:t>
            </w:r>
            <w:r w:rsidRPr="00997551">
              <w:t xml:space="preserve"> prokurim publik</w:t>
            </w:r>
            <w:r w:rsidR="00262A83" w:rsidRPr="00997551">
              <w:rPr>
                <w:rStyle w:val="Other"/>
              </w:rPr>
              <w:t>:</w:t>
            </w:r>
          </w:p>
          <w:p w14:paraId="5C5068E9" w14:textId="77777777" w:rsidR="00262A83" w:rsidRPr="00997551" w:rsidRDefault="00262A83" w:rsidP="00CF22B1">
            <w:pPr>
              <w:pStyle w:val="Other0"/>
              <w:jc w:val="both"/>
            </w:pPr>
            <w:hyperlink r:id="rId46" w:history="1">
              <w:r w:rsidRPr="00997551">
                <w:rPr>
                  <w:rStyle w:val="Other"/>
                  <w:i/>
                  <w:color w:val="467886"/>
                  <w:u w:val="single"/>
                </w:rPr>
                <w:t>https://finance. gov.mk/wp-</w:t>
              </w:r>
            </w:hyperlink>
          </w:p>
          <w:p w14:paraId="13D58FDC" w14:textId="77777777" w:rsidR="00262A83" w:rsidRPr="00997551" w:rsidRDefault="00262A83" w:rsidP="00CF22B1">
            <w:pPr>
              <w:pStyle w:val="Other0"/>
              <w:spacing w:after="400"/>
              <w:jc w:val="both"/>
            </w:pPr>
            <w:hyperlink r:id="rId47" w:history="1">
              <w:r w:rsidRPr="00997551">
                <w:rPr>
                  <w:rStyle w:val="Other"/>
                  <w:i/>
                  <w:color w:val="467886"/>
                  <w:u w:val="single"/>
                </w:rPr>
                <w:t>content/uploads/2025/02/923491 f008b64121afff03fa71a2a266.pdf</w:t>
              </w:r>
            </w:hyperlink>
            <w:r w:rsidRPr="00997551">
              <w:rPr>
                <w:rStyle w:val="Other"/>
                <w:i/>
                <w:color w:val="467886"/>
              </w:rPr>
              <w:t xml:space="preserve"> </w:t>
            </w:r>
            <w:r w:rsidRPr="00997551">
              <w:rPr>
                <w:rStyle w:val="Other"/>
                <w:i/>
              </w:rPr>
              <w:t>-</w:t>
            </w:r>
          </w:p>
          <w:p w14:paraId="5EBDA310" w14:textId="1B7148DA" w:rsidR="00B624A7" w:rsidRPr="00997551" w:rsidRDefault="00B624A7" w:rsidP="00CF22B1">
            <w:pPr>
              <w:pStyle w:val="Other0"/>
              <w:spacing w:after="80"/>
              <w:jc w:val="both"/>
              <w:rPr>
                <w:b/>
                <w:bCs/>
                <w:lang w:val="sq-AL"/>
              </w:rPr>
            </w:pPr>
            <w:r w:rsidRPr="00997551">
              <w:rPr>
                <w:b/>
                <w:bCs/>
                <w:lang w:val="sq-AL"/>
              </w:rPr>
              <w:t>Draft</w:t>
            </w:r>
            <w:r w:rsidRPr="00997551">
              <w:rPr>
                <w:b/>
                <w:bCs/>
              </w:rPr>
              <w:t xml:space="preserve">-rregullorja për menaxhim </w:t>
            </w:r>
            <w:r w:rsidRPr="00997551">
              <w:rPr>
                <w:b/>
                <w:bCs/>
                <w:lang w:val="sq-AL"/>
              </w:rPr>
              <w:t>me</w:t>
            </w:r>
            <w:r w:rsidRPr="00997551">
              <w:rPr>
                <w:b/>
                <w:bCs/>
              </w:rPr>
              <w:t xml:space="preserve"> investime</w:t>
            </w:r>
            <w:r w:rsidRPr="00997551">
              <w:rPr>
                <w:b/>
                <w:bCs/>
                <w:lang w:val="sq-AL"/>
              </w:rPr>
              <w:t>t</w:t>
            </w:r>
            <w:r w:rsidRPr="00997551">
              <w:rPr>
                <w:b/>
                <w:bCs/>
              </w:rPr>
              <w:t xml:space="preserve"> publike (neni 20) nuk u </w:t>
            </w:r>
            <w:r w:rsidRPr="00997551">
              <w:rPr>
                <w:b/>
                <w:bCs/>
                <w:lang w:val="sq-AL"/>
              </w:rPr>
              <w:t>soll</w:t>
            </w:r>
            <w:r w:rsidRPr="00997551">
              <w:rPr>
                <w:b/>
                <w:bCs/>
              </w:rPr>
              <w:t xml:space="preserve"> para afatit përfundimtar për shkak të nevojës për konsultime të mëtejshme ndërqeveritare.</w:t>
            </w:r>
          </w:p>
          <w:p w14:paraId="6F2F0DF4" w14:textId="5F3D49BE" w:rsidR="00B624A7" w:rsidRPr="00997551" w:rsidRDefault="00B624A7" w:rsidP="00CF22B1">
            <w:pPr>
              <w:pStyle w:val="Other0"/>
              <w:spacing w:after="80"/>
              <w:jc w:val="both"/>
              <w:rPr>
                <w:rStyle w:val="Other"/>
              </w:rPr>
            </w:pPr>
            <w:r w:rsidRPr="00997551">
              <w:t>Pavarësisht p</w:t>
            </w:r>
            <w:r w:rsidRPr="00997551">
              <w:rPr>
                <w:lang w:val="sq-AL"/>
              </w:rPr>
              <w:t>rogresit</w:t>
            </w:r>
            <w:r w:rsidRPr="00997551">
              <w:t xml:space="preserve"> të konsiderueshëm, zbatimi i Ligjit për </w:t>
            </w:r>
            <w:r w:rsidRPr="00997551">
              <w:rPr>
                <w:lang w:val="sq-AL"/>
              </w:rPr>
              <w:t>B</w:t>
            </w:r>
            <w:r w:rsidRPr="00997551">
              <w:t xml:space="preserve">uxhetet (LB) mbetet mbetet i parealizuar plotësisht. </w:t>
            </w:r>
            <w:r w:rsidRPr="00997551">
              <w:rPr>
                <w:lang w:val="sq-AL"/>
              </w:rPr>
              <w:t>Edhe pse</w:t>
            </w:r>
            <w:r w:rsidRPr="00997551">
              <w:t xml:space="preserve"> është </w:t>
            </w:r>
            <w:r w:rsidRPr="00997551">
              <w:rPr>
                <w:lang w:val="sq-AL"/>
              </w:rPr>
              <w:t>sjellur</w:t>
            </w:r>
            <w:r w:rsidRPr="00997551">
              <w:t xml:space="preserve"> numri minimal i akteve nënligjore dhe është krijuar Regjistri i subjekteve publike, Qeveria duhet të përfundojë aktivitetet </w:t>
            </w:r>
            <w:r w:rsidRPr="00997551">
              <w:rPr>
                <w:lang w:val="sq-AL"/>
              </w:rPr>
              <w:t xml:space="preserve"> vijuese</w:t>
            </w:r>
            <w:r w:rsidRPr="00997551">
              <w:t xml:space="preserve"> </w:t>
            </w:r>
            <w:r w:rsidRPr="00997551">
              <w:rPr>
                <w:lang w:val="sq-AL"/>
              </w:rPr>
              <w:t>në grejs periudhën</w:t>
            </w:r>
            <w:r w:rsidRPr="00997551">
              <w:t xml:space="preserve"> që ky hap të konsiderohet i arritur plotësisht:</w:t>
            </w:r>
          </w:p>
          <w:p w14:paraId="0FCB9B3E" w14:textId="77777777" w:rsidR="00B624A7" w:rsidRPr="00997551" w:rsidRDefault="00B624A7" w:rsidP="00CF22B1">
            <w:pPr>
              <w:pStyle w:val="Other0"/>
              <w:spacing w:after="80"/>
              <w:jc w:val="both"/>
              <w:rPr>
                <w:lang w:val="sq-AL"/>
              </w:rPr>
            </w:pPr>
          </w:p>
          <w:p w14:paraId="18FB43FA" w14:textId="3C1509BA" w:rsidR="00B624A7" w:rsidRPr="00997551" w:rsidRDefault="00B624A7" w:rsidP="00262A83">
            <w:pPr>
              <w:pStyle w:val="Other0"/>
              <w:numPr>
                <w:ilvl w:val="0"/>
                <w:numId w:val="5"/>
              </w:numPr>
              <w:tabs>
                <w:tab w:val="left" w:pos="706"/>
                <w:tab w:val="left" w:pos="710"/>
              </w:tabs>
              <w:spacing w:line="276" w:lineRule="auto"/>
              <w:ind w:firstLine="720"/>
              <w:jc w:val="both"/>
            </w:pPr>
            <w:r w:rsidRPr="00997551">
              <w:rPr>
                <w:b/>
                <w:bCs/>
                <w:lang w:val="sq-AL"/>
              </w:rPr>
              <w:t>Sjellja</w:t>
            </w:r>
            <w:r w:rsidRPr="00997551">
              <w:rPr>
                <w:b/>
                <w:bCs/>
              </w:rPr>
              <w:t xml:space="preserve"> </w:t>
            </w:r>
            <w:r w:rsidRPr="00997551">
              <w:rPr>
                <w:b/>
                <w:bCs/>
                <w:lang w:val="sq-AL"/>
              </w:rPr>
              <w:t>e</w:t>
            </w:r>
            <w:r w:rsidRPr="00997551">
              <w:rPr>
                <w:b/>
                <w:bCs/>
              </w:rPr>
              <w:t xml:space="preserve"> Rregullores për menaxhim </w:t>
            </w:r>
            <w:r w:rsidRPr="00997551">
              <w:rPr>
                <w:b/>
                <w:bCs/>
                <w:lang w:val="sq-AL"/>
              </w:rPr>
              <w:t>me</w:t>
            </w:r>
            <w:r w:rsidRPr="00997551">
              <w:rPr>
                <w:b/>
                <w:bCs/>
              </w:rPr>
              <w:t xml:space="preserve"> investime</w:t>
            </w:r>
            <w:r w:rsidRPr="00997551">
              <w:rPr>
                <w:b/>
                <w:bCs/>
                <w:lang w:val="sq-AL"/>
              </w:rPr>
              <w:t>t</w:t>
            </w:r>
            <w:r w:rsidRPr="00997551">
              <w:rPr>
                <w:b/>
                <w:bCs/>
              </w:rPr>
              <w:t xml:space="preserve"> publike</w:t>
            </w:r>
            <w:r w:rsidRPr="00997551">
              <w:t xml:space="preserve"> (nuk është</w:t>
            </w:r>
            <w:r w:rsidRPr="00997551">
              <w:rPr>
                <w:lang w:val="sq-AL"/>
              </w:rPr>
              <w:t xml:space="preserve"> sjellur në përfundim</w:t>
            </w:r>
            <w:r w:rsidRPr="00997551">
              <w:t xml:space="preserve"> m</w:t>
            </w:r>
            <w:r w:rsidRPr="00997551">
              <w:rPr>
                <w:lang w:val="sq-AL"/>
              </w:rPr>
              <w:t>e datën</w:t>
            </w:r>
            <w:r w:rsidRPr="00997551">
              <w:t xml:space="preserve"> 14 mars, me </w:t>
            </w:r>
            <w:r w:rsidRPr="00997551">
              <w:rPr>
                <w:lang w:val="sq-AL"/>
              </w:rPr>
              <w:t>parashtrimin</w:t>
            </w:r>
            <w:r w:rsidRPr="00997551">
              <w:t xml:space="preserve"> e kërkesës për lirim të mjeteve).</w:t>
            </w:r>
          </w:p>
          <w:p w14:paraId="61C6F48F" w14:textId="4A13BDA4" w:rsidR="00332D7E" w:rsidRPr="00997551" w:rsidRDefault="00332D7E" w:rsidP="00332D7E">
            <w:pPr>
              <w:pStyle w:val="Other0"/>
              <w:numPr>
                <w:ilvl w:val="0"/>
                <w:numId w:val="5"/>
              </w:numPr>
              <w:tabs>
                <w:tab w:val="left" w:pos="710"/>
                <w:tab w:val="left" w:pos="715"/>
              </w:tabs>
              <w:spacing w:after="80" w:line="276" w:lineRule="auto"/>
              <w:ind w:left="720"/>
              <w:jc w:val="both"/>
              <w:rPr>
                <w:lang w:val="en-GB"/>
              </w:rPr>
            </w:pPr>
            <w:proofErr w:type="spellStart"/>
            <w:r w:rsidRPr="00997551">
              <w:rPr>
                <w:b/>
                <w:bCs/>
                <w:lang w:val="en-GB"/>
              </w:rPr>
              <w:t>Përfundimi</w:t>
            </w:r>
            <w:proofErr w:type="spellEnd"/>
            <w:r w:rsidRPr="00997551">
              <w:rPr>
                <w:b/>
                <w:bCs/>
                <w:lang w:val="en-GB"/>
              </w:rPr>
              <w:t xml:space="preserve"> </w:t>
            </w:r>
            <w:proofErr w:type="spellStart"/>
            <w:r w:rsidRPr="00997551">
              <w:rPr>
                <w:b/>
                <w:bCs/>
                <w:lang w:val="en-GB"/>
              </w:rPr>
              <w:t>i</w:t>
            </w:r>
            <w:proofErr w:type="spellEnd"/>
            <w:r w:rsidRPr="00997551">
              <w:rPr>
                <w:b/>
                <w:bCs/>
                <w:lang w:val="en-GB"/>
              </w:rPr>
              <w:t xml:space="preserve"> </w:t>
            </w:r>
            <w:proofErr w:type="spellStart"/>
            <w:r w:rsidRPr="00997551">
              <w:rPr>
                <w:b/>
                <w:bCs/>
                <w:lang w:val="en-GB"/>
              </w:rPr>
              <w:t>revizionit</w:t>
            </w:r>
            <w:proofErr w:type="spellEnd"/>
            <w:r w:rsidRPr="00997551">
              <w:rPr>
                <w:b/>
                <w:bCs/>
                <w:lang w:val="en-GB"/>
              </w:rPr>
              <w:t xml:space="preserve"> të </w:t>
            </w:r>
            <w:proofErr w:type="spellStart"/>
            <w:r w:rsidRPr="00997551">
              <w:rPr>
                <w:b/>
                <w:bCs/>
                <w:lang w:val="en-GB"/>
              </w:rPr>
              <w:t>klasifikimit</w:t>
            </w:r>
            <w:proofErr w:type="spellEnd"/>
            <w:r w:rsidRPr="00997551">
              <w:rPr>
                <w:b/>
                <w:bCs/>
                <w:lang w:val="en-GB"/>
              </w:rPr>
              <w:t xml:space="preserve"> </w:t>
            </w:r>
            <w:proofErr w:type="spellStart"/>
            <w:r w:rsidRPr="00997551">
              <w:rPr>
                <w:b/>
                <w:bCs/>
                <w:lang w:val="en-GB"/>
              </w:rPr>
              <w:t>organizativ</w:t>
            </w:r>
            <w:proofErr w:type="spellEnd"/>
            <w:r w:rsidRPr="00997551">
              <w:rPr>
                <w:lang w:val="en-GB"/>
              </w:rPr>
              <w:t xml:space="preserve">, duke siguruar se janë </w:t>
            </w:r>
            <w:proofErr w:type="spellStart"/>
            <w:r w:rsidRPr="00997551">
              <w:rPr>
                <w:lang w:val="en-GB"/>
              </w:rPr>
              <w:t>identifiktuar</w:t>
            </w:r>
            <w:proofErr w:type="spellEnd"/>
            <w:r w:rsidRPr="00997551">
              <w:rPr>
                <w:lang w:val="en-GB"/>
              </w:rPr>
              <w:t xml:space="preserve"> </w:t>
            </w:r>
            <w:proofErr w:type="spellStart"/>
            <w:r w:rsidRPr="00997551">
              <w:rPr>
                <w:lang w:val="en-GB"/>
              </w:rPr>
              <w:t>shfrytëzuesit</w:t>
            </w:r>
            <w:proofErr w:type="spellEnd"/>
            <w:r w:rsidRPr="00997551">
              <w:rPr>
                <w:lang w:val="en-GB"/>
              </w:rPr>
              <w:t xml:space="preserve"> </w:t>
            </w:r>
            <w:proofErr w:type="spellStart"/>
            <w:r w:rsidRPr="00997551">
              <w:rPr>
                <w:lang w:val="en-GB"/>
              </w:rPr>
              <w:t>buxhetorë</w:t>
            </w:r>
            <w:proofErr w:type="spellEnd"/>
            <w:r w:rsidRPr="00997551">
              <w:rPr>
                <w:lang w:val="en-GB"/>
              </w:rPr>
              <w:t xml:space="preserve"> të </w:t>
            </w:r>
            <w:proofErr w:type="spellStart"/>
            <w:r w:rsidRPr="00997551">
              <w:rPr>
                <w:lang w:val="en-GB"/>
              </w:rPr>
              <w:t>linjës</w:t>
            </w:r>
            <w:proofErr w:type="spellEnd"/>
            <w:r w:rsidRPr="00997551">
              <w:rPr>
                <w:lang w:val="en-GB"/>
              </w:rPr>
              <w:t xml:space="preserve"> së </w:t>
            </w:r>
            <w:proofErr w:type="spellStart"/>
            <w:r w:rsidRPr="00997551">
              <w:rPr>
                <w:lang w:val="en-GB"/>
              </w:rPr>
              <w:t>dytë</w:t>
            </w:r>
            <w:proofErr w:type="spellEnd"/>
            <w:r w:rsidRPr="00997551">
              <w:rPr>
                <w:lang w:val="en-GB"/>
              </w:rPr>
              <w:t xml:space="preserve"> në </w:t>
            </w:r>
            <w:proofErr w:type="spellStart"/>
            <w:r w:rsidRPr="00997551">
              <w:rPr>
                <w:lang w:val="en-GB"/>
              </w:rPr>
              <w:t>kuadër</w:t>
            </w:r>
            <w:proofErr w:type="spellEnd"/>
            <w:r w:rsidRPr="00997551">
              <w:rPr>
                <w:lang w:val="en-GB"/>
              </w:rPr>
              <w:t xml:space="preserve"> të </w:t>
            </w:r>
            <w:proofErr w:type="spellStart"/>
            <w:r w:rsidRPr="00997551">
              <w:rPr>
                <w:lang w:val="en-GB"/>
              </w:rPr>
              <w:t>secilit</w:t>
            </w:r>
            <w:proofErr w:type="spellEnd"/>
            <w:r w:rsidRPr="00997551">
              <w:rPr>
                <w:lang w:val="en-GB"/>
              </w:rPr>
              <w:t xml:space="preserve"> </w:t>
            </w:r>
            <w:proofErr w:type="spellStart"/>
            <w:r w:rsidRPr="00997551">
              <w:rPr>
                <w:lang w:val="en-GB"/>
              </w:rPr>
              <w:t>shfrytëzues</w:t>
            </w:r>
            <w:proofErr w:type="spellEnd"/>
            <w:r w:rsidRPr="00997551">
              <w:rPr>
                <w:lang w:val="en-GB"/>
              </w:rPr>
              <w:t xml:space="preserve"> </w:t>
            </w:r>
            <w:proofErr w:type="spellStart"/>
            <w:r w:rsidRPr="00997551">
              <w:rPr>
                <w:lang w:val="en-GB"/>
              </w:rPr>
              <w:t>buxhetor</w:t>
            </w:r>
            <w:proofErr w:type="spellEnd"/>
            <w:r w:rsidRPr="00997551">
              <w:rPr>
                <w:lang w:val="en-GB"/>
              </w:rPr>
              <w:t xml:space="preserve"> </w:t>
            </w:r>
            <w:proofErr w:type="spellStart"/>
            <w:r w:rsidRPr="00997551">
              <w:rPr>
                <w:lang w:val="en-GB"/>
              </w:rPr>
              <w:t>primar</w:t>
            </w:r>
            <w:proofErr w:type="spellEnd"/>
            <w:r w:rsidRPr="00997551">
              <w:rPr>
                <w:lang w:val="en-GB"/>
              </w:rPr>
              <w:t xml:space="preserve"> (“</w:t>
            </w:r>
            <w:proofErr w:type="spellStart"/>
            <w:r w:rsidRPr="00997551">
              <w:rPr>
                <w:lang w:val="en-GB"/>
              </w:rPr>
              <w:t>amë</w:t>
            </w:r>
            <w:proofErr w:type="spellEnd"/>
            <w:r w:rsidRPr="00997551">
              <w:rPr>
                <w:lang w:val="en-GB"/>
              </w:rPr>
              <w:t xml:space="preserve">”). </w:t>
            </w:r>
            <w:proofErr w:type="spellStart"/>
            <w:r w:rsidRPr="00997551">
              <w:rPr>
                <w:lang w:val="en-GB"/>
              </w:rPr>
              <w:t>Akti</w:t>
            </w:r>
            <w:proofErr w:type="spellEnd"/>
            <w:r w:rsidRPr="00997551">
              <w:rPr>
                <w:lang w:val="en-GB"/>
              </w:rPr>
              <w:t xml:space="preserve"> </w:t>
            </w:r>
            <w:proofErr w:type="spellStart"/>
            <w:r w:rsidRPr="00997551">
              <w:rPr>
                <w:lang w:val="en-GB"/>
              </w:rPr>
              <w:t>nënligjor</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sjellur</w:t>
            </w:r>
            <w:proofErr w:type="spellEnd"/>
            <w:r w:rsidRPr="00997551">
              <w:rPr>
                <w:lang w:val="en-GB"/>
              </w:rPr>
              <w:t xml:space="preserve"> aktualisht </w:t>
            </w:r>
            <w:proofErr w:type="spellStart"/>
            <w:r w:rsidRPr="00997551">
              <w:rPr>
                <w:lang w:val="en-GB"/>
              </w:rPr>
              <w:t>përfshin</w:t>
            </w:r>
            <w:proofErr w:type="spellEnd"/>
            <w:r w:rsidRPr="00997551">
              <w:rPr>
                <w:lang w:val="en-GB"/>
              </w:rPr>
              <w:t xml:space="preserve"> vetëm </w:t>
            </w:r>
            <w:proofErr w:type="spellStart"/>
            <w:r w:rsidRPr="00997551">
              <w:rPr>
                <w:lang w:val="en-GB"/>
              </w:rPr>
              <w:t>shfrytëzuesit</w:t>
            </w:r>
            <w:proofErr w:type="spellEnd"/>
            <w:r w:rsidRPr="00997551">
              <w:rPr>
                <w:lang w:val="en-GB"/>
              </w:rPr>
              <w:t xml:space="preserve"> </w:t>
            </w:r>
            <w:proofErr w:type="spellStart"/>
            <w:r w:rsidRPr="00997551">
              <w:rPr>
                <w:lang w:val="en-GB"/>
              </w:rPr>
              <w:t>buxhetorë</w:t>
            </w:r>
            <w:proofErr w:type="spellEnd"/>
            <w:r w:rsidRPr="00997551">
              <w:rPr>
                <w:lang w:val="en-GB"/>
              </w:rPr>
              <w:t xml:space="preserve"> </w:t>
            </w:r>
            <w:proofErr w:type="spellStart"/>
            <w:r w:rsidRPr="00997551">
              <w:rPr>
                <w:lang w:val="en-GB"/>
              </w:rPr>
              <w:t>amë</w:t>
            </w:r>
            <w:proofErr w:type="spellEnd"/>
            <w:r w:rsidRPr="00997551">
              <w:rPr>
                <w:lang w:val="en-GB"/>
              </w:rPr>
              <w:t>.</w:t>
            </w:r>
          </w:p>
          <w:p w14:paraId="2295A425" w14:textId="5F7F0AE3" w:rsidR="00332D7E" w:rsidRPr="00997551" w:rsidRDefault="00332D7E" w:rsidP="00262A83">
            <w:pPr>
              <w:pStyle w:val="Other0"/>
              <w:numPr>
                <w:ilvl w:val="0"/>
                <w:numId w:val="5"/>
              </w:numPr>
              <w:tabs>
                <w:tab w:val="left" w:pos="710"/>
                <w:tab w:val="left" w:pos="710"/>
              </w:tabs>
              <w:spacing w:after="80" w:line="276" w:lineRule="auto"/>
              <w:ind w:left="720" w:firstLine="360"/>
              <w:jc w:val="both"/>
            </w:pPr>
            <w:r w:rsidRPr="00997551">
              <w:t>Z</w:t>
            </w:r>
            <w:r w:rsidRPr="00997551">
              <w:rPr>
                <w:b/>
                <w:bCs/>
              </w:rPr>
              <w:t>hvillimi i klasifikimit programor buxhetor</w:t>
            </w:r>
            <w:r w:rsidRPr="00997551">
              <w:t xml:space="preserve">. Rregullorja e </w:t>
            </w:r>
            <w:r w:rsidRPr="00997551">
              <w:rPr>
                <w:lang w:val="sq-AL"/>
              </w:rPr>
              <w:t xml:space="preserve"> sjellur </w:t>
            </w:r>
            <w:r w:rsidRPr="00997551">
              <w:t xml:space="preserve">jep vetëm përshkrim të përgjithshëm të klasifikimit programor buxhetor pa </w:t>
            </w:r>
            <w:r w:rsidRPr="00997551">
              <w:rPr>
                <w:lang w:val="sq-AL"/>
              </w:rPr>
              <w:t>revizion</w:t>
            </w:r>
            <w:r w:rsidRPr="00997551">
              <w:t xml:space="preserve"> </w:t>
            </w:r>
            <w:r w:rsidRPr="00997551">
              <w:rPr>
                <w:lang w:val="sq-AL"/>
              </w:rPr>
              <w:t xml:space="preserve">faktik </w:t>
            </w:r>
            <w:r w:rsidRPr="00997551">
              <w:t>të strukturës programore buxhetore.</w:t>
            </w:r>
          </w:p>
          <w:p w14:paraId="6ECA7C9A" w14:textId="6CB4B99F" w:rsidR="00332D7E" w:rsidRPr="00997551" w:rsidRDefault="00332D7E" w:rsidP="00332D7E">
            <w:pPr>
              <w:pStyle w:val="Other0"/>
              <w:spacing w:after="80"/>
              <w:jc w:val="both"/>
              <w:rPr>
                <w:lang w:val="en-GB"/>
              </w:rPr>
            </w:pPr>
            <w:r w:rsidRPr="00997551">
              <w:rPr>
                <w:lang w:val="en-GB"/>
              </w:rPr>
              <w:t xml:space="preserve">Është e </w:t>
            </w:r>
            <w:proofErr w:type="spellStart"/>
            <w:r w:rsidRPr="00997551">
              <w:rPr>
                <w:lang w:val="en-GB"/>
              </w:rPr>
              <w:t>rëndësishme</w:t>
            </w:r>
            <w:proofErr w:type="spellEnd"/>
            <w:r w:rsidRPr="00997551">
              <w:rPr>
                <w:lang w:val="en-GB"/>
              </w:rPr>
              <w:t xml:space="preserve"> të </w:t>
            </w:r>
            <w:proofErr w:type="spellStart"/>
            <w:r w:rsidRPr="00997551">
              <w:rPr>
                <w:lang w:val="en-GB"/>
              </w:rPr>
              <w:t>theksohet</w:t>
            </w:r>
            <w:proofErr w:type="spellEnd"/>
            <w:r w:rsidRPr="00997551">
              <w:rPr>
                <w:lang w:val="en-GB"/>
              </w:rPr>
              <w:t xml:space="preserve"> se </w:t>
            </w:r>
            <w:proofErr w:type="spellStart"/>
            <w:r w:rsidRPr="00997551">
              <w:rPr>
                <w:lang w:val="en-GB"/>
              </w:rPr>
              <w:t>hyrja</w:t>
            </w:r>
            <w:proofErr w:type="spellEnd"/>
            <w:r w:rsidRPr="00997551">
              <w:rPr>
                <w:lang w:val="en-GB"/>
              </w:rPr>
              <w:t xml:space="preserve"> në </w:t>
            </w:r>
            <w:proofErr w:type="spellStart"/>
            <w:r w:rsidRPr="00997551">
              <w:rPr>
                <w:lang w:val="en-GB"/>
              </w:rPr>
              <w:t>fuqi</w:t>
            </w:r>
            <w:proofErr w:type="spellEnd"/>
            <w:r w:rsidRPr="00997551">
              <w:rPr>
                <w:lang w:val="en-GB"/>
              </w:rPr>
              <w:t xml:space="preserve"> e </w:t>
            </w:r>
            <w:proofErr w:type="spellStart"/>
            <w:r w:rsidRPr="00997551">
              <w:rPr>
                <w:lang w:val="en-GB"/>
              </w:rPr>
              <w:t>disa</w:t>
            </w:r>
            <w:proofErr w:type="spellEnd"/>
            <w:r w:rsidRPr="00997551">
              <w:rPr>
                <w:lang w:val="en-GB"/>
              </w:rPr>
              <w:t xml:space="preserve"> </w:t>
            </w:r>
            <w:proofErr w:type="spellStart"/>
            <w:r w:rsidRPr="00997551">
              <w:rPr>
                <w:lang w:val="en-GB"/>
              </w:rPr>
              <w:t>akteve</w:t>
            </w:r>
            <w:proofErr w:type="spellEnd"/>
            <w:r w:rsidRPr="00997551">
              <w:rPr>
                <w:lang w:val="en-GB"/>
              </w:rPr>
              <w:t xml:space="preserve"> </w:t>
            </w:r>
            <w:proofErr w:type="spellStart"/>
            <w:r w:rsidRPr="00997551">
              <w:rPr>
                <w:lang w:val="en-GB"/>
              </w:rPr>
              <w:t>nënligjore</w:t>
            </w:r>
            <w:proofErr w:type="spellEnd"/>
            <w:r w:rsidRPr="00997551">
              <w:rPr>
                <w:lang w:val="en-GB"/>
              </w:rPr>
              <w:t xml:space="preserve">, </w:t>
            </w:r>
            <w:proofErr w:type="spellStart"/>
            <w:r w:rsidRPr="00997551">
              <w:rPr>
                <w:lang w:val="en-GB"/>
              </w:rPr>
              <w:t>përfshirë</w:t>
            </w:r>
            <w:proofErr w:type="spellEnd"/>
            <w:r w:rsidRPr="00997551">
              <w:rPr>
                <w:lang w:val="en-GB"/>
              </w:rPr>
              <w:t xml:space="preserve"> </w:t>
            </w:r>
            <w:proofErr w:type="spellStart"/>
            <w:r w:rsidRPr="00997551">
              <w:rPr>
                <w:lang w:val="en-GB"/>
              </w:rPr>
              <w:t>klasifikimin</w:t>
            </w:r>
            <w:proofErr w:type="spellEnd"/>
            <w:r w:rsidRPr="00997551">
              <w:rPr>
                <w:lang w:val="en-GB"/>
              </w:rPr>
              <w:t xml:space="preserve"> e </w:t>
            </w:r>
            <w:proofErr w:type="spellStart"/>
            <w:r w:rsidRPr="00997551">
              <w:rPr>
                <w:lang w:val="en-GB"/>
              </w:rPr>
              <w:t>reviduar</w:t>
            </w:r>
            <w:proofErr w:type="spellEnd"/>
            <w:r w:rsidRPr="00997551">
              <w:rPr>
                <w:lang w:val="en-GB"/>
              </w:rPr>
              <w:t xml:space="preserve"> </w:t>
            </w:r>
            <w:proofErr w:type="spellStart"/>
            <w:r w:rsidRPr="00997551">
              <w:rPr>
                <w:lang w:val="en-GB"/>
              </w:rPr>
              <w:t>buxhetor</w:t>
            </w:r>
            <w:proofErr w:type="spellEnd"/>
            <w:r w:rsidRPr="00997551">
              <w:rPr>
                <w:lang w:val="en-GB"/>
              </w:rPr>
              <w:t xml:space="preserve">, është </w:t>
            </w:r>
            <w:proofErr w:type="spellStart"/>
            <w:r w:rsidRPr="00997551">
              <w:rPr>
                <w:lang w:val="en-GB"/>
              </w:rPr>
              <w:t>caktuar</w:t>
            </w:r>
            <w:proofErr w:type="spellEnd"/>
            <w:r w:rsidRPr="00997551">
              <w:rPr>
                <w:lang w:val="en-GB"/>
              </w:rPr>
              <w:t xml:space="preserve"> për </w:t>
            </w:r>
            <w:proofErr w:type="spellStart"/>
            <w:r w:rsidRPr="00997551">
              <w:rPr>
                <w:lang w:val="en-GB"/>
              </w:rPr>
              <w:t>muajin</w:t>
            </w:r>
            <w:proofErr w:type="spellEnd"/>
            <w:r w:rsidRPr="00997551">
              <w:rPr>
                <w:lang w:val="en-GB"/>
              </w:rPr>
              <w:t xml:space="preserve"> </w:t>
            </w:r>
            <w:proofErr w:type="spellStart"/>
            <w:r w:rsidRPr="00997551">
              <w:rPr>
                <w:lang w:val="en-GB"/>
              </w:rPr>
              <w:t>janar</w:t>
            </w:r>
            <w:proofErr w:type="spellEnd"/>
            <w:r w:rsidRPr="00997551">
              <w:rPr>
                <w:lang w:val="en-GB"/>
              </w:rPr>
              <w:t xml:space="preserve"> të </w:t>
            </w:r>
            <w:proofErr w:type="spellStart"/>
            <w:r w:rsidRPr="00997551">
              <w:rPr>
                <w:lang w:val="en-GB"/>
              </w:rPr>
              <w:t>vitit</w:t>
            </w:r>
            <w:proofErr w:type="spellEnd"/>
            <w:r w:rsidRPr="00997551">
              <w:rPr>
                <w:lang w:val="en-GB"/>
              </w:rPr>
              <w:t xml:space="preserve"> 2026, në </w:t>
            </w:r>
            <w:proofErr w:type="spellStart"/>
            <w:r w:rsidRPr="00997551">
              <w:rPr>
                <w:lang w:val="en-GB"/>
              </w:rPr>
              <w:t>pajtim</w:t>
            </w:r>
            <w:proofErr w:type="spellEnd"/>
            <w:r w:rsidRPr="00997551">
              <w:rPr>
                <w:lang w:val="en-GB"/>
              </w:rPr>
              <w:t xml:space="preserve"> me </w:t>
            </w:r>
            <w:proofErr w:type="spellStart"/>
            <w:r w:rsidRPr="00997551">
              <w:rPr>
                <w:lang w:val="en-GB"/>
              </w:rPr>
              <w:t>ndryshimin</w:t>
            </w:r>
            <w:proofErr w:type="spellEnd"/>
            <w:r w:rsidRPr="00997551">
              <w:rPr>
                <w:lang w:val="en-GB"/>
              </w:rPr>
              <w:t xml:space="preserve"> dhe </w:t>
            </w:r>
            <w:proofErr w:type="spellStart"/>
            <w:r w:rsidRPr="00997551">
              <w:rPr>
                <w:lang w:val="en-GB"/>
              </w:rPr>
              <w:t>plotësimin</w:t>
            </w:r>
            <w:proofErr w:type="spellEnd"/>
            <w:r w:rsidRPr="00997551">
              <w:rPr>
                <w:lang w:val="en-GB"/>
              </w:rPr>
              <w:t xml:space="preserve"> e </w:t>
            </w:r>
            <w:proofErr w:type="spellStart"/>
            <w:r w:rsidRPr="00997551">
              <w:rPr>
                <w:lang w:val="en-GB"/>
              </w:rPr>
              <w:t>fundit</w:t>
            </w:r>
            <w:proofErr w:type="spellEnd"/>
            <w:r w:rsidRPr="00997551">
              <w:rPr>
                <w:lang w:val="en-GB"/>
              </w:rPr>
              <w:t xml:space="preserve"> të </w:t>
            </w:r>
            <w:proofErr w:type="spellStart"/>
            <w:r w:rsidRPr="00997551">
              <w:rPr>
                <w:lang w:val="en-GB"/>
              </w:rPr>
              <w:t>Ligjit</w:t>
            </w:r>
            <w:proofErr w:type="spellEnd"/>
            <w:r w:rsidRPr="00997551">
              <w:rPr>
                <w:lang w:val="en-GB"/>
              </w:rPr>
              <w:t xml:space="preserve"> për </w:t>
            </w:r>
            <w:proofErr w:type="spellStart"/>
            <w:r w:rsidRPr="00997551">
              <w:rPr>
                <w:lang w:val="en-GB"/>
              </w:rPr>
              <w:t>Buxhetet</w:t>
            </w:r>
            <w:proofErr w:type="spellEnd"/>
            <w:r w:rsidRPr="00997551">
              <w:rPr>
                <w:lang w:val="en-GB"/>
              </w:rPr>
              <w:t xml:space="preserve"> në </w:t>
            </w:r>
            <w:proofErr w:type="spellStart"/>
            <w:r w:rsidRPr="00997551">
              <w:rPr>
                <w:lang w:val="en-GB"/>
              </w:rPr>
              <w:t>muajin</w:t>
            </w:r>
            <w:proofErr w:type="spellEnd"/>
            <w:r w:rsidRPr="00997551">
              <w:rPr>
                <w:lang w:val="en-GB"/>
              </w:rPr>
              <w:t xml:space="preserve"> </w:t>
            </w:r>
            <w:proofErr w:type="spellStart"/>
            <w:r w:rsidRPr="00997551">
              <w:rPr>
                <w:lang w:val="en-GB"/>
              </w:rPr>
              <w:t>dhjetor</w:t>
            </w:r>
            <w:proofErr w:type="spellEnd"/>
            <w:r w:rsidRPr="00997551">
              <w:rPr>
                <w:lang w:val="en-GB"/>
              </w:rPr>
              <w:t xml:space="preserve"> të </w:t>
            </w:r>
            <w:proofErr w:type="spellStart"/>
            <w:proofErr w:type="gramStart"/>
            <w:r w:rsidRPr="00997551">
              <w:rPr>
                <w:lang w:val="en-GB"/>
              </w:rPr>
              <w:t>vitit</w:t>
            </w:r>
            <w:proofErr w:type="spellEnd"/>
            <w:r w:rsidRPr="00997551">
              <w:rPr>
                <w:lang w:val="en-GB"/>
              </w:rPr>
              <w:t xml:space="preserve">  2025</w:t>
            </w:r>
            <w:proofErr w:type="gramEnd"/>
            <w:r w:rsidRPr="00997551">
              <w:rPr>
                <w:lang w:val="en-GB"/>
              </w:rPr>
              <w:t xml:space="preserve">. </w:t>
            </w:r>
            <w:proofErr w:type="spellStart"/>
            <w:r w:rsidRPr="00997551">
              <w:rPr>
                <w:lang w:val="en-GB"/>
              </w:rPr>
              <w:t>Qeveria</w:t>
            </w:r>
            <w:proofErr w:type="spellEnd"/>
            <w:r w:rsidRPr="00997551">
              <w:rPr>
                <w:lang w:val="en-GB"/>
              </w:rPr>
              <w:t xml:space="preserve"> po </w:t>
            </w:r>
            <w:proofErr w:type="spellStart"/>
            <w:r w:rsidRPr="00997551">
              <w:rPr>
                <w:lang w:val="en-GB"/>
              </w:rPr>
              <w:t>ndërmerr</w:t>
            </w:r>
            <w:proofErr w:type="spellEnd"/>
            <w:r w:rsidRPr="00997551">
              <w:rPr>
                <w:lang w:val="en-GB"/>
              </w:rPr>
              <w:t xml:space="preserve"> të gjitha </w:t>
            </w:r>
            <w:proofErr w:type="spellStart"/>
            <w:r w:rsidRPr="00997551">
              <w:rPr>
                <w:lang w:val="en-GB"/>
              </w:rPr>
              <w:t>masat</w:t>
            </w:r>
            <w:proofErr w:type="spellEnd"/>
            <w:r w:rsidRPr="00997551">
              <w:rPr>
                <w:lang w:val="en-GB"/>
              </w:rPr>
              <w:t xml:space="preserve"> e </w:t>
            </w:r>
            <w:proofErr w:type="spellStart"/>
            <w:r w:rsidRPr="00997551">
              <w:rPr>
                <w:lang w:val="en-GB"/>
              </w:rPr>
              <w:t>nevojshme</w:t>
            </w:r>
            <w:proofErr w:type="spellEnd"/>
            <w:r w:rsidRPr="00997551">
              <w:rPr>
                <w:lang w:val="en-GB"/>
              </w:rPr>
              <w:t xml:space="preserve"> për të </w:t>
            </w:r>
            <w:proofErr w:type="spellStart"/>
            <w:r w:rsidRPr="00997551">
              <w:rPr>
                <w:lang w:val="en-GB"/>
              </w:rPr>
              <w:t>plotësuar</w:t>
            </w:r>
            <w:proofErr w:type="spellEnd"/>
            <w:r w:rsidRPr="00997551">
              <w:rPr>
                <w:lang w:val="en-GB"/>
              </w:rPr>
              <w:t xml:space="preserve"> këtë </w:t>
            </w:r>
            <w:proofErr w:type="spellStart"/>
            <w:r w:rsidRPr="00997551">
              <w:rPr>
                <w:lang w:val="en-GB"/>
              </w:rPr>
              <w:t>afat</w:t>
            </w:r>
            <w:proofErr w:type="spellEnd"/>
            <w:r w:rsidRPr="00997551">
              <w:rPr>
                <w:lang w:val="en-GB"/>
              </w:rPr>
              <w:t xml:space="preserve"> dhe për t’i ikur </w:t>
            </w:r>
            <w:proofErr w:type="spellStart"/>
            <w:r w:rsidRPr="00997551">
              <w:rPr>
                <w:lang w:val="en-GB"/>
              </w:rPr>
              <w:t>shtyrjes</w:t>
            </w:r>
            <w:proofErr w:type="spellEnd"/>
            <w:r w:rsidRPr="00997551">
              <w:rPr>
                <w:lang w:val="en-GB"/>
              </w:rPr>
              <w:t xml:space="preserve"> së </w:t>
            </w:r>
            <w:proofErr w:type="spellStart"/>
            <w:r w:rsidRPr="00997551">
              <w:rPr>
                <w:lang w:val="en-GB"/>
              </w:rPr>
              <w:t>mëtejshme</w:t>
            </w:r>
            <w:proofErr w:type="spellEnd"/>
            <w:r w:rsidRPr="00997551">
              <w:rPr>
                <w:lang w:val="en-GB"/>
              </w:rPr>
              <w:t xml:space="preserve"> të implementimit </w:t>
            </w:r>
            <w:proofErr w:type="spellStart"/>
            <w:r w:rsidRPr="00997551">
              <w:rPr>
                <w:lang w:val="en-GB"/>
              </w:rPr>
              <w:t>faktik</w:t>
            </w:r>
            <w:proofErr w:type="spellEnd"/>
            <w:r w:rsidRPr="00997551">
              <w:rPr>
                <w:lang w:val="en-GB"/>
              </w:rPr>
              <w:t xml:space="preserve"> të </w:t>
            </w:r>
            <w:proofErr w:type="spellStart"/>
            <w:r w:rsidRPr="00997551">
              <w:rPr>
                <w:lang w:val="en-GB"/>
              </w:rPr>
              <w:t>aktit</w:t>
            </w:r>
            <w:proofErr w:type="spellEnd"/>
            <w:r w:rsidRPr="00997551">
              <w:rPr>
                <w:lang w:val="en-GB"/>
              </w:rPr>
              <w:t xml:space="preserve"> </w:t>
            </w:r>
            <w:proofErr w:type="spellStart"/>
            <w:r w:rsidRPr="00997551">
              <w:rPr>
                <w:lang w:val="en-GB"/>
              </w:rPr>
              <w:t>nënligjor</w:t>
            </w:r>
            <w:proofErr w:type="spellEnd"/>
            <w:r w:rsidRPr="00997551">
              <w:rPr>
                <w:lang w:val="en-GB"/>
              </w:rPr>
              <w:t>.</w:t>
            </w:r>
          </w:p>
          <w:p w14:paraId="2C336998" w14:textId="18E9F5A7" w:rsidR="00332D7E" w:rsidRPr="00997551" w:rsidRDefault="00332D7E" w:rsidP="00CF22B1">
            <w:pPr>
              <w:pStyle w:val="Other0"/>
              <w:spacing w:after="80"/>
              <w:jc w:val="both"/>
              <w:rPr>
                <w:lang w:val="sq-AL"/>
              </w:rPr>
            </w:pPr>
          </w:p>
        </w:tc>
      </w:tr>
      <w:tr w:rsidR="00262A83" w:rsidRPr="00997551" w14:paraId="6EA163D4" w14:textId="77777777" w:rsidTr="002A21B4">
        <w:trPr>
          <w:trHeight w:hRule="exact" w:val="2775"/>
          <w:jc w:val="center"/>
        </w:trPr>
        <w:tc>
          <w:tcPr>
            <w:tcW w:w="1714" w:type="dxa"/>
            <w:tcBorders>
              <w:top w:val="single" w:sz="4" w:space="0" w:color="auto"/>
              <w:left w:val="single" w:sz="4" w:space="0" w:color="auto"/>
            </w:tcBorders>
            <w:shd w:val="clear" w:color="auto" w:fill="E8E8E8"/>
            <w:vAlign w:val="center"/>
          </w:tcPr>
          <w:p w14:paraId="3F1CB264" w14:textId="420611E2" w:rsidR="00262A83" w:rsidRPr="00997551" w:rsidRDefault="00332D7E" w:rsidP="00CF22B1">
            <w:pPr>
              <w:pStyle w:val="Other0"/>
            </w:pPr>
            <w:r w:rsidRPr="00997551">
              <w:rPr>
                <w:b/>
                <w:bCs/>
              </w:rPr>
              <w:lastRenderedPageBreak/>
              <w:t xml:space="preserve">Kontrollet e kryera dhe </w:t>
            </w:r>
            <w:r w:rsidRPr="00997551">
              <w:rPr>
                <w:b/>
                <w:bCs/>
                <w:lang w:val="sq-AL"/>
              </w:rPr>
              <w:t>provat</w:t>
            </w:r>
            <w:r w:rsidRPr="00997551">
              <w:rPr>
                <w:b/>
                <w:bCs/>
              </w:rPr>
              <w:t xml:space="preserve"> e </w:t>
            </w:r>
            <w:r w:rsidRPr="00997551">
              <w:rPr>
                <w:b/>
                <w:bCs/>
                <w:lang w:val="sq-AL"/>
              </w:rPr>
              <w:t>shfrytëzuara</w:t>
            </w:r>
            <w:r w:rsidRPr="00997551">
              <w:rPr>
                <w:b/>
                <w:bCs/>
              </w:rPr>
              <w:t xml:space="preserve"> </w:t>
            </w:r>
            <w:r w:rsidRPr="00997551">
              <w:rPr>
                <w:b/>
                <w:bCs/>
                <w:lang w:val="sq-AL"/>
              </w:rPr>
              <w:t>gjatë</w:t>
            </w:r>
            <w:r w:rsidRPr="00997551">
              <w:rPr>
                <w:b/>
                <w:bCs/>
              </w:rPr>
              <w:t xml:space="preserve"> verifikimi</w:t>
            </w:r>
            <w:r w:rsidRPr="00997551">
              <w:rPr>
                <w:b/>
                <w:bCs/>
                <w:lang w:val="sq-AL"/>
              </w:rPr>
              <w:t>t</w:t>
            </w:r>
            <w:r w:rsidRPr="00997551">
              <w:rPr>
                <w:b/>
                <w:bCs/>
              </w:rPr>
              <w:t xml:space="preserve"> </w:t>
            </w:r>
            <w:r w:rsidRPr="00997551">
              <w:rPr>
                <w:b/>
                <w:bCs/>
                <w:lang w:val="sq-AL"/>
              </w:rPr>
              <w:t>të</w:t>
            </w:r>
            <w:r w:rsidRPr="00997551">
              <w:rPr>
                <w:b/>
                <w:bCs/>
              </w:rPr>
              <w:t xml:space="preserve"> hapit dhe </w:t>
            </w:r>
            <w:r w:rsidRPr="00997551">
              <w:rPr>
                <w:b/>
                <w:bCs/>
                <w:lang w:val="sq-AL"/>
              </w:rPr>
              <w:t>konsatimet</w:t>
            </w:r>
            <w:r w:rsidRPr="00997551">
              <w:rPr>
                <w:b/>
                <w:bCs/>
              </w:rPr>
              <w:t xml:space="preserve"> </w:t>
            </w:r>
            <w:r w:rsidRPr="00997551">
              <w:rPr>
                <w:b/>
                <w:bCs/>
                <w:lang w:val="sq-AL"/>
              </w:rPr>
              <w:t>e lidhura</w:t>
            </w:r>
          </w:p>
        </w:tc>
        <w:tc>
          <w:tcPr>
            <w:tcW w:w="7805" w:type="dxa"/>
            <w:tcBorders>
              <w:top w:val="single" w:sz="4" w:space="0" w:color="auto"/>
              <w:left w:val="single" w:sz="4" w:space="0" w:color="auto"/>
              <w:right w:val="single" w:sz="4" w:space="0" w:color="auto"/>
            </w:tcBorders>
            <w:vAlign w:val="center"/>
          </w:tcPr>
          <w:p w14:paraId="6522DE32" w14:textId="3C0351ED" w:rsidR="00332D7E" w:rsidRPr="00997551" w:rsidRDefault="00332D7E" w:rsidP="00CF22B1">
            <w:pPr>
              <w:pStyle w:val="Other0"/>
              <w:spacing w:after="60"/>
              <w:jc w:val="both"/>
              <w:rPr>
                <w:lang w:val="sq-AL"/>
              </w:rPr>
            </w:pPr>
            <w:r w:rsidRPr="00997551">
              <w:t xml:space="preserve">Takime </w:t>
            </w:r>
            <w:r w:rsidRPr="00997551">
              <w:rPr>
                <w:lang w:val="sq-AL"/>
              </w:rPr>
              <w:t>nga</w:t>
            </w:r>
            <w:r w:rsidRPr="00997551">
              <w:t xml:space="preserve"> distan</w:t>
            </w:r>
            <w:r w:rsidRPr="00997551">
              <w:rPr>
                <w:lang w:val="sq-AL"/>
              </w:rPr>
              <w:t>ca</w:t>
            </w:r>
            <w:r w:rsidRPr="00997551">
              <w:t xml:space="preserve"> për shqyrtim/monitorim.</w:t>
            </w:r>
          </w:p>
          <w:p w14:paraId="5EAEAFF6" w14:textId="366DA85E" w:rsidR="007926F7" w:rsidRPr="00997551" w:rsidRDefault="007926F7" w:rsidP="00CF22B1">
            <w:pPr>
              <w:pStyle w:val="Other0"/>
              <w:spacing w:after="60"/>
              <w:jc w:val="both"/>
              <w:rPr>
                <w:lang w:val="sq-AL"/>
              </w:rPr>
            </w:pPr>
            <w:r w:rsidRPr="00997551">
              <w:t xml:space="preserve">Komisioni Evropian analizoi përmbajtjen e akteve nënligjore të </w:t>
            </w:r>
            <w:r w:rsidRPr="00997551">
              <w:rPr>
                <w:lang w:val="sq-AL"/>
              </w:rPr>
              <w:t>sjellur</w:t>
            </w:r>
            <w:r w:rsidRPr="00997551">
              <w:t xml:space="preserve"> dhe monitoroi me kujdes</w:t>
            </w:r>
            <w:r w:rsidRPr="00997551">
              <w:rPr>
                <w:lang w:val="sq-AL"/>
              </w:rPr>
              <w:t xml:space="preserve"> dhe në mënyrë të vazhudeshme  e ndjekte revizionin </w:t>
            </w:r>
            <w:r w:rsidRPr="00997551">
              <w:t xml:space="preserve">e klasifikimeve buxhetore, si dhe </w:t>
            </w:r>
            <w:r w:rsidRPr="00997551">
              <w:rPr>
                <w:lang w:val="sq-AL"/>
              </w:rPr>
              <w:t>formulimin</w:t>
            </w:r>
            <w:r w:rsidRPr="00997551">
              <w:t xml:space="preserve"> e Rregullores për menaxhim </w:t>
            </w:r>
            <w:r w:rsidRPr="00997551">
              <w:rPr>
                <w:lang w:val="sq-AL"/>
              </w:rPr>
              <w:t>me</w:t>
            </w:r>
            <w:r w:rsidRPr="00997551">
              <w:t xml:space="preserve"> investime</w:t>
            </w:r>
            <w:r w:rsidRPr="00997551">
              <w:rPr>
                <w:lang w:val="sq-AL"/>
              </w:rPr>
              <w:t>t</w:t>
            </w:r>
            <w:r w:rsidRPr="00997551">
              <w:t xml:space="preserve"> publike. Ky proces u realizua në bashkëpunim me disa institucione ndërkombëtare financiare dhe Ministrinë e Financave të SHBA-së.</w:t>
            </w:r>
            <w:r w:rsidRPr="00997551">
              <w:br/>
              <w:t>Gjatë</w:t>
            </w:r>
            <w:r w:rsidRPr="00997551">
              <w:rPr>
                <w:lang w:val="sq-AL"/>
              </w:rPr>
              <w:t xml:space="preserve"> kohës së</w:t>
            </w:r>
            <w:r w:rsidRPr="00997551">
              <w:t xml:space="preserve"> takimeve të sh</w:t>
            </w:r>
            <w:r w:rsidRPr="00997551">
              <w:rPr>
                <w:lang w:val="sq-AL"/>
              </w:rPr>
              <w:t>peshta për</w:t>
            </w:r>
            <w:r w:rsidRPr="00997551">
              <w:t xml:space="preserve"> monitorim me Qeverinë, BE-ja shprehu shqetësim lidhur me plotësinë e r</w:t>
            </w:r>
            <w:r w:rsidRPr="00997551">
              <w:rPr>
                <w:lang w:val="sq-AL"/>
              </w:rPr>
              <w:t>evizionit</w:t>
            </w:r>
            <w:r w:rsidRPr="00997551">
              <w:t xml:space="preserve"> të klasifikimeve buxhetore.</w:t>
            </w:r>
          </w:p>
        </w:tc>
      </w:tr>
      <w:tr w:rsidR="00262A83" w:rsidRPr="00997551" w14:paraId="0EEF3BFC" w14:textId="77777777" w:rsidTr="00CF22B1">
        <w:trPr>
          <w:trHeight w:hRule="exact" w:val="691"/>
          <w:jc w:val="center"/>
        </w:trPr>
        <w:tc>
          <w:tcPr>
            <w:tcW w:w="1714" w:type="dxa"/>
            <w:tcBorders>
              <w:top w:val="single" w:sz="4" w:space="0" w:color="auto"/>
              <w:left w:val="single" w:sz="4" w:space="0" w:color="auto"/>
              <w:bottom w:val="single" w:sz="4" w:space="0" w:color="auto"/>
            </w:tcBorders>
            <w:shd w:val="clear" w:color="auto" w:fill="E8E8E8"/>
          </w:tcPr>
          <w:p w14:paraId="407FB8B2" w14:textId="07338940" w:rsidR="00262A83" w:rsidRPr="00997551" w:rsidRDefault="00332D7E" w:rsidP="00CF22B1">
            <w:pPr>
              <w:pStyle w:val="Other0"/>
              <w:spacing w:before="80"/>
            </w:pPr>
            <w:r w:rsidRPr="00997551">
              <w:rPr>
                <w:b/>
              </w:rPr>
              <w:t>Financim i dyfishtë</w:t>
            </w:r>
          </w:p>
        </w:tc>
        <w:tc>
          <w:tcPr>
            <w:tcW w:w="7805" w:type="dxa"/>
            <w:tcBorders>
              <w:top w:val="single" w:sz="4" w:space="0" w:color="auto"/>
              <w:left w:val="single" w:sz="4" w:space="0" w:color="auto"/>
              <w:bottom w:val="single" w:sz="4" w:space="0" w:color="auto"/>
              <w:right w:val="single" w:sz="4" w:space="0" w:color="auto"/>
            </w:tcBorders>
            <w:vAlign w:val="center"/>
          </w:tcPr>
          <w:p w14:paraId="6CAB360B" w14:textId="29988E73" w:rsidR="007926F7" w:rsidRPr="00997551" w:rsidRDefault="007926F7" w:rsidP="007926F7">
            <w:pPr>
              <w:pStyle w:val="Other0"/>
              <w:jc w:val="both"/>
              <w:rPr>
                <w:lang w:val="en-GB"/>
              </w:rPr>
            </w:pPr>
            <w:r w:rsidRPr="00997551">
              <w:rPr>
                <w:lang w:val="en-GB"/>
              </w:rPr>
              <w:t xml:space="preserve">Nuk u </w:t>
            </w:r>
            <w:proofErr w:type="spellStart"/>
            <w:r w:rsidRPr="00997551">
              <w:rPr>
                <w:lang w:val="en-GB"/>
              </w:rPr>
              <w:t>raportuan</w:t>
            </w:r>
            <w:proofErr w:type="spellEnd"/>
            <w:r w:rsidRPr="00997551">
              <w:rPr>
                <w:lang w:val="en-GB"/>
              </w:rPr>
              <w:t xml:space="preserve"> </w:t>
            </w:r>
            <w:proofErr w:type="spellStart"/>
            <w:r w:rsidRPr="00997551">
              <w:rPr>
                <w:lang w:val="en-GB"/>
              </w:rPr>
              <w:t>kontribute</w:t>
            </w:r>
            <w:proofErr w:type="spellEnd"/>
            <w:r w:rsidRPr="00997551">
              <w:rPr>
                <w:lang w:val="en-GB"/>
              </w:rPr>
              <w:t xml:space="preserve"> </w:t>
            </w:r>
            <w:proofErr w:type="spellStart"/>
            <w:r w:rsidRPr="00997551">
              <w:rPr>
                <w:lang w:val="en-GB"/>
              </w:rPr>
              <w:t>nga</w:t>
            </w:r>
            <w:proofErr w:type="spellEnd"/>
            <w:r w:rsidRPr="00997551">
              <w:rPr>
                <w:lang w:val="en-GB"/>
              </w:rPr>
              <w:t xml:space="preserve"> </w:t>
            </w:r>
            <w:proofErr w:type="spellStart"/>
            <w:r w:rsidRPr="00997551">
              <w:rPr>
                <w:lang w:val="en-GB"/>
              </w:rPr>
              <w:t>palë</w:t>
            </w:r>
            <w:proofErr w:type="spellEnd"/>
            <w:r w:rsidRPr="00997551">
              <w:rPr>
                <w:lang w:val="en-GB"/>
              </w:rPr>
              <w:t xml:space="preserve"> të </w:t>
            </w:r>
            <w:proofErr w:type="spellStart"/>
            <w:r w:rsidRPr="00997551">
              <w:rPr>
                <w:lang w:val="en-GB"/>
              </w:rPr>
              <w:t>treta</w:t>
            </w:r>
            <w:proofErr w:type="spellEnd"/>
            <w:r w:rsidRPr="00997551">
              <w:rPr>
                <w:lang w:val="en-GB"/>
              </w:rPr>
              <w:t xml:space="preserve"> </w:t>
            </w:r>
            <w:proofErr w:type="spellStart"/>
            <w:r w:rsidRPr="00997551">
              <w:rPr>
                <w:lang w:val="en-GB"/>
              </w:rPr>
              <w:t>si</w:t>
            </w:r>
            <w:proofErr w:type="spellEnd"/>
            <w:r w:rsidRPr="00997551">
              <w:rPr>
                <w:lang w:val="en-GB"/>
              </w:rPr>
              <w:t xml:space="preserve"> </w:t>
            </w:r>
            <w:proofErr w:type="spellStart"/>
            <w:r w:rsidRPr="00997551">
              <w:rPr>
                <w:lang w:val="en-GB"/>
              </w:rPr>
              <w:t>mbështetje</w:t>
            </w:r>
            <w:proofErr w:type="spellEnd"/>
            <w:r w:rsidRPr="00997551">
              <w:rPr>
                <w:lang w:val="en-GB"/>
              </w:rPr>
              <w:t xml:space="preserve"> për </w:t>
            </w:r>
            <w:proofErr w:type="spellStart"/>
            <w:r w:rsidRPr="00997551">
              <w:rPr>
                <w:lang w:val="en-GB"/>
              </w:rPr>
              <w:t>arritjen</w:t>
            </w:r>
            <w:proofErr w:type="spellEnd"/>
            <w:r w:rsidRPr="00997551">
              <w:rPr>
                <w:lang w:val="en-GB"/>
              </w:rPr>
              <w:t xml:space="preserve"> e </w:t>
            </w:r>
            <w:proofErr w:type="spellStart"/>
            <w:r w:rsidRPr="00997551">
              <w:rPr>
                <w:lang w:val="en-GB"/>
              </w:rPr>
              <w:t>këtij</w:t>
            </w:r>
            <w:proofErr w:type="spellEnd"/>
            <w:r w:rsidRPr="00997551">
              <w:rPr>
                <w:lang w:val="en-GB"/>
              </w:rPr>
              <w:t xml:space="preserve"> </w:t>
            </w:r>
            <w:proofErr w:type="spellStart"/>
            <w:r w:rsidRPr="00997551">
              <w:rPr>
                <w:lang w:val="en-GB"/>
              </w:rPr>
              <w:t>hapi</w:t>
            </w:r>
            <w:proofErr w:type="spellEnd"/>
            <w:r w:rsidRPr="00997551">
              <w:rPr>
                <w:lang w:val="en-GB"/>
              </w:rPr>
              <w:t>.</w:t>
            </w:r>
          </w:p>
          <w:p w14:paraId="7EDD6817" w14:textId="7F4537D5" w:rsidR="00262A83" w:rsidRPr="00997551" w:rsidRDefault="00262A83" w:rsidP="00CF22B1">
            <w:pPr>
              <w:pStyle w:val="Other0"/>
              <w:jc w:val="both"/>
              <w:rPr>
                <w:lang w:val="sq-AL"/>
              </w:rPr>
            </w:pPr>
          </w:p>
        </w:tc>
      </w:tr>
    </w:tbl>
    <w:p w14:paraId="58D5B5D0" w14:textId="0CF291C5" w:rsidR="00262A83" w:rsidRPr="00997551" w:rsidRDefault="00262A83" w:rsidP="00AE7433">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805"/>
      </w:tblGrid>
      <w:tr w:rsidR="00262A83" w:rsidRPr="00997551" w14:paraId="68E0D559" w14:textId="77777777" w:rsidTr="00CF22B1">
        <w:trPr>
          <w:trHeight w:hRule="exact" w:val="1459"/>
          <w:jc w:val="center"/>
        </w:trPr>
        <w:tc>
          <w:tcPr>
            <w:tcW w:w="1714" w:type="dxa"/>
            <w:tcBorders>
              <w:top w:val="single" w:sz="4" w:space="0" w:color="auto"/>
              <w:left w:val="single" w:sz="4" w:space="0" w:color="auto"/>
              <w:bottom w:val="single" w:sz="4" w:space="0" w:color="auto"/>
            </w:tcBorders>
            <w:shd w:val="clear" w:color="auto" w:fill="E8E8E8"/>
            <w:vAlign w:val="center"/>
          </w:tcPr>
          <w:p w14:paraId="0E6FD568" w14:textId="77777777" w:rsidR="00332D7E" w:rsidRPr="00997551" w:rsidRDefault="00332D7E" w:rsidP="00332D7E">
            <w:pPr>
              <w:pStyle w:val="Other0"/>
              <w:rPr>
                <w:b/>
                <w:bCs/>
                <w:lang w:val="en-GB"/>
              </w:rPr>
            </w:pPr>
            <w:proofErr w:type="spellStart"/>
            <w:r w:rsidRPr="00997551">
              <w:rPr>
                <w:b/>
                <w:bCs/>
                <w:lang w:val="en-GB"/>
              </w:rPr>
              <w:t>Konkludim</w:t>
            </w:r>
            <w:proofErr w:type="spellEnd"/>
            <w:r w:rsidRPr="00997551">
              <w:rPr>
                <w:b/>
                <w:bCs/>
                <w:lang w:val="en-GB"/>
              </w:rPr>
              <w:t xml:space="preserve"> </w:t>
            </w:r>
            <w:proofErr w:type="spellStart"/>
            <w:r w:rsidRPr="00997551">
              <w:rPr>
                <w:b/>
                <w:bCs/>
                <w:lang w:val="en-GB"/>
              </w:rPr>
              <w:t>i</w:t>
            </w:r>
            <w:proofErr w:type="spellEnd"/>
            <w:r w:rsidRPr="00997551">
              <w:rPr>
                <w:b/>
                <w:bCs/>
                <w:lang w:val="en-GB"/>
              </w:rPr>
              <w:t xml:space="preserve"> qartë </w:t>
            </w:r>
            <w:proofErr w:type="spellStart"/>
            <w:r w:rsidRPr="00997551">
              <w:rPr>
                <w:b/>
                <w:bCs/>
                <w:lang w:val="en-GB"/>
              </w:rPr>
              <w:t>i</w:t>
            </w:r>
            <w:proofErr w:type="spellEnd"/>
            <w:r w:rsidRPr="00997551">
              <w:rPr>
                <w:b/>
                <w:bCs/>
                <w:lang w:val="en-GB"/>
              </w:rPr>
              <w:t xml:space="preserve"> </w:t>
            </w:r>
            <w:proofErr w:type="spellStart"/>
            <w:r w:rsidRPr="00997551">
              <w:rPr>
                <w:b/>
                <w:bCs/>
                <w:lang w:val="en-GB"/>
              </w:rPr>
              <w:t>arritjes</w:t>
            </w:r>
            <w:proofErr w:type="spellEnd"/>
            <w:r w:rsidRPr="00997551">
              <w:rPr>
                <w:b/>
                <w:bCs/>
                <w:lang w:val="en-GB"/>
              </w:rPr>
              <w:t xml:space="preserve"> së </w:t>
            </w:r>
            <w:proofErr w:type="spellStart"/>
            <w:r w:rsidRPr="00997551">
              <w:rPr>
                <w:b/>
                <w:bCs/>
                <w:lang w:val="en-GB"/>
              </w:rPr>
              <w:t>hapit</w:t>
            </w:r>
            <w:proofErr w:type="spellEnd"/>
          </w:p>
          <w:p w14:paraId="19ACE008" w14:textId="7D2BA542" w:rsidR="00262A83" w:rsidRPr="00997551" w:rsidRDefault="00262A83" w:rsidP="00CF22B1">
            <w:pPr>
              <w:pStyle w:val="Other0"/>
            </w:pPr>
          </w:p>
        </w:tc>
        <w:tc>
          <w:tcPr>
            <w:tcW w:w="7805" w:type="dxa"/>
            <w:tcBorders>
              <w:top w:val="single" w:sz="4" w:space="0" w:color="auto"/>
              <w:left w:val="single" w:sz="4" w:space="0" w:color="auto"/>
              <w:bottom w:val="single" w:sz="4" w:space="0" w:color="auto"/>
              <w:right w:val="single" w:sz="4" w:space="0" w:color="auto"/>
            </w:tcBorders>
          </w:tcPr>
          <w:p w14:paraId="181B42DD" w14:textId="4ACEA924" w:rsidR="007926F7" w:rsidRPr="00997551" w:rsidRDefault="007926F7" w:rsidP="00CF22B1">
            <w:pPr>
              <w:pStyle w:val="Other0"/>
              <w:spacing w:before="80"/>
              <w:jc w:val="both"/>
              <w:rPr>
                <w:lang w:val="sq-AL"/>
              </w:rPr>
            </w:pPr>
            <w:r w:rsidRPr="00997551">
              <w:t>Nuk është arritur. “</w:t>
            </w:r>
            <w:r w:rsidRPr="00997551">
              <w:rPr>
                <w:lang w:val="sq-AL"/>
              </w:rPr>
              <w:t xml:space="preserve"> Grejs </w:t>
            </w:r>
            <w:r w:rsidRPr="00997551">
              <w:t xml:space="preserve">Periudha” zgjat deri </w:t>
            </w:r>
            <w:r w:rsidRPr="00997551">
              <w:rPr>
                <w:lang w:val="sq-AL"/>
              </w:rPr>
              <w:t xml:space="preserve">në muajin </w:t>
            </w:r>
            <w:r w:rsidRPr="00997551">
              <w:t xml:space="preserve">31 dhjetor </w:t>
            </w:r>
            <w:r w:rsidRPr="00997551">
              <w:rPr>
                <w:lang w:val="sq-AL"/>
              </w:rPr>
              <w:t xml:space="preserve">të vitit </w:t>
            </w:r>
            <w:r w:rsidRPr="00997551">
              <w:t>2026.</w:t>
            </w:r>
          </w:p>
        </w:tc>
      </w:tr>
    </w:tbl>
    <w:p w14:paraId="1465B8F6" w14:textId="77777777" w:rsidR="00262A83" w:rsidRPr="00997551" w:rsidRDefault="00262A83" w:rsidP="00AE7433">
      <w:pPr>
        <w:spacing w:after="459" w:line="1" w:lineRule="exact"/>
        <w:rPr>
          <w:rFonts w:ascii="Times New Roman" w:hAnsi="Times New Roman" w:cs="Times New Roman"/>
        </w:rPr>
      </w:pPr>
    </w:p>
    <w:p w14:paraId="1D7571FD" w14:textId="4D744FE8" w:rsidR="00262A83" w:rsidRPr="00997551" w:rsidRDefault="00262A83" w:rsidP="00AE7433">
      <w:pPr>
        <w:pStyle w:val="Heading20"/>
        <w:keepNext/>
        <w:keepLines/>
        <w:rPr>
          <w:b w:val="0"/>
          <w:bCs w:val="0"/>
          <w:lang w:val="sq-AL"/>
        </w:rPr>
      </w:pPr>
      <w:bookmarkStart w:id="2" w:name="bookmark17"/>
      <w:r w:rsidRPr="00997551">
        <w:rPr>
          <w:rStyle w:val="Heading2"/>
          <w:b/>
          <w:bCs/>
        </w:rPr>
        <w:t>2.1.2.1.</w:t>
      </w:r>
      <w:bookmarkEnd w:id="2"/>
      <w:r w:rsidR="007926F7" w:rsidRPr="00997551">
        <w:rPr>
          <w:lang w:val="sq-AL"/>
        </w:rPr>
        <w:t>Z</w:t>
      </w:r>
      <w:r w:rsidR="007926F7" w:rsidRPr="00997551">
        <w:t xml:space="preserve">batimi i politikave dhe masave për klimën dhe energjinë, siç </w:t>
      </w:r>
      <w:r w:rsidR="007926F7" w:rsidRPr="00997551">
        <w:rPr>
          <w:lang w:val="sq-AL"/>
        </w:rPr>
        <w:t>është paraparë</w:t>
      </w:r>
      <w:r w:rsidR="007926F7" w:rsidRPr="00997551">
        <w:t xml:space="preserve"> në Plani</w:t>
      </w:r>
      <w:r w:rsidR="007926F7" w:rsidRPr="00997551">
        <w:rPr>
          <w:lang w:val="sq-AL"/>
        </w:rPr>
        <w:t>n</w:t>
      </w:r>
      <w:r w:rsidR="007926F7" w:rsidRPr="00997551">
        <w:t xml:space="preserve"> </w:t>
      </w:r>
      <w:r w:rsidR="007926F7" w:rsidRPr="00997551">
        <w:rPr>
          <w:lang w:val="sq-AL"/>
        </w:rPr>
        <w:t xml:space="preserve">nacional </w:t>
      </w:r>
      <w:r w:rsidR="007926F7" w:rsidRPr="00997551">
        <w:t>për Energjinë dhe Klimën (P</w:t>
      </w:r>
      <w:r w:rsidR="007926F7" w:rsidRPr="00997551">
        <w:rPr>
          <w:lang w:val="sq-AL"/>
        </w:rPr>
        <w:t>N</w:t>
      </w:r>
      <w:r w:rsidR="007926F7" w:rsidRPr="00997551">
        <w:t>EK)</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805"/>
      </w:tblGrid>
      <w:tr w:rsidR="00262A83" w:rsidRPr="00997551" w14:paraId="3FC7408F" w14:textId="77777777" w:rsidTr="002A21B4">
        <w:trPr>
          <w:trHeight w:hRule="exact" w:val="1098"/>
          <w:jc w:val="center"/>
        </w:trPr>
        <w:tc>
          <w:tcPr>
            <w:tcW w:w="1714" w:type="dxa"/>
            <w:tcBorders>
              <w:top w:val="single" w:sz="4" w:space="0" w:color="auto"/>
              <w:left w:val="single" w:sz="4" w:space="0" w:color="auto"/>
            </w:tcBorders>
            <w:shd w:val="clear" w:color="auto" w:fill="E8E8E8"/>
            <w:vAlign w:val="center"/>
          </w:tcPr>
          <w:p w14:paraId="3DA2A85D" w14:textId="0630B478" w:rsidR="00262A83" w:rsidRPr="00997551" w:rsidRDefault="007926F7" w:rsidP="00CF22B1">
            <w:pPr>
              <w:pStyle w:val="Other0"/>
            </w:pPr>
            <w:r w:rsidRPr="00997551">
              <w:rPr>
                <w:b/>
                <w:bCs/>
              </w:rPr>
              <w:t xml:space="preserve">Hapi </w:t>
            </w:r>
            <w:r w:rsidRPr="00997551">
              <w:rPr>
                <w:b/>
                <w:bCs/>
                <w:lang w:val="sq-AL"/>
              </w:rPr>
              <w:t>i cili</w:t>
            </w:r>
            <w:r w:rsidRPr="00997551">
              <w:rPr>
                <w:b/>
                <w:bCs/>
              </w:rPr>
              <w:t xml:space="preserve"> po shqyrtohet</w:t>
            </w:r>
          </w:p>
        </w:tc>
        <w:tc>
          <w:tcPr>
            <w:tcW w:w="7805" w:type="dxa"/>
            <w:tcBorders>
              <w:top w:val="single" w:sz="4" w:space="0" w:color="auto"/>
              <w:left w:val="single" w:sz="4" w:space="0" w:color="auto"/>
              <w:right w:val="single" w:sz="4" w:space="0" w:color="auto"/>
            </w:tcBorders>
            <w:vAlign w:val="center"/>
          </w:tcPr>
          <w:p w14:paraId="2421CD21" w14:textId="102F411E" w:rsidR="007926F7" w:rsidRPr="00997551" w:rsidRDefault="007926F7" w:rsidP="00CF22B1">
            <w:pPr>
              <w:pStyle w:val="Other0"/>
              <w:jc w:val="both"/>
              <w:rPr>
                <w:i/>
                <w:iCs/>
                <w:lang w:val="sq-AL"/>
              </w:rPr>
            </w:pPr>
            <w:r w:rsidRPr="00997551">
              <w:rPr>
                <w:i/>
                <w:iCs/>
              </w:rPr>
              <w:t>Strukturat menaxhuese të para</w:t>
            </w:r>
            <w:r w:rsidRPr="00997551">
              <w:rPr>
                <w:i/>
                <w:iCs/>
                <w:lang w:val="sq-AL"/>
              </w:rPr>
              <w:t>para</w:t>
            </w:r>
            <w:r w:rsidRPr="00997551">
              <w:rPr>
                <w:i/>
                <w:iCs/>
              </w:rPr>
              <w:t xml:space="preserve"> në Udhezuesin për Tranzicion </w:t>
            </w:r>
            <w:r w:rsidRPr="00997551">
              <w:rPr>
                <w:i/>
                <w:iCs/>
                <w:lang w:val="sq-AL"/>
              </w:rPr>
              <w:t>të</w:t>
            </w:r>
            <w:r w:rsidRPr="00997551">
              <w:rPr>
                <w:i/>
                <w:iCs/>
              </w:rPr>
              <w:t xml:space="preserve"> Drejtë (UTD) janë </w:t>
            </w:r>
            <w:r w:rsidRPr="00997551">
              <w:rPr>
                <w:i/>
                <w:iCs/>
                <w:lang w:val="sq-AL"/>
              </w:rPr>
              <w:t>operative</w:t>
            </w:r>
            <w:r w:rsidRPr="00997551">
              <w:rPr>
                <w:i/>
                <w:iCs/>
              </w:rPr>
              <w:t xml:space="preserve"> dhe kanë</w:t>
            </w:r>
            <w:r w:rsidRPr="00997551">
              <w:rPr>
                <w:i/>
                <w:iCs/>
                <w:lang w:val="sq-AL"/>
              </w:rPr>
              <w:t xml:space="preserve"> e miratuan</w:t>
            </w:r>
            <w:r w:rsidRPr="00997551">
              <w:rPr>
                <w:i/>
                <w:iCs/>
              </w:rPr>
              <w:t xml:space="preserve"> planin vjetor </w:t>
            </w:r>
            <w:r w:rsidRPr="00997551">
              <w:rPr>
                <w:i/>
                <w:iCs/>
                <w:lang w:val="sq-AL"/>
              </w:rPr>
              <w:t>për</w:t>
            </w:r>
            <w:r w:rsidRPr="00997551">
              <w:rPr>
                <w:i/>
                <w:iCs/>
              </w:rPr>
              <w:t xml:space="preserve"> zbatim për vitin 2025.</w:t>
            </w:r>
          </w:p>
        </w:tc>
      </w:tr>
      <w:tr w:rsidR="00262A83" w:rsidRPr="00997551" w14:paraId="37DA8C00" w14:textId="77777777" w:rsidTr="002A21B4">
        <w:trPr>
          <w:trHeight w:hRule="exact" w:val="3396"/>
          <w:jc w:val="center"/>
        </w:trPr>
        <w:tc>
          <w:tcPr>
            <w:tcW w:w="1714" w:type="dxa"/>
            <w:tcBorders>
              <w:top w:val="single" w:sz="4" w:space="0" w:color="auto"/>
              <w:left w:val="single" w:sz="4" w:space="0" w:color="auto"/>
            </w:tcBorders>
            <w:shd w:val="clear" w:color="auto" w:fill="E8E8E8"/>
          </w:tcPr>
          <w:p w14:paraId="5A04720F" w14:textId="381CDB9E" w:rsidR="00262A83" w:rsidRPr="00997551" w:rsidRDefault="007926F7" w:rsidP="00CF22B1">
            <w:pPr>
              <w:pStyle w:val="Other0"/>
              <w:spacing w:before="80"/>
            </w:pPr>
            <w:r w:rsidRPr="00997551">
              <w:rPr>
                <w:b/>
                <w:bCs/>
              </w:rPr>
              <w:t xml:space="preserve">Gjendja </w:t>
            </w:r>
            <w:r w:rsidRPr="00997551">
              <w:rPr>
                <w:b/>
                <w:bCs/>
                <w:lang w:val="sq-AL"/>
              </w:rPr>
              <w:t>themelore</w:t>
            </w:r>
          </w:p>
        </w:tc>
        <w:tc>
          <w:tcPr>
            <w:tcW w:w="7805" w:type="dxa"/>
            <w:tcBorders>
              <w:top w:val="single" w:sz="4" w:space="0" w:color="auto"/>
              <w:left w:val="single" w:sz="4" w:space="0" w:color="auto"/>
              <w:right w:val="single" w:sz="4" w:space="0" w:color="auto"/>
            </w:tcBorders>
            <w:vAlign w:val="center"/>
          </w:tcPr>
          <w:p w14:paraId="210AA5FA" w14:textId="1881943B" w:rsidR="0004210A" w:rsidRPr="00997551" w:rsidRDefault="0004210A" w:rsidP="00CF22B1">
            <w:pPr>
              <w:pStyle w:val="Other0"/>
              <w:spacing w:after="100"/>
              <w:jc w:val="both"/>
              <w:rPr>
                <w:lang w:val="sq-AL"/>
              </w:rPr>
            </w:pPr>
            <w:r w:rsidRPr="00997551">
              <w:t>Struktura aktuale menaxhuese e UTD-së (2024)</w:t>
            </w:r>
            <w:r w:rsidRPr="00997551">
              <w:br/>
              <w:t>Sipas UTD-së (fq. 58-60), struktura menaxhuese përfshin:</w:t>
            </w:r>
          </w:p>
          <w:p w14:paraId="1FB85E75" w14:textId="5CAF6732" w:rsidR="0004210A" w:rsidRPr="00997551" w:rsidRDefault="0004210A" w:rsidP="00262A83">
            <w:pPr>
              <w:pStyle w:val="Other0"/>
              <w:numPr>
                <w:ilvl w:val="0"/>
                <w:numId w:val="6"/>
              </w:numPr>
              <w:tabs>
                <w:tab w:val="left" w:pos="710"/>
                <w:tab w:val="left" w:pos="715"/>
              </w:tabs>
              <w:spacing w:after="60" w:line="286" w:lineRule="auto"/>
              <w:ind w:firstLine="360"/>
              <w:jc w:val="both"/>
            </w:pPr>
            <w:r w:rsidRPr="00997551">
              <w:t>Këshill për Tranzicion të Drejtë</w:t>
            </w:r>
          </w:p>
          <w:p w14:paraId="767CE53D" w14:textId="770BCBAC" w:rsidR="0004210A" w:rsidRPr="00997551" w:rsidRDefault="0004210A" w:rsidP="00262A83">
            <w:pPr>
              <w:pStyle w:val="Other0"/>
              <w:numPr>
                <w:ilvl w:val="0"/>
                <w:numId w:val="6"/>
              </w:numPr>
              <w:tabs>
                <w:tab w:val="left" w:pos="715"/>
              </w:tabs>
              <w:spacing w:after="60" w:line="286" w:lineRule="auto"/>
              <w:ind w:firstLine="360"/>
              <w:jc w:val="both"/>
            </w:pPr>
            <w:r w:rsidRPr="00997551">
              <w:t xml:space="preserve">Koordinator </w:t>
            </w:r>
            <w:r w:rsidRPr="00997551">
              <w:rPr>
                <w:lang w:val="sq-AL"/>
              </w:rPr>
              <w:t>nacional</w:t>
            </w:r>
            <w:r w:rsidRPr="00997551">
              <w:t xml:space="preserve"> për Tranzicion të Drejtë në Ministrinë e Ekonomisë</w:t>
            </w:r>
          </w:p>
          <w:p w14:paraId="46006FB0" w14:textId="59FA40CA" w:rsidR="0004210A" w:rsidRPr="00997551" w:rsidRDefault="0004210A" w:rsidP="0004210A">
            <w:pPr>
              <w:pStyle w:val="Other0"/>
              <w:numPr>
                <w:ilvl w:val="0"/>
                <w:numId w:val="6"/>
              </w:numPr>
              <w:tabs>
                <w:tab w:val="left" w:pos="715"/>
                <w:tab w:val="left" w:pos="715"/>
              </w:tabs>
              <w:spacing w:after="60" w:line="286" w:lineRule="auto"/>
              <w:ind w:firstLine="360"/>
              <w:jc w:val="both"/>
              <w:rPr>
                <w:lang w:val="en-GB"/>
              </w:rPr>
            </w:pPr>
            <w:proofErr w:type="spellStart"/>
            <w:r w:rsidRPr="00997551">
              <w:rPr>
                <w:lang w:val="en-GB"/>
              </w:rPr>
              <w:t>Sekretariat</w:t>
            </w:r>
            <w:proofErr w:type="spellEnd"/>
            <w:r w:rsidRPr="00997551">
              <w:rPr>
                <w:lang w:val="en-GB"/>
              </w:rPr>
              <w:t xml:space="preserve"> për </w:t>
            </w:r>
            <w:proofErr w:type="spellStart"/>
            <w:r w:rsidRPr="00997551">
              <w:rPr>
                <w:lang w:val="en-GB"/>
              </w:rPr>
              <w:t>Tranzicion</w:t>
            </w:r>
            <w:proofErr w:type="spellEnd"/>
            <w:r w:rsidRPr="00997551">
              <w:rPr>
                <w:lang w:val="en-GB"/>
              </w:rPr>
              <w:t xml:space="preserve"> të </w:t>
            </w:r>
            <w:proofErr w:type="spellStart"/>
            <w:r w:rsidRPr="00997551">
              <w:rPr>
                <w:lang w:val="en-GB"/>
              </w:rPr>
              <w:t>Drejtë</w:t>
            </w:r>
            <w:proofErr w:type="spellEnd"/>
            <w:r w:rsidRPr="00997551">
              <w:rPr>
                <w:lang w:val="en-GB"/>
              </w:rPr>
              <w:t xml:space="preserve"> në </w:t>
            </w:r>
            <w:proofErr w:type="spellStart"/>
            <w:r w:rsidRPr="00997551">
              <w:rPr>
                <w:lang w:val="en-GB"/>
              </w:rPr>
              <w:t>Ministrinë</w:t>
            </w:r>
            <w:proofErr w:type="spellEnd"/>
            <w:r w:rsidRPr="00997551">
              <w:rPr>
                <w:lang w:val="en-GB"/>
              </w:rPr>
              <w:t xml:space="preserve"> e </w:t>
            </w:r>
            <w:proofErr w:type="spellStart"/>
            <w:r w:rsidRPr="00997551">
              <w:rPr>
                <w:lang w:val="en-GB"/>
              </w:rPr>
              <w:t>Ekonomisë</w:t>
            </w:r>
            <w:proofErr w:type="spellEnd"/>
          </w:p>
          <w:p w14:paraId="3E550E62" w14:textId="77777777" w:rsidR="00262A83" w:rsidRPr="00997551" w:rsidRDefault="00262A83" w:rsidP="00262A83">
            <w:pPr>
              <w:pStyle w:val="Other0"/>
              <w:numPr>
                <w:ilvl w:val="0"/>
                <w:numId w:val="6"/>
              </w:numPr>
              <w:tabs>
                <w:tab w:val="left" w:pos="715"/>
              </w:tabs>
              <w:spacing w:after="60" w:line="264" w:lineRule="auto"/>
              <w:ind w:left="700" w:hanging="340"/>
              <w:jc w:val="both"/>
              <w:rPr>
                <w:rStyle w:val="Other"/>
              </w:rPr>
            </w:pPr>
            <w:r w:rsidRPr="00997551">
              <w:rPr>
                <w:rStyle w:val="Other"/>
              </w:rPr>
              <w:t>Работни групи, соодветно задолжени за преквалификација и обука, економска транзиција и енергетска транзиција</w:t>
            </w:r>
          </w:p>
          <w:p w14:paraId="0BAD8A7D" w14:textId="418257C9" w:rsidR="0004210A" w:rsidRPr="00997551" w:rsidRDefault="0004210A" w:rsidP="0004210A">
            <w:pPr>
              <w:pStyle w:val="Other0"/>
              <w:numPr>
                <w:ilvl w:val="0"/>
                <w:numId w:val="6"/>
              </w:numPr>
              <w:tabs>
                <w:tab w:val="left" w:pos="715"/>
              </w:tabs>
              <w:spacing w:after="60" w:line="264" w:lineRule="auto"/>
              <w:ind w:left="700" w:hanging="340"/>
              <w:jc w:val="both"/>
            </w:pPr>
            <w:r w:rsidRPr="00997551">
              <w:t xml:space="preserve">Grupi punues, përkatësisht </w:t>
            </w:r>
            <w:r w:rsidRPr="00997551">
              <w:rPr>
                <w:lang w:val="sq-AL"/>
              </w:rPr>
              <w:t xml:space="preserve"> të obliguar </w:t>
            </w:r>
            <w:r w:rsidRPr="00997551">
              <w:t>për ri-</w:t>
            </w:r>
            <w:r w:rsidRPr="00997551">
              <w:rPr>
                <w:lang w:val="sq-AL"/>
              </w:rPr>
              <w:t>kualifikim</w:t>
            </w:r>
            <w:r w:rsidRPr="00997551">
              <w:t xml:space="preserve"> dhe trajnim, tranzicion ekonomik dhe tranzicion energjetik</w:t>
            </w:r>
          </w:p>
          <w:p w14:paraId="60159AA5" w14:textId="175EC91B" w:rsidR="00262A83" w:rsidRPr="00997551" w:rsidRDefault="0004210A" w:rsidP="00262A83">
            <w:pPr>
              <w:pStyle w:val="Other0"/>
              <w:numPr>
                <w:ilvl w:val="0"/>
                <w:numId w:val="6"/>
              </w:numPr>
              <w:tabs>
                <w:tab w:val="left" w:pos="706"/>
                <w:tab w:val="left" w:pos="715"/>
              </w:tabs>
              <w:spacing w:after="60" w:line="286" w:lineRule="auto"/>
              <w:ind w:firstLine="360"/>
            </w:pPr>
            <w:r w:rsidRPr="00997551">
              <w:t>Forume rajonale për Tranzicion të Drejtë</w:t>
            </w:r>
          </w:p>
        </w:tc>
      </w:tr>
      <w:tr w:rsidR="00262A83" w:rsidRPr="00997551" w14:paraId="5B8C1956" w14:textId="77777777" w:rsidTr="00CF22B1">
        <w:trPr>
          <w:trHeight w:hRule="exact" w:val="682"/>
          <w:jc w:val="center"/>
        </w:trPr>
        <w:tc>
          <w:tcPr>
            <w:tcW w:w="1714" w:type="dxa"/>
            <w:tcBorders>
              <w:top w:val="single" w:sz="4" w:space="0" w:color="auto"/>
              <w:left w:val="single" w:sz="4" w:space="0" w:color="auto"/>
            </w:tcBorders>
            <w:shd w:val="clear" w:color="auto" w:fill="E8E8E8"/>
            <w:vAlign w:val="center"/>
          </w:tcPr>
          <w:p w14:paraId="5639B098" w14:textId="65AE696D" w:rsidR="00262A83" w:rsidRPr="00997551" w:rsidRDefault="007926F7" w:rsidP="00CF22B1">
            <w:pPr>
              <w:pStyle w:val="Other0"/>
            </w:pPr>
            <w:r w:rsidRPr="00997551">
              <w:rPr>
                <w:b/>
                <w:bCs/>
              </w:rPr>
              <w:t>Afati i fundit i hapit</w:t>
            </w:r>
          </w:p>
        </w:tc>
        <w:tc>
          <w:tcPr>
            <w:tcW w:w="7805" w:type="dxa"/>
            <w:tcBorders>
              <w:top w:val="single" w:sz="4" w:space="0" w:color="auto"/>
              <w:left w:val="single" w:sz="4" w:space="0" w:color="auto"/>
              <w:right w:val="single" w:sz="4" w:space="0" w:color="auto"/>
            </w:tcBorders>
          </w:tcPr>
          <w:p w14:paraId="7E3893D4" w14:textId="7CDF36C6" w:rsidR="0004210A" w:rsidRPr="00997551" w:rsidRDefault="0004210A" w:rsidP="00CF22B1">
            <w:pPr>
              <w:pStyle w:val="Other0"/>
              <w:spacing w:before="80"/>
              <w:rPr>
                <w:lang w:val="sq-AL"/>
              </w:rPr>
            </w:pPr>
            <w:r w:rsidRPr="00997551">
              <w:rPr>
                <w:rStyle w:val="Other"/>
              </w:rPr>
              <w:t>Në muajin dh</w:t>
            </w:r>
            <w:r w:rsidRPr="00997551">
              <w:rPr>
                <w:rStyle w:val="Other"/>
                <w:lang w:val="sq-AL"/>
              </w:rPr>
              <w:t>jetor të vitit 2024</w:t>
            </w:r>
          </w:p>
        </w:tc>
      </w:tr>
      <w:tr w:rsidR="00262A83" w:rsidRPr="00997551" w14:paraId="63C54F7C" w14:textId="77777777" w:rsidTr="00CF22B1">
        <w:trPr>
          <w:trHeight w:hRule="exact" w:val="1186"/>
          <w:jc w:val="center"/>
        </w:trPr>
        <w:tc>
          <w:tcPr>
            <w:tcW w:w="1714" w:type="dxa"/>
            <w:tcBorders>
              <w:top w:val="single" w:sz="4" w:space="0" w:color="auto"/>
              <w:left w:val="single" w:sz="4" w:space="0" w:color="auto"/>
            </w:tcBorders>
            <w:shd w:val="clear" w:color="auto" w:fill="E8E8E8"/>
            <w:vAlign w:val="center"/>
          </w:tcPr>
          <w:p w14:paraId="28B4D2AF" w14:textId="32A0C6D7" w:rsidR="00262A83" w:rsidRPr="00997551" w:rsidRDefault="007926F7" w:rsidP="00CF22B1">
            <w:pPr>
              <w:pStyle w:val="Other0"/>
            </w:pPr>
            <w:r w:rsidRPr="00997551">
              <w:rPr>
                <w:b/>
                <w:bCs/>
                <w:lang w:val="sq-AL"/>
              </w:rPr>
              <w:t>Konkludimi</w:t>
            </w:r>
            <w:r w:rsidRPr="00997551">
              <w:rPr>
                <w:b/>
                <w:bCs/>
              </w:rPr>
              <w:t xml:space="preserve"> i shqyrtimit të hapit nga </w:t>
            </w:r>
            <w:r w:rsidRPr="00997551">
              <w:rPr>
                <w:b/>
                <w:bCs/>
                <w:lang w:val="sq-AL"/>
              </w:rPr>
              <w:t>shfrytëzuesi</w:t>
            </w:r>
          </w:p>
        </w:tc>
        <w:tc>
          <w:tcPr>
            <w:tcW w:w="7805" w:type="dxa"/>
            <w:tcBorders>
              <w:top w:val="single" w:sz="4" w:space="0" w:color="auto"/>
              <w:left w:val="single" w:sz="4" w:space="0" w:color="auto"/>
              <w:right w:val="single" w:sz="4" w:space="0" w:color="auto"/>
            </w:tcBorders>
          </w:tcPr>
          <w:p w14:paraId="60FAE47D" w14:textId="7969D739" w:rsidR="005674DA" w:rsidRPr="00997551" w:rsidRDefault="0004210A" w:rsidP="005674DA">
            <w:pPr>
              <w:rPr>
                <w:rFonts w:ascii="Times New Roman" w:hAnsi="Times New Roman" w:cs="Times New Roman"/>
              </w:rPr>
            </w:pPr>
            <w:r w:rsidRPr="00997551">
              <w:rPr>
                <w:rStyle w:val="Other"/>
                <w:rFonts w:eastAsia="Courier New"/>
                <w:lang w:val="sq-AL"/>
              </w:rPr>
              <w:t xml:space="preserve">Shfrytëzuesi e konsideron si e arritur e plotësishme </w:t>
            </w:r>
          </w:p>
          <w:p w14:paraId="209FB231" w14:textId="77777777" w:rsidR="005674DA" w:rsidRPr="00997551" w:rsidRDefault="005674DA" w:rsidP="005674DA">
            <w:pPr>
              <w:rPr>
                <w:rFonts w:ascii="Times New Roman" w:hAnsi="Times New Roman" w:cs="Times New Roman"/>
              </w:rPr>
            </w:pPr>
          </w:p>
          <w:p w14:paraId="3FDEF329" w14:textId="77777777" w:rsidR="005674DA" w:rsidRPr="00997551" w:rsidRDefault="005674DA" w:rsidP="005674DA">
            <w:pPr>
              <w:rPr>
                <w:rFonts w:ascii="Times New Roman" w:hAnsi="Times New Roman" w:cs="Times New Roman"/>
              </w:rPr>
            </w:pPr>
          </w:p>
          <w:p w14:paraId="4D45C557" w14:textId="77777777" w:rsidR="005674DA" w:rsidRPr="00997551" w:rsidRDefault="005674DA" w:rsidP="005674DA">
            <w:pPr>
              <w:rPr>
                <w:rFonts w:ascii="Times New Roman" w:hAnsi="Times New Roman" w:cs="Times New Roman"/>
              </w:rPr>
            </w:pPr>
          </w:p>
          <w:p w14:paraId="77BA4531" w14:textId="77777777" w:rsidR="005674DA" w:rsidRPr="00997551" w:rsidRDefault="005674DA" w:rsidP="005674DA">
            <w:pPr>
              <w:rPr>
                <w:rFonts w:ascii="Times New Roman" w:hAnsi="Times New Roman" w:cs="Times New Roman"/>
              </w:rPr>
            </w:pPr>
          </w:p>
          <w:p w14:paraId="74E65D62" w14:textId="77777777" w:rsidR="005674DA" w:rsidRPr="00997551" w:rsidRDefault="005674DA" w:rsidP="005674DA">
            <w:pPr>
              <w:rPr>
                <w:rFonts w:ascii="Times New Roman" w:hAnsi="Times New Roman" w:cs="Times New Roman"/>
              </w:rPr>
            </w:pPr>
          </w:p>
          <w:p w14:paraId="3C034044" w14:textId="77777777" w:rsidR="005674DA" w:rsidRPr="00997551" w:rsidRDefault="005674DA" w:rsidP="005674DA">
            <w:pPr>
              <w:rPr>
                <w:rFonts w:ascii="Times New Roman" w:hAnsi="Times New Roman" w:cs="Times New Roman"/>
              </w:rPr>
            </w:pPr>
          </w:p>
        </w:tc>
      </w:tr>
      <w:tr w:rsidR="00262A83" w:rsidRPr="00997551" w14:paraId="3D974B84" w14:textId="77777777" w:rsidTr="002A21B4">
        <w:trPr>
          <w:trHeight w:hRule="exact" w:val="5327"/>
          <w:jc w:val="center"/>
        </w:trPr>
        <w:tc>
          <w:tcPr>
            <w:tcW w:w="1714" w:type="dxa"/>
            <w:tcBorders>
              <w:top w:val="single" w:sz="4" w:space="0" w:color="auto"/>
              <w:left w:val="single" w:sz="4" w:space="0" w:color="auto"/>
              <w:bottom w:val="single" w:sz="4" w:space="0" w:color="auto"/>
            </w:tcBorders>
            <w:shd w:val="clear" w:color="auto" w:fill="E8E8E8"/>
          </w:tcPr>
          <w:p w14:paraId="43A760AF" w14:textId="77777777" w:rsidR="007926F7" w:rsidRPr="00997551" w:rsidRDefault="007926F7" w:rsidP="007926F7">
            <w:pPr>
              <w:pStyle w:val="Other0"/>
              <w:spacing w:before="80"/>
              <w:rPr>
                <w:b/>
                <w:bCs/>
                <w:lang w:val="en-GB"/>
              </w:rPr>
            </w:pPr>
            <w:proofErr w:type="spellStart"/>
            <w:r w:rsidRPr="00997551">
              <w:rPr>
                <w:b/>
                <w:bCs/>
                <w:lang w:val="en-GB"/>
              </w:rPr>
              <w:lastRenderedPageBreak/>
              <w:t>Vlerësimi</w:t>
            </w:r>
            <w:proofErr w:type="spellEnd"/>
            <w:r w:rsidRPr="00997551">
              <w:rPr>
                <w:b/>
                <w:bCs/>
                <w:lang w:val="en-GB"/>
              </w:rPr>
              <w:t xml:space="preserve"> </w:t>
            </w:r>
            <w:proofErr w:type="spellStart"/>
            <w:r w:rsidRPr="00997551">
              <w:rPr>
                <w:b/>
                <w:bCs/>
                <w:lang w:val="en-GB"/>
              </w:rPr>
              <w:t>i</w:t>
            </w:r>
            <w:proofErr w:type="spellEnd"/>
            <w:r w:rsidRPr="00997551">
              <w:rPr>
                <w:b/>
                <w:bCs/>
                <w:lang w:val="en-GB"/>
              </w:rPr>
              <w:t xml:space="preserve"> </w:t>
            </w:r>
            <w:proofErr w:type="spellStart"/>
            <w:r w:rsidRPr="00997551">
              <w:rPr>
                <w:b/>
                <w:bCs/>
                <w:lang w:val="en-GB"/>
              </w:rPr>
              <w:t>rezultateve</w:t>
            </w:r>
            <w:proofErr w:type="spellEnd"/>
            <w:r w:rsidRPr="00997551">
              <w:rPr>
                <w:b/>
                <w:bCs/>
                <w:lang w:val="en-GB"/>
              </w:rPr>
              <w:t xml:space="preserve"> </w:t>
            </w:r>
            <w:proofErr w:type="spellStart"/>
            <w:r w:rsidRPr="00997551">
              <w:rPr>
                <w:b/>
                <w:bCs/>
                <w:lang w:val="en-GB"/>
              </w:rPr>
              <w:t>nga</w:t>
            </w:r>
            <w:proofErr w:type="spellEnd"/>
            <w:r w:rsidRPr="00997551">
              <w:rPr>
                <w:b/>
                <w:bCs/>
                <w:lang w:val="en-GB"/>
              </w:rPr>
              <w:t xml:space="preserve"> </w:t>
            </w:r>
            <w:proofErr w:type="spellStart"/>
            <w:r w:rsidRPr="00997551">
              <w:rPr>
                <w:b/>
                <w:bCs/>
                <w:lang w:val="en-GB"/>
              </w:rPr>
              <w:t>Komisioni</w:t>
            </w:r>
            <w:proofErr w:type="spellEnd"/>
          </w:p>
          <w:p w14:paraId="23873FA2" w14:textId="19CC09F9" w:rsidR="00262A83" w:rsidRPr="00997551" w:rsidRDefault="00262A83" w:rsidP="00CF22B1">
            <w:pPr>
              <w:pStyle w:val="Other0"/>
              <w:spacing w:before="80"/>
            </w:pPr>
          </w:p>
        </w:tc>
        <w:tc>
          <w:tcPr>
            <w:tcW w:w="7805" w:type="dxa"/>
            <w:tcBorders>
              <w:top w:val="single" w:sz="4" w:space="0" w:color="auto"/>
              <w:left w:val="single" w:sz="4" w:space="0" w:color="auto"/>
              <w:bottom w:val="single" w:sz="4" w:space="0" w:color="auto"/>
              <w:right w:val="single" w:sz="4" w:space="0" w:color="auto"/>
            </w:tcBorders>
            <w:vAlign w:val="bottom"/>
          </w:tcPr>
          <w:p w14:paraId="28987537" w14:textId="62FB2952" w:rsidR="0004210A" w:rsidRPr="00997551" w:rsidRDefault="0004210A" w:rsidP="00CF22B1">
            <w:pPr>
              <w:pStyle w:val="Other0"/>
              <w:spacing w:after="60"/>
              <w:jc w:val="both"/>
              <w:rPr>
                <w:lang w:val="sq-AL"/>
              </w:rPr>
            </w:pPr>
            <w:r w:rsidRPr="00997551">
              <w:t>Maqedonia e Veriut ta</w:t>
            </w:r>
            <w:r w:rsidRPr="00997551">
              <w:rPr>
                <w:lang w:val="sq-AL"/>
              </w:rPr>
              <w:t>nimë</w:t>
            </w:r>
            <w:r w:rsidRPr="00997551">
              <w:t xml:space="preserve"> </w:t>
            </w:r>
            <w:r w:rsidRPr="00997551">
              <w:rPr>
                <w:lang w:val="sq-AL"/>
              </w:rPr>
              <w:t>formoi</w:t>
            </w:r>
            <w:r w:rsidRPr="00997551">
              <w:t xml:space="preserve"> grupe punuese në k</w:t>
            </w:r>
            <w:r w:rsidRPr="00997551">
              <w:rPr>
                <w:lang w:val="sq-AL"/>
              </w:rPr>
              <w:t>ontekst</w:t>
            </w:r>
            <w:r w:rsidRPr="00997551">
              <w:t xml:space="preserve"> të Udhezuesit për Tranzicion të Drejtë, </w:t>
            </w:r>
            <w:r w:rsidRPr="00997551">
              <w:rPr>
                <w:lang w:val="sq-AL"/>
              </w:rPr>
              <w:t xml:space="preserve">ndërsa ata </w:t>
            </w:r>
            <w:r w:rsidRPr="00997551">
              <w:t xml:space="preserve">mbajtën takime në </w:t>
            </w:r>
            <w:r w:rsidRPr="00997551">
              <w:rPr>
                <w:lang w:val="sq-AL"/>
              </w:rPr>
              <w:t xml:space="preserve">muajin </w:t>
            </w:r>
            <w:r w:rsidRPr="00997551">
              <w:t>nëntor dhe dhjetor</w:t>
            </w:r>
            <w:r w:rsidRPr="00997551">
              <w:rPr>
                <w:lang w:val="sq-AL"/>
              </w:rPr>
              <w:t xml:space="preserve"> të vitit</w:t>
            </w:r>
            <w:r w:rsidRPr="00997551">
              <w:t xml:space="preserve"> 2024, si dhe në</w:t>
            </w:r>
            <w:r w:rsidRPr="00997551">
              <w:rPr>
                <w:lang w:val="sq-AL"/>
              </w:rPr>
              <w:t xml:space="preserve"> muajin</w:t>
            </w:r>
            <w:r w:rsidRPr="00997551">
              <w:t xml:space="preserve"> shkurt </w:t>
            </w:r>
            <w:r w:rsidRPr="00997551">
              <w:rPr>
                <w:lang w:val="sq-AL"/>
              </w:rPr>
              <w:t xml:space="preserve">të vitit </w:t>
            </w:r>
            <w:r w:rsidRPr="00997551">
              <w:t xml:space="preserve">2025, për </w:t>
            </w:r>
            <w:r w:rsidRPr="00997551">
              <w:rPr>
                <w:lang w:val="sq-AL"/>
              </w:rPr>
              <w:t xml:space="preserve">përgatitjen e </w:t>
            </w:r>
            <w:r w:rsidRPr="00997551">
              <w:t xml:space="preserve"> Plani</w:t>
            </w:r>
            <w:r w:rsidRPr="00997551">
              <w:rPr>
                <w:lang w:val="sq-AL"/>
              </w:rPr>
              <w:t>t</w:t>
            </w:r>
            <w:r w:rsidRPr="00997551">
              <w:t xml:space="preserve"> Vjetor </w:t>
            </w:r>
            <w:r w:rsidRPr="00997551">
              <w:rPr>
                <w:lang w:val="sq-AL"/>
              </w:rPr>
              <w:t>për implementim</w:t>
            </w:r>
            <w:r w:rsidRPr="00997551">
              <w:t xml:space="preserve"> për vitin 2025. Plani u miratua fillimisht nga Këshilli i sapoformuar për Tranzicion të Drejtë në </w:t>
            </w:r>
            <w:r w:rsidRPr="00997551">
              <w:rPr>
                <w:lang w:val="sq-AL"/>
              </w:rPr>
              <w:t xml:space="preserve">muajin </w:t>
            </w:r>
            <w:r w:rsidRPr="00997551">
              <w:t>dhjetor</w:t>
            </w:r>
            <w:r w:rsidRPr="00997551">
              <w:rPr>
                <w:lang w:val="sq-AL"/>
              </w:rPr>
              <w:t xml:space="preserve"> të vitit</w:t>
            </w:r>
            <w:r w:rsidRPr="00997551">
              <w:t xml:space="preserve"> 2024, pastaj u r</w:t>
            </w:r>
            <w:r w:rsidRPr="00997551">
              <w:rPr>
                <w:lang w:val="sq-AL"/>
              </w:rPr>
              <w:t>evidua</w:t>
            </w:r>
            <w:r w:rsidRPr="00997551">
              <w:t xml:space="preserve"> në</w:t>
            </w:r>
            <w:r w:rsidRPr="00997551">
              <w:rPr>
                <w:lang w:val="sq-AL"/>
              </w:rPr>
              <w:t xml:space="preserve"> muajin</w:t>
            </w:r>
            <w:r w:rsidRPr="00997551">
              <w:t xml:space="preserve"> shkurt dhe u miratua sërish në </w:t>
            </w:r>
            <w:r w:rsidRPr="00997551">
              <w:rPr>
                <w:lang w:val="sq-AL"/>
              </w:rPr>
              <w:t xml:space="preserve">muajin </w:t>
            </w:r>
            <w:r w:rsidRPr="00997551">
              <w:t xml:space="preserve">shkurt </w:t>
            </w:r>
            <w:r w:rsidRPr="00997551">
              <w:rPr>
                <w:lang w:val="sq-AL"/>
              </w:rPr>
              <w:t xml:space="preserve">të vitit </w:t>
            </w:r>
            <w:r w:rsidRPr="00997551">
              <w:t xml:space="preserve">2025. Aktivitetet e raportuara të strukturës menaxhuese janë të kufizuara në përgatitjen e Planit Vjetor </w:t>
            </w:r>
            <w:r w:rsidRPr="00997551">
              <w:rPr>
                <w:lang w:val="sq-AL"/>
              </w:rPr>
              <w:t>për implementim</w:t>
            </w:r>
            <w:r w:rsidRPr="00997551">
              <w:t xml:space="preserve"> për 2025 (</w:t>
            </w:r>
            <w:r w:rsidRPr="00997551">
              <w:rPr>
                <w:lang w:val="sq-AL"/>
              </w:rPr>
              <w:t>P</w:t>
            </w:r>
            <w:r w:rsidR="00366982" w:rsidRPr="00997551">
              <w:rPr>
                <w:lang w:val="sq-AL"/>
              </w:rPr>
              <w:t>VIUT</w:t>
            </w:r>
            <w:r w:rsidRPr="00997551">
              <w:t>), pa</w:t>
            </w:r>
            <w:r w:rsidRPr="00997551">
              <w:rPr>
                <w:lang w:val="sq-AL"/>
              </w:rPr>
              <w:t xml:space="preserve"> informacione</w:t>
            </w:r>
            <w:r w:rsidRPr="00997551">
              <w:t xml:space="preserve"> </w:t>
            </w:r>
            <w:r w:rsidRPr="00997551">
              <w:rPr>
                <w:lang w:val="sq-AL"/>
              </w:rPr>
              <w:t xml:space="preserve">të </w:t>
            </w:r>
            <w:r w:rsidRPr="00997551">
              <w:t>dhën</w:t>
            </w:r>
            <w:r w:rsidRPr="00997551">
              <w:rPr>
                <w:lang w:val="sq-AL"/>
              </w:rPr>
              <w:t>ë</w:t>
            </w:r>
            <w:r w:rsidRPr="00997551">
              <w:t xml:space="preserve"> lidh</w:t>
            </w:r>
            <w:r w:rsidRPr="00997551">
              <w:rPr>
                <w:lang w:val="sq-AL"/>
              </w:rPr>
              <w:t>ur</w:t>
            </w:r>
            <w:r w:rsidRPr="00997551">
              <w:t xml:space="preserve"> me</w:t>
            </w:r>
            <w:r w:rsidRPr="00997551">
              <w:rPr>
                <w:lang w:val="sq-AL"/>
              </w:rPr>
              <w:t xml:space="preserve"> implementimin</w:t>
            </w:r>
            <w:r w:rsidRPr="00997551">
              <w:t xml:space="preserve"> e aktiviteteve të planifikuara.</w:t>
            </w:r>
          </w:p>
          <w:p w14:paraId="736DE061" w14:textId="62854B94" w:rsidR="0004210A" w:rsidRPr="00997551" w:rsidRDefault="0004210A" w:rsidP="00CF22B1">
            <w:pPr>
              <w:pStyle w:val="Other0"/>
              <w:spacing w:after="60"/>
              <w:jc w:val="both"/>
              <w:rPr>
                <w:lang w:val="sq-AL"/>
              </w:rPr>
            </w:pPr>
            <w:r w:rsidRPr="00997551">
              <w:t xml:space="preserve">Plani Vjetor </w:t>
            </w:r>
            <w:r w:rsidRPr="00997551">
              <w:rPr>
                <w:lang w:val="sq-AL"/>
              </w:rPr>
              <w:t>për</w:t>
            </w:r>
            <w:r w:rsidRPr="00997551">
              <w:t xml:space="preserve"> Zbatim </w:t>
            </w:r>
            <w:r w:rsidRPr="00997551">
              <w:rPr>
                <w:lang w:val="sq-AL"/>
              </w:rPr>
              <w:t>citon</w:t>
            </w:r>
            <w:r w:rsidRPr="00997551">
              <w:t xml:space="preserve"> disa pika aksioni, afate kohore dhe disa shpërndarje</w:t>
            </w:r>
            <w:r w:rsidR="00366982" w:rsidRPr="00997551">
              <w:rPr>
                <w:lang w:val="sq-AL"/>
              </w:rPr>
              <w:t xml:space="preserve"> të mjeteve</w:t>
            </w:r>
            <w:r w:rsidRPr="00997551">
              <w:t xml:space="preserve">, kryesisht të siguruara nga BE-ja/donatorë/institucione financiare ndërkombëtare, por jo </w:t>
            </w:r>
            <w:r w:rsidR="00366982" w:rsidRPr="00997551">
              <w:rPr>
                <w:lang w:val="sq-AL"/>
              </w:rPr>
              <w:t>drejtëpërdrejtë</w:t>
            </w:r>
            <w:r w:rsidRPr="00997551">
              <w:t xml:space="preserve"> nga buxheti</w:t>
            </w:r>
            <w:r w:rsidR="00366982" w:rsidRPr="00997551">
              <w:rPr>
                <w:lang w:val="sq-AL"/>
              </w:rPr>
              <w:t xml:space="preserve"> nacional</w:t>
            </w:r>
            <w:r w:rsidRPr="00997551">
              <w:t xml:space="preserve">. </w:t>
            </w:r>
            <w:r w:rsidR="00366982" w:rsidRPr="00997551">
              <w:rPr>
                <w:lang w:val="sq-AL"/>
              </w:rPr>
              <w:t>Është p</w:t>
            </w:r>
            <w:r w:rsidRPr="00997551">
              <w:t>ërshkr</w:t>
            </w:r>
            <w:r w:rsidR="00366982" w:rsidRPr="00997551">
              <w:rPr>
                <w:lang w:val="sq-AL"/>
              </w:rPr>
              <w:t>uar</w:t>
            </w:r>
            <w:r w:rsidRPr="00997551">
              <w:t xml:space="preserve"> sistem i planifikuar për monitorimin dhe </w:t>
            </w:r>
            <w:r w:rsidR="00366982" w:rsidRPr="00997551">
              <w:rPr>
                <w:lang w:val="sq-AL"/>
              </w:rPr>
              <w:t>njoftimin</w:t>
            </w:r>
            <w:r w:rsidRPr="00997551">
              <w:t xml:space="preserve"> e</w:t>
            </w:r>
            <w:r w:rsidR="00366982" w:rsidRPr="00997551">
              <w:rPr>
                <w:lang w:val="sq-AL"/>
              </w:rPr>
              <w:t xml:space="preserve"> implementimit </w:t>
            </w:r>
            <w:r w:rsidRPr="00997551">
              <w:t xml:space="preserve">të </w:t>
            </w:r>
            <w:r w:rsidR="00366982" w:rsidRPr="00997551">
              <w:rPr>
                <w:lang w:val="sq-AL"/>
              </w:rPr>
              <w:t>PVIUT</w:t>
            </w:r>
            <w:r w:rsidRPr="00997551">
              <w:t xml:space="preserve">-së, por nuk ka </w:t>
            </w:r>
            <w:r w:rsidR="00366982" w:rsidRPr="00997551">
              <w:rPr>
                <w:lang w:val="sq-AL"/>
              </w:rPr>
              <w:t>dëshmi</w:t>
            </w:r>
            <w:r w:rsidRPr="00997551">
              <w:t xml:space="preserve"> që </w:t>
            </w:r>
            <w:r w:rsidR="00366982" w:rsidRPr="00997551">
              <w:rPr>
                <w:lang w:val="sq-AL"/>
              </w:rPr>
              <w:t xml:space="preserve">ai </w:t>
            </w:r>
            <w:r w:rsidRPr="00997551">
              <w:t xml:space="preserve">të jetë </w:t>
            </w:r>
            <w:r w:rsidR="00366982" w:rsidRPr="00997551">
              <w:rPr>
                <w:lang w:val="sq-AL"/>
              </w:rPr>
              <w:t>implementuar</w:t>
            </w:r>
            <w:r w:rsidRPr="00997551">
              <w:t xml:space="preserve"> gjatë periudhës nga</w:t>
            </w:r>
            <w:r w:rsidR="00366982" w:rsidRPr="00997551">
              <w:rPr>
                <w:lang w:val="sq-AL"/>
              </w:rPr>
              <w:t xml:space="preserve"> muaji</w:t>
            </w:r>
            <w:r w:rsidRPr="00997551">
              <w:t xml:space="preserve"> janari deri në </w:t>
            </w:r>
            <w:r w:rsidR="00366982" w:rsidRPr="00997551">
              <w:rPr>
                <w:lang w:val="sq-AL"/>
              </w:rPr>
              <w:t xml:space="preserve">muajin </w:t>
            </w:r>
            <w:r w:rsidRPr="00997551">
              <w:t xml:space="preserve">mars </w:t>
            </w:r>
            <w:r w:rsidR="00366982" w:rsidRPr="00997551">
              <w:rPr>
                <w:lang w:val="sq-AL"/>
              </w:rPr>
              <w:t xml:space="preserve">të vitit </w:t>
            </w:r>
            <w:r w:rsidRPr="00997551">
              <w:t>2025.</w:t>
            </w:r>
          </w:p>
          <w:p w14:paraId="49BB9D88" w14:textId="1574C745" w:rsidR="00262A83" w:rsidRPr="00997551" w:rsidRDefault="00366982" w:rsidP="00CF22B1">
            <w:pPr>
              <w:pStyle w:val="Other0"/>
              <w:spacing w:after="60"/>
              <w:jc w:val="both"/>
              <w:rPr>
                <w:lang w:val="sq-AL"/>
              </w:rPr>
            </w:pPr>
            <w:r w:rsidRPr="00997551">
              <w:t>Edhe pse ekziston nominalisht strukturë menaxhuese për takime dhe grupe punuese të dedikuara, si dhe Plan Vjetor</w:t>
            </w:r>
            <w:r w:rsidRPr="00997551">
              <w:rPr>
                <w:lang w:val="sq-AL"/>
              </w:rPr>
              <w:t xml:space="preserve"> të miratuar për implmentim</w:t>
            </w:r>
            <w:r w:rsidRPr="00997551">
              <w:t xml:space="preserve"> </w:t>
            </w:r>
            <w:r w:rsidRPr="00997551">
              <w:rPr>
                <w:lang w:val="sq-AL"/>
              </w:rPr>
              <w:t xml:space="preserve">për </w:t>
            </w:r>
            <w:r w:rsidRPr="00997551">
              <w:t xml:space="preserve">vitin 2025, ekzistojnë mangësi të konsiderueshme </w:t>
            </w:r>
            <w:r w:rsidRPr="00997551">
              <w:rPr>
                <w:lang w:val="sq-AL"/>
              </w:rPr>
              <w:t>të cilat</w:t>
            </w:r>
            <w:r w:rsidRPr="00997551">
              <w:t xml:space="preserve"> </w:t>
            </w:r>
            <w:r w:rsidRPr="00997551">
              <w:rPr>
                <w:lang w:val="sq-AL"/>
              </w:rPr>
              <w:t xml:space="preserve">e </w:t>
            </w:r>
            <w:r w:rsidRPr="00997551">
              <w:t xml:space="preserve">pengojnë operacionalizimin e vërtetë të këtyre përpjekjeve dhe shndërrimin e tyre në rezultate konkrete dhe të prekshme. Në këtë kontekst, plani kërkon përmirësim të konsiderueshëm dhe </w:t>
            </w:r>
            <w:r w:rsidRPr="00997551">
              <w:rPr>
                <w:lang w:val="sq-AL"/>
              </w:rPr>
              <w:t>konsultime më të shumta</w:t>
            </w:r>
            <w:r w:rsidRPr="00997551">
              <w:t xml:space="preserve"> me palët e interesuara,</w:t>
            </w:r>
            <w:r w:rsidRPr="00997551">
              <w:rPr>
                <w:lang w:val="sq-AL"/>
              </w:rPr>
              <w:t xml:space="preserve">qëllim që të bëhet dokument operativ, i </w:t>
            </w:r>
            <w:r w:rsidR="0069471B" w:rsidRPr="00997551">
              <w:rPr>
                <w:lang w:val="sq-AL"/>
              </w:rPr>
              <w:t xml:space="preserve">oreientuar drejt akitviteteve të </w:t>
            </w:r>
          </w:p>
        </w:tc>
      </w:tr>
    </w:tbl>
    <w:p w14:paraId="3F3942B1" w14:textId="125B3174" w:rsidR="0069471B" w:rsidRPr="00997551" w:rsidRDefault="00366982" w:rsidP="0069471B">
      <w:pPr>
        <w:pStyle w:val="BodyText"/>
        <w:pBdr>
          <w:top w:val="single" w:sz="4" w:space="0" w:color="auto"/>
          <w:left w:val="single" w:sz="4" w:space="0" w:color="auto"/>
          <w:bottom w:val="single" w:sz="4" w:space="24" w:color="auto"/>
          <w:right w:val="single" w:sz="4" w:space="0" w:color="auto"/>
        </w:pBdr>
        <w:spacing w:after="400"/>
        <w:ind w:left="1800"/>
        <w:jc w:val="both"/>
        <w:rPr>
          <w:lang w:val="en-GB"/>
        </w:rPr>
      </w:pPr>
      <w:r w:rsidRPr="00997551">
        <w:rPr>
          <w:lang w:val="en-GB"/>
        </w:rPr>
        <w:t xml:space="preserve">  </w:t>
      </w:r>
      <w:r w:rsidR="0069471B" w:rsidRPr="00997551">
        <w:rPr>
          <w:lang w:val="en-GB"/>
        </w:rPr>
        <w:t xml:space="preserve">të </w:t>
      </w:r>
      <w:proofErr w:type="spellStart"/>
      <w:r w:rsidR="0069471B" w:rsidRPr="00997551">
        <w:rPr>
          <w:lang w:val="en-GB"/>
        </w:rPr>
        <w:t>cilat</w:t>
      </w:r>
      <w:proofErr w:type="spellEnd"/>
      <w:r w:rsidR="0069471B" w:rsidRPr="00997551">
        <w:rPr>
          <w:lang w:val="en-GB"/>
        </w:rPr>
        <w:t xml:space="preserve"> </w:t>
      </w:r>
      <w:r w:rsidRPr="00997551">
        <w:rPr>
          <w:lang w:val="en-GB"/>
        </w:rPr>
        <w:t>t</w:t>
      </w:r>
      <w:r w:rsidR="0069471B" w:rsidRPr="00997551">
        <w:rPr>
          <w:lang w:val="en-GB"/>
        </w:rPr>
        <w:t>’i</w:t>
      </w:r>
      <w:r w:rsidRPr="00997551">
        <w:rPr>
          <w:lang w:val="en-GB"/>
        </w:rPr>
        <w:t xml:space="preserve"> </w:t>
      </w:r>
      <w:proofErr w:type="spellStart"/>
      <w:r w:rsidRPr="00997551">
        <w:rPr>
          <w:lang w:val="en-GB"/>
        </w:rPr>
        <w:t>ndërmarrin</w:t>
      </w:r>
      <w:proofErr w:type="spellEnd"/>
      <w:r w:rsidRPr="00997551">
        <w:rPr>
          <w:lang w:val="en-GB"/>
        </w:rPr>
        <w:t xml:space="preserve"> institucionet </w:t>
      </w:r>
      <w:proofErr w:type="spellStart"/>
      <w:r w:rsidRPr="00997551">
        <w:rPr>
          <w:lang w:val="en-GB"/>
        </w:rPr>
        <w:t>shtetërore</w:t>
      </w:r>
      <w:proofErr w:type="spellEnd"/>
      <w:r w:rsidRPr="00997551">
        <w:rPr>
          <w:lang w:val="en-GB"/>
        </w:rPr>
        <w:t xml:space="preserve"> </w:t>
      </w:r>
      <w:r w:rsidR="0069471B" w:rsidRPr="00997551">
        <w:rPr>
          <w:lang w:val="en-GB"/>
        </w:rPr>
        <w:t xml:space="preserve">në </w:t>
      </w:r>
      <w:proofErr w:type="spellStart"/>
      <w:r w:rsidR="0069471B" w:rsidRPr="00997551">
        <w:rPr>
          <w:lang w:val="en-GB"/>
        </w:rPr>
        <w:t>kuadër</w:t>
      </w:r>
      <w:proofErr w:type="spellEnd"/>
      <w:r w:rsidR="0069471B" w:rsidRPr="00997551">
        <w:rPr>
          <w:lang w:val="en-GB"/>
        </w:rPr>
        <w:t xml:space="preserve"> të </w:t>
      </w:r>
      <w:proofErr w:type="spellStart"/>
      <w:r w:rsidRPr="00997551">
        <w:rPr>
          <w:lang w:val="en-GB"/>
        </w:rPr>
        <w:t>afatit</w:t>
      </w:r>
      <w:proofErr w:type="spellEnd"/>
      <w:r w:rsidRPr="00997551">
        <w:rPr>
          <w:lang w:val="en-GB"/>
        </w:rPr>
        <w:t xml:space="preserve"> të </w:t>
      </w:r>
      <w:proofErr w:type="spellStart"/>
      <w:r w:rsidRPr="00997551">
        <w:rPr>
          <w:lang w:val="en-GB"/>
        </w:rPr>
        <w:t>para</w:t>
      </w:r>
      <w:r w:rsidR="0069471B" w:rsidRPr="00997551">
        <w:rPr>
          <w:lang w:val="en-GB"/>
        </w:rPr>
        <w:t>parë</w:t>
      </w:r>
      <w:proofErr w:type="spellEnd"/>
      <w:r w:rsidRPr="00997551">
        <w:rPr>
          <w:lang w:val="en-GB"/>
        </w:rPr>
        <w:t xml:space="preserve"> </w:t>
      </w:r>
      <w:proofErr w:type="gramStart"/>
      <w:r w:rsidRPr="00997551">
        <w:rPr>
          <w:lang w:val="en-GB"/>
        </w:rPr>
        <w:t>(</w:t>
      </w:r>
      <w:r w:rsidR="0069471B" w:rsidRPr="00997551">
        <w:rPr>
          <w:lang w:val="en-GB"/>
        </w:rPr>
        <w:t xml:space="preserve"> </w:t>
      </w:r>
      <w:proofErr w:type="spellStart"/>
      <w:r w:rsidRPr="00997551">
        <w:rPr>
          <w:lang w:val="en-GB"/>
        </w:rPr>
        <w:t>viti</w:t>
      </w:r>
      <w:proofErr w:type="spellEnd"/>
      <w:proofErr w:type="gramEnd"/>
      <w:r w:rsidRPr="00997551">
        <w:rPr>
          <w:lang w:val="en-GB"/>
        </w:rPr>
        <w:t xml:space="preserve"> 2025).</w:t>
      </w:r>
    </w:p>
    <w:p w14:paraId="442765F0" w14:textId="12C05D37" w:rsidR="0069471B" w:rsidRPr="00997551" w:rsidRDefault="0069471B" w:rsidP="0069471B">
      <w:pPr>
        <w:pStyle w:val="BodyText"/>
        <w:pBdr>
          <w:top w:val="single" w:sz="4" w:space="0" w:color="auto"/>
          <w:left w:val="single" w:sz="4" w:space="0" w:color="auto"/>
          <w:bottom w:val="single" w:sz="4" w:space="24" w:color="auto"/>
          <w:right w:val="single" w:sz="4" w:space="0" w:color="auto"/>
        </w:pBdr>
        <w:spacing w:after="400"/>
        <w:ind w:left="1800"/>
        <w:jc w:val="both"/>
        <w:rPr>
          <w:lang w:val="en-GB"/>
        </w:rPr>
      </w:pPr>
      <w:proofErr w:type="spellStart"/>
      <w:r w:rsidRPr="00997551">
        <w:rPr>
          <w:lang w:val="en-GB"/>
        </w:rPr>
        <w:t>Strukturat</w:t>
      </w:r>
      <w:proofErr w:type="spellEnd"/>
      <w:r w:rsidRPr="00997551">
        <w:rPr>
          <w:lang w:val="en-GB"/>
        </w:rPr>
        <w:t xml:space="preserve"> </w:t>
      </w:r>
      <w:proofErr w:type="spellStart"/>
      <w:r w:rsidRPr="00997551">
        <w:rPr>
          <w:lang w:val="en-GB"/>
        </w:rPr>
        <w:t>menaxhuese</w:t>
      </w:r>
      <w:proofErr w:type="spellEnd"/>
      <w:r w:rsidRPr="00997551">
        <w:rPr>
          <w:lang w:val="en-GB"/>
        </w:rPr>
        <w:t xml:space="preserve"> duhet të </w:t>
      </w:r>
      <w:proofErr w:type="spellStart"/>
      <w:r w:rsidRPr="00997551">
        <w:rPr>
          <w:lang w:val="en-GB"/>
        </w:rPr>
        <w:t>ofrojnë</w:t>
      </w:r>
      <w:proofErr w:type="spellEnd"/>
      <w:r w:rsidRPr="00997551">
        <w:rPr>
          <w:lang w:val="en-GB"/>
        </w:rPr>
        <w:t xml:space="preserve"> më </w:t>
      </w:r>
      <w:proofErr w:type="spellStart"/>
      <w:r w:rsidRPr="00997551">
        <w:rPr>
          <w:lang w:val="en-GB"/>
        </w:rPr>
        <w:t>shumë</w:t>
      </w:r>
      <w:proofErr w:type="spellEnd"/>
      <w:r w:rsidRPr="00997551">
        <w:rPr>
          <w:lang w:val="en-GB"/>
        </w:rPr>
        <w:t xml:space="preserve"> </w:t>
      </w:r>
      <w:proofErr w:type="spellStart"/>
      <w:r w:rsidRPr="00997551">
        <w:rPr>
          <w:lang w:val="en-GB"/>
        </w:rPr>
        <w:t>dëshmi</w:t>
      </w:r>
      <w:proofErr w:type="spellEnd"/>
      <w:r w:rsidRPr="00997551">
        <w:rPr>
          <w:lang w:val="en-GB"/>
        </w:rPr>
        <w:t xml:space="preserve"> se </w:t>
      </w:r>
      <w:proofErr w:type="spellStart"/>
      <w:r w:rsidRPr="00997551">
        <w:rPr>
          <w:lang w:val="en-GB"/>
        </w:rPr>
        <w:t>rregullisht</w:t>
      </w:r>
      <w:proofErr w:type="spellEnd"/>
      <w:r w:rsidRPr="00997551">
        <w:rPr>
          <w:lang w:val="en-GB"/>
        </w:rPr>
        <w:t xml:space="preserve"> </w:t>
      </w:r>
      <w:proofErr w:type="spellStart"/>
      <w:r w:rsidRPr="00997551">
        <w:rPr>
          <w:lang w:val="en-GB"/>
        </w:rPr>
        <w:t>takohen</w:t>
      </w:r>
      <w:proofErr w:type="spellEnd"/>
      <w:r w:rsidRPr="00997551">
        <w:rPr>
          <w:lang w:val="en-GB"/>
        </w:rPr>
        <w:t xml:space="preserve"> dhe e </w:t>
      </w:r>
      <w:proofErr w:type="spellStart"/>
      <w:r w:rsidRPr="00997551">
        <w:rPr>
          <w:lang w:val="en-GB"/>
        </w:rPr>
        <w:t>monitorojnë</w:t>
      </w:r>
      <w:proofErr w:type="spellEnd"/>
      <w:r w:rsidRPr="00997551">
        <w:rPr>
          <w:lang w:val="en-GB"/>
        </w:rPr>
        <w:t xml:space="preserve"> </w:t>
      </w:r>
      <w:proofErr w:type="spellStart"/>
      <w:r w:rsidRPr="00997551">
        <w:rPr>
          <w:lang w:val="en-GB"/>
        </w:rPr>
        <w:t>implementimin</w:t>
      </w:r>
      <w:proofErr w:type="spellEnd"/>
      <w:r w:rsidRPr="00997551">
        <w:rPr>
          <w:lang w:val="en-GB"/>
        </w:rPr>
        <w:t xml:space="preserve">, dhe se </w:t>
      </w:r>
      <w:proofErr w:type="spellStart"/>
      <w:r w:rsidRPr="00997551">
        <w:rPr>
          <w:lang w:val="en-GB"/>
        </w:rPr>
        <w:t>funksionojnë</w:t>
      </w:r>
      <w:proofErr w:type="spellEnd"/>
      <w:r w:rsidRPr="00997551">
        <w:rPr>
          <w:lang w:val="en-GB"/>
        </w:rPr>
        <w:t xml:space="preserve"> </w:t>
      </w:r>
      <w:proofErr w:type="spellStart"/>
      <w:r w:rsidRPr="00997551">
        <w:rPr>
          <w:lang w:val="en-GB"/>
        </w:rPr>
        <w:t>sipas</w:t>
      </w:r>
      <w:proofErr w:type="spellEnd"/>
      <w:r w:rsidRPr="00997551">
        <w:rPr>
          <w:lang w:val="en-GB"/>
        </w:rPr>
        <w:t xml:space="preserve"> </w:t>
      </w:r>
      <w:proofErr w:type="spellStart"/>
      <w:r w:rsidRPr="00997551">
        <w:rPr>
          <w:lang w:val="en-GB"/>
        </w:rPr>
        <w:t>mekanizmit</w:t>
      </w:r>
      <w:proofErr w:type="spellEnd"/>
      <w:r w:rsidRPr="00997551">
        <w:rPr>
          <w:lang w:val="en-GB"/>
        </w:rPr>
        <w:t xml:space="preserve"> të </w:t>
      </w:r>
      <w:proofErr w:type="spellStart"/>
      <w:r w:rsidRPr="00997551">
        <w:rPr>
          <w:lang w:val="en-GB"/>
        </w:rPr>
        <w:t>planifikuar</w:t>
      </w:r>
      <w:proofErr w:type="spellEnd"/>
      <w:r w:rsidRPr="00997551">
        <w:rPr>
          <w:lang w:val="en-GB"/>
        </w:rPr>
        <w:t xml:space="preserve"> për </w:t>
      </w:r>
      <w:proofErr w:type="spellStart"/>
      <w:r w:rsidRPr="00997551">
        <w:rPr>
          <w:lang w:val="en-GB"/>
        </w:rPr>
        <w:t>monitorim</w:t>
      </w:r>
      <w:proofErr w:type="spellEnd"/>
      <w:r w:rsidRPr="00997551">
        <w:rPr>
          <w:lang w:val="en-GB"/>
        </w:rPr>
        <w:t xml:space="preserve">. Duhet të </w:t>
      </w:r>
      <w:proofErr w:type="spellStart"/>
      <w:r w:rsidRPr="00997551">
        <w:rPr>
          <w:lang w:val="en-GB"/>
        </w:rPr>
        <w:t>sigurohen</w:t>
      </w:r>
      <w:proofErr w:type="spellEnd"/>
      <w:r w:rsidRPr="00997551">
        <w:rPr>
          <w:lang w:val="en-GB"/>
        </w:rPr>
        <w:t xml:space="preserve"> </w:t>
      </w:r>
      <w:proofErr w:type="spellStart"/>
      <w:r w:rsidRPr="00997551">
        <w:rPr>
          <w:lang w:val="en-GB"/>
        </w:rPr>
        <w:t>dëshmi</w:t>
      </w:r>
      <w:proofErr w:type="spellEnd"/>
      <w:r w:rsidRPr="00997551">
        <w:rPr>
          <w:lang w:val="en-GB"/>
        </w:rPr>
        <w:t xml:space="preserve"> </w:t>
      </w:r>
      <w:proofErr w:type="spellStart"/>
      <w:r w:rsidRPr="00997551">
        <w:rPr>
          <w:lang w:val="en-GB"/>
        </w:rPr>
        <w:t>që</w:t>
      </w:r>
      <w:proofErr w:type="spellEnd"/>
      <w:r w:rsidRPr="00997551">
        <w:rPr>
          <w:lang w:val="en-GB"/>
        </w:rPr>
        <w:t xml:space="preserve"> </w:t>
      </w:r>
      <w:proofErr w:type="spellStart"/>
      <w:r w:rsidRPr="00997551">
        <w:rPr>
          <w:lang w:val="en-GB"/>
        </w:rPr>
        <w:t>disa</w:t>
      </w:r>
      <w:proofErr w:type="spellEnd"/>
      <w:r w:rsidRPr="00997551">
        <w:rPr>
          <w:lang w:val="en-GB"/>
        </w:rPr>
        <w:t xml:space="preserve"> </w:t>
      </w:r>
      <w:proofErr w:type="spellStart"/>
      <w:r w:rsidRPr="00997551">
        <w:rPr>
          <w:lang w:val="en-GB"/>
        </w:rPr>
        <w:t>aktivitete</w:t>
      </w:r>
      <w:proofErr w:type="spellEnd"/>
      <w:r w:rsidRPr="00997551">
        <w:rPr>
          <w:lang w:val="en-GB"/>
        </w:rPr>
        <w:t xml:space="preserve"> </w:t>
      </w:r>
      <w:proofErr w:type="spellStart"/>
      <w:r w:rsidRPr="00997551">
        <w:rPr>
          <w:lang w:val="en-GB"/>
        </w:rPr>
        <w:t>kanë</w:t>
      </w:r>
      <w:proofErr w:type="spellEnd"/>
      <w:r w:rsidRPr="00997551">
        <w:rPr>
          <w:lang w:val="en-GB"/>
        </w:rPr>
        <w:t xml:space="preserve"> </w:t>
      </w:r>
      <w:proofErr w:type="spellStart"/>
      <w:r w:rsidRPr="00997551">
        <w:rPr>
          <w:lang w:val="en-GB"/>
        </w:rPr>
        <w:t>filluar</w:t>
      </w:r>
      <w:proofErr w:type="spellEnd"/>
      <w:r w:rsidRPr="00997551">
        <w:rPr>
          <w:lang w:val="en-GB"/>
        </w:rPr>
        <w:t xml:space="preserve"> para </w:t>
      </w:r>
      <w:proofErr w:type="spellStart"/>
      <w:r w:rsidRPr="00997551">
        <w:rPr>
          <w:lang w:val="en-GB"/>
        </w:rPr>
        <w:t>parashtrimit</w:t>
      </w:r>
      <w:proofErr w:type="spellEnd"/>
      <w:r w:rsidRPr="00997551">
        <w:rPr>
          <w:lang w:val="en-GB"/>
        </w:rPr>
        <w:t xml:space="preserve"> të </w:t>
      </w:r>
      <w:proofErr w:type="spellStart"/>
      <w:r w:rsidRPr="00997551">
        <w:rPr>
          <w:lang w:val="en-GB"/>
        </w:rPr>
        <w:t>planit</w:t>
      </w:r>
      <w:proofErr w:type="spellEnd"/>
      <w:r w:rsidRPr="00997551">
        <w:rPr>
          <w:lang w:val="en-GB"/>
        </w:rPr>
        <w:t xml:space="preserve"> për </w:t>
      </w:r>
      <w:proofErr w:type="spellStart"/>
      <w:r w:rsidRPr="00997551">
        <w:rPr>
          <w:lang w:val="en-GB"/>
        </w:rPr>
        <w:t>vlerësim</w:t>
      </w:r>
      <w:proofErr w:type="spellEnd"/>
      <w:r w:rsidRPr="00997551">
        <w:rPr>
          <w:lang w:val="en-GB"/>
        </w:rPr>
        <w:t xml:space="preserve"> të </w:t>
      </w:r>
      <w:proofErr w:type="spellStart"/>
      <w:r w:rsidRPr="00997551">
        <w:rPr>
          <w:lang w:val="en-GB"/>
        </w:rPr>
        <w:t>Komisionit</w:t>
      </w:r>
      <w:proofErr w:type="spellEnd"/>
      <w:r w:rsidRPr="00997551">
        <w:rPr>
          <w:lang w:val="en-GB"/>
        </w:rPr>
        <w:t xml:space="preserve"> Evropian, </w:t>
      </w:r>
      <w:proofErr w:type="spellStart"/>
      <w:r w:rsidRPr="00997551">
        <w:rPr>
          <w:lang w:val="en-GB"/>
        </w:rPr>
        <w:t>si</w:t>
      </w:r>
      <w:proofErr w:type="spellEnd"/>
      <w:r w:rsidRPr="00997551">
        <w:rPr>
          <w:lang w:val="en-GB"/>
        </w:rPr>
        <w:t xml:space="preserve"> dhe </w:t>
      </w:r>
      <w:proofErr w:type="spellStart"/>
      <w:r w:rsidRPr="00997551">
        <w:rPr>
          <w:lang w:val="en-GB"/>
        </w:rPr>
        <w:t>dëshmi</w:t>
      </w:r>
      <w:proofErr w:type="spellEnd"/>
      <w:r w:rsidRPr="00997551">
        <w:rPr>
          <w:lang w:val="en-GB"/>
        </w:rPr>
        <w:t xml:space="preserve"> për </w:t>
      </w:r>
      <w:proofErr w:type="spellStart"/>
      <w:r w:rsidRPr="00997551">
        <w:rPr>
          <w:lang w:val="en-GB"/>
        </w:rPr>
        <w:t>progresin</w:t>
      </w:r>
      <w:proofErr w:type="spellEnd"/>
      <w:r w:rsidRPr="00997551">
        <w:rPr>
          <w:lang w:val="en-GB"/>
        </w:rPr>
        <w:t xml:space="preserve"> </w:t>
      </w:r>
      <w:proofErr w:type="spellStart"/>
      <w:r w:rsidRPr="00997551">
        <w:rPr>
          <w:lang w:val="en-GB"/>
        </w:rPr>
        <w:t>që</w:t>
      </w:r>
      <w:proofErr w:type="spellEnd"/>
      <w:r w:rsidRPr="00997551">
        <w:rPr>
          <w:lang w:val="en-GB"/>
        </w:rPr>
        <w:t xml:space="preserve"> </w:t>
      </w:r>
      <w:proofErr w:type="spellStart"/>
      <w:r w:rsidRPr="00997551">
        <w:rPr>
          <w:lang w:val="en-GB"/>
        </w:rPr>
        <w:t>nga</w:t>
      </w:r>
      <w:proofErr w:type="spellEnd"/>
      <w:r w:rsidRPr="00997551">
        <w:rPr>
          <w:lang w:val="en-GB"/>
        </w:rPr>
        <w:t xml:space="preserve"> fillimi </w:t>
      </w:r>
      <w:proofErr w:type="spellStart"/>
      <w:r w:rsidRPr="00997551">
        <w:rPr>
          <w:lang w:val="en-GB"/>
        </w:rPr>
        <w:t>i</w:t>
      </w:r>
      <w:proofErr w:type="spellEnd"/>
      <w:r w:rsidRPr="00997551">
        <w:rPr>
          <w:lang w:val="en-GB"/>
        </w:rPr>
        <w:t xml:space="preserve"> </w:t>
      </w:r>
      <w:proofErr w:type="spellStart"/>
      <w:r w:rsidRPr="00997551">
        <w:rPr>
          <w:lang w:val="en-GB"/>
        </w:rPr>
        <w:t>vitit</w:t>
      </w:r>
      <w:proofErr w:type="spellEnd"/>
      <w:r w:rsidRPr="00997551">
        <w:rPr>
          <w:lang w:val="en-GB"/>
        </w:rPr>
        <w:t xml:space="preserve"> 2025, </w:t>
      </w:r>
      <w:proofErr w:type="spellStart"/>
      <w:r w:rsidRPr="00997551">
        <w:rPr>
          <w:lang w:val="en-GB"/>
        </w:rPr>
        <w:t>si</w:t>
      </w:r>
      <w:proofErr w:type="spellEnd"/>
      <w:r w:rsidRPr="00997551">
        <w:rPr>
          <w:lang w:val="en-GB"/>
        </w:rPr>
        <w:t xml:space="preserve"> dhe për </w:t>
      </w:r>
      <w:proofErr w:type="spellStart"/>
      <w:r w:rsidRPr="00997551">
        <w:rPr>
          <w:lang w:val="en-GB"/>
        </w:rPr>
        <w:t>implementimin</w:t>
      </w:r>
      <w:proofErr w:type="spellEnd"/>
      <w:r w:rsidRPr="00997551">
        <w:rPr>
          <w:lang w:val="en-GB"/>
        </w:rPr>
        <w:t xml:space="preserve"> e </w:t>
      </w:r>
      <w:proofErr w:type="spellStart"/>
      <w:r w:rsidRPr="00997551">
        <w:rPr>
          <w:lang w:val="en-GB"/>
        </w:rPr>
        <w:t>mekanizmave</w:t>
      </w:r>
      <w:proofErr w:type="spellEnd"/>
      <w:r w:rsidRPr="00997551">
        <w:rPr>
          <w:lang w:val="en-GB"/>
        </w:rPr>
        <w:t xml:space="preserve"> për </w:t>
      </w:r>
      <w:proofErr w:type="spellStart"/>
      <w:r w:rsidRPr="00997551">
        <w:rPr>
          <w:lang w:val="en-GB"/>
        </w:rPr>
        <w:t>monitorim</w:t>
      </w:r>
      <w:proofErr w:type="spellEnd"/>
      <w:r w:rsidRPr="00997551">
        <w:rPr>
          <w:lang w:val="en-GB"/>
        </w:rPr>
        <w:t>.</w:t>
      </w:r>
    </w:p>
    <w:p w14:paraId="10F9A5EB" w14:textId="77777777" w:rsidR="0069471B" w:rsidRPr="00997551" w:rsidRDefault="0069471B" w:rsidP="002A21B4">
      <w:pPr>
        <w:pStyle w:val="BodyText"/>
        <w:pBdr>
          <w:top w:val="single" w:sz="4" w:space="0" w:color="auto"/>
          <w:left w:val="single" w:sz="4" w:space="0" w:color="auto"/>
          <w:bottom w:val="single" w:sz="4" w:space="24" w:color="auto"/>
          <w:right w:val="single" w:sz="4" w:space="0" w:color="auto"/>
        </w:pBdr>
        <w:spacing w:after="60" w:line="240" w:lineRule="auto"/>
        <w:ind w:left="1800"/>
        <w:jc w:val="both"/>
        <w:rPr>
          <w:i/>
          <w:lang w:val="sq-AL"/>
        </w:rPr>
      </w:pPr>
      <w:r w:rsidRPr="00997551">
        <w:rPr>
          <w:i/>
        </w:rPr>
        <w:t>Komente të përgjithshme</w:t>
      </w:r>
    </w:p>
    <w:p w14:paraId="1B336299" w14:textId="77777777" w:rsidR="000557E5" w:rsidRPr="00997551" w:rsidRDefault="0069471B" w:rsidP="000557E5">
      <w:pPr>
        <w:pStyle w:val="BodyText"/>
        <w:pBdr>
          <w:top w:val="single" w:sz="4" w:space="0" w:color="auto"/>
          <w:left w:val="single" w:sz="4" w:space="0" w:color="auto"/>
          <w:bottom w:val="single" w:sz="4" w:space="24" w:color="auto"/>
          <w:right w:val="single" w:sz="4" w:space="0" w:color="auto"/>
        </w:pBdr>
        <w:spacing w:after="60"/>
        <w:ind w:left="1800"/>
        <w:jc w:val="both"/>
        <w:rPr>
          <w:rStyle w:val="BodyTextChar"/>
          <w:lang w:val="en-GB"/>
        </w:rPr>
      </w:pPr>
      <w:proofErr w:type="spellStart"/>
      <w:r w:rsidRPr="00997551">
        <w:rPr>
          <w:lang w:val="en-GB"/>
        </w:rPr>
        <w:t>Dokumentet</w:t>
      </w:r>
      <w:proofErr w:type="spellEnd"/>
      <w:r w:rsidRPr="00997551">
        <w:rPr>
          <w:lang w:val="en-GB"/>
        </w:rPr>
        <w:t xml:space="preserve"> e </w:t>
      </w:r>
      <w:proofErr w:type="spellStart"/>
      <w:r w:rsidRPr="00997551">
        <w:rPr>
          <w:lang w:val="en-GB"/>
        </w:rPr>
        <w:t>dorëzuara</w:t>
      </w:r>
      <w:proofErr w:type="spellEnd"/>
      <w:r w:rsidRPr="00997551">
        <w:rPr>
          <w:lang w:val="en-GB"/>
        </w:rPr>
        <w:t xml:space="preserve"> </w:t>
      </w:r>
      <w:proofErr w:type="spellStart"/>
      <w:r w:rsidRPr="00997551">
        <w:rPr>
          <w:lang w:val="en-GB"/>
        </w:rPr>
        <w:t>përfshijnë</w:t>
      </w:r>
      <w:proofErr w:type="spellEnd"/>
      <w:r w:rsidRPr="00997551">
        <w:rPr>
          <w:lang w:val="en-GB"/>
        </w:rPr>
        <w:t xml:space="preserve"> </w:t>
      </w:r>
      <w:proofErr w:type="spellStart"/>
      <w:r w:rsidR="000557E5" w:rsidRPr="00997551">
        <w:rPr>
          <w:lang w:val="en-GB"/>
        </w:rPr>
        <w:t>dëshmi</w:t>
      </w:r>
      <w:proofErr w:type="spellEnd"/>
      <w:r w:rsidRPr="00997551">
        <w:rPr>
          <w:lang w:val="en-GB"/>
        </w:rPr>
        <w:t xml:space="preserve"> për </w:t>
      </w:r>
      <w:proofErr w:type="spellStart"/>
      <w:r w:rsidRPr="00997551">
        <w:rPr>
          <w:lang w:val="en-GB"/>
        </w:rPr>
        <w:t>themelimin</w:t>
      </w:r>
      <w:proofErr w:type="spellEnd"/>
      <w:r w:rsidRPr="00997551">
        <w:rPr>
          <w:lang w:val="en-GB"/>
        </w:rPr>
        <w:t xml:space="preserve"> formal të </w:t>
      </w:r>
      <w:proofErr w:type="spellStart"/>
      <w:r w:rsidRPr="00997551">
        <w:rPr>
          <w:lang w:val="en-GB"/>
        </w:rPr>
        <w:t>Këshillit</w:t>
      </w:r>
      <w:proofErr w:type="spellEnd"/>
      <w:r w:rsidRPr="00997551">
        <w:rPr>
          <w:lang w:val="en-GB"/>
        </w:rPr>
        <w:t xml:space="preserve"> për </w:t>
      </w:r>
      <w:proofErr w:type="spellStart"/>
      <w:r w:rsidRPr="00997551">
        <w:rPr>
          <w:lang w:val="en-GB"/>
        </w:rPr>
        <w:t>Tranzicion</w:t>
      </w:r>
      <w:proofErr w:type="spellEnd"/>
      <w:r w:rsidRPr="00997551">
        <w:rPr>
          <w:lang w:val="en-GB"/>
        </w:rPr>
        <w:t xml:space="preserve"> të </w:t>
      </w:r>
      <w:proofErr w:type="spellStart"/>
      <w:r w:rsidRPr="00997551">
        <w:rPr>
          <w:lang w:val="en-GB"/>
        </w:rPr>
        <w:t>Drejtë</w:t>
      </w:r>
      <w:proofErr w:type="spellEnd"/>
      <w:r w:rsidRPr="00997551">
        <w:rPr>
          <w:lang w:val="en-GB"/>
        </w:rPr>
        <w:t xml:space="preserve"> dhe </w:t>
      </w:r>
      <w:proofErr w:type="spellStart"/>
      <w:r w:rsidRPr="00997551">
        <w:rPr>
          <w:lang w:val="en-GB"/>
        </w:rPr>
        <w:t>tre</w:t>
      </w:r>
      <w:proofErr w:type="spellEnd"/>
      <w:r w:rsidRPr="00997551">
        <w:rPr>
          <w:lang w:val="en-GB"/>
        </w:rPr>
        <w:t xml:space="preserve"> </w:t>
      </w:r>
      <w:proofErr w:type="spellStart"/>
      <w:r w:rsidRPr="00997551">
        <w:rPr>
          <w:lang w:val="en-GB"/>
        </w:rPr>
        <w:t>grupet</w:t>
      </w:r>
      <w:proofErr w:type="spellEnd"/>
      <w:r w:rsidRPr="00997551">
        <w:rPr>
          <w:lang w:val="en-GB"/>
        </w:rPr>
        <w:t xml:space="preserve"> </w:t>
      </w:r>
      <w:proofErr w:type="spellStart"/>
      <w:r w:rsidRPr="00997551">
        <w:rPr>
          <w:lang w:val="en-GB"/>
        </w:rPr>
        <w:t>punuese</w:t>
      </w:r>
      <w:proofErr w:type="spellEnd"/>
      <w:r w:rsidRPr="00997551">
        <w:rPr>
          <w:lang w:val="en-GB"/>
        </w:rPr>
        <w:t xml:space="preserve">. </w:t>
      </w:r>
      <w:proofErr w:type="spellStart"/>
      <w:r w:rsidRPr="00997551">
        <w:rPr>
          <w:lang w:val="en-GB"/>
        </w:rPr>
        <w:t>Gjithashtu</w:t>
      </w:r>
      <w:proofErr w:type="spellEnd"/>
      <w:r w:rsidRPr="00997551">
        <w:rPr>
          <w:lang w:val="en-GB"/>
        </w:rPr>
        <w:t xml:space="preserve">, </w:t>
      </w:r>
      <w:proofErr w:type="spellStart"/>
      <w:r w:rsidRPr="00997551">
        <w:rPr>
          <w:lang w:val="en-GB"/>
        </w:rPr>
        <w:t>ekzistojnë</w:t>
      </w:r>
      <w:proofErr w:type="spellEnd"/>
      <w:r w:rsidRPr="00997551">
        <w:rPr>
          <w:lang w:val="en-GB"/>
        </w:rPr>
        <w:t xml:space="preserve"> </w:t>
      </w:r>
      <w:proofErr w:type="spellStart"/>
      <w:r w:rsidRPr="00997551">
        <w:rPr>
          <w:lang w:val="en-GB"/>
        </w:rPr>
        <w:t>procesverbale</w:t>
      </w:r>
      <w:proofErr w:type="spellEnd"/>
      <w:r w:rsidRPr="00997551">
        <w:rPr>
          <w:lang w:val="en-GB"/>
        </w:rPr>
        <w:t xml:space="preserve"> të </w:t>
      </w:r>
      <w:proofErr w:type="spellStart"/>
      <w:r w:rsidRPr="00997551">
        <w:rPr>
          <w:lang w:val="en-GB"/>
        </w:rPr>
        <w:t>takimeve</w:t>
      </w:r>
      <w:proofErr w:type="spellEnd"/>
      <w:r w:rsidRPr="00997551">
        <w:rPr>
          <w:lang w:val="en-GB"/>
        </w:rPr>
        <w:t xml:space="preserve"> dhe </w:t>
      </w:r>
      <w:proofErr w:type="spellStart"/>
      <w:r w:rsidRPr="00997551">
        <w:rPr>
          <w:lang w:val="en-GB"/>
        </w:rPr>
        <w:t>korrespondencë</w:t>
      </w:r>
      <w:proofErr w:type="spellEnd"/>
      <w:r w:rsidRPr="00997551">
        <w:rPr>
          <w:lang w:val="en-GB"/>
        </w:rPr>
        <w:t xml:space="preserve"> </w:t>
      </w:r>
      <w:r w:rsidR="000557E5" w:rsidRPr="00997551">
        <w:rPr>
          <w:lang w:val="en-GB"/>
        </w:rPr>
        <w:t xml:space="preserve">të </w:t>
      </w:r>
      <w:proofErr w:type="spellStart"/>
      <w:r w:rsidR="000557E5" w:rsidRPr="00997551">
        <w:rPr>
          <w:lang w:val="en-GB"/>
        </w:rPr>
        <w:t>cilat</w:t>
      </w:r>
      <w:proofErr w:type="spellEnd"/>
      <w:r w:rsidRPr="00997551">
        <w:rPr>
          <w:lang w:val="en-GB"/>
        </w:rPr>
        <w:t xml:space="preserve"> </w:t>
      </w:r>
      <w:proofErr w:type="spellStart"/>
      <w:r w:rsidRPr="00997551">
        <w:rPr>
          <w:lang w:val="en-GB"/>
        </w:rPr>
        <w:t>tregojnë</w:t>
      </w:r>
      <w:proofErr w:type="spellEnd"/>
      <w:r w:rsidRPr="00997551">
        <w:rPr>
          <w:lang w:val="en-GB"/>
        </w:rPr>
        <w:t xml:space="preserve"> se ka </w:t>
      </w:r>
      <w:proofErr w:type="spellStart"/>
      <w:r w:rsidRPr="00997551">
        <w:rPr>
          <w:lang w:val="en-GB"/>
        </w:rPr>
        <w:t>pasur</w:t>
      </w:r>
      <w:proofErr w:type="spellEnd"/>
      <w:r w:rsidRPr="00997551">
        <w:rPr>
          <w:lang w:val="en-GB"/>
        </w:rPr>
        <w:t xml:space="preserve"> </w:t>
      </w:r>
      <w:proofErr w:type="spellStart"/>
      <w:r w:rsidRPr="00997551">
        <w:rPr>
          <w:lang w:val="en-GB"/>
        </w:rPr>
        <w:t>komunikim</w:t>
      </w:r>
      <w:proofErr w:type="spellEnd"/>
      <w:r w:rsidRPr="00997551">
        <w:rPr>
          <w:lang w:val="en-GB"/>
        </w:rPr>
        <w:t xml:space="preserve"> </w:t>
      </w:r>
      <w:r w:rsidR="000557E5" w:rsidRPr="00997551">
        <w:rPr>
          <w:lang w:val="en-GB"/>
        </w:rPr>
        <w:t xml:space="preserve">në </w:t>
      </w:r>
      <w:proofErr w:type="spellStart"/>
      <w:r w:rsidR="000557E5" w:rsidRPr="00997551">
        <w:rPr>
          <w:lang w:val="en-GB"/>
        </w:rPr>
        <w:t>mes</w:t>
      </w:r>
      <w:proofErr w:type="spellEnd"/>
      <w:r w:rsidR="000557E5" w:rsidRPr="00997551">
        <w:rPr>
          <w:lang w:val="en-GB"/>
        </w:rPr>
        <w:t xml:space="preserve"> të</w:t>
      </w:r>
      <w:r w:rsidRPr="00997551">
        <w:rPr>
          <w:lang w:val="en-GB"/>
        </w:rPr>
        <w:t xml:space="preserve"> </w:t>
      </w:r>
      <w:proofErr w:type="spellStart"/>
      <w:r w:rsidRPr="00997551">
        <w:rPr>
          <w:lang w:val="en-GB"/>
        </w:rPr>
        <w:t>palëve</w:t>
      </w:r>
      <w:proofErr w:type="spellEnd"/>
      <w:r w:rsidRPr="00997551">
        <w:rPr>
          <w:lang w:val="en-GB"/>
        </w:rPr>
        <w:t xml:space="preserve"> të</w:t>
      </w:r>
      <w:r w:rsidR="000557E5" w:rsidRPr="00997551">
        <w:rPr>
          <w:lang w:val="en-GB"/>
        </w:rPr>
        <w:t xml:space="preserve"> </w:t>
      </w:r>
      <w:proofErr w:type="spellStart"/>
      <w:r w:rsidR="000557E5" w:rsidRPr="00997551">
        <w:rPr>
          <w:lang w:val="en-GB"/>
        </w:rPr>
        <w:t>ndryshme</w:t>
      </w:r>
      <w:proofErr w:type="spellEnd"/>
      <w:r w:rsidR="000557E5" w:rsidRPr="00997551">
        <w:rPr>
          <w:lang w:val="en-GB"/>
        </w:rPr>
        <w:t xml:space="preserve"> </w:t>
      </w:r>
      <w:r w:rsidRPr="00997551">
        <w:rPr>
          <w:lang w:val="en-GB"/>
        </w:rPr>
        <w:t xml:space="preserve">të </w:t>
      </w:r>
      <w:proofErr w:type="spellStart"/>
      <w:r w:rsidRPr="00997551">
        <w:rPr>
          <w:lang w:val="en-GB"/>
        </w:rPr>
        <w:t>interes</w:t>
      </w:r>
      <w:r w:rsidR="000557E5" w:rsidRPr="00997551">
        <w:rPr>
          <w:lang w:val="en-GB"/>
        </w:rPr>
        <w:t>uara</w:t>
      </w:r>
      <w:proofErr w:type="spellEnd"/>
      <w:r w:rsidR="000557E5" w:rsidRPr="00997551">
        <w:rPr>
          <w:lang w:val="en-GB"/>
        </w:rPr>
        <w:t xml:space="preserve"> </w:t>
      </w:r>
      <w:proofErr w:type="spellStart"/>
      <w:r w:rsidR="000557E5" w:rsidRPr="00997551">
        <w:rPr>
          <w:lang w:val="en-GB"/>
        </w:rPr>
        <w:t>releveante</w:t>
      </w:r>
      <w:proofErr w:type="spellEnd"/>
      <w:r w:rsidRPr="00997551">
        <w:rPr>
          <w:lang w:val="en-GB"/>
        </w:rPr>
        <w:t xml:space="preserve"> </w:t>
      </w:r>
      <w:r w:rsidR="000557E5" w:rsidRPr="00997551">
        <w:rPr>
          <w:lang w:val="en-GB"/>
        </w:rPr>
        <w:t xml:space="preserve">për </w:t>
      </w:r>
      <w:proofErr w:type="spellStart"/>
      <w:r w:rsidRPr="00997551">
        <w:rPr>
          <w:lang w:val="en-GB"/>
        </w:rPr>
        <w:t>procesin</w:t>
      </w:r>
      <w:proofErr w:type="spellEnd"/>
      <w:r w:rsidRPr="00997551">
        <w:rPr>
          <w:lang w:val="en-GB"/>
        </w:rPr>
        <w:t xml:space="preserve"> e </w:t>
      </w:r>
      <w:proofErr w:type="spellStart"/>
      <w:r w:rsidRPr="00997551">
        <w:rPr>
          <w:lang w:val="en-GB"/>
        </w:rPr>
        <w:t>tranzicionit</w:t>
      </w:r>
      <w:proofErr w:type="spellEnd"/>
      <w:r w:rsidRPr="00997551">
        <w:rPr>
          <w:lang w:val="en-GB"/>
        </w:rPr>
        <w:t xml:space="preserve"> të </w:t>
      </w:r>
      <w:proofErr w:type="spellStart"/>
      <w:r w:rsidRPr="00997551">
        <w:rPr>
          <w:lang w:val="en-GB"/>
        </w:rPr>
        <w:t>drejtë</w:t>
      </w:r>
      <w:proofErr w:type="spellEnd"/>
      <w:r w:rsidRPr="00997551">
        <w:rPr>
          <w:lang w:val="en-GB"/>
        </w:rPr>
        <w:t xml:space="preserve">. Megjithatë, </w:t>
      </w:r>
      <w:proofErr w:type="spellStart"/>
      <w:r w:rsidRPr="00997551">
        <w:rPr>
          <w:lang w:val="en-GB"/>
        </w:rPr>
        <w:t>numri</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takimeve</w:t>
      </w:r>
      <w:proofErr w:type="spellEnd"/>
      <w:r w:rsidRPr="00997551">
        <w:rPr>
          <w:lang w:val="en-GB"/>
        </w:rPr>
        <w:t xml:space="preserve"> të </w:t>
      </w:r>
      <w:proofErr w:type="spellStart"/>
      <w:r w:rsidRPr="00997551">
        <w:rPr>
          <w:lang w:val="en-GB"/>
        </w:rPr>
        <w:t>mbajtura</w:t>
      </w:r>
      <w:proofErr w:type="spellEnd"/>
      <w:r w:rsidRPr="00997551">
        <w:rPr>
          <w:lang w:val="en-GB"/>
        </w:rPr>
        <w:t xml:space="preserve"> është </w:t>
      </w:r>
      <w:proofErr w:type="spellStart"/>
      <w:r w:rsidRPr="00997551">
        <w:rPr>
          <w:lang w:val="en-GB"/>
        </w:rPr>
        <w:t>relativisht</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ulët</w:t>
      </w:r>
      <w:proofErr w:type="spellEnd"/>
      <w:r w:rsidRPr="00997551">
        <w:rPr>
          <w:lang w:val="en-GB"/>
        </w:rPr>
        <w:t xml:space="preserve">, dhe </w:t>
      </w:r>
      <w:proofErr w:type="spellStart"/>
      <w:r w:rsidRPr="00997551">
        <w:rPr>
          <w:lang w:val="en-GB"/>
        </w:rPr>
        <w:t>rezultatet</w:t>
      </w:r>
      <w:proofErr w:type="spellEnd"/>
      <w:r w:rsidRPr="00997551">
        <w:rPr>
          <w:lang w:val="en-GB"/>
        </w:rPr>
        <w:t xml:space="preserve"> e tyre </w:t>
      </w:r>
      <w:proofErr w:type="spellStart"/>
      <w:r w:rsidRPr="00997551">
        <w:rPr>
          <w:lang w:val="en-GB"/>
        </w:rPr>
        <w:t>duke</w:t>
      </w:r>
      <w:r w:rsidR="000557E5" w:rsidRPr="00997551">
        <w:rPr>
          <w:lang w:val="en-GB"/>
        </w:rPr>
        <w:t>n</w:t>
      </w:r>
      <w:proofErr w:type="spellEnd"/>
      <w:r w:rsidRPr="00997551">
        <w:rPr>
          <w:lang w:val="en-GB"/>
        </w:rPr>
        <w:t xml:space="preserve"> se janë</w:t>
      </w:r>
      <w:r w:rsidR="000557E5" w:rsidRPr="00997551">
        <w:rPr>
          <w:lang w:val="en-GB"/>
        </w:rPr>
        <w:t xml:space="preserve"> </w:t>
      </w:r>
      <w:proofErr w:type="spellStart"/>
      <w:r w:rsidR="000557E5" w:rsidRPr="00997551">
        <w:rPr>
          <w:lang w:val="en-GB"/>
        </w:rPr>
        <w:t>relativisht</w:t>
      </w:r>
      <w:proofErr w:type="spellEnd"/>
      <w:r w:rsidRPr="00997551">
        <w:rPr>
          <w:lang w:val="en-GB"/>
        </w:rPr>
        <w:t xml:space="preserve"> të </w:t>
      </w:r>
      <w:proofErr w:type="spellStart"/>
      <w:r w:rsidRPr="00997551">
        <w:rPr>
          <w:lang w:val="en-GB"/>
        </w:rPr>
        <w:t>kufizuara</w:t>
      </w:r>
      <w:proofErr w:type="spellEnd"/>
      <w:r w:rsidRPr="00997551">
        <w:rPr>
          <w:lang w:val="en-GB"/>
        </w:rPr>
        <w:t xml:space="preserve">. Në </w:t>
      </w:r>
      <w:proofErr w:type="spellStart"/>
      <w:r w:rsidRPr="00997551">
        <w:rPr>
          <w:lang w:val="en-GB"/>
        </w:rPr>
        <w:t>mes</w:t>
      </w:r>
      <w:proofErr w:type="spellEnd"/>
      <w:r w:rsidRPr="00997551">
        <w:rPr>
          <w:lang w:val="en-GB"/>
        </w:rPr>
        <w:t xml:space="preserve"> të </w:t>
      </w:r>
      <w:proofErr w:type="spellStart"/>
      <w:r w:rsidRPr="00997551">
        <w:rPr>
          <w:lang w:val="en-GB"/>
        </w:rPr>
        <w:t>muajit</w:t>
      </w:r>
      <w:proofErr w:type="spellEnd"/>
      <w:r w:rsidRPr="00997551">
        <w:rPr>
          <w:lang w:val="en-GB"/>
        </w:rPr>
        <w:t xml:space="preserve"> </w:t>
      </w:r>
      <w:proofErr w:type="spellStart"/>
      <w:r w:rsidRPr="00997551">
        <w:rPr>
          <w:lang w:val="en-GB"/>
        </w:rPr>
        <w:t>korrik</w:t>
      </w:r>
      <w:proofErr w:type="spellEnd"/>
      <w:r w:rsidRPr="00997551">
        <w:rPr>
          <w:lang w:val="en-GB"/>
        </w:rPr>
        <w:t xml:space="preserve"> të </w:t>
      </w:r>
      <w:proofErr w:type="spellStart"/>
      <w:r w:rsidRPr="00997551">
        <w:rPr>
          <w:lang w:val="en-GB"/>
        </w:rPr>
        <w:t>vitit</w:t>
      </w:r>
      <w:proofErr w:type="spellEnd"/>
      <w:r w:rsidRPr="00997551">
        <w:rPr>
          <w:lang w:val="en-GB"/>
        </w:rPr>
        <w:t xml:space="preserve"> 2024 dhe të </w:t>
      </w:r>
      <w:proofErr w:type="spellStart"/>
      <w:r w:rsidRPr="00997551">
        <w:rPr>
          <w:lang w:val="en-GB"/>
        </w:rPr>
        <w:t>muajit</w:t>
      </w:r>
      <w:proofErr w:type="spellEnd"/>
      <w:r w:rsidRPr="00997551">
        <w:rPr>
          <w:lang w:val="en-GB"/>
        </w:rPr>
        <w:t xml:space="preserve"> </w:t>
      </w:r>
      <w:proofErr w:type="spellStart"/>
      <w:r w:rsidRPr="00997551">
        <w:rPr>
          <w:lang w:val="en-GB"/>
        </w:rPr>
        <w:t>shkurt</w:t>
      </w:r>
      <w:proofErr w:type="spellEnd"/>
      <w:r w:rsidRPr="00997551">
        <w:rPr>
          <w:lang w:val="en-GB"/>
        </w:rPr>
        <w:t xml:space="preserve"> të </w:t>
      </w:r>
      <w:proofErr w:type="spellStart"/>
      <w:r w:rsidRPr="00997551">
        <w:rPr>
          <w:lang w:val="en-GB"/>
        </w:rPr>
        <w:t>vitit</w:t>
      </w:r>
      <w:proofErr w:type="spellEnd"/>
      <w:r w:rsidRPr="00997551">
        <w:rPr>
          <w:lang w:val="en-GB"/>
        </w:rPr>
        <w:t xml:space="preserve"> 2025, </w:t>
      </w:r>
      <w:proofErr w:type="spellStart"/>
      <w:r w:rsidRPr="00997551">
        <w:rPr>
          <w:lang w:val="en-GB"/>
        </w:rPr>
        <w:t>duket</w:t>
      </w:r>
      <w:proofErr w:type="spellEnd"/>
      <w:r w:rsidRPr="00997551">
        <w:rPr>
          <w:lang w:val="en-GB"/>
        </w:rPr>
        <w:t xml:space="preserve"> se janë </w:t>
      </w:r>
      <w:proofErr w:type="spellStart"/>
      <w:r w:rsidRPr="00997551">
        <w:rPr>
          <w:lang w:val="en-GB"/>
        </w:rPr>
        <w:t>mbajtur</w:t>
      </w:r>
      <w:proofErr w:type="spellEnd"/>
      <w:r w:rsidRPr="00997551">
        <w:rPr>
          <w:lang w:val="en-GB"/>
        </w:rPr>
        <w:t xml:space="preserve"> vetëm </w:t>
      </w:r>
      <w:proofErr w:type="spellStart"/>
      <w:r w:rsidRPr="00997551">
        <w:rPr>
          <w:lang w:val="en-GB"/>
        </w:rPr>
        <w:t>dy</w:t>
      </w:r>
      <w:proofErr w:type="spellEnd"/>
      <w:r w:rsidRPr="00997551">
        <w:rPr>
          <w:lang w:val="en-GB"/>
        </w:rPr>
        <w:t xml:space="preserve"> </w:t>
      </w:r>
      <w:proofErr w:type="spellStart"/>
      <w:r w:rsidRPr="00997551">
        <w:rPr>
          <w:lang w:val="en-GB"/>
        </w:rPr>
        <w:t>takime</w:t>
      </w:r>
      <w:proofErr w:type="spellEnd"/>
      <w:r w:rsidRPr="00997551">
        <w:rPr>
          <w:lang w:val="en-GB"/>
        </w:rPr>
        <w:t xml:space="preserve"> të </w:t>
      </w:r>
      <w:proofErr w:type="spellStart"/>
      <w:r w:rsidRPr="00997551">
        <w:rPr>
          <w:lang w:val="en-GB"/>
        </w:rPr>
        <w:t>Këshillit</w:t>
      </w:r>
      <w:proofErr w:type="spellEnd"/>
      <w:r w:rsidRPr="00997551">
        <w:rPr>
          <w:lang w:val="en-GB"/>
        </w:rPr>
        <w:t xml:space="preserve"> për </w:t>
      </w:r>
      <w:proofErr w:type="spellStart"/>
      <w:r w:rsidRPr="00997551">
        <w:rPr>
          <w:lang w:val="en-GB"/>
        </w:rPr>
        <w:t>Tranzicion</w:t>
      </w:r>
      <w:proofErr w:type="spellEnd"/>
      <w:r w:rsidRPr="00997551">
        <w:rPr>
          <w:lang w:val="en-GB"/>
        </w:rPr>
        <w:t xml:space="preserve"> të </w:t>
      </w:r>
      <w:proofErr w:type="spellStart"/>
      <w:r w:rsidRPr="00997551">
        <w:rPr>
          <w:lang w:val="en-GB"/>
        </w:rPr>
        <w:t>Drejtë</w:t>
      </w:r>
      <w:proofErr w:type="spellEnd"/>
      <w:r w:rsidRPr="00997551">
        <w:rPr>
          <w:lang w:val="en-GB"/>
        </w:rPr>
        <w:t xml:space="preserve"> dhe </w:t>
      </w:r>
      <w:proofErr w:type="spellStart"/>
      <w:r w:rsidRPr="00997551">
        <w:rPr>
          <w:lang w:val="en-GB"/>
        </w:rPr>
        <w:t>tre</w:t>
      </w:r>
      <w:proofErr w:type="spellEnd"/>
      <w:r w:rsidRPr="00997551">
        <w:rPr>
          <w:lang w:val="en-GB"/>
        </w:rPr>
        <w:t xml:space="preserve"> </w:t>
      </w:r>
      <w:proofErr w:type="spellStart"/>
      <w:r w:rsidRPr="00997551">
        <w:rPr>
          <w:lang w:val="en-GB"/>
        </w:rPr>
        <w:t>takime</w:t>
      </w:r>
      <w:proofErr w:type="spellEnd"/>
      <w:r w:rsidRPr="00997551">
        <w:rPr>
          <w:lang w:val="en-GB"/>
        </w:rPr>
        <w:t xml:space="preserve"> të </w:t>
      </w:r>
      <w:proofErr w:type="spellStart"/>
      <w:r w:rsidRPr="00997551">
        <w:rPr>
          <w:lang w:val="en-GB"/>
        </w:rPr>
        <w:t>grupeve</w:t>
      </w:r>
      <w:proofErr w:type="spellEnd"/>
      <w:r w:rsidRPr="00997551">
        <w:rPr>
          <w:lang w:val="en-GB"/>
        </w:rPr>
        <w:t xml:space="preserve"> </w:t>
      </w:r>
      <w:proofErr w:type="spellStart"/>
      <w:r w:rsidRPr="00997551">
        <w:rPr>
          <w:lang w:val="en-GB"/>
        </w:rPr>
        <w:t>punuese</w:t>
      </w:r>
      <w:proofErr w:type="spellEnd"/>
      <w:r w:rsidRPr="00997551">
        <w:rPr>
          <w:lang w:val="en-GB"/>
        </w:rPr>
        <w:t xml:space="preserve">. </w:t>
      </w:r>
      <w:proofErr w:type="spellStart"/>
      <w:r w:rsidRPr="00997551">
        <w:rPr>
          <w:lang w:val="en-GB"/>
        </w:rPr>
        <w:t>Gjithashtu</w:t>
      </w:r>
      <w:proofErr w:type="spellEnd"/>
      <w:r w:rsidRPr="00997551">
        <w:rPr>
          <w:lang w:val="en-GB"/>
        </w:rPr>
        <w:t xml:space="preserve">, </w:t>
      </w:r>
      <w:proofErr w:type="spellStart"/>
      <w:r w:rsidRPr="00997551">
        <w:rPr>
          <w:lang w:val="en-GB"/>
        </w:rPr>
        <w:t>ekzistojnë</w:t>
      </w:r>
      <w:proofErr w:type="spellEnd"/>
      <w:r w:rsidRPr="00997551">
        <w:rPr>
          <w:lang w:val="en-GB"/>
        </w:rPr>
        <w:t xml:space="preserve"> </w:t>
      </w:r>
      <w:proofErr w:type="spellStart"/>
      <w:r w:rsidR="000557E5" w:rsidRPr="00997551">
        <w:rPr>
          <w:lang w:val="en-GB"/>
        </w:rPr>
        <w:t>dëshmi</w:t>
      </w:r>
      <w:proofErr w:type="spellEnd"/>
      <w:r w:rsidRPr="00997551">
        <w:rPr>
          <w:lang w:val="en-GB"/>
        </w:rPr>
        <w:t xml:space="preserve"> të </w:t>
      </w:r>
      <w:proofErr w:type="spellStart"/>
      <w:r w:rsidRPr="00997551">
        <w:rPr>
          <w:lang w:val="en-GB"/>
        </w:rPr>
        <w:t>kufizuara</w:t>
      </w:r>
      <w:proofErr w:type="spellEnd"/>
      <w:r w:rsidRPr="00997551">
        <w:rPr>
          <w:lang w:val="en-GB"/>
        </w:rPr>
        <w:t xml:space="preserve"> për </w:t>
      </w:r>
      <w:proofErr w:type="spellStart"/>
      <w:r w:rsidRPr="00997551">
        <w:rPr>
          <w:lang w:val="en-GB"/>
        </w:rPr>
        <w:t>pjesëmarrjen</w:t>
      </w:r>
      <w:proofErr w:type="spellEnd"/>
      <w:r w:rsidRPr="00997551">
        <w:rPr>
          <w:lang w:val="en-GB"/>
        </w:rPr>
        <w:t xml:space="preserve"> </w:t>
      </w:r>
      <w:proofErr w:type="spellStart"/>
      <w:r w:rsidRPr="00997551">
        <w:rPr>
          <w:lang w:val="en-GB"/>
        </w:rPr>
        <w:t>aktive</w:t>
      </w:r>
      <w:proofErr w:type="spellEnd"/>
      <w:r w:rsidRPr="00997551">
        <w:rPr>
          <w:lang w:val="en-GB"/>
        </w:rPr>
        <w:t xml:space="preserve"> të </w:t>
      </w:r>
      <w:proofErr w:type="spellStart"/>
      <w:r w:rsidRPr="00997551">
        <w:rPr>
          <w:lang w:val="en-GB"/>
        </w:rPr>
        <w:t>palëve</w:t>
      </w:r>
      <w:proofErr w:type="spellEnd"/>
      <w:r w:rsidRPr="00997551">
        <w:rPr>
          <w:lang w:val="en-GB"/>
        </w:rPr>
        <w:t xml:space="preserve"> </w:t>
      </w:r>
      <w:proofErr w:type="spellStart"/>
      <w:r w:rsidRPr="00997551">
        <w:rPr>
          <w:lang w:val="en-GB"/>
        </w:rPr>
        <w:t>lokale</w:t>
      </w:r>
      <w:proofErr w:type="spellEnd"/>
      <w:r w:rsidRPr="00997551">
        <w:rPr>
          <w:lang w:val="en-GB"/>
        </w:rPr>
        <w:t xml:space="preserve"> të </w:t>
      </w:r>
      <w:proofErr w:type="spellStart"/>
      <w:r w:rsidRPr="00997551">
        <w:rPr>
          <w:lang w:val="en-GB"/>
        </w:rPr>
        <w:t>intere</w:t>
      </w:r>
      <w:r w:rsidR="000557E5" w:rsidRPr="00997551">
        <w:rPr>
          <w:lang w:val="en-GB"/>
        </w:rPr>
        <w:t>suara</w:t>
      </w:r>
      <w:proofErr w:type="spellEnd"/>
      <w:r w:rsidRPr="00997551">
        <w:rPr>
          <w:lang w:val="en-GB"/>
        </w:rPr>
        <w:t xml:space="preserve"> </w:t>
      </w:r>
      <w:proofErr w:type="spellStart"/>
      <w:r w:rsidRPr="00997551">
        <w:rPr>
          <w:lang w:val="en-GB"/>
        </w:rPr>
        <w:t>nga</w:t>
      </w:r>
      <w:proofErr w:type="spellEnd"/>
      <w:r w:rsidRPr="00997551">
        <w:rPr>
          <w:lang w:val="en-GB"/>
        </w:rPr>
        <w:t xml:space="preserve"> </w:t>
      </w:r>
      <w:proofErr w:type="spellStart"/>
      <w:r w:rsidR="000557E5" w:rsidRPr="00997551">
        <w:rPr>
          <w:lang w:val="en-GB"/>
        </w:rPr>
        <w:t>Manastiri</w:t>
      </w:r>
      <w:proofErr w:type="spellEnd"/>
      <w:r w:rsidRPr="00997551">
        <w:rPr>
          <w:lang w:val="en-GB"/>
        </w:rPr>
        <w:t xml:space="preserve"> dhe Kërçova. </w:t>
      </w:r>
      <w:r w:rsidR="000557E5" w:rsidRPr="00997551">
        <w:rPr>
          <w:lang w:val="en-GB"/>
        </w:rPr>
        <w:t xml:space="preserve">Në </w:t>
      </w:r>
      <w:proofErr w:type="spellStart"/>
      <w:r w:rsidR="000557E5" w:rsidRPr="00997551">
        <w:rPr>
          <w:lang w:val="en-GB"/>
        </w:rPr>
        <w:t>pajtim</w:t>
      </w:r>
      <w:proofErr w:type="spellEnd"/>
      <w:r w:rsidR="000557E5" w:rsidRPr="00997551">
        <w:rPr>
          <w:lang w:val="en-GB"/>
        </w:rPr>
        <w:t xml:space="preserve"> me</w:t>
      </w:r>
      <w:r w:rsidRPr="00997551">
        <w:rPr>
          <w:lang w:val="en-GB"/>
        </w:rPr>
        <w:t xml:space="preserve"> </w:t>
      </w:r>
      <w:proofErr w:type="spellStart"/>
      <w:r w:rsidRPr="00997551">
        <w:rPr>
          <w:lang w:val="en-GB"/>
        </w:rPr>
        <w:t>planifikimi</w:t>
      </w:r>
      <w:r w:rsidR="000557E5" w:rsidRPr="00997551">
        <w:rPr>
          <w:lang w:val="en-GB"/>
        </w:rPr>
        <w:t>n</w:t>
      </w:r>
      <w:proofErr w:type="spellEnd"/>
      <w:r w:rsidRPr="00997551">
        <w:rPr>
          <w:lang w:val="en-GB"/>
        </w:rPr>
        <w:t xml:space="preserve"> </w:t>
      </w:r>
      <w:proofErr w:type="spellStart"/>
      <w:r w:rsidRPr="00997551">
        <w:rPr>
          <w:lang w:val="en-GB"/>
        </w:rPr>
        <w:t>sipas</w:t>
      </w:r>
      <w:proofErr w:type="spellEnd"/>
      <w:r w:rsidRPr="00997551">
        <w:rPr>
          <w:lang w:val="en-GB"/>
        </w:rPr>
        <w:t xml:space="preserve"> </w:t>
      </w:r>
      <w:proofErr w:type="spellStart"/>
      <w:r w:rsidRPr="00997551">
        <w:rPr>
          <w:lang w:val="en-GB"/>
        </w:rPr>
        <w:t>mekanizmit</w:t>
      </w:r>
      <w:proofErr w:type="spellEnd"/>
      <w:r w:rsidRPr="00997551">
        <w:rPr>
          <w:lang w:val="en-GB"/>
        </w:rPr>
        <w:t xml:space="preserve"> </w:t>
      </w:r>
      <w:r w:rsidR="000557E5" w:rsidRPr="00997551">
        <w:rPr>
          <w:lang w:val="en-GB"/>
        </w:rPr>
        <w:t>për</w:t>
      </w:r>
      <w:r w:rsidRPr="00997551">
        <w:rPr>
          <w:lang w:val="en-GB"/>
        </w:rPr>
        <w:t xml:space="preserve"> </w:t>
      </w:r>
      <w:proofErr w:type="spellStart"/>
      <w:r w:rsidRPr="00997551">
        <w:rPr>
          <w:lang w:val="en-GB"/>
        </w:rPr>
        <w:t>monitorim</w:t>
      </w:r>
      <w:proofErr w:type="spellEnd"/>
      <w:r w:rsidRPr="00997551">
        <w:rPr>
          <w:lang w:val="en-GB"/>
        </w:rPr>
        <w:t xml:space="preserve">, </w:t>
      </w:r>
      <w:r w:rsidR="000557E5" w:rsidRPr="00997551">
        <w:t>parashikohet që numri i takimeve të rrite</w:t>
      </w:r>
      <w:r w:rsidR="000557E5" w:rsidRPr="00997551">
        <w:rPr>
          <w:lang w:val="en-GB"/>
        </w:rPr>
        <w:t>t.</w:t>
      </w:r>
    </w:p>
    <w:p w14:paraId="7A9DF1A4" w14:textId="6A016575" w:rsidR="000557E5" w:rsidRPr="00997551" w:rsidRDefault="000557E5" w:rsidP="000557E5">
      <w:pPr>
        <w:pStyle w:val="BodyText"/>
        <w:pBdr>
          <w:top w:val="single" w:sz="4" w:space="0" w:color="auto"/>
          <w:left w:val="single" w:sz="4" w:space="0" w:color="auto"/>
          <w:bottom w:val="single" w:sz="4" w:space="24" w:color="auto"/>
          <w:right w:val="single" w:sz="4" w:space="0" w:color="auto"/>
        </w:pBdr>
        <w:spacing w:after="60"/>
        <w:ind w:left="1800"/>
        <w:jc w:val="both"/>
        <w:rPr>
          <w:lang w:val="mk-MK"/>
        </w:rPr>
      </w:pPr>
      <w:r w:rsidRPr="00997551">
        <w:t xml:space="preserve">Edhe pse mekanizmi </w:t>
      </w:r>
      <w:r w:rsidRPr="00997551">
        <w:rPr>
          <w:lang w:val="sq-AL"/>
        </w:rPr>
        <w:t>për</w:t>
      </w:r>
      <w:r w:rsidRPr="00997551">
        <w:t xml:space="preserve"> monitorim parashikon raporte mujore për p</w:t>
      </w:r>
      <w:r w:rsidRPr="00997551">
        <w:rPr>
          <w:lang w:val="sq-AL"/>
        </w:rPr>
        <w:t>rogresin</w:t>
      </w:r>
      <w:r w:rsidRPr="00997551">
        <w:t xml:space="preserve">, nuk janë </w:t>
      </w:r>
      <w:r w:rsidRPr="00997551">
        <w:rPr>
          <w:lang w:val="sq-AL"/>
        </w:rPr>
        <w:t xml:space="preserve">parashtruar </w:t>
      </w:r>
      <w:r w:rsidRPr="00997551">
        <w:t>asnjë lloj raporti (madje as për</w:t>
      </w:r>
      <w:r w:rsidRPr="00997551">
        <w:rPr>
          <w:lang w:val="sq-AL"/>
        </w:rPr>
        <w:t xml:space="preserve"> muajin</w:t>
      </w:r>
      <w:r w:rsidRPr="00997551">
        <w:t xml:space="preserve"> janar ose</w:t>
      </w:r>
      <w:r w:rsidRPr="00997551">
        <w:rPr>
          <w:lang w:val="sq-AL"/>
        </w:rPr>
        <w:t xml:space="preserve"> për muajin</w:t>
      </w:r>
      <w:r w:rsidRPr="00997551">
        <w:t xml:space="preserve"> shkurt </w:t>
      </w:r>
      <w:r w:rsidRPr="00997551">
        <w:rPr>
          <w:lang w:val="sq-AL"/>
        </w:rPr>
        <w:t xml:space="preserve">të vitit </w:t>
      </w:r>
      <w:r w:rsidRPr="00997551">
        <w:t xml:space="preserve">2025). Në këtë kontekst, duket se struktura menaxhuese është krijuar, por ende nuk ka arritur statusin e </w:t>
      </w:r>
      <w:r w:rsidRPr="00997551">
        <w:rPr>
          <w:lang w:val="sq-AL"/>
        </w:rPr>
        <w:t>funksionalizimit</w:t>
      </w:r>
      <w:r w:rsidRPr="00997551">
        <w:t xml:space="preserve"> të plotë.</w:t>
      </w:r>
    </w:p>
    <w:p w14:paraId="76089168" w14:textId="014CFA97" w:rsidR="000557E5" w:rsidRPr="00997551" w:rsidRDefault="000557E5" w:rsidP="00421789">
      <w:pPr>
        <w:pStyle w:val="BodyText"/>
        <w:pBdr>
          <w:top w:val="single" w:sz="4" w:space="0" w:color="auto"/>
          <w:left w:val="single" w:sz="4" w:space="0" w:color="auto"/>
          <w:bottom w:val="single" w:sz="4" w:space="24" w:color="auto"/>
          <w:right w:val="single" w:sz="4" w:space="0" w:color="auto"/>
        </w:pBdr>
        <w:spacing w:after="60" w:line="240" w:lineRule="auto"/>
        <w:ind w:left="1800"/>
        <w:jc w:val="both"/>
        <w:rPr>
          <w:lang w:val="sq-AL"/>
        </w:rPr>
      </w:pPr>
      <w:r w:rsidRPr="00997551">
        <w:lastRenderedPageBreak/>
        <w:t>Fush</w:t>
      </w:r>
      <w:r w:rsidRPr="00997551">
        <w:rPr>
          <w:lang w:val="sq-AL"/>
        </w:rPr>
        <w:t>ëv</w:t>
      </w:r>
      <w:r w:rsidRPr="00997551">
        <w:t xml:space="preserve">eprimi </w:t>
      </w:r>
      <w:r w:rsidRPr="00997551">
        <w:rPr>
          <w:lang w:val="sq-AL"/>
        </w:rPr>
        <w:t>i</w:t>
      </w:r>
      <w:r w:rsidRPr="00997551">
        <w:t xml:space="preserve"> Këshillit për Tranzicion të Drejtë, siç është </w:t>
      </w:r>
      <w:r w:rsidRPr="00997551">
        <w:rPr>
          <w:lang w:val="sq-AL"/>
        </w:rPr>
        <w:t>definuar</w:t>
      </w:r>
      <w:r w:rsidRPr="00997551">
        <w:t xml:space="preserve"> me vendimin e ri të Qeverisë, </w:t>
      </w:r>
      <w:r w:rsidRPr="00997551">
        <w:rPr>
          <w:lang w:val="sq-AL"/>
        </w:rPr>
        <w:t xml:space="preserve">i </w:t>
      </w:r>
      <w:r w:rsidRPr="00997551">
        <w:t xml:space="preserve">tejkalon </w:t>
      </w:r>
      <w:r w:rsidRPr="00997551">
        <w:rPr>
          <w:lang w:val="sq-AL"/>
        </w:rPr>
        <w:t>kornizat</w:t>
      </w:r>
      <w:r w:rsidRPr="00997551">
        <w:t xml:space="preserve"> </w:t>
      </w:r>
      <w:r w:rsidR="00D17B07" w:rsidRPr="00997551">
        <w:rPr>
          <w:lang w:val="sq-AL"/>
        </w:rPr>
        <w:t xml:space="preserve">e fushëveprimit të </w:t>
      </w:r>
      <w:r w:rsidRPr="00997551">
        <w:t>Këshilli</w:t>
      </w:r>
      <w:r w:rsidR="00D17B07" w:rsidRPr="00997551">
        <w:rPr>
          <w:lang w:val="sq-AL"/>
        </w:rPr>
        <w:t>t</w:t>
      </w:r>
      <w:r w:rsidRPr="00997551">
        <w:t xml:space="preserve"> në</w:t>
      </w:r>
      <w:r w:rsidR="00D17B07" w:rsidRPr="00997551">
        <w:rPr>
          <w:lang w:val="sq-AL"/>
        </w:rPr>
        <w:t xml:space="preserve"> muajin</w:t>
      </w:r>
      <w:r w:rsidRPr="00997551">
        <w:t xml:space="preserve"> qershor </w:t>
      </w:r>
      <w:r w:rsidR="00D17B07" w:rsidRPr="00997551">
        <w:rPr>
          <w:lang w:val="sq-AL"/>
        </w:rPr>
        <w:t xml:space="preserve">të vitit </w:t>
      </w:r>
      <w:r w:rsidRPr="00997551">
        <w:t xml:space="preserve">2023. Në detyrat e tij të reja, ai mbikëqyr </w:t>
      </w:r>
      <w:r w:rsidR="00D17B07" w:rsidRPr="00997551">
        <w:rPr>
          <w:lang w:val="sq-AL"/>
        </w:rPr>
        <w:t>e</w:t>
      </w:r>
      <w:r w:rsidRPr="00997551">
        <w:t>dhe</w:t>
      </w:r>
      <w:r w:rsidR="00D17B07" w:rsidRPr="00997551">
        <w:rPr>
          <w:lang w:val="sq-AL"/>
        </w:rPr>
        <w:t xml:space="preserve"> implementimin</w:t>
      </w:r>
      <w:r w:rsidRPr="00997551">
        <w:t xml:space="preserve"> </w:t>
      </w:r>
      <w:r w:rsidR="00D17B07" w:rsidRPr="00997551">
        <w:rPr>
          <w:lang w:val="sq-AL"/>
        </w:rPr>
        <w:t>e</w:t>
      </w:r>
      <w:r w:rsidRPr="00997551">
        <w:t xml:space="preserve"> gjithë komponent</w:t>
      </w:r>
      <w:r w:rsidR="00D17B07" w:rsidRPr="00997551">
        <w:rPr>
          <w:lang w:val="sq-AL"/>
        </w:rPr>
        <w:t>ës</w:t>
      </w:r>
      <w:r w:rsidRPr="00997551">
        <w:t xml:space="preserve"> </w:t>
      </w:r>
      <w:r w:rsidR="00D17B07" w:rsidRPr="00997551">
        <w:rPr>
          <w:lang w:val="sq-AL"/>
        </w:rPr>
        <w:t xml:space="preserve">të </w:t>
      </w:r>
      <w:r w:rsidRPr="00997551">
        <w:t xml:space="preserve">Agjendës </w:t>
      </w:r>
      <w:r w:rsidR="00D17B07" w:rsidRPr="00997551">
        <w:rPr>
          <w:lang w:val="sq-AL"/>
        </w:rPr>
        <w:t>r</w:t>
      </w:r>
      <w:r w:rsidRPr="00997551">
        <w:t>eform</w:t>
      </w:r>
      <w:r w:rsidR="00D17B07" w:rsidRPr="00997551">
        <w:rPr>
          <w:lang w:val="sq-AL"/>
        </w:rPr>
        <w:t>uese</w:t>
      </w:r>
      <w:r w:rsidRPr="00997551">
        <w:t>, si dhe Platform</w:t>
      </w:r>
      <w:r w:rsidR="00D17B07" w:rsidRPr="00997551">
        <w:rPr>
          <w:lang w:val="sq-AL"/>
        </w:rPr>
        <w:t>ën</w:t>
      </w:r>
      <w:r w:rsidRPr="00997551">
        <w:t xml:space="preserve"> Investuese për Tranzicion të Drejtë Energjetik. Në këtë kontekst, është e rëndësishme të ruhet Tranzicioni i Drejtë si proces specifik, </w:t>
      </w:r>
      <w:r w:rsidR="00D17B07" w:rsidRPr="00997551">
        <w:t>me palët e përfshir</w:t>
      </w:r>
      <w:r w:rsidR="00421789" w:rsidRPr="00997551">
        <w:rPr>
          <w:lang w:val="sq-AL"/>
        </w:rPr>
        <w:t>a</w:t>
      </w:r>
      <w:r w:rsidR="00D17B07" w:rsidRPr="00997551">
        <w:t xml:space="preserve"> dhe sfidat e tyre</w:t>
      </w:r>
      <w:r w:rsidRPr="00997551">
        <w:t xml:space="preserve">, </w:t>
      </w:r>
      <w:r w:rsidR="00421789" w:rsidRPr="00997551">
        <w:rPr>
          <w:lang w:val="sq-AL"/>
        </w:rPr>
        <w:t>që</w:t>
      </w:r>
      <w:r w:rsidR="00D17B07" w:rsidRPr="00997551">
        <w:rPr>
          <w:lang w:val="sq-AL"/>
        </w:rPr>
        <w:t xml:space="preserve"> tejkalon kornizat e</w:t>
      </w:r>
      <w:r w:rsidRPr="00997551">
        <w:t xml:space="preserve"> tranzicionit energjetik dhe merr parasysh pasojat socio-ekologjike të dekarbonizimit në zonat e prekura, duke përfshirë mekanizmat për </w:t>
      </w:r>
      <w:r w:rsidR="00D17B07" w:rsidRPr="00997551">
        <w:rPr>
          <w:lang w:val="sq-AL"/>
        </w:rPr>
        <w:t>implementimin</w:t>
      </w:r>
      <w:r w:rsidRPr="00997551">
        <w:t xml:space="preserve"> dhe </w:t>
      </w:r>
      <w:r w:rsidR="00D17B07" w:rsidRPr="00997551">
        <w:rPr>
          <w:lang w:val="sq-AL"/>
        </w:rPr>
        <w:t>njoftimin</w:t>
      </w:r>
      <w:r w:rsidRPr="00997551">
        <w:t xml:space="preserve"> e tij.</w:t>
      </w:r>
    </w:p>
    <w:p w14:paraId="3F6689F7" w14:textId="77777777" w:rsidR="00EF237D" w:rsidRPr="00997551" w:rsidRDefault="00421789" w:rsidP="00EF237D">
      <w:pPr>
        <w:pStyle w:val="BodyText"/>
        <w:pBdr>
          <w:top w:val="single" w:sz="4" w:space="0" w:color="auto"/>
          <w:left w:val="single" w:sz="4" w:space="0" w:color="auto"/>
          <w:bottom w:val="single" w:sz="4" w:space="24" w:color="auto"/>
          <w:right w:val="single" w:sz="4" w:space="0" w:color="auto"/>
        </w:pBdr>
        <w:spacing w:after="60"/>
        <w:ind w:left="1800"/>
        <w:jc w:val="both"/>
        <w:rPr>
          <w:lang w:val="sq-AL"/>
        </w:rPr>
      </w:pPr>
      <w:r w:rsidRPr="00997551">
        <w:rPr>
          <w:lang w:val="en-GB"/>
        </w:rPr>
        <w:t xml:space="preserve">Në </w:t>
      </w:r>
      <w:proofErr w:type="spellStart"/>
      <w:r w:rsidRPr="00997551">
        <w:rPr>
          <w:lang w:val="en-GB"/>
        </w:rPr>
        <w:t>lidhje</w:t>
      </w:r>
      <w:proofErr w:type="spellEnd"/>
      <w:r w:rsidRPr="00997551">
        <w:rPr>
          <w:lang w:val="en-GB"/>
        </w:rPr>
        <w:t xml:space="preserve"> me PVIUT-në për </w:t>
      </w:r>
      <w:proofErr w:type="spellStart"/>
      <w:r w:rsidRPr="00997551">
        <w:rPr>
          <w:lang w:val="en-GB"/>
        </w:rPr>
        <w:t>vitin</w:t>
      </w:r>
      <w:proofErr w:type="spellEnd"/>
      <w:r w:rsidRPr="00997551">
        <w:rPr>
          <w:lang w:val="en-GB"/>
        </w:rPr>
        <w:t xml:space="preserve"> 2025, </w:t>
      </w:r>
      <w:proofErr w:type="spellStart"/>
      <w:r w:rsidRPr="00997551">
        <w:rPr>
          <w:lang w:val="en-GB"/>
        </w:rPr>
        <w:t>ekziston</w:t>
      </w:r>
      <w:proofErr w:type="spellEnd"/>
      <w:r w:rsidRPr="00997551">
        <w:rPr>
          <w:lang w:val="en-GB"/>
        </w:rPr>
        <w:t xml:space="preserve"> </w:t>
      </w:r>
      <w:proofErr w:type="spellStart"/>
      <w:r w:rsidRPr="00997551">
        <w:rPr>
          <w:lang w:val="en-GB"/>
        </w:rPr>
        <w:t>vendim</w:t>
      </w:r>
      <w:proofErr w:type="spellEnd"/>
      <w:r w:rsidRPr="00997551">
        <w:rPr>
          <w:lang w:val="en-GB"/>
        </w:rPr>
        <w:t xml:space="preserve"> formal për </w:t>
      </w:r>
      <w:proofErr w:type="spellStart"/>
      <w:r w:rsidRPr="00997551">
        <w:rPr>
          <w:lang w:val="en-GB"/>
        </w:rPr>
        <w:t>miratimin</w:t>
      </w:r>
      <w:proofErr w:type="spellEnd"/>
      <w:r w:rsidRPr="00997551">
        <w:rPr>
          <w:lang w:val="en-GB"/>
        </w:rPr>
        <w:t xml:space="preserve"> e </w:t>
      </w:r>
      <w:proofErr w:type="spellStart"/>
      <w:r w:rsidRPr="00997551">
        <w:rPr>
          <w:lang w:val="en-GB"/>
        </w:rPr>
        <w:t>planit</w:t>
      </w:r>
      <w:proofErr w:type="spellEnd"/>
      <w:r w:rsidRPr="00997551">
        <w:rPr>
          <w:lang w:val="en-GB"/>
        </w:rPr>
        <w:t xml:space="preserve">. Megjithatë, </w:t>
      </w:r>
      <w:proofErr w:type="spellStart"/>
      <w:r w:rsidRPr="00997551">
        <w:rPr>
          <w:lang w:val="en-GB"/>
        </w:rPr>
        <w:t>dokumentit</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mungojnë</w:t>
      </w:r>
      <w:proofErr w:type="spellEnd"/>
      <w:r w:rsidRPr="00997551">
        <w:rPr>
          <w:lang w:val="en-GB"/>
        </w:rPr>
        <w:t xml:space="preserve"> </w:t>
      </w:r>
      <w:proofErr w:type="spellStart"/>
      <w:r w:rsidRPr="00997551">
        <w:rPr>
          <w:lang w:val="en-GB"/>
        </w:rPr>
        <w:t>elementët</w:t>
      </w:r>
      <w:proofErr w:type="spellEnd"/>
      <w:r w:rsidRPr="00997551">
        <w:rPr>
          <w:lang w:val="en-GB"/>
        </w:rPr>
        <w:t xml:space="preserve"> </w:t>
      </w:r>
      <w:proofErr w:type="spellStart"/>
      <w:r w:rsidRPr="00997551">
        <w:rPr>
          <w:lang w:val="en-GB"/>
        </w:rPr>
        <w:t>kryesorë</w:t>
      </w:r>
      <w:proofErr w:type="spellEnd"/>
      <w:r w:rsidRPr="00997551">
        <w:rPr>
          <w:lang w:val="en-GB"/>
        </w:rPr>
        <w:t xml:space="preserve"> </w:t>
      </w:r>
      <w:proofErr w:type="spellStart"/>
      <w:r w:rsidRPr="00997551">
        <w:rPr>
          <w:lang w:val="en-GB"/>
        </w:rPr>
        <w:t>që</w:t>
      </w:r>
      <w:proofErr w:type="spellEnd"/>
      <w:r w:rsidRPr="00997551">
        <w:rPr>
          <w:lang w:val="en-GB"/>
        </w:rPr>
        <w:t xml:space="preserve"> të </w:t>
      </w:r>
      <w:proofErr w:type="spellStart"/>
      <w:r w:rsidRPr="00997551">
        <w:rPr>
          <w:lang w:val="en-GB"/>
        </w:rPr>
        <w:t>mundet</w:t>
      </w:r>
      <w:proofErr w:type="spellEnd"/>
      <w:r w:rsidRPr="00997551">
        <w:rPr>
          <w:lang w:val="en-GB"/>
        </w:rPr>
        <w:t xml:space="preserve"> të </w:t>
      </w:r>
      <w:proofErr w:type="spellStart"/>
      <w:r w:rsidRPr="00997551">
        <w:rPr>
          <w:lang w:val="en-GB"/>
        </w:rPr>
        <w:t>implementohet</w:t>
      </w:r>
      <w:proofErr w:type="spellEnd"/>
      <w:r w:rsidRPr="00997551">
        <w:rPr>
          <w:lang w:val="en-GB"/>
        </w:rPr>
        <w:t xml:space="preserve"> dhe </w:t>
      </w:r>
      <w:r w:rsidRPr="00997551">
        <w:t>dhe të jetë veprueshëm</w:t>
      </w:r>
      <w:r w:rsidRPr="00997551">
        <w:rPr>
          <w:lang w:val="en-GB"/>
        </w:rPr>
        <w:t>. PVIUT-</w:t>
      </w:r>
      <w:proofErr w:type="spellStart"/>
      <w:r w:rsidRPr="00997551">
        <w:rPr>
          <w:lang w:val="en-GB"/>
        </w:rPr>
        <w:t>ja</w:t>
      </w:r>
      <w:proofErr w:type="spellEnd"/>
      <w:r w:rsidRPr="00997551">
        <w:rPr>
          <w:lang w:val="en-GB"/>
        </w:rPr>
        <w:t xml:space="preserve"> </w:t>
      </w:r>
      <w:proofErr w:type="spellStart"/>
      <w:r w:rsidRPr="00997551">
        <w:rPr>
          <w:lang w:val="en-GB"/>
        </w:rPr>
        <w:t>fokusohet</w:t>
      </w:r>
      <w:proofErr w:type="spellEnd"/>
      <w:r w:rsidRPr="00997551">
        <w:rPr>
          <w:lang w:val="en-GB"/>
        </w:rPr>
        <w:t xml:space="preserve"> </w:t>
      </w:r>
      <w:proofErr w:type="spellStart"/>
      <w:r w:rsidRPr="00997551">
        <w:rPr>
          <w:lang w:val="en-GB"/>
        </w:rPr>
        <w:t>kryesisht</w:t>
      </w:r>
      <w:proofErr w:type="spellEnd"/>
      <w:r w:rsidRPr="00997551">
        <w:rPr>
          <w:lang w:val="en-GB"/>
        </w:rPr>
        <w:t xml:space="preserve"> në </w:t>
      </w:r>
      <w:proofErr w:type="spellStart"/>
      <w:r w:rsidRPr="00997551">
        <w:rPr>
          <w:lang w:val="en-GB"/>
        </w:rPr>
        <w:t>përshkrime</w:t>
      </w:r>
      <w:proofErr w:type="spellEnd"/>
      <w:r w:rsidRPr="00997551">
        <w:rPr>
          <w:lang w:val="en-GB"/>
        </w:rPr>
        <w:t xml:space="preserve"> dhe </w:t>
      </w:r>
      <w:proofErr w:type="spellStart"/>
      <w:r w:rsidRPr="00997551">
        <w:rPr>
          <w:lang w:val="en-GB"/>
        </w:rPr>
        <w:t>qëllime</w:t>
      </w:r>
      <w:proofErr w:type="spellEnd"/>
      <w:r w:rsidRPr="00997551">
        <w:rPr>
          <w:lang w:val="en-GB"/>
        </w:rPr>
        <w:t xml:space="preserve"> të </w:t>
      </w:r>
      <w:proofErr w:type="spellStart"/>
      <w:r w:rsidRPr="00997551">
        <w:rPr>
          <w:lang w:val="en-GB"/>
        </w:rPr>
        <w:t>përgjithshme</w:t>
      </w:r>
      <w:proofErr w:type="spellEnd"/>
      <w:r w:rsidRPr="00997551">
        <w:rPr>
          <w:lang w:val="en-GB"/>
        </w:rPr>
        <w:t xml:space="preserve"> të </w:t>
      </w:r>
      <w:proofErr w:type="spellStart"/>
      <w:r w:rsidRPr="00997551">
        <w:rPr>
          <w:lang w:val="en-GB"/>
        </w:rPr>
        <w:t>ndërhyrjeve</w:t>
      </w:r>
      <w:proofErr w:type="spellEnd"/>
      <w:r w:rsidRPr="00997551">
        <w:rPr>
          <w:lang w:val="en-GB"/>
        </w:rPr>
        <w:t xml:space="preserve">, në vend të </w:t>
      </w:r>
      <w:proofErr w:type="spellStart"/>
      <w:r w:rsidRPr="00997551">
        <w:rPr>
          <w:lang w:val="en-GB"/>
        </w:rPr>
        <w:t>detajimit</w:t>
      </w:r>
      <w:proofErr w:type="spellEnd"/>
      <w:r w:rsidRPr="00997551">
        <w:rPr>
          <w:lang w:val="en-GB"/>
        </w:rPr>
        <w:t xml:space="preserve"> të </w:t>
      </w:r>
      <w:proofErr w:type="spellStart"/>
      <w:r w:rsidRPr="00997551">
        <w:rPr>
          <w:lang w:val="en-GB"/>
        </w:rPr>
        <w:t>pikave</w:t>
      </w:r>
      <w:proofErr w:type="spellEnd"/>
      <w:r w:rsidRPr="00997551">
        <w:rPr>
          <w:lang w:val="en-GB"/>
        </w:rPr>
        <w:t xml:space="preserve"> të </w:t>
      </w:r>
      <w:proofErr w:type="spellStart"/>
      <w:r w:rsidRPr="00997551">
        <w:rPr>
          <w:lang w:val="en-GB"/>
        </w:rPr>
        <w:t>veprimit</w:t>
      </w:r>
      <w:proofErr w:type="spellEnd"/>
      <w:r w:rsidRPr="00997551">
        <w:rPr>
          <w:lang w:val="en-GB"/>
        </w:rPr>
        <w:t xml:space="preserve"> me </w:t>
      </w:r>
      <w:proofErr w:type="spellStart"/>
      <w:r w:rsidRPr="00997551">
        <w:rPr>
          <w:lang w:val="en-GB"/>
        </w:rPr>
        <w:t>afate</w:t>
      </w:r>
      <w:proofErr w:type="spellEnd"/>
      <w:r w:rsidRPr="00997551">
        <w:rPr>
          <w:lang w:val="en-GB"/>
        </w:rPr>
        <w:t xml:space="preserve"> </w:t>
      </w:r>
      <w:proofErr w:type="spellStart"/>
      <w:r w:rsidRPr="00997551">
        <w:rPr>
          <w:lang w:val="en-GB"/>
        </w:rPr>
        <w:t>specifike</w:t>
      </w:r>
      <w:proofErr w:type="spellEnd"/>
      <w:r w:rsidRPr="00997551">
        <w:rPr>
          <w:lang w:val="en-GB"/>
        </w:rPr>
        <w:t xml:space="preserve"> </w:t>
      </w:r>
      <w:proofErr w:type="spellStart"/>
      <w:r w:rsidRPr="00997551">
        <w:rPr>
          <w:lang w:val="en-GB"/>
        </w:rPr>
        <w:t>kohore</w:t>
      </w:r>
      <w:proofErr w:type="spellEnd"/>
      <w:r w:rsidRPr="00997551">
        <w:rPr>
          <w:lang w:val="en-GB"/>
        </w:rPr>
        <w:t xml:space="preserve"> dhe </w:t>
      </w:r>
      <w:proofErr w:type="spellStart"/>
      <w:r w:rsidRPr="00997551">
        <w:rPr>
          <w:lang w:val="en-GB"/>
        </w:rPr>
        <w:t>shpërndarje</w:t>
      </w:r>
      <w:proofErr w:type="spellEnd"/>
      <w:r w:rsidRPr="00997551">
        <w:rPr>
          <w:lang w:val="en-GB"/>
        </w:rPr>
        <w:t xml:space="preserve"> të </w:t>
      </w:r>
      <w:proofErr w:type="spellStart"/>
      <w:r w:rsidRPr="00997551">
        <w:rPr>
          <w:lang w:val="en-GB"/>
        </w:rPr>
        <w:t>mjeteve</w:t>
      </w:r>
      <w:proofErr w:type="spellEnd"/>
      <w:r w:rsidRPr="00997551">
        <w:rPr>
          <w:lang w:val="en-GB"/>
        </w:rPr>
        <w:t xml:space="preserve"> </w:t>
      </w:r>
      <w:proofErr w:type="spellStart"/>
      <w:r w:rsidRPr="00997551">
        <w:rPr>
          <w:lang w:val="en-GB"/>
        </w:rPr>
        <w:t>kuadër</w:t>
      </w:r>
      <w:proofErr w:type="spellEnd"/>
      <w:r w:rsidRPr="00997551">
        <w:rPr>
          <w:lang w:val="en-GB"/>
        </w:rPr>
        <w:t xml:space="preserve"> të </w:t>
      </w:r>
      <w:proofErr w:type="spellStart"/>
      <w:r w:rsidRPr="00997551">
        <w:rPr>
          <w:lang w:val="en-GB"/>
        </w:rPr>
        <w:t>periudhës</w:t>
      </w:r>
      <w:proofErr w:type="spellEnd"/>
      <w:r w:rsidRPr="00997551">
        <w:rPr>
          <w:lang w:val="en-GB"/>
        </w:rPr>
        <w:t xml:space="preserve"> së </w:t>
      </w:r>
      <w:proofErr w:type="spellStart"/>
      <w:r w:rsidRPr="00997551">
        <w:rPr>
          <w:lang w:val="en-GB"/>
        </w:rPr>
        <w:t>synuar</w:t>
      </w:r>
      <w:proofErr w:type="spellEnd"/>
      <w:r w:rsidRPr="00997551">
        <w:rPr>
          <w:lang w:val="en-GB"/>
        </w:rPr>
        <w:t xml:space="preserve"> (</w:t>
      </w:r>
      <w:proofErr w:type="spellStart"/>
      <w:r w:rsidRPr="00997551">
        <w:rPr>
          <w:lang w:val="en-GB"/>
        </w:rPr>
        <w:t>viti</w:t>
      </w:r>
      <w:proofErr w:type="spellEnd"/>
      <w:r w:rsidRPr="00997551">
        <w:rPr>
          <w:lang w:val="en-GB"/>
        </w:rPr>
        <w:t xml:space="preserve"> 2025). Ai </w:t>
      </w:r>
      <w:proofErr w:type="spellStart"/>
      <w:r w:rsidRPr="00997551">
        <w:rPr>
          <w:lang w:val="en-GB"/>
        </w:rPr>
        <w:t>përfshin</w:t>
      </w:r>
      <w:proofErr w:type="spellEnd"/>
      <w:r w:rsidRPr="00997551">
        <w:rPr>
          <w:lang w:val="en-GB"/>
        </w:rPr>
        <w:t xml:space="preserve"> të gjitha </w:t>
      </w:r>
      <w:proofErr w:type="spellStart"/>
      <w:r w:rsidRPr="00997551">
        <w:rPr>
          <w:lang w:val="en-GB"/>
        </w:rPr>
        <w:t>aktivitetet</w:t>
      </w:r>
      <w:proofErr w:type="spellEnd"/>
      <w:r w:rsidRPr="00997551">
        <w:rPr>
          <w:lang w:val="en-GB"/>
        </w:rPr>
        <w:t xml:space="preserve"> e </w:t>
      </w:r>
      <w:proofErr w:type="spellStart"/>
      <w:r w:rsidRPr="00997551">
        <w:rPr>
          <w:lang w:val="en-GB"/>
        </w:rPr>
        <w:t>parapara</w:t>
      </w:r>
      <w:proofErr w:type="spellEnd"/>
      <w:r w:rsidRPr="00997551">
        <w:rPr>
          <w:lang w:val="en-GB"/>
        </w:rPr>
        <w:t xml:space="preserve"> në Agjendën reformuese – </w:t>
      </w:r>
      <w:proofErr w:type="spellStart"/>
      <w:r w:rsidRPr="00997551">
        <w:rPr>
          <w:lang w:val="en-GB"/>
        </w:rPr>
        <w:t>komponentën</w:t>
      </w:r>
      <w:proofErr w:type="spellEnd"/>
      <w:r w:rsidRPr="00997551">
        <w:rPr>
          <w:lang w:val="en-GB"/>
        </w:rPr>
        <w:t xml:space="preserve"> për </w:t>
      </w:r>
      <w:proofErr w:type="spellStart"/>
      <w:r w:rsidRPr="00997551">
        <w:rPr>
          <w:lang w:val="en-GB"/>
        </w:rPr>
        <w:t>energji</w:t>
      </w:r>
      <w:proofErr w:type="spellEnd"/>
      <w:r w:rsidRPr="00997551">
        <w:rPr>
          <w:lang w:val="en-GB"/>
        </w:rPr>
        <w:t>/</w:t>
      </w:r>
      <w:proofErr w:type="spellStart"/>
      <w:r w:rsidRPr="00997551">
        <w:rPr>
          <w:lang w:val="en-GB"/>
        </w:rPr>
        <w:t>dekarbonizim</w:t>
      </w:r>
      <w:proofErr w:type="spellEnd"/>
      <w:r w:rsidRPr="00997551">
        <w:rPr>
          <w:lang w:val="en-GB"/>
        </w:rPr>
        <w:t xml:space="preserve">, </w:t>
      </w:r>
      <w:proofErr w:type="spellStart"/>
      <w:r w:rsidRPr="00997551">
        <w:rPr>
          <w:lang w:val="en-GB"/>
        </w:rPr>
        <w:t>si</w:t>
      </w:r>
      <w:proofErr w:type="spellEnd"/>
      <w:r w:rsidRPr="00997551">
        <w:rPr>
          <w:lang w:val="en-GB"/>
        </w:rPr>
        <w:t xml:space="preserve"> dhe </w:t>
      </w:r>
      <w:proofErr w:type="spellStart"/>
      <w:r w:rsidRPr="00997551">
        <w:rPr>
          <w:lang w:val="en-GB"/>
        </w:rPr>
        <w:t>disa</w:t>
      </w:r>
      <w:proofErr w:type="spellEnd"/>
      <w:r w:rsidRPr="00997551">
        <w:rPr>
          <w:lang w:val="en-GB"/>
        </w:rPr>
        <w:t xml:space="preserve"> </w:t>
      </w:r>
      <w:proofErr w:type="spellStart"/>
      <w:r w:rsidRPr="00997551">
        <w:rPr>
          <w:lang w:val="en-GB"/>
        </w:rPr>
        <w:t>projekte</w:t>
      </w:r>
      <w:proofErr w:type="spellEnd"/>
      <w:r w:rsidRPr="00997551">
        <w:rPr>
          <w:lang w:val="en-GB"/>
        </w:rPr>
        <w:t xml:space="preserve"> të </w:t>
      </w:r>
      <w:proofErr w:type="spellStart"/>
      <w:r w:rsidRPr="00997551">
        <w:rPr>
          <w:lang w:val="en-GB"/>
        </w:rPr>
        <w:t>kaluara</w:t>
      </w:r>
      <w:proofErr w:type="spellEnd"/>
      <w:r w:rsidRPr="00997551">
        <w:rPr>
          <w:lang w:val="en-GB"/>
        </w:rPr>
        <w:t xml:space="preserve">, </w:t>
      </w:r>
      <w:proofErr w:type="spellStart"/>
      <w:r w:rsidRPr="00997551">
        <w:rPr>
          <w:lang w:val="en-GB"/>
        </w:rPr>
        <w:t>aktuale</w:t>
      </w:r>
      <w:proofErr w:type="spellEnd"/>
      <w:r w:rsidRPr="00997551">
        <w:rPr>
          <w:lang w:val="en-GB"/>
        </w:rPr>
        <w:t xml:space="preserve"> dhe të </w:t>
      </w:r>
      <w:proofErr w:type="spellStart"/>
      <w:r w:rsidRPr="00997551">
        <w:rPr>
          <w:lang w:val="en-GB"/>
        </w:rPr>
        <w:t>ardhshme</w:t>
      </w:r>
      <w:proofErr w:type="spellEnd"/>
      <w:r w:rsidRPr="00997551">
        <w:rPr>
          <w:lang w:val="en-GB"/>
        </w:rPr>
        <w:t xml:space="preserve"> të </w:t>
      </w:r>
      <w:proofErr w:type="spellStart"/>
      <w:r w:rsidRPr="00997551">
        <w:rPr>
          <w:lang w:val="en-GB"/>
        </w:rPr>
        <w:t>financuara</w:t>
      </w:r>
      <w:proofErr w:type="spellEnd"/>
      <w:r w:rsidRPr="00997551">
        <w:rPr>
          <w:lang w:val="en-GB"/>
        </w:rPr>
        <w:t xml:space="preserve"> </w:t>
      </w:r>
      <w:proofErr w:type="spellStart"/>
      <w:r w:rsidRPr="00997551">
        <w:rPr>
          <w:lang w:val="en-GB"/>
        </w:rPr>
        <w:t>nga</w:t>
      </w:r>
      <w:proofErr w:type="spellEnd"/>
      <w:r w:rsidRPr="00997551">
        <w:rPr>
          <w:lang w:val="en-GB"/>
        </w:rPr>
        <w:t xml:space="preserve"> IPA, KIBP dhe BERZH – me </w:t>
      </w:r>
      <w:proofErr w:type="spellStart"/>
      <w:r w:rsidRPr="00997551">
        <w:rPr>
          <w:lang w:val="en-GB"/>
        </w:rPr>
        <w:t>fushë</w:t>
      </w:r>
      <w:proofErr w:type="spellEnd"/>
      <w:r w:rsidRPr="00997551">
        <w:rPr>
          <w:lang w:val="en-GB"/>
        </w:rPr>
        <w:t xml:space="preserve"> </w:t>
      </w:r>
      <w:proofErr w:type="spellStart"/>
      <w:r w:rsidRPr="00997551">
        <w:rPr>
          <w:lang w:val="en-GB"/>
        </w:rPr>
        <w:t>veprimi</w:t>
      </w:r>
      <w:proofErr w:type="spellEnd"/>
      <w:r w:rsidRPr="00997551">
        <w:rPr>
          <w:lang w:val="en-GB"/>
        </w:rPr>
        <w:t xml:space="preserve"> jashtë </w:t>
      </w:r>
      <w:proofErr w:type="spellStart"/>
      <w:r w:rsidRPr="00997551">
        <w:rPr>
          <w:lang w:val="en-GB"/>
        </w:rPr>
        <w:t>zonave</w:t>
      </w:r>
      <w:proofErr w:type="spellEnd"/>
      <w:r w:rsidRPr="00997551">
        <w:rPr>
          <w:lang w:val="en-GB"/>
        </w:rPr>
        <w:t xml:space="preserve"> të </w:t>
      </w:r>
      <w:proofErr w:type="spellStart"/>
      <w:r w:rsidRPr="00997551">
        <w:rPr>
          <w:lang w:val="en-GB"/>
        </w:rPr>
        <w:t>Tranzicionit</w:t>
      </w:r>
      <w:proofErr w:type="spellEnd"/>
      <w:r w:rsidRPr="00997551">
        <w:rPr>
          <w:lang w:val="en-GB"/>
        </w:rPr>
        <w:t xml:space="preserve"> të </w:t>
      </w:r>
      <w:proofErr w:type="spellStart"/>
      <w:r w:rsidRPr="00997551">
        <w:rPr>
          <w:lang w:val="en-GB"/>
        </w:rPr>
        <w:t>Drejtë</w:t>
      </w:r>
      <w:proofErr w:type="spellEnd"/>
      <w:r w:rsidRPr="00997551">
        <w:rPr>
          <w:lang w:val="en-GB"/>
        </w:rPr>
        <w:t xml:space="preserve"> dhe pa </w:t>
      </w:r>
      <w:proofErr w:type="spellStart"/>
      <w:r w:rsidRPr="00997551">
        <w:rPr>
          <w:lang w:val="en-GB"/>
        </w:rPr>
        <w:t>përcaktuar</w:t>
      </w:r>
      <w:proofErr w:type="spellEnd"/>
      <w:r w:rsidRPr="00997551">
        <w:rPr>
          <w:lang w:val="en-GB"/>
        </w:rPr>
        <w:t xml:space="preserve"> </w:t>
      </w:r>
      <w:proofErr w:type="spellStart"/>
      <w:r w:rsidRPr="00997551">
        <w:rPr>
          <w:lang w:val="en-GB"/>
        </w:rPr>
        <w:t>afate</w:t>
      </w:r>
      <w:proofErr w:type="spellEnd"/>
      <w:r w:rsidRPr="00997551">
        <w:rPr>
          <w:lang w:val="en-GB"/>
        </w:rPr>
        <w:t xml:space="preserve"> </w:t>
      </w:r>
      <w:proofErr w:type="spellStart"/>
      <w:r w:rsidRPr="00997551">
        <w:rPr>
          <w:lang w:val="en-GB"/>
        </w:rPr>
        <w:t>kohore</w:t>
      </w:r>
      <w:proofErr w:type="spellEnd"/>
      <w:r w:rsidRPr="00997551">
        <w:rPr>
          <w:lang w:val="en-GB"/>
        </w:rPr>
        <w:t xml:space="preserve"> pas </w:t>
      </w:r>
      <w:proofErr w:type="spellStart"/>
      <w:r w:rsidRPr="00997551">
        <w:rPr>
          <w:lang w:val="en-GB"/>
        </w:rPr>
        <w:t>vitit</w:t>
      </w:r>
      <w:proofErr w:type="spellEnd"/>
      <w:r w:rsidRPr="00997551">
        <w:rPr>
          <w:lang w:val="en-GB"/>
        </w:rPr>
        <w:t xml:space="preserve"> 2025, pa </w:t>
      </w:r>
      <w:proofErr w:type="spellStart"/>
      <w:r w:rsidRPr="00997551">
        <w:rPr>
          <w:lang w:val="en-GB"/>
        </w:rPr>
        <w:t>treguar</w:t>
      </w:r>
      <w:proofErr w:type="spellEnd"/>
      <w:r w:rsidRPr="00997551">
        <w:rPr>
          <w:lang w:val="en-GB"/>
        </w:rPr>
        <w:t xml:space="preserve"> se </w:t>
      </w:r>
      <w:proofErr w:type="spellStart"/>
      <w:r w:rsidRPr="00997551">
        <w:rPr>
          <w:lang w:val="en-GB"/>
        </w:rPr>
        <w:t>cilat</w:t>
      </w:r>
      <w:proofErr w:type="spellEnd"/>
      <w:r w:rsidRPr="00997551">
        <w:rPr>
          <w:lang w:val="en-GB"/>
        </w:rPr>
        <w:t xml:space="preserve"> </w:t>
      </w:r>
      <w:proofErr w:type="spellStart"/>
      <w:r w:rsidRPr="00997551">
        <w:rPr>
          <w:lang w:val="en-GB"/>
        </w:rPr>
        <w:t>aktivitete</w:t>
      </w:r>
      <w:proofErr w:type="spellEnd"/>
      <w:r w:rsidRPr="00997551">
        <w:rPr>
          <w:lang w:val="en-GB"/>
        </w:rPr>
        <w:t xml:space="preserve"> </w:t>
      </w:r>
      <w:proofErr w:type="spellStart"/>
      <w:r w:rsidRPr="00997551">
        <w:rPr>
          <w:lang w:val="en-GB"/>
        </w:rPr>
        <w:t>pritet</w:t>
      </w:r>
      <w:proofErr w:type="spellEnd"/>
      <w:r w:rsidRPr="00997551">
        <w:rPr>
          <w:lang w:val="en-GB"/>
        </w:rPr>
        <w:t xml:space="preserve"> të </w:t>
      </w:r>
      <w:proofErr w:type="spellStart"/>
      <w:r w:rsidRPr="00997551">
        <w:rPr>
          <w:lang w:val="en-GB"/>
        </w:rPr>
        <w:t>realizohen</w:t>
      </w:r>
      <w:proofErr w:type="spellEnd"/>
      <w:r w:rsidRPr="00997551">
        <w:rPr>
          <w:lang w:val="en-GB"/>
        </w:rPr>
        <w:t xml:space="preserve"> </w:t>
      </w:r>
      <w:proofErr w:type="spellStart"/>
      <w:r w:rsidRPr="00997551">
        <w:rPr>
          <w:lang w:val="en-GB"/>
        </w:rPr>
        <w:t>konkretisht</w:t>
      </w:r>
      <w:proofErr w:type="spellEnd"/>
      <w:r w:rsidRPr="00997551">
        <w:rPr>
          <w:lang w:val="en-GB"/>
        </w:rPr>
        <w:t xml:space="preserve"> në </w:t>
      </w:r>
      <w:proofErr w:type="spellStart"/>
      <w:r w:rsidRPr="00997551">
        <w:rPr>
          <w:lang w:val="en-GB"/>
        </w:rPr>
        <w:t>vitin</w:t>
      </w:r>
      <w:proofErr w:type="spellEnd"/>
      <w:r w:rsidRPr="00997551">
        <w:rPr>
          <w:lang w:val="en-GB"/>
        </w:rPr>
        <w:t xml:space="preserve"> 2025, </w:t>
      </w:r>
      <w:proofErr w:type="spellStart"/>
      <w:r w:rsidRPr="00997551">
        <w:rPr>
          <w:lang w:val="en-GB"/>
        </w:rPr>
        <w:t>idealisht</w:t>
      </w:r>
      <w:proofErr w:type="spellEnd"/>
      <w:r w:rsidRPr="00997551">
        <w:rPr>
          <w:lang w:val="en-GB"/>
        </w:rPr>
        <w:t xml:space="preserve"> në cilin </w:t>
      </w:r>
      <w:proofErr w:type="spellStart"/>
      <w:r w:rsidRPr="00997551">
        <w:rPr>
          <w:lang w:val="en-GB"/>
        </w:rPr>
        <w:t>muaj</w:t>
      </w:r>
      <w:proofErr w:type="spellEnd"/>
      <w:r w:rsidRPr="00997551">
        <w:rPr>
          <w:lang w:val="en-GB"/>
        </w:rPr>
        <w:t xml:space="preserve"> </w:t>
      </w:r>
      <w:proofErr w:type="spellStart"/>
      <w:r w:rsidRPr="00997551">
        <w:rPr>
          <w:lang w:val="en-GB"/>
        </w:rPr>
        <w:t>ose</w:t>
      </w:r>
      <w:proofErr w:type="spellEnd"/>
      <w:r w:rsidRPr="00997551">
        <w:rPr>
          <w:lang w:val="en-GB"/>
        </w:rPr>
        <w:t xml:space="preserve"> së </w:t>
      </w:r>
      <w:proofErr w:type="spellStart"/>
      <w:proofErr w:type="gramStart"/>
      <w:r w:rsidRPr="00997551">
        <w:rPr>
          <w:lang w:val="en-GB"/>
        </w:rPr>
        <w:t>paku</w:t>
      </w:r>
      <w:proofErr w:type="spellEnd"/>
      <w:r w:rsidRPr="00997551">
        <w:rPr>
          <w:lang w:val="en-GB"/>
        </w:rPr>
        <w:t xml:space="preserve">  në</w:t>
      </w:r>
      <w:proofErr w:type="gramEnd"/>
      <w:r w:rsidRPr="00997551">
        <w:rPr>
          <w:lang w:val="en-GB"/>
        </w:rPr>
        <w:t xml:space="preserve"> cilin </w:t>
      </w:r>
      <w:proofErr w:type="spellStart"/>
      <w:r w:rsidRPr="00997551">
        <w:rPr>
          <w:lang w:val="en-GB"/>
        </w:rPr>
        <w:t>tremujor</w:t>
      </w:r>
      <w:proofErr w:type="spellEnd"/>
      <w:r w:rsidR="00EF237D" w:rsidRPr="00997551">
        <w:rPr>
          <w:lang w:val="en-GB"/>
        </w:rPr>
        <w:t xml:space="preserve">. </w:t>
      </w:r>
      <w:r w:rsidRPr="00997551">
        <w:rPr>
          <w:lang w:val="en-GB"/>
        </w:rPr>
        <w:t>PVIUT-</w:t>
      </w:r>
      <w:proofErr w:type="spellStart"/>
      <w:r w:rsidRPr="00997551">
        <w:rPr>
          <w:lang w:val="en-GB"/>
        </w:rPr>
        <w:t>ja</w:t>
      </w:r>
      <w:proofErr w:type="spellEnd"/>
      <w:r w:rsidRPr="00997551">
        <w:rPr>
          <w:lang w:val="en-GB"/>
        </w:rPr>
        <w:t xml:space="preserve"> në </w:t>
      </w:r>
      <w:proofErr w:type="spellStart"/>
      <w:r w:rsidRPr="00997551">
        <w:rPr>
          <w:lang w:val="en-GB"/>
        </w:rPr>
        <w:t>formën</w:t>
      </w:r>
      <w:proofErr w:type="spellEnd"/>
      <w:r w:rsidRPr="00997551">
        <w:rPr>
          <w:lang w:val="en-GB"/>
        </w:rPr>
        <w:t xml:space="preserve"> e saj </w:t>
      </w:r>
      <w:proofErr w:type="spellStart"/>
      <w:r w:rsidRPr="00997551">
        <w:rPr>
          <w:lang w:val="en-GB"/>
        </w:rPr>
        <w:t>aktuale</w:t>
      </w:r>
      <w:proofErr w:type="spellEnd"/>
      <w:r w:rsidRPr="00997551">
        <w:rPr>
          <w:lang w:val="en-GB"/>
        </w:rPr>
        <w:t xml:space="preserve"> nuk është </w:t>
      </w:r>
      <w:proofErr w:type="spellStart"/>
      <w:r w:rsidRPr="00997551">
        <w:rPr>
          <w:lang w:val="en-GB"/>
        </w:rPr>
        <w:t>dokument</w:t>
      </w:r>
      <w:proofErr w:type="spellEnd"/>
      <w:r w:rsidRPr="00997551">
        <w:rPr>
          <w:lang w:val="en-GB"/>
        </w:rPr>
        <w:t xml:space="preserve"> </w:t>
      </w:r>
      <w:proofErr w:type="spellStart"/>
      <w:r w:rsidRPr="00997551">
        <w:rPr>
          <w:lang w:val="en-GB"/>
        </w:rPr>
        <w:t>operativ</w:t>
      </w:r>
      <w:proofErr w:type="spellEnd"/>
      <w:r w:rsidRPr="00997551">
        <w:rPr>
          <w:lang w:val="en-GB"/>
        </w:rPr>
        <w:t xml:space="preserve"> për </w:t>
      </w:r>
      <w:proofErr w:type="spellStart"/>
      <w:r w:rsidRPr="00997551">
        <w:rPr>
          <w:lang w:val="en-GB"/>
        </w:rPr>
        <w:t>planifikimin</w:t>
      </w:r>
      <w:proofErr w:type="spellEnd"/>
      <w:r w:rsidRPr="00997551">
        <w:rPr>
          <w:lang w:val="en-GB"/>
        </w:rPr>
        <w:t xml:space="preserve"> dhe </w:t>
      </w:r>
      <w:proofErr w:type="spellStart"/>
      <w:r w:rsidRPr="00997551">
        <w:rPr>
          <w:lang w:val="en-GB"/>
        </w:rPr>
        <w:t>monitorimin</w:t>
      </w:r>
      <w:proofErr w:type="spellEnd"/>
      <w:r w:rsidRPr="00997551">
        <w:rPr>
          <w:lang w:val="en-GB"/>
        </w:rPr>
        <w:t xml:space="preserve"> e </w:t>
      </w:r>
      <w:proofErr w:type="spellStart"/>
      <w:r w:rsidRPr="00997551">
        <w:rPr>
          <w:lang w:val="en-GB"/>
        </w:rPr>
        <w:t>progresit</w:t>
      </w:r>
      <w:proofErr w:type="spellEnd"/>
      <w:r w:rsidRPr="00997551">
        <w:rPr>
          <w:lang w:val="en-GB"/>
        </w:rPr>
        <w:t xml:space="preserve"> </w:t>
      </w:r>
      <w:proofErr w:type="spellStart"/>
      <w:r w:rsidRPr="00997551">
        <w:rPr>
          <w:lang w:val="en-GB"/>
        </w:rPr>
        <w:t>lidhur</w:t>
      </w:r>
      <w:proofErr w:type="spellEnd"/>
      <w:r w:rsidRPr="00997551">
        <w:rPr>
          <w:lang w:val="en-GB"/>
        </w:rPr>
        <w:t xml:space="preserve"> me </w:t>
      </w:r>
      <w:proofErr w:type="spellStart"/>
      <w:r w:rsidRPr="00997551">
        <w:rPr>
          <w:lang w:val="en-GB"/>
        </w:rPr>
        <w:t>qëllimet</w:t>
      </w:r>
      <w:proofErr w:type="spellEnd"/>
      <w:r w:rsidRPr="00997551">
        <w:rPr>
          <w:lang w:val="en-GB"/>
        </w:rPr>
        <w:t xml:space="preserve"> të </w:t>
      </w:r>
      <w:proofErr w:type="spellStart"/>
      <w:r w:rsidRPr="00997551">
        <w:rPr>
          <w:lang w:val="en-GB"/>
        </w:rPr>
        <w:t>cilat</w:t>
      </w:r>
      <w:proofErr w:type="spellEnd"/>
      <w:r w:rsidRPr="00997551">
        <w:rPr>
          <w:lang w:val="en-GB"/>
        </w:rPr>
        <w:t xml:space="preserve"> duhet të </w:t>
      </w:r>
      <w:proofErr w:type="spellStart"/>
      <w:r w:rsidRPr="00997551">
        <w:rPr>
          <w:lang w:val="en-GB"/>
        </w:rPr>
        <w:t>arrihen</w:t>
      </w:r>
      <w:proofErr w:type="spellEnd"/>
      <w:r w:rsidRPr="00997551">
        <w:rPr>
          <w:lang w:val="en-GB"/>
        </w:rPr>
        <w:t xml:space="preserve"> në </w:t>
      </w:r>
      <w:proofErr w:type="spellStart"/>
      <w:r w:rsidRPr="00997551">
        <w:rPr>
          <w:lang w:val="en-GB"/>
        </w:rPr>
        <w:t>vitin</w:t>
      </w:r>
      <w:proofErr w:type="spellEnd"/>
      <w:r w:rsidRPr="00997551">
        <w:rPr>
          <w:lang w:val="en-GB"/>
        </w:rPr>
        <w:t xml:space="preserve"> 2025 </w:t>
      </w:r>
      <w:r w:rsidR="00EF237D" w:rsidRPr="00997551">
        <w:rPr>
          <w:lang w:val="en-GB"/>
        </w:rPr>
        <w:t xml:space="preserve">në </w:t>
      </w:r>
      <w:proofErr w:type="spellStart"/>
      <w:r w:rsidR="00EF237D" w:rsidRPr="00997551">
        <w:rPr>
          <w:lang w:val="en-GB"/>
        </w:rPr>
        <w:t>kuadër</w:t>
      </w:r>
      <w:proofErr w:type="spellEnd"/>
      <w:r w:rsidR="00EF237D" w:rsidRPr="00997551">
        <w:rPr>
          <w:lang w:val="en-GB"/>
        </w:rPr>
        <w:t xml:space="preserve"> të</w:t>
      </w:r>
      <w:r w:rsidRPr="00997551">
        <w:rPr>
          <w:lang w:val="en-GB"/>
        </w:rPr>
        <w:t xml:space="preserve"> procesit të </w:t>
      </w:r>
      <w:proofErr w:type="spellStart"/>
      <w:r w:rsidRPr="00997551">
        <w:rPr>
          <w:lang w:val="en-GB"/>
        </w:rPr>
        <w:t>Tranzicionit</w:t>
      </w:r>
      <w:proofErr w:type="spellEnd"/>
      <w:r w:rsidRPr="00997551">
        <w:rPr>
          <w:lang w:val="en-GB"/>
        </w:rPr>
        <w:t xml:space="preserve"> të </w:t>
      </w:r>
      <w:proofErr w:type="spellStart"/>
      <w:r w:rsidRPr="00997551">
        <w:rPr>
          <w:lang w:val="en-GB"/>
        </w:rPr>
        <w:t>Drejtë</w:t>
      </w:r>
      <w:proofErr w:type="spellEnd"/>
      <w:r w:rsidRPr="00997551">
        <w:rPr>
          <w:lang w:val="en-GB"/>
        </w:rPr>
        <w:t xml:space="preserve">. </w:t>
      </w:r>
      <w:proofErr w:type="spellStart"/>
      <w:r w:rsidRPr="00997551">
        <w:rPr>
          <w:lang w:val="en-GB"/>
        </w:rPr>
        <w:t>Gjithashtu</w:t>
      </w:r>
      <w:proofErr w:type="spellEnd"/>
      <w:r w:rsidRPr="00997551">
        <w:rPr>
          <w:lang w:val="en-GB"/>
        </w:rPr>
        <w:t xml:space="preserve">, ai do </w:t>
      </w:r>
      <w:r w:rsidR="00EF237D" w:rsidRPr="00997551">
        <w:rPr>
          <w:lang w:val="en-GB"/>
        </w:rPr>
        <w:t>ishte</w:t>
      </w:r>
      <w:r w:rsidRPr="00997551">
        <w:rPr>
          <w:lang w:val="en-GB"/>
        </w:rPr>
        <w:t xml:space="preserve"> </w:t>
      </w:r>
      <w:r w:rsidR="00EF237D" w:rsidRPr="00997551">
        <w:rPr>
          <w:lang w:val="en-GB"/>
        </w:rPr>
        <w:t xml:space="preserve">me </w:t>
      </w:r>
      <w:proofErr w:type="spellStart"/>
      <w:r w:rsidRPr="00997551">
        <w:rPr>
          <w:lang w:val="en-GB"/>
        </w:rPr>
        <w:t>përdorim</w:t>
      </w:r>
      <w:proofErr w:type="spellEnd"/>
      <w:r w:rsidRPr="00997551">
        <w:rPr>
          <w:lang w:val="en-GB"/>
        </w:rPr>
        <w:t xml:space="preserve"> të </w:t>
      </w:r>
      <w:proofErr w:type="spellStart"/>
      <w:r w:rsidRPr="00997551">
        <w:rPr>
          <w:lang w:val="en-GB"/>
        </w:rPr>
        <w:t>kufizuar</w:t>
      </w:r>
      <w:proofErr w:type="spellEnd"/>
      <w:r w:rsidRPr="00997551">
        <w:rPr>
          <w:lang w:val="en-GB"/>
        </w:rPr>
        <w:t xml:space="preserve"> </w:t>
      </w:r>
      <w:proofErr w:type="spellStart"/>
      <w:r w:rsidRPr="00997551">
        <w:rPr>
          <w:lang w:val="en-GB"/>
        </w:rPr>
        <w:t>si</w:t>
      </w:r>
      <w:proofErr w:type="spellEnd"/>
      <w:r w:rsidRPr="00997551">
        <w:rPr>
          <w:lang w:val="en-GB"/>
        </w:rPr>
        <w:t xml:space="preserve"> </w:t>
      </w:r>
      <w:proofErr w:type="spellStart"/>
      <w:r w:rsidRPr="00997551">
        <w:rPr>
          <w:lang w:val="en-GB"/>
        </w:rPr>
        <w:t>udhë</w:t>
      </w:r>
      <w:r w:rsidR="00EF237D" w:rsidRPr="00997551">
        <w:rPr>
          <w:lang w:val="en-GB"/>
        </w:rPr>
        <w:t>zime</w:t>
      </w:r>
      <w:proofErr w:type="spellEnd"/>
      <w:r w:rsidRPr="00997551">
        <w:rPr>
          <w:lang w:val="en-GB"/>
        </w:rPr>
        <w:t xml:space="preserve"> për institucionet për </w:t>
      </w:r>
      <w:r w:rsidR="00EF237D" w:rsidRPr="00997551">
        <w:rPr>
          <w:lang w:val="en-GB"/>
        </w:rPr>
        <w:t xml:space="preserve">se </w:t>
      </w:r>
      <w:proofErr w:type="spellStart"/>
      <w:r w:rsidR="00EF237D" w:rsidRPr="00997551">
        <w:rPr>
          <w:lang w:val="en-GB"/>
        </w:rPr>
        <w:t>çka</w:t>
      </w:r>
      <w:proofErr w:type="spellEnd"/>
      <w:r w:rsidR="00EF237D" w:rsidRPr="00997551">
        <w:rPr>
          <w:lang w:val="en-GB"/>
        </w:rPr>
        <w:t xml:space="preserve"> </w:t>
      </w:r>
      <w:proofErr w:type="spellStart"/>
      <w:r w:rsidRPr="00997551">
        <w:rPr>
          <w:lang w:val="en-GB"/>
        </w:rPr>
        <w:t>pritet</w:t>
      </w:r>
      <w:proofErr w:type="spellEnd"/>
      <w:r w:rsidRPr="00997551">
        <w:rPr>
          <w:lang w:val="en-GB"/>
        </w:rPr>
        <w:t xml:space="preserve"> të </w:t>
      </w:r>
      <w:proofErr w:type="spellStart"/>
      <w:r w:rsidRPr="00997551">
        <w:rPr>
          <w:lang w:val="en-GB"/>
        </w:rPr>
        <w:t>bëhet</w:t>
      </w:r>
      <w:proofErr w:type="spellEnd"/>
      <w:r w:rsidRPr="00997551">
        <w:rPr>
          <w:lang w:val="en-GB"/>
        </w:rPr>
        <w:t xml:space="preserve"> dhe </w:t>
      </w:r>
      <w:proofErr w:type="spellStart"/>
      <w:r w:rsidRPr="00997551">
        <w:rPr>
          <w:lang w:val="en-GB"/>
        </w:rPr>
        <w:t>deri</w:t>
      </w:r>
      <w:proofErr w:type="spellEnd"/>
      <w:r w:rsidRPr="00997551">
        <w:rPr>
          <w:lang w:val="en-GB"/>
        </w:rPr>
        <w:t xml:space="preserve"> </w:t>
      </w:r>
      <w:proofErr w:type="spellStart"/>
      <w:r w:rsidRPr="00997551">
        <w:rPr>
          <w:lang w:val="en-GB"/>
        </w:rPr>
        <w:t>kur</w:t>
      </w:r>
      <w:proofErr w:type="spellEnd"/>
      <w:r w:rsidRPr="00997551">
        <w:rPr>
          <w:lang w:val="en-GB"/>
        </w:rPr>
        <w:t xml:space="preserve">. </w:t>
      </w:r>
      <w:proofErr w:type="spellStart"/>
      <w:r w:rsidR="00EF237D" w:rsidRPr="00997551">
        <w:rPr>
          <w:lang w:val="en-GB"/>
        </w:rPr>
        <w:t>Poashtu</w:t>
      </w:r>
      <w:proofErr w:type="spellEnd"/>
      <w:r w:rsidRPr="00997551">
        <w:rPr>
          <w:lang w:val="en-GB"/>
        </w:rPr>
        <w:t xml:space="preserve">, nuk është e qartë se </w:t>
      </w:r>
      <w:proofErr w:type="spellStart"/>
      <w:r w:rsidRPr="00997551">
        <w:rPr>
          <w:lang w:val="en-GB"/>
        </w:rPr>
        <w:t>cilat</w:t>
      </w:r>
      <w:proofErr w:type="spellEnd"/>
      <w:r w:rsidR="00EF237D" w:rsidRPr="00997551">
        <w:rPr>
          <w:lang w:val="en-GB"/>
        </w:rPr>
        <w:t xml:space="preserve"> </w:t>
      </w:r>
      <w:proofErr w:type="spellStart"/>
      <w:r w:rsidR="00EF237D" w:rsidRPr="00997551">
        <w:rPr>
          <w:lang w:val="en-GB"/>
        </w:rPr>
        <w:t>mjete</w:t>
      </w:r>
      <w:proofErr w:type="spellEnd"/>
      <w:r w:rsidRPr="00997551">
        <w:rPr>
          <w:lang w:val="en-GB"/>
        </w:rPr>
        <w:t xml:space="preserve"> do t’i </w:t>
      </w:r>
      <w:proofErr w:type="spellStart"/>
      <w:r w:rsidRPr="00997551">
        <w:rPr>
          <w:lang w:val="en-GB"/>
        </w:rPr>
        <w:t>alokohen</w:t>
      </w:r>
      <w:proofErr w:type="spellEnd"/>
      <w:r w:rsidRPr="00997551">
        <w:rPr>
          <w:lang w:val="en-GB"/>
        </w:rPr>
        <w:t xml:space="preserve"> procesit të </w:t>
      </w:r>
      <w:proofErr w:type="spellStart"/>
      <w:r w:rsidRPr="00997551">
        <w:rPr>
          <w:lang w:val="en-GB"/>
        </w:rPr>
        <w:t>Tranzicionit</w:t>
      </w:r>
      <w:proofErr w:type="spellEnd"/>
      <w:r w:rsidRPr="00997551">
        <w:rPr>
          <w:lang w:val="en-GB"/>
        </w:rPr>
        <w:t xml:space="preserve"> të </w:t>
      </w:r>
      <w:proofErr w:type="spellStart"/>
      <w:r w:rsidRPr="00997551">
        <w:rPr>
          <w:lang w:val="en-GB"/>
        </w:rPr>
        <w:t>Drejtë</w:t>
      </w:r>
      <w:proofErr w:type="spellEnd"/>
      <w:r w:rsidRPr="00997551">
        <w:rPr>
          <w:lang w:val="en-GB"/>
        </w:rPr>
        <w:t xml:space="preserve">, </w:t>
      </w:r>
      <w:proofErr w:type="spellStart"/>
      <w:r w:rsidRPr="00997551">
        <w:rPr>
          <w:lang w:val="en-GB"/>
        </w:rPr>
        <w:t>pasi</w:t>
      </w:r>
      <w:proofErr w:type="spellEnd"/>
      <w:r w:rsidRPr="00997551">
        <w:rPr>
          <w:lang w:val="en-GB"/>
        </w:rPr>
        <w:t xml:space="preserve"> </w:t>
      </w:r>
      <w:proofErr w:type="spellStart"/>
      <w:r w:rsidRPr="00997551">
        <w:rPr>
          <w:lang w:val="en-GB"/>
        </w:rPr>
        <w:t>buxheti</w:t>
      </w:r>
      <w:proofErr w:type="spellEnd"/>
      <w:r w:rsidRPr="00997551">
        <w:rPr>
          <w:lang w:val="en-GB"/>
        </w:rPr>
        <w:t xml:space="preserve"> në </w:t>
      </w:r>
      <w:proofErr w:type="spellStart"/>
      <w:r w:rsidRPr="00997551">
        <w:rPr>
          <w:lang w:val="en-GB"/>
        </w:rPr>
        <w:t>shumë</w:t>
      </w:r>
      <w:proofErr w:type="spellEnd"/>
      <w:r w:rsidRPr="00997551">
        <w:rPr>
          <w:lang w:val="en-GB"/>
        </w:rPr>
        <w:t xml:space="preserve"> </w:t>
      </w:r>
      <w:proofErr w:type="spellStart"/>
      <w:r w:rsidRPr="00997551">
        <w:rPr>
          <w:lang w:val="en-GB"/>
        </w:rPr>
        <w:t>raste</w:t>
      </w:r>
      <w:proofErr w:type="spellEnd"/>
      <w:r w:rsidRPr="00997551">
        <w:rPr>
          <w:lang w:val="en-GB"/>
        </w:rPr>
        <w:t xml:space="preserve"> nuk është </w:t>
      </w:r>
      <w:proofErr w:type="spellStart"/>
      <w:r w:rsidR="00EF237D" w:rsidRPr="00997551">
        <w:rPr>
          <w:lang w:val="en-GB"/>
        </w:rPr>
        <w:t>preciz</w:t>
      </w:r>
      <w:proofErr w:type="spellEnd"/>
      <w:r w:rsidRPr="00997551">
        <w:rPr>
          <w:lang w:val="en-GB"/>
        </w:rPr>
        <w:t xml:space="preserve">, </w:t>
      </w:r>
      <w:proofErr w:type="spellStart"/>
      <w:r w:rsidR="00EF237D" w:rsidRPr="00997551">
        <w:rPr>
          <w:lang w:val="en-GB"/>
        </w:rPr>
        <w:t>ndërsa</w:t>
      </w:r>
      <w:proofErr w:type="spellEnd"/>
      <w:r w:rsidRPr="00997551">
        <w:rPr>
          <w:lang w:val="en-GB"/>
        </w:rPr>
        <w:t xml:space="preserve"> </w:t>
      </w:r>
      <w:proofErr w:type="spellStart"/>
      <w:r w:rsidRPr="00997551">
        <w:rPr>
          <w:lang w:val="en-GB"/>
        </w:rPr>
        <w:t>kur</w:t>
      </w:r>
      <w:proofErr w:type="spellEnd"/>
      <w:r w:rsidRPr="00997551">
        <w:rPr>
          <w:lang w:val="en-GB"/>
        </w:rPr>
        <w:t xml:space="preserve"> </w:t>
      </w:r>
      <w:proofErr w:type="spellStart"/>
      <w:r w:rsidRPr="00997551">
        <w:rPr>
          <w:lang w:val="en-GB"/>
        </w:rPr>
        <w:t>përfshihet</w:t>
      </w:r>
      <w:proofErr w:type="spellEnd"/>
      <w:r w:rsidRPr="00997551">
        <w:rPr>
          <w:lang w:val="en-GB"/>
        </w:rPr>
        <w:t xml:space="preserve"> </w:t>
      </w:r>
      <w:proofErr w:type="spellStart"/>
      <w:r w:rsidRPr="00997551">
        <w:rPr>
          <w:lang w:val="en-GB"/>
        </w:rPr>
        <w:t>buxheti</w:t>
      </w:r>
      <w:proofErr w:type="spellEnd"/>
      <w:r w:rsidRPr="00997551">
        <w:rPr>
          <w:lang w:val="en-GB"/>
        </w:rPr>
        <w:t xml:space="preserve"> </w:t>
      </w:r>
      <w:proofErr w:type="spellStart"/>
      <w:r w:rsidR="00EF237D" w:rsidRPr="00997551">
        <w:rPr>
          <w:lang w:val="en-GB"/>
        </w:rPr>
        <w:t>nacional</w:t>
      </w:r>
      <w:proofErr w:type="spellEnd"/>
      <w:r w:rsidRPr="00997551">
        <w:rPr>
          <w:lang w:val="en-GB"/>
        </w:rPr>
        <w:t xml:space="preserve">, nuk </w:t>
      </w:r>
      <w:proofErr w:type="spellStart"/>
      <w:r w:rsidRPr="00997551">
        <w:rPr>
          <w:lang w:val="en-GB"/>
        </w:rPr>
        <w:t>përmendet</w:t>
      </w:r>
      <w:proofErr w:type="spellEnd"/>
      <w:r w:rsidRPr="00997551">
        <w:rPr>
          <w:lang w:val="en-GB"/>
        </w:rPr>
        <w:t xml:space="preserve"> </w:t>
      </w:r>
      <w:proofErr w:type="spellStart"/>
      <w:r w:rsidRPr="00997551">
        <w:rPr>
          <w:lang w:val="en-GB"/>
        </w:rPr>
        <w:t>nëse</w:t>
      </w:r>
      <w:proofErr w:type="spellEnd"/>
      <w:r w:rsidRPr="00997551">
        <w:rPr>
          <w:lang w:val="en-GB"/>
        </w:rPr>
        <w:t xml:space="preserve"> është siguruar </w:t>
      </w:r>
      <w:proofErr w:type="spellStart"/>
      <w:r w:rsidRPr="00997551">
        <w:rPr>
          <w:lang w:val="en-GB"/>
        </w:rPr>
        <w:t>realisht</w:t>
      </w:r>
      <w:proofErr w:type="spellEnd"/>
      <w:r w:rsidRPr="00997551">
        <w:rPr>
          <w:lang w:val="en-GB"/>
        </w:rPr>
        <w:t>.</w:t>
      </w:r>
      <w:r w:rsidR="00EF237D" w:rsidRPr="00997551">
        <w:rPr>
          <w:lang w:val="sq-AL"/>
        </w:rPr>
        <w:t xml:space="preserve"> </w:t>
      </w:r>
    </w:p>
    <w:p w14:paraId="1B07F517" w14:textId="750286A4" w:rsidR="00EF237D" w:rsidRPr="00997551" w:rsidRDefault="00EF237D" w:rsidP="00EF237D">
      <w:pPr>
        <w:pStyle w:val="BodyText"/>
        <w:pBdr>
          <w:top w:val="single" w:sz="4" w:space="0" w:color="auto"/>
          <w:left w:val="single" w:sz="4" w:space="0" w:color="auto"/>
          <w:bottom w:val="single" w:sz="4" w:space="24" w:color="auto"/>
          <w:right w:val="single" w:sz="4" w:space="0" w:color="auto"/>
        </w:pBdr>
        <w:spacing w:after="60"/>
        <w:ind w:left="1800"/>
        <w:jc w:val="both"/>
        <w:rPr>
          <w:rStyle w:val="Other"/>
          <w:sz w:val="24"/>
          <w:szCs w:val="24"/>
          <w:lang w:val="sq-AL"/>
        </w:rPr>
      </w:pPr>
      <w:r w:rsidRPr="00997551">
        <w:rPr>
          <w:sz w:val="22"/>
          <w:szCs w:val="22"/>
          <w:lang w:val="sq-AL"/>
        </w:rPr>
        <w:t>Përfundimisht</w:t>
      </w:r>
      <w:r w:rsidRPr="00997551">
        <w:rPr>
          <w:sz w:val="22"/>
          <w:szCs w:val="22"/>
        </w:rPr>
        <w:t xml:space="preserve">, </w:t>
      </w:r>
      <w:r w:rsidRPr="00997551">
        <w:rPr>
          <w:sz w:val="22"/>
          <w:szCs w:val="22"/>
          <w:lang w:val="sq-AL"/>
        </w:rPr>
        <w:t>implementimi</w:t>
      </w:r>
      <w:r w:rsidRPr="00997551">
        <w:rPr>
          <w:sz w:val="22"/>
          <w:szCs w:val="22"/>
        </w:rPr>
        <w:t xml:space="preserve"> i sistemit </w:t>
      </w:r>
      <w:r w:rsidRPr="00997551">
        <w:rPr>
          <w:sz w:val="22"/>
          <w:szCs w:val="22"/>
          <w:lang w:val="sq-AL"/>
        </w:rPr>
        <w:t>për</w:t>
      </w:r>
      <w:r w:rsidRPr="00997551">
        <w:rPr>
          <w:sz w:val="22"/>
          <w:szCs w:val="22"/>
        </w:rPr>
        <w:t xml:space="preserve"> monitorim dhe </w:t>
      </w:r>
      <w:r w:rsidRPr="00997551">
        <w:rPr>
          <w:sz w:val="22"/>
          <w:szCs w:val="22"/>
          <w:lang w:val="sq-AL"/>
        </w:rPr>
        <w:t>njoftim</w:t>
      </w:r>
      <w:r w:rsidRPr="00997551">
        <w:rPr>
          <w:sz w:val="22"/>
          <w:szCs w:val="22"/>
        </w:rPr>
        <w:t xml:space="preserve"> duhet të ndiqet </w:t>
      </w:r>
      <w:r w:rsidRPr="00997551">
        <w:rPr>
          <w:sz w:val="22"/>
          <w:szCs w:val="22"/>
          <w:lang w:val="sq-AL"/>
        </w:rPr>
        <w:t>në</w:t>
      </w:r>
      <w:r w:rsidRPr="00997551">
        <w:rPr>
          <w:sz w:val="22"/>
          <w:szCs w:val="22"/>
        </w:rPr>
        <w:t xml:space="preserve"> mua</w:t>
      </w:r>
      <w:r w:rsidR="008D66E7" w:rsidRPr="00997551">
        <w:rPr>
          <w:sz w:val="22"/>
          <w:szCs w:val="22"/>
          <w:lang w:val="sq-AL"/>
        </w:rPr>
        <w:t>jtë</w:t>
      </w:r>
      <w:r w:rsidRPr="00997551">
        <w:rPr>
          <w:sz w:val="22"/>
          <w:szCs w:val="22"/>
          <w:lang w:val="sq-AL"/>
        </w:rPr>
        <w:t xml:space="preserve"> vijues</w:t>
      </w:r>
      <w:r w:rsidRPr="00997551">
        <w:rPr>
          <w:sz w:val="22"/>
          <w:szCs w:val="22"/>
        </w:rPr>
        <w:t xml:space="preserve">, </w:t>
      </w:r>
      <w:r w:rsidRPr="00997551">
        <w:rPr>
          <w:sz w:val="22"/>
          <w:szCs w:val="22"/>
          <w:lang w:val="sq-AL"/>
        </w:rPr>
        <w:t>ndërsa</w:t>
      </w:r>
      <w:r w:rsidRPr="00997551">
        <w:rPr>
          <w:sz w:val="22"/>
          <w:szCs w:val="22"/>
        </w:rPr>
        <w:t xml:space="preserve"> si provë për këtë duhet të sigurohet dokumentacioni përkatës për vlerësimin e arritjes së këtij hapi, </w:t>
      </w:r>
      <w:r w:rsidRPr="00997551">
        <w:rPr>
          <w:sz w:val="22"/>
          <w:szCs w:val="22"/>
          <w:lang w:val="sq-AL"/>
        </w:rPr>
        <w:t>pikërisht</w:t>
      </w:r>
      <w:r w:rsidRPr="00997551">
        <w:rPr>
          <w:sz w:val="22"/>
          <w:szCs w:val="22"/>
        </w:rPr>
        <w:t xml:space="preserve"> raportet mujore dhe tremujore, </w:t>
      </w:r>
      <w:r w:rsidRPr="00997551">
        <w:rPr>
          <w:sz w:val="22"/>
          <w:szCs w:val="22"/>
          <w:lang w:val="sq-AL"/>
        </w:rPr>
        <w:t>të cilat</w:t>
      </w:r>
      <w:r w:rsidRPr="00997551">
        <w:rPr>
          <w:sz w:val="22"/>
          <w:szCs w:val="22"/>
        </w:rPr>
        <w:t xml:space="preserve"> </w:t>
      </w:r>
      <w:r w:rsidRPr="00997551">
        <w:rPr>
          <w:sz w:val="22"/>
          <w:szCs w:val="22"/>
          <w:lang w:val="sq-AL"/>
        </w:rPr>
        <w:t>e përfshijnë</w:t>
      </w:r>
      <w:r w:rsidRPr="00997551">
        <w:rPr>
          <w:sz w:val="22"/>
          <w:szCs w:val="22"/>
        </w:rPr>
        <w:t xml:space="preserve"> të gjithë periudhën nga</w:t>
      </w:r>
      <w:r w:rsidRPr="00997551">
        <w:rPr>
          <w:sz w:val="22"/>
          <w:szCs w:val="22"/>
          <w:lang w:val="sq-AL"/>
        </w:rPr>
        <w:t xml:space="preserve"> muaji</w:t>
      </w:r>
      <w:r w:rsidRPr="00997551">
        <w:rPr>
          <w:sz w:val="22"/>
          <w:szCs w:val="22"/>
        </w:rPr>
        <w:t xml:space="preserve"> janari </w:t>
      </w:r>
      <w:r w:rsidRPr="00997551">
        <w:rPr>
          <w:sz w:val="22"/>
          <w:szCs w:val="22"/>
          <w:lang w:val="sq-AL"/>
        </w:rPr>
        <w:t xml:space="preserve">i vitit </w:t>
      </w:r>
      <w:r w:rsidRPr="00997551">
        <w:rPr>
          <w:sz w:val="22"/>
          <w:szCs w:val="22"/>
        </w:rPr>
        <w:t>2025.</w:t>
      </w:r>
    </w:p>
    <w:p w14:paraId="0268135E" w14:textId="77777777" w:rsidR="00EF237D" w:rsidRPr="00997551" w:rsidRDefault="00EF237D" w:rsidP="002A21B4">
      <w:pPr>
        <w:pStyle w:val="BodyText"/>
        <w:pBdr>
          <w:top w:val="single" w:sz="4" w:space="0" w:color="auto"/>
          <w:left w:val="single" w:sz="4" w:space="0" w:color="auto"/>
          <w:bottom w:val="single" w:sz="4" w:space="24" w:color="auto"/>
          <w:right w:val="single" w:sz="4" w:space="0" w:color="auto"/>
        </w:pBdr>
        <w:spacing w:after="580" w:line="240" w:lineRule="auto"/>
        <w:ind w:left="1800"/>
        <w:jc w:val="both"/>
        <w:rPr>
          <w:lang w:val="sq-A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805"/>
      </w:tblGrid>
      <w:tr w:rsidR="00262A83" w:rsidRPr="00997551" w14:paraId="7CDC8681" w14:textId="77777777" w:rsidTr="002A21B4">
        <w:trPr>
          <w:trHeight w:hRule="exact" w:val="2727"/>
          <w:jc w:val="center"/>
        </w:trPr>
        <w:tc>
          <w:tcPr>
            <w:tcW w:w="1714" w:type="dxa"/>
            <w:tcBorders>
              <w:top w:val="single" w:sz="4" w:space="0" w:color="auto"/>
              <w:left w:val="single" w:sz="4" w:space="0" w:color="auto"/>
            </w:tcBorders>
            <w:shd w:val="clear" w:color="auto" w:fill="E8E8E8"/>
          </w:tcPr>
          <w:p w14:paraId="103E174B" w14:textId="4CA4E5DA" w:rsidR="00262A83" w:rsidRPr="00997551" w:rsidRDefault="00EF237D" w:rsidP="00CF22B1">
            <w:pPr>
              <w:pStyle w:val="Other0"/>
              <w:spacing w:before="80"/>
            </w:pPr>
            <w:r w:rsidRPr="00997551">
              <w:rPr>
                <w:b/>
                <w:bCs/>
              </w:rPr>
              <w:t xml:space="preserve">Kontrollet e kryera dhe </w:t>
            </w:r>
            <w:r w:rsidRPr="00997551">
              <w:rPr>
                <w:b/>
                <w:bCs/>
                <w:lang w:val="sq-AL"/>
              </w:rPr>
              <w:t>provat</w:t>
            </w:r>
            <w:r w:rsidRPr="00997551">
              <w:rPr>
                <w:b/>
                <w:bCs/>
              </w:rPr>
              <w:t xml:space="preserve"> e </w:t>
            </w:r>
            <w:r w:rsidRPr="00997551">
              <w:rPr>
                <w:b/>
                <w:bCs/>
                <w:lang w:val="sq-AL"/>
              </w:rPr>
              <w:t>shfrytëzuara</w:t>
            </w:r>
            <w:r w:rsidRPr="00997551">
              <w:rPr>
                <w:b/>
                <w:bCs/>
              </w:rPr>
              <w:t xml:space="preserve"> </w:t>
            </w:r>
            <w:r w:rsidRPr="00997551">
              <w:rPr>
                <w:b/>
                <w:bCs/>
                <w:lang w:val="sq-AL"/>
              </w:rPr>
              <w:t>gjatë</w:t>
            </w:r>
            <w:r w:rsidRPr="00997551">
              <w:rPr>
                <w:b/>
                <w:bCs/>
              </w:rPr>
              <w:t xml:space="preserve"> verifikimi</w:t>
            </w:r>
            <w:r w:rsidRPr="00997551">
              <w:rPr>
                <w:b/>
                <w:bCs/>
                <w:lang w:val="sq-AL"/>
              </w:rPr>
              <w:t>t</w:t>
            </w:r>
            <w:r w:rsidRPr="00997551">
              <w:rPr>
                <w:b/>
                <w:bCs/>
              </w:rPr>
              <w:t xml:space="preserve"> </w:t>
            </w:r>
            <w:r w:rsidRPr="00997551">
              <w:rPr>
                <w:b/>
                <w:bCs/>
                <w:lang w:val="sq-AL"/>
              </w:rPr>
              <w:t>të</w:t>
            </w:r>
            <w:r w:rsidRPr="00997551">
              <w:rPr>
                <w:b/>
                <w:bCs/>
              </w:rPr>
              <w:t xml:space="preserve"> hapit dhe </w:t>
            </w:r>
            <w:r w:rsidRPr="00997551">
              <w:rPr>
                <w:b/>
                <w:bCs/>
                <w:lang w:val="sq-AL"/>
              </w:rPr>
              <w:t>konsatimet</w:t>
            </w:r>
            <w:r w:rsidRPr="00997551">
              <w:rPr>
                <w:b/>
                <w:bCs/>
              </w:rPr>
              <w:t xml:space="preserve"> </w:t>
            </w:r>
            <w:r w:rsidRPr="00997551">
              <w:rPr>
                <w:b/>
                <w:bCs/>
                <w:lang w:val="sq-AL"/>
              </w:rPr>
              <w:t>e lidhura</w:t>
            </w:r>
          </w:p>
        </w:tc>
        <w:tc>
          <w:tcPr>
            <w:tcW w:w="7805" w:type="dxa"/>
            <w:tcBorders>
              <w:top w:val="single" w:sz="4" w:space="0" w:color="auto"/>
              <w:left w:val="single" w:sz="4" w:space="0" w:color="auto"/>
              <w:right w:val="single" w:sz="4" w:space="0" w:color="auto"/>
            </w:tcBorders>
            <w:vAlign w:val="center"/>
          </w:tcPr>
          <w:p w14:paraId="058DCF17" w14:textId="0A1C378E" w:rsidR="00EF237D" w:rsidRPr="00997551" w:rsidRDefault="00EF237D" w:rsidP="00EF237D">
            <w:pPr>
              <w:pStyle w:val="Other0"/>
              <w:spacing w:after="60"/>
              <w:jc w:val="both"/>
              <w:rPr>
                <w:lang w:val="en-GB"/>
              </w:rPr>
            </w:pPr>
            <w:proofErr w:type="spellStart"/>
            <w:r w:rsidRPr="00997551">
              <w:rPr>
                <w:lang w:val="en-GB"/>
              </w:rPr>
              <w:t>Vlerësimi</w:t>
            </w:r>
            <w:proofErr w:type="spellEnd"/>
            <w:r w:rsidRPr="00997551">
              <w:rPr>
                <w:lang w:val="en-GB"/>
              </w:rPr>
              <w:t xml:space="preserve"> </w:t>
            </w:r>
            <w:proofErr w:type="spellStart"/>
            <w:r w:rsidRPr="00997551">
              <w:rPr>
                <w:lang w:val="en-GB"/>
              </w:rPr>
              <w:t>bëhet</w:t>
            </w:r>
            <w:proofErr w:type="spellEnd"/>
            <w:r w:rsidRPr="00997551">
              <w:rPr>
                <w:lang w:val="en-GB"/>
              </w:rPr>
              <w:t xml:space="preserve"> </w:t>
            </w:r>
            <w:proofErr w:type="spellStart"/>
            <w:r w:rsidRPr="00997551">
              <w:rPr>
                <w:lang w:val="en-GB"/>
              </w:rPr>
              <w:t>përmes</w:t>
            </w:r>
            <w:proofErr w:type="spellEnd"/>
            <w:r w:rsidRPr="00997551">
              <w:rPr>
                <w:lang w:val="en-GB"/>
              </w:rPr>
              <w:t xml:space="preserve"> </w:t>
            </w:r>
            <w:proofErr w:type="spellStart"/>
            <w:r w:rsidRPr="00997551">
              <w:rPr>
                <w:lang w:val="en-GB"/>
              </w:rPr>
              <w:t>analizës</w:t>
            </w:r>
            <w:proofErr w:type="spellEnd"/>
            <w:r w:rsidRPr="00997551">
              <w:rPr>
                <w:lang w:val="en-GB"/>
              </w:rPr>
              <w:t xml:space="preserve"> së </w:t>
            </w:r>
            <w:proofErr w:type="spellStart"/>
            <w:r w:rsidRPr="00997551">
              <w:rPr>
                <w:lang w:val="en-GB"/>
              </w:rPr>
              <w:t>kërkesave</w:t>
            </w:r>
            <w:proofErr w:type="spellEnd"/>
            <w:r w:rsidRPr="00997551">
              <w:rPr>
                <w:lang w:val="en-GB"/>
              </w:rPr>
              <w:t xml:space="preserve"> dhe </w:t>
            </w:r>
            <w:proofErr w:type="spellStart"/>
            <w:r w:rsidR="00AA191D" w:rsidRPr="00997551">
              <w:rPr>
                <w:lang w:val="en-GB"/>
              </w:rPr>
              <w:t>qëllimeve</w:t>
            </w:r>
            <w:proofErr w:type="spellEnd"/>
            <w:r w:rsidRPr="00997551">
              <w:rPr>
                <w:lang w:val="en-GB"/>
              </w:rPr>
              <w:t xml:space="preserve"> të </w:t>
            </w:r>
            <w:proofErr w:type="spellStart"/>
            <w:r w:rsidRPr="00997551">
              <w:rPr>
                <w:lang w:val="en-GB"/>
              </w:rPr>
              <w:t>masës</w:t>
            </w:r>
            <w:proofErr w:type="spellEnd"/>
            <w:r w:rsidRPr="00997551">
              <w:rPr>
                <w:lang w:val="en-GB"/>
              </w:rPr>
              <w:t xml:space="preserve"> reform</w:t>
            </w:r>
            <w:r w:rsidR="00AA191D" w:rsidRPr="00997551">
              <w:rPr>
                <w:lang w:val="en-GB"/>
              </w:rPr>
              <w:t>uese</w:t>
            </w:r>
            <w:r w:rsidRPr="00997551">
              <w:rPr>
                <w:lang w:val="en-GB"/>
              </w:rPr>
              <w:t xml:space="preserve">. </w:t>
            </w:r>
            <w:proofErr w:type="spellStart"/>
            <w:r w:rsidR="00AA191D" w:rsidRPr="00997551">
              <w:rPr>
                <w:lang w:val="en-GB"/>
              </w:rPr>
              <w:t>S</w:t>
            </w:r>
            <w:r w:rsidRPr="00997551">
              <w:rPr>
                <w:lang w:val="en-GB"/>
              </w:rPr>
              <w:t>hkëmbim</w:t>
            </w:r>
            <w:proofErr w:type="spellEnd"/>
            <w:r w:rsidRPr="00997551">
              <w:rPr>
                <w:lang w:val="en-GB"/>
              </w:rPr>
              <w:t xml:space="preserve"> </w:t>
            </w:r>
            <w:proofErr w:type="spellStart"/>
            <w:r w:rsidR="00AA191D" w:rsidRPr="00997551">
              <w:rPr>
                <w:lang w:val="en-GB"/>
              </w:rPr>
              <w:t>i</w:t>
            </w:r>
            <w:proofErr w:type="spellEnd"/>
            <w:r w:rsidRPr="00997551">
              <w:rPr>
                <w:lang w:val="en-GB"/>
              </w:rPr>
              <w:t xml:space="preserve"> </w:t>
            </w:r>
            <w:proofErr w:type="spellStart"/>
            <w:r w:rsidRPr="00997551">
              <w:rPr>
                <w:lang w:val="en-GB"/>
              </w:rPr>
              <w:t>vazhdueshëm</w:t>
            </w:r>
            <w:proofErr w:type="spellEnd"/>
            <w:r w:rsidRPr="00997551">
              <w:rPr>
                <w:lang w:val="en-GB"/>
              </w:rPr>
              <w:t xml:space="preserve"> </w:t>
            </w:r>
            <w:proofErr w:type="spellStart"/>
            <w:r w:rsidR="00AA191D" w:rsidRPr="00997551">
              <w:rPr>
                <w:lang w:val="en-GB"/>
              </w:rPr>
              <w:t>i</w:t>
            </w:r>
            <w:proofErr w:type="spellEnd"/>
            <w:r w:rsidR="00AA191D" w:rsidRPr="00997551">
              <w:rPr>
                <w:lang w:val="en-GB"/>
              </w:rPr>
              <w:t xml:space="preserve"> </w:t>
            </w:r>
            <w:proofErr w:type="spellStart"/>
            <w:r w:rsidRPr="00997551">
              <w:rPr>
                <w:lang w:val="en-GB"/>
              </w:rPr>
              <w:t>mendime</w:t>
            </w:r>
            <w:r w:rsidR="00AA191D" w:rsidRPr="00997551">
              <w:rPr>
                <w:lang w:val="en-GB"/>
              </w:rPr>
              <w:t>ve</w:t>
            </w:r>
            <w:proofErr w:type="spellEnd"/>
            <w:r w:rsidRPr="00997551">
              <w:rPr>
                <w:lang w:val="en-GB"/>
              </w:rPr>
              <w:t xml:space="preserve"> dhe dialog </w:t>
            </w:r>
            <w:proofErr w:type="spellStart"/>
            <w:r w:rsidRPr="00997551">
              <w:rPr>
                <w:lang w:val="en-GB"/>
              </w:rPr>
              <w:t>politik</w:t>
            </w:r>
            <w:proofErr w:type="spellEnd"/>
            <w:r w:rsidRPr="00997551">
              <w:rPr>
                <w:lang w:val="en-GB"/>
              </w:rPr>
              <w:t xml:space="preserve"> me </w:t>
            </w:r>
            <w:proofErr w:type="spellStart"/>
            <w:r w:rsidRPr="00997551">
              <w:rPr>
                <w:lang w:val="en-GB"/>
              </w:rPr>
              <w:t>Ministrinë</w:t>
            </w:r>
            <w:proofErr w:type="spellEnd"/>
            <w:r w:rsidRPr="00997551">
              <w:rPr>
                <w:lang w:val="en-GB"/>
              </w:rPr>
              <w:t xml:space="preserve"> </w:t>
            </w:r>
            <w:r w:rsidR="00AA191D" w:rsidRPr="00997551">
              <w:rPr>
                <w:lang w:val="en-GB"/>
              </w:rPr>
              <w:t>për</w:t>
            </w:r>
            <w:r w:rsidRPr="00997551">
              <w:rPr>
                <w:lang w:val="en-GB"/>
              </w:rPr>
              <w:t xml:space="preserve"> </w:t>
            </w:r>
            <w:proofErr w:type="spellStart"/>
            <w:r w:rsidRPr="00997551">
              <w:rPr>
                <w:lang w:val="en-GB"/>
              </w:rPr>
              <w:t>Energj</w:t>
            </w:r>
            <w:r w:rsidR="00AA191D" w:rsidRPr="00997551">
              <w:rPr>
                <w:lang w:val="en-GB"/>
              </w:rPr>
              <w:t>etikë</w:t>
            </w:r>
            <w:proofErr w:type="spellEnd"/>
            <w:r w:rsidRPr="00997551">
              <w:rPr>
                <w:lang w:val="en-GB"/>
              </w:rPr>
              <w:t xml:space="preserve">, </w:t>
            </w:r>
            <w:r w:rsidR="00AA191D" w:rsidRPr="00997551">
              <w:rPr>
                <w:lang w:val="en-GB"/>
              </w:rPr>
              <w:t>Xehtari</w:t>
            </w:r>
            <w:r w:rsidRPr="00997551">
              <w:rPr>
                <w:lang w:val="en-GB"/>
              </w:rPr>
              <w:t xml:space="preserve"> dhe </w:t>
            </w:r>
            <w:proofErr w:type="spellStart"/>
            <w:r w:rsidRPr="00997551">
              <w:rPr>
                <w:lang w:val="en-GB"/>
              </w:rPr>
              <w:t>Burimeve</w:t>
            </w:r>
            <w:proofErr w:type="spellEnd"/>
            <w:r w:rsidR="00AA191D" w:rsidRPr="00997551">
              <w:rPr>
                <w:lang w:val="en-GB"/>
              </w:rPr>
              <w:t xml:space="preserve"> të para</w:t>
            </w:r>
            <w:r w:rsidRPr="00997551">
              <w:rPr>
                <w:lang w:val="en-GB"/>
              </w:rPr>
              <w:t xml:space="preserve"> </w:t>
            </w:r>
            <w:proofErr w:type="spellStart"/>
            <w:r w:rsidRPr="00997551">
              <w:rPr>
                <w:lang w:val="en-GB"/>
              </w:rPr>
              <w:t>Minerale</w:t>
            </w:r>
            <w:proofErr w:type="spellEnd"/>
            <w:r w:rsidRPr="00997551">
              <w:rPr>
                <w:lang w:val="en-GB"/>
              </w:rPr>
              <w:t xml:space="preserve">, </w:t>
            </w:r>
            <w:proofErr w:type="spellStart"/>
            <w:r w:rsidRPr="00997551">
              <w:rPr>
                <w:lang w:val="en-GB"/>
              </w:rPr>
              <w:t>përfshirë</w:t>
            </w:r>
            <w:proofErr w:type="spellEnd"/>
            <w:r w:rsidRPr="00997551">
              <w:rPr>
                <w:lang w:val="en-GB"/>
              </w:rPr>
              <w:t xml:space="preserve"> </w:t>
            </w:r>
            <w:r w:rsidR="00AA191D" w:rsidRPr="00997551">
              <w:rPr>
                <w:lang w:val="en-GB"/>
              </w:rPr>
              <w:t>edhe</w:t>
            </w:r>
            <w:r w:rsidRPr="00997551">
              <w:rPr>
                <w:lang w:val="en-GB"/>
              </w:rPr>
              <w:t xml:space="preserve"> </w:t>
            </w:r>
            <w:proofErr w:type="spellStart"/>
            <w:r w:rsidRPr="00997551">
              <w:rPr>
                <w:lang w:val="en-GB"/>
              </w:rPr>
              <w:t>takim</w:t>
            </w:r>
            <w:r w:rsidR="00AA191D" w:rsidRPr="00997551">
              <w:rPr>
                <w:lang w:val="en-GB"/>
              </w:rPr>
              <w:t>in</w:t>
            </w:r>
            <w:proofErr w:type="spellEnd"/>
            <w:r w:rsidRPr="00997551">
              <w:rPr>
                <w:lang w:val="en-GB"/>
              </w:rPr>
              <w:t xml:space="preserve"> në </w:t>
            </w:r>
            <w:proofErr w:type="spellStart"/>
            <w:r w:rsidRPr="00997551">
              <w:rPr>
                <w:lang w:val="en-GB"/>
              </w:rPr>
              <w:t>mes</w:t>
            </w:r>
            <w:proofErr w:type="spellEnd"/>
            <w:r w:rsidRPr="00997551">
              <w:rPr>
                <w:lang w:val="en-GB"/>
              </w:rPr>
              <w:t xml:space="preserve"> të</w:t>
            </w:r>
            <w:r w:rsidR="00AA191D" w:rsidRPr="00997551">
              <w:rPr>
                <w:lang w:val="en-GB"/>
              </w:rPr>
              <w:t xml:space="preserve"> </w:t>
            </w:r>
            <w:proofErr w:type="spellStart"/>
            <w:r w:rsidR="00AA191D" w:rsidRPr="00997551">
              <w:rPr>
                <w:lang w:val="en-GB"/>
              </w:rPr>
              <w:t>muajit</w:t>
            </w:r>
            <w:proofErr w:type="spellEnd"/>
            <w:r w:rsidRPr="00997551">
              <w:rPr>
                <w:lang w:val="en-GB"/>
              </w:rPr>
              <w:t xml:space="preserve"> </w:t>
            </w:r>
            <w:proofErr w:type="spellStart"/>
            <w:r w:rsidRPr="00997551">
              <w:rPr>
                <w:lang w:val="en-GB"/>
              </w:rPr>
              <w:t>janar</w:t>
            </w:r>
            <w:proofErr w:type="spellEnd"/>
            <w:r w:rsidR="00AA191D" w:rsidRPr="00997551">
              <w:rPr>
                <w:lang w:val="en-GB"/>
              </w:rPr>
              <w:t xml:space="preserve"> të </w:t>
            </w:r>
            <w:proofErr w:type="spellStart"/>
            <w:r w:rsidR="00AA191D" w:rsidRPr="00997551">
              <w:rPr>
                <w:lang w:val="en-GB"/>
              </w:rPr>
              <w:t>vitit</w:t>
            </w:r>
            <w:proofErr w:type="spellEnd"/>
            <w:r w:rsidRPr="00997551">
              <w:rPr>
                <w:lang w:val="en-GB"/>
              </w:rPr>
              <w:t xml:space="preserve"> 2025 për të </w:t>
            </w:r>
            <w:proofErr w:type="spellStart"/>
            <w:r w:rsidRPr="00997551">
              <w:rPr>
                <w:lang w:val="en-GB"/>
              </w:rPr>
              <w:t>dhënë</w:t>
            </w:r>
            <w:proofErr w:type="spellEnd"/>
            <w:r w:rsidRPr="00997551">
              <w:rPr>
                <w:lang w:val="en-GB"/>
              </w:rPr>
              <w:t xml:space="preserve"> </w:t>
            </w:r>
            <w:proofErr w:type="spellStart"/>
            <w:r w:rsidRPr="00997551">
              <w:rPr>
                <w:lang w:val="en-GB"/>
              </w:rPr>
              <w:t>komente</w:t>
            </w:r>
            <w:proofErr w:type="spellEnd"/>
            <w:r w:rsidRPr="00997551">
              <w:rPr>
                <w:lang w:val="en-GB"/>
              </w:rPr>
              <w:t xml:space="preserve"> </w:t>
            </w:r>
            <w:proofErr w:type="spellStart"/>
            <w:r w:rsidRPr="00997551">
              <w:rPr>
                <w:lang w:val="en-GB"/>
              </w:rPr>
              <w:t>joficiale</w:t>
            </w:r>
            <w:proofErr w:type="spellEnd"/>
            <w:r w:rsidRPr="00997551">
              <w:rPr>
                <w:lang w:val="en-GB"/>
              </w:rPr>
              <w:t xml:space="preserve"> </w:t>
            </w:r>
            <w:proofErr w:type="spellStart"/>
            <w:r w:rsidRPr="00997551">
              <w:rPr>
                <w:lang w:val="en-GB"/>
              </w:rPr>
              <w:t>mbi</w:t>
            </w:r>
            <w:proofErr w:type="spellEnd"/>
            <w:r w:rsidRPr="00997551">
              <w:rPr>
                <w:lang w:val="en-GB"/>
              </w:rPr>
              <w:t xml:space="preserve"> </w:t>
            </w:r>
            <w:r w:rsidR="00AA191D" w:rsidRPr="00997551">
              <w:rPr>
                <w:lang w:val="en-GB"/>
              </w:rPr>
              <w:t>PVIUT</w:t>
            </w:r>
            <w:r w:rsidRPr="00997551">
              <w:rPr>
                <w:lang w:val="en-GB"/>
              </w:rPr>
              <w:t xml:space="preserve">-në </w:t>
            </w:r>
            <w:r w:rsidR="00AA191D" w:rsidRPr="00997551">
              <w:rPr>
                <w:lang w:val="en-GB"/>
              </w:rPr>
              <w:t xml:space="preserve">për </w:t>
            </w:r>
            <w:proofErr w:type="spellStart"/>
            <w:r w:rsidR="00AA191D" w:rsidRPr="00997551">
              <w:rPr>
                <w:lang w:val="en-GB"/>
              </w:rPr>
              <w:t>vitin</w:t>
            </w:r>
            <w:proofErr w:type="spellEnd"/>
            <w:r w:rsidR="00AA191D" w:rsidRPr="00997551">
              <w:rPr>
                <w:lang w:val="en-GB"/>
              </w:rPr>
              <w:t xml:space="preserve"> </w:t>
            </w:r>
            <w:r w:rsidRPr="00997551">
              <w:rPr>
                <w:lang w:val="en-GB"/>
              </w:rPr>
              <w:t xml:space="preserve">2025, </w:t>
            </w:r>
            <w:proofErr w:type="spellStart"/>
            <w:r w:rsidRPr="00997551">
              <w:rPr>
                <w:lang w:val="en-GB"/>
              </w:rPr>
              <w:t>miratuar</w:t>
            </w:r>
            <w:proofErr w:type="spellEnd"/>
            <w:r w:rsidRPr="00997551">
              <w:rPr>
                <w:lang w:val="en-GB"/>
              </w:rPr>
              <w:t xml:space="preserve"> në </w:t>
            </w:r>
            <w:proofErr w:type="spellStart"/>
            <w:r w:rsidR="00AA191D" w:rsidRPr="00997551">
              <w:rPr>
                <w:lang w:val="en-GB"/>
              </w:rPr>
              <w:t>muajin</w:t>
            </w:r>
            <w:proofErr w:type="spellEnd"/>
            <w:r w:rsidR="00AA191D" w:rsidRPr="00997551">
              <w:rPr>
                <w:lang w:val="en-GB"/>
              </w:rPr>
              <w:t xml:space="preserve"> </w:t>
            </w:r>
            <w:proofErr w:type="spellStart"/>
            <w:r w:rsidRPr="00997551">
              <w:rPr>
                <w:lang w:val="en-GB"/>
              </w:rPr>
              <w:t>dhjetor</w:t>
            </w:r>
            <w:proofErr w:type="spellEnd"/>
            <w:r w:rsidR="00AA191D" w:rsidRPr="00997551">
              <w:rPr>
                <w:lang w:val="en-GB"/>
              </w:rPr>
              <w:t xml:space="preserve"> të </w:t>
            </w:r>
            <w:proofErr w:type="spellStart"/>
            <w:r w:rsidR="00AA191D" w:rsidRPr="00997551">
              <w:rPr>
                <w:lang w:val="en-GB"/>
              </w:rPr>
              <w:t>vitit</w:t>
            </w:r>
            <w:proofErr w:type="spellEnd"/>
            <w:r w:rsidRPr="00997551">
              <w:rPr>
                <w:lang w:val="en-GB"/>
              </w:rPr>
              <w:t xml:space="preserve"> 2024. </w:t>
            </w:r>
            <w:proofErr w:type="spellStart"/>
            <w:r w:rsidRPr="00997551">
              <w:rPr>
                <w:lang w:val="en-GB"/>
              </w:rPr>
              <w:t>Komente</w:t>
            </w:r>
            <w:r w:rsidR="00AA191D" w:rsidRPr="00997551">
              <w:rPr>
                <w:lang w:val="en-GB"/>
              </w:rPr>
              <w:t>t</w:t>
            </w:r>
            <w:proofErr w:type="spellEnd"/>
            <w:r w:rsidRPr="00997551">
              <w:rPr>
                <w:lang w:val="en-GB"/>
              </w:rPr>
              <w:t xml:space="preserve"> </w:t>
            </w:r>
            <w:r w:rsidR="00AA191D" w:rsidRPr="00997551">
              <w:rPr>
                <w:lang w:val="en-GB"/>
              </w:rPr>
              <w:t>e</w:t>
            </w:r>
            <w:r w:rsidRPr="00997551">
              <w:rPr>
                <w:lang w:val="en-GB"/>
              </w:rPr>
              <w:t xml:space="preserve"> </w:t>
            </w:r>
            <w:proofErr w:type="spellStart"/>
            <w:r w:rsidRPr="00997551">
              <w:rPr>
                <w:lang w:val="en-GB"/>
              </w:rPr>
              <w:t>rëndësishme</w:t>
            </w:r>
            <w:proofErr w:type="spellEnd"/>
            <w:r w:rsidRPr="00997551">
              <w:rPr>
                <w:lang w:val="en-GB"/>
              </w:rPr>
              <w:t xml:space="preserve"> nuk u </w:t>
            </w:r>
            <w:proofErr w:type="spellStart"/>
            <w:r w:rsidRPr="00997551">
              <w:rPr>
                <w:lang w:val="en-GB"/>
              </w:rPr>
              <w:t>morën</w:t>
            </w:r>
            <w:proofErr w:type="spellEnd"/>
            <w:r w:rsidRPr="00997551">
              <w:rPr>
                <w:lang w:val="en-GB"/>
              </w:rPr>
              <w:t xml:space="preserve"> </w:t>
            </w:r>
            <w:proofErr w:type="spellStart"/>
            <w:r w:rsidRPr="00997551">
              <w:rPr>
                <w:lang w:val="en-GB"/>
              </w:rPr>
              <w:t>parasysh</w:t>
            </w:r>
            <w:proofErr w:type="spellEnd"/>
            <w:r w:rsidRPr="00997551">
              <w:rPr>
                <w:lang w:val="en-GB"/>
              </w:rPr>
              <w:t xml:space="preserve">, për </w:t>
            </w:r>
            <w:proofErr w:type="spellStart"/>
            <w:r w:rsidRPr="00997551">
              <w:rPr>
                <w:lang w:val="en-GB"/>
              </w:rPr>
              <w:t>shembull</w:t>
            </w:r>
            <w:proofErr w:type="spellEnd"/>
            <w:r w:rsidRPr="00997551">
              <w:rPr>
                <w:lang w:val="en-GB"/>
              </w:rPr>
              <w:t xml:space="preserve">: </w:t>
            </w:r>
            <w:proofErr w:type="spellStart"/>
            <w:r w:rsidRPr="00997551">
              <w:rPr>
                <w:lang w:val="en-GB"/>
              </w:rPr>
              <w:t>plani</w:t>
            </w:r>
            <w:proofErr w:type="spellEnd"/>
            <w:r w:rsidRPr="00997551">
              <w:rPr>
                <w:lang w:val="en-GB"/>
              </w:rPr>
              <w:t xml:space="preserve"> të </w:t>
            </w:r>
            <w:proofErr w:type="spellStart"/>
            <w:r w:rsidRPr="00997551">
              <w:rPr>
                <w:lang w:val="en-GB"/>
              </w:rPr>
              <w:t>bëhej</w:t>
            </w:r>
            <w:proofErr w:type="spellEnd"/>
            <w:r w:rsidRPr="00997551">
              <w:rPr>
                <w:lang w:val="en-GB"/>
              </w:rPr>
              <w:t xml:space="preserve"> më </w:t>
            </w:r>
            <w:proofErr w:type="spellStart"/>
            <w:r w:rsidR="00AA191D" w:rsidRPr="00997551">
              <w:rPr>
                <w:lang w:val="en-GB"/>
              </w:rPr>
              <w:t>funksional</w:t>
            </w:r>
            <w:proofErr w:type="spellEnd"/>
            <w:r w:rsidRPr="00997551">
              <w:rPr>
                <w:lang w:val="en-GB"/>
              </w:rPr>
              <w:t xml:space="preserve"> dhe </w:t>
            </w:r>
            <w:r w:rsidR="00AA191D" w:rsidRPr="00997551">
              <w:rPr>
                <w:lang w:val="en-GB"/>
              </w:rPr>
              <w:t xml:space="preserve">më </w:t>
            </w:r>
            <w:proofErr w:type="spellStart"/>
            <w:r w:rsidR="00AA191D" w:rsidRPr="00997551">
              <w:rPr>
                <w:lang w:val="en-GB"/>
              </w:rPr>
              <w:t>i</w:t>
            </w:r>
            <w:proofErr w:type="spellEnd"/>
            <w:r w:rsidRPr="00997551">
              <w:rPr>
                <w:lang w:val="en-GB"/>
              </w:rPr>
              <w:t xml:space="preserve"> </w:t>
            </w:r>
            <w:proofErr w:type="spellStart"/>
            <w:r w:rsidRPr="00997551">
              <w:rPr>
                <w:lang w:val="en-GB"/>
              </w:rPr>
              <w:t>fokusuar</w:t>
            </w:r>
            <w:proofErr w:type="spellEnd"/>
            <w:r w:rsidRPr="00997551">
              <w:rPr>
                <w:lang w:val="en-GB"/>
              </w:rPr>
              <w:t xml:space="preserve"> </w:t>
            </w:r>
            <w:r w:rsidR="00AA191D" w:rsidRPr="00997551">
              <w:rPr>
                <w:lang w:val="en-GB"/>
              </w:rPr>
              <w:t>në</w:t>
            </w:r>
            <w:r w:rsidRPr="00997551">
              <w:rPr>
                <w:lang w:val="en-GB"/>
              </w:rPr>
              <w:t xml:space="preserve"> </w:t>
            </w:r>
            <w:proofErr w:type="spellStart"/>
            <w:r w:rsidRPr="00997551">
              <w:rPr>
                <w:lang w:val="en-GB"/>
              </w:rPr>
              <w:t>aktivitete</w:t>
            </w:r>
            <w:proofErr w:type="spellEnd"/>
            <w:r w:rsidRPr="00997551">
              <w:rPr>
                <w:lang w:val="en-GB"/>
              </w:rPr>
              <w:t xml:space="preserve"> </w:t>
            </w:r>
            <w:r w:rsidR="00AA191D" w:rsidRPr="00997551">
              <w:rPr>
                <w:lang w:val="en-GB"/>
              </w:rPr>
              <w:t xml:space="preserve">të </w:t>
            </w:r>
            <w:proofErr w:type="spellStart"/>
            <w:r w:rsidR="00AA191D" w:rsidRPr="00997551">
              <w:rPr>
                <w:lang w:val="en-GB"/>
              </w:rPr>
              <w:t>cilat</w:t>
            </w:r>
            <w:proofErr w:type="spellEnd"/>
            <w:r w:rsidRPr="00997551">
              <w:rPr>
                <w:lang w:val="en-GB"/>
              </w:rPr>
              <w:t xml:space="preserve"> duhet të </w:t>
            </w:r>
            <w:proofErr w:type="spellStart"/>
            <w:r w:rsidR="00AA191D" w:rsidRPr="00997551">
              <w:rPr>
                <w:lang w:val="en-GB"/>
              </w:rPr>
              <w:t>arrihen</w:t>
            </w:r>
            <w:proofErr w:type="spellEnd"/>
            <w:r w:rsidRPr="00997551">
              <w:rPr>
                <w:lang w:val="en-GB"/>
              </w:rPr>
              <w:t xml:space="preserve"> vetëm </w:t>
            </w:r>
            <w:proofErr w:type="spellStart"/>
            <w:r w:rsidRPr="00997551">
              <w:rPr>
                <w:lang w:val="en-GB"/>
              </w:rPr>
              <w:t>gjatë</w:t>
            </w:r>
            <w:proofErr w:type="spellEnd"/>
            <w:r w:rsidRPr="00997551">
              <w:rPr>
                <w:lang w:val="en-GB"/>
              </w:rPr>
              <w:t xml:space="preserve"> </w:t>
            </w:r>
            <w:proofErr w:type="spellStart"/>
            <w:r w:rsidRPr="00997551">
              <w:rPr>
                <w:lang w:val="en-GB"/>
              </w:rPr>
              <w:t>vitit</w:t>
            </w:r>
            <w:proofErr w:type="spellEnd"/>
            <w:r w:rsidRPr="00997551">
              <w:rPr>
                <w:lang w:val="en-GB"/>
              </w:rPr>
              <w:t xml:space="preserve"> 2025, të </w:t>
            </w:r>
            <w:proofErr w:type="spellStart"/>
            <w:r w:rsidRPr="00997551">
              <w:rPr>
                <w:lang w:val="en-GB"/>
              </w:rPr>
              <w:t>merren</w:t>
            </w:r>
            <w:proofErr w:type="spellEnd"/>
            <w:r w:rsidRPr="00997551">
              <w:rPr>
                <w:lang w:val="en-GB"/>
              </w:rPr>
              <w:t xml:space="preserve"> </w:t>
            </w:r>
            <w:proofErr w:type="spellStart"/>
            <w:r w:rsidRPr="00997551">
              <w:rPr>
                <w:lang w:val="en-GB"/>
              </w:rPr>
              <w:t>parasysh</w:t>
            </w:r>
            <w:proofErr w:type="spellEnd"/>
            <w:r w:rsidRPr="00997551">
              <w:rPr>
                <w:lang w:val="en-GB"/>
              </w:rPr>
              <w:t xml:space="preserve"> vetëm </w:t>
            </w:r>
            <w:proofErr w:type="spellStart"/>
            <w:r w:rsidRPr="00997551">
              <w:rPr>
                <w:lang w:val="en-GB"/>
              </w:rPr>
              <w:t>aktivitetet</w:t>
            </w:r>
            <w:proofErr w:type="spellEnd"/>
            <w:r w:rsidRPr="00997551">
              <w:rPr>
                <w:lang w:val="en-GB"/>
              </w:rPr>
              <w:t xml:space="preserve"> </w:t>
            </w:r>
            <w:proofErr w:type="spellStart"/>
            <w:r w:rsidRPr="00997551">
              <w:rPr>
                <w:lang w:val="en-GB"/>
              </w:rPr>
              <w:t>lidhur</w:t>
            </w:r>
            <w:proofErr w:type="spellEnd"/>
            <w:r w:rsidRPr="00997551">
              <w:rPr>
                <w:lang w:val="en-GB"/>
              </w:rPr>
              <w:t xml:space="preserve"> me </w:t>
            </w:r>
            <w:proofErr w:type="spellStart"/>
            <w:r w:rsidRPr="00997551">
              <w:rPr>
                <w:lang w:val="en-GB"/>
              </w:rPr>
              <w:t>tranzicionin</w:t>
            </w:r>
            <w:proofErr w:type="spellEnd"/>
            <w:r w:rsidRPr="00997551">
              <w:rPr>
                <w:lang w:val="en-GB"/>
              </w:rPr>
              <w:t xml:space="preserve"> dhe jo </w:t>
            </w:r>
            <w:r w:rsidR="00AA191D" w:rsidRPr="00997551">
              <w:rPr>
                <w:lang w:val="en-GB"/>
              </w:rPr>
              <w:t xml:space="preserve">edhe </w:t>
            </w:r>
            <w:r w:rsidRPr="00997551">
              <w:rPr>
                <w:lang w:val="en-GB"/>
              </w:rPr>
              <w:t xml:space="preserve">të gjitha </w:t>
            </w:r>
            <w:proofErr w:type="spellStart"/>
            <w:r w:rsidRPr="00997551">
              <w:rPr>
                <w:lang w:val="en-GB"/>
              </w:rPr>
              <w:t>hapat</w:t>
            </w:r>
            <w:proofErr w:type="spellEnd"/>
            <w:r w:rsidRPr="00997551">
              <w:rPr>
                <w:lang w:val="en-GB"/>
              </w:rPr>
              <w:t xml:space="preserve"> më të </w:t>
            </w:r>
            <w:proofErr w:type="spellStart"/>
            <w:r w:rsidRPr="00997551">
              <w:rPr>
                <w:lang w:val="en-GB"/>
              </w:rPr>
              <w:t>gjer</w:t>
            </w:r>
            <w:r w:rsidR="00AA191D" w:rsidRPr="00997551">
              <w:rPr>
                <w:lang w:val="en-GB"/>
              </w:rPr>
              <w:t>a</w:t>
            </w:r>
            <w:proofErr w:type="spellEnd"/>
            <w:r w:rsidRPr="00997551">
              <w:rPr>
                <w:lang w:val="en-GB"/>
              </w:rPr>
              <w:t xml:space="preserve"> </w:t>
            </w:r>
            <w:proofErr w:type="spellStart"/>
            <w:r w:rsidR="00AA191D" w:rsidRPr="00997551">
              <w:rPr>
                <w:lang w:val="en-GB"/>
              </w:rPr>
              <w:t>nga</w:t>
            </w:r>
            <w:proofErr w:type="spellEnd"/>
            <w:r w:rsidRPr="00997551">
              <w:rPr>
                <w:lang w:val="en-GB"/>
              </w:rPr>
              <w:t xml:space="preserve"> Agjend</w:t>
            </w:r>
            <w:r w:rsidR="00AA191D" w:rsidRPr="00997551">
              <w:rPr>
                <w:lang w:val="en-GB"/>
              </w:rPr>
              <w:t xml:space="preserve">a </w:t>
            </w:r>
            <w:proofErr w:type="gramStart"/>
            <w:r w:rsidR="00AA191D" w:rsidRPr="00997551">
              <w:rPr>
                <w:lang w:val="en-GB"/>
              </w:rPr>
              <w:t>reformuese</w:t>
            </w:r>
            <w:r w:rsidRPr="00997551">
              <w:rPr>
                <w:lang w:val="en-GB"/>
              </w:rPr>
              <w:t xml:space="preserve">  për</w:t>
            </w:r>
            <w:proofErr w:type="gramEnd"/>
            <w:r w:rsidRPr="00997551">
              <w:rPr>
                <w:lang w:val="en-GB"/>
              </w:rPr>
              <w:t xml:space="preserve"> </w:t>
            </w:r>
            <w:proofErr w:type="spellStart"/>
            <w:r w:rsidRPr="00997551">
              <w:rPr>
                <w:lang w:val="en-GB"/>
              </w:rPr>
              <w:t>energjinë</w:t>
            </w:r>
            <w:proofErr w:type="spellEnd"/>
            <w:r w:rsidRPr="00997551">
              <w:rPr>
                <w:lang w:val="en-GB"/>
              </w:rPr>
              <w:t xml:space="preserve"> e </w:t>
            </w:r>
            <w:proofErr w:type="spellStart"/>
            <w:r w:rsidRPr="00997551">
              <w:rPr>
                <w:lang w:val="en-GB"/>
              </w:rPr>
              <w:t>gjelbër</w:t>
            </w:r>
            <w:proofErr w:type="spellEnd"/>
            <w:r w:rsidRPr="00997551">
              <w:rPr>
                <w:lang w:val="en-GB"/>
              </w:rPr>
              <w:t xml:space="preserve">, të jetë më </w:t>
            </w:r>
            <w:proofErr w:type="spellStart"/>
            <w:r w:rsidRPr="00997551">
              <w:rPr>
                <w:lang w:val="en-GB"/>
              </w:rPr>
              <w:t>specifik</w:t>
            </w:r>
            <w:proofErr w:type="spellEnd"/>
            <w:r w:rsidRPr="00997551">
              <w:rPr>
                <w:lang w:val="en-GB"/>
              </w:rPr>
              <w:t xml:space="preserve"> </w:t>
            </w:r>
            <w:proofErr w:type="spellStart"/>
            <w:r w:rsidR="00AA191D" w:rsidRPr="00997551">
              <w:rPr>
                <w:lang w:val="en-GB"/>
              </w:rPr>
              <w:t>lidhur</w:t>
            </w:r>
            <w:proofErr w:type="spellEnd"/>
            <w:r w:rsidRPr="00997551">
              <w:rPr>
                <w:lang w:val="en-GB"/>
              </w:rPr>
              <w:t xml:space="preserve"> me </w:t>
            </w:r>
            <w:proofErr w:type="spellStart"/>
            <w:r w:rsidRPr="00997551">
              <w:rPr>
                <w:lang w:val="en-GB"/>
              </w:rPr>
              <w:t>detyrimet</w:t>
            </w:r>
            <w:proofErr w:type="spellEnd"/>
            <w:r w:rsidRPr="00997551">
              <w:rPr>
                <w:lang w:val="en-GB"/>
              </w:rPr>
              <w:t xml:space="preserve"> </w:t>
            </w:r>
            <w:proofErr w:type="spellStart"/>
            <w:r w:rsidRPr="00997551">
              <w:rPr>
                <w:lang w:val="en-GB"/>
              </w:rPr>
              <w:t>nga</w:t>
            </w:r>
            <w:proofErr w:type="spellEnd"/>
            <w:r w:rsidRPr="00997551">
              <w:rPr>
                <w:lang w:val="en-GB"/>
              </w:rPr>
              <w:t xml:space="preserve"> </w:t>
            </w:r>
            <w:proofErr w:type="spellStart"/>
            <w:r w:rsidRPr="00997551">
              <w:rPr>
                <w:lang w:val="en-GB"/>
              </w:rPr>
              <w:t>buxheti</w:t>
            </w:r>
            <w:proofErr w:type="spellEnd"/>
            <w:r w:rsidR="00AA191D" w:rsidRPr="00997551">
              <w:rPr>
                <w:lang w:val="en-GB"/>
              </w:rPr>
              <w:t xml:space="preserve"> </w:t>
            </w:r>
            <w:proofErr w:type="spellStart"/>
            <w:r w:rsidR="00AA191D" w:rsidRPr="00997551">
              <w:rPr>
                <w:lang w:val="en-GB"/>
              </w:rPr>
              <w:t>nacional</w:t>
            </w:r>
            <w:proofErr w:type="spellEnd"/>
            <w:r w:rsidRPr="00997551">
              <w:rPr>
                <w:lang w:val="en-GB"/>
              </w:rPr>
              <w:t xml:space="preserve"> dhe të </w:t>
            </w:r>
            <w:proofErr w:type="spellStart"/>
            <w:r w:rsidRPr="00997551">
              <w:rPr>
                <w:lang w:val="en-GB"/>
              </w:rPr>
              <w:t>paras</w:t>
            </w:r>
            <w:r w:rsidR="00AA191D" w:rsidRPr="00997551">
              <w:rPr>
                <w:lang w:val="en-GB"/>
              </w:rPr>
              <w:t>hihen</w:t>
            </w:r>
            <w:proofErr w:type="spellEnd"/>
            <w:r w:rsidRPr="00997551">
              <w:rPr>
                <w:lang w:val="en-GB"/>
              </w:rPr>
              <w:t xml:space="preserve"> </w:t>
            </w:r>
            <w:proofErr w:type="spellStart"/>
            <w:r w:rsidRPr="00997551">
              <w:rPr>
                <w:lang w:val="en-GB"/>
              </w:rPr>
              <w:t>rezultate</w:t>
            </w:r>
            <w:r w:rsidR="00AA191D" w:rsidRPr="00997551">
              <w:rPr>
                <w:lang w:val="en-GB"/>
              </w:rPr>
              <w:t>t</w:t>
            </w:r>
            <w:proofErr w:type="spellEnd"/>
            <w:r w:rsidR="00AA191D" w:rsidRPr="00997551">
              <w:rPr>
                <w:lang w:val="en-GB"/>
              </w:rPr>
              <w:t xml:space="preserve"> për </w:t>
            </w:r>
            <w:proofErr w:type="spellStart"/>
            <w:r w:rsidR="00AA191D" w:rsidRPr="00997551">
              <w:rPr>
                <w:lang w:val="en-GB"/>
              </w:rPr>
              <w:t>çdo</w:t>
            </w:r>
            <w:proofErr w:type="spellEnd"/>
            <w:r w:rsidR="00AA191D" w:rsidRPr="00997551">
              <w:rPr>
                <w:lang w:val="en-GB"/>
              </w:rPr>
              <w:t xml:space="preserve"> </w:t>
            </w:r>
            <w:proofErr w:type="spellStart"/>
            <w:r w:rsidR="00AA191D" w:rsidRPr="00997551">
              <w:rPr>
                <w:lang w:val="en-GB"/>
              </w:rPr>
              <w:t>tremujor</w:t>
            </w:r>
            <w:proofErr w:type="spellEnd"/>
            <w:r w:rsidRPr="00997551">
              <w:rPr>
                <w:lang w:val="en-GB"/>
              </w:rPr>
              <w:t>.</w:t>
            </w:r>
          </w:p>
          <w:p w14:paraId="418094E2" w14:textId="3612AD44" w:rsidR="00262A83" w:rsidRPr="00997551" w:rsidRDefault="00262A83" w:rsidP="00CF22B1">
            <w:pPr>
              <w:pStyle w:val="Other0"/>
              <w:jc w:val="both"/>
            </w:pPr>
          </w:p>
        </w:tc>
      </w:tr>
      <w:tr w:rsidR="00262A83" w:rsidRPr="00997551" w14:paraId="4BFDFBC4" w14:textId="77777777" w:rsidTr="00CF22B1">
        <w:trPr>
          <w:trHeight w:hRule="exact" w:val="682"/>
          <w:jc w:val="center"/>
        </w:trPr>
        <w:tc>
          <w:tcPr>
            <w:tcW w:w="1714" w:type="dxa"/>
            <w:tcBorders>
              <w:top w:val="single" w:sz="4" w:space="0" w:color="auto"/>
              <w:left w:val="single" w:sz="4" w:space="0" w:color="auto"/>
            </w:tcBorders>
            <w:shd w:val="clear" w:color="auto" w:fill="E8E8E8"/>
          </w:tcPr>
          <w:p w14:paraId="3320EBFD" w14:textId="2B5F631B" w:rsidR="00262A83" w:rsidRPr="00997551" w:rsidRDefault="00EF237D" w:rsidP="00CF22B1">
            <w:pPr>
              <w:pStyle w:val="Other0"/>
              <w:spacing w:before="80"/>
            </w:pPr>
            <w:r w:rsidRPr="00997551">
              <w:rPr>
                <w:b/>
              </w:rPr>
              <w:lastRenderedPageBreak/>
              <w:t>Financim i dyfishtë</w:t>
            </w:r>
          </w:p>
        </w:tc>
        <w:tc>
          <w:tcPr>
            <w:tcW w:w="7805" w:type="dxa"/>
            <w:tcBorders>
              <w:top w:val="single" w:sz="4" w:space="0" w:color="auto"/>
              <w:left w:val="single" w:sz="4" w:space="0" w:color="auto"/>
              <w:right w:val="single" w:sz="4" w:space="0" w:color="auto"/>
            </w:tcBorders>
            <w:vAlign w:val="center"/>
          </w:tcPr>
          <w:p w14:paraId="110A1CC2" w14:textId="4A32A432" w:rsidR="00262A83" w:rsidRPr="00997551" w:rsidRDefault="00044739" w:rsidP="00CF22B1">
            <w:pPr>
              <w:pStyle w:val="Other0"/>
              <w:jc w:val="both"/>
              <w:rPr>
                <w:lang w:val="sq-AL"/>
              </w:rPr>
            </w:pPr>
            <w:r w:rsidRPr="00997551">
              <w:t>Nuk u raportuan kontribute nga palë të treta si mbështetje për arritjen e këtij hapi.</w:t>
            </w:r>
          </w:p>
        </w:tc>
      </w:tr>
      <w:tr w:rsidR="00262A83" w:rsidRPr="00997551" w14:paraId="43529FEE" w14:textId="77777777" w:rsidTr="00CF22B1">
        <w:trPr>
          <w:trHeight w:hRule="exact" w:val="1450"/>
          <w:jc w:val="center"/>
        </w:trPr>
        <w:tc>
          <w:tcPr>
            <w:tcW w:w="1714" w:type="dxa"/>
            <w:tcBorders>
              <w:top w:val="single" w:sz="4" w:space="0" w:color="auto"/>
              <w:left w:val="single" w:sz="4" w:space="0" w:color="auto"/>
              <w:bottom w:val="single" w:sz="4" w:space="0" w:color="auto"/>
            </w:tcBorders>
            <w:shd w:val="clear" w:color="auto" w:fill="E8E8E8"/>
            <w:vAlign w:val="center"/>
          </w:tcPr>
          <w:p w14:paraId="31A69A5D" w14:textId="77777777" w:rsidR="00EF237D" w:rsidRPr="00997551" w:rsidRDefault="00EF237D" w:rsidP="00EF237D">
            <w:pPr>
              <w:pStyle w:val="Other0"/>
              <w:rPr>
                <w:b/>
                <w:bCs/>
                <w:lang w:val="en-GB"/>
              </w:rPr>
            </w:pPr>
            <w:proofErr w:type="spellStart"/>
            <w:r w:rsidRPr="00997551">
              <w:rPr>
                <w:b/>
                <w:bCs/>
                <w:lang w:val="en-GB"/>
              </w:rPr>
              <w:t>Konkludim</w:t>
            </w:r>
            <w:proofErr w:type="spellEnd"/>
            <w:r w:rsidRPr="00997551">
              <w:rPr>
                <w:b/>
                <w:bCs/>
                <w:lang w:val="en-GB"/>
              </w:rPr>
              <w:t xml:space="preserve"> </w:t>
            </w:r>
            <w:proofErr w:type="spellStart"/>
            <w:r w:rsidRPr="00997551">
              <w:rPr>
                <w:b/>
                <w:bCs/>
                <w:lang w:val="en-GB"/>
              </w:rPr>
              <w:t>i</w:t>
            </w:r>
            <w:proofErr w:type="spellEnd"/>
            <w:r w:rsidRPr="00997551">
              <w:rPr>
                <w:b/>
                <w:bCs/>
                <w:lang w:val="en-GB"/>
              </w:rPr>
              <w:t xml:space="preserve"> qartë </w:t>
            </w:r>
            <w:proofErr w:type="spellStart"/>
            <w:r w:rsidRPr="00997551">
              <w:rPr>
                <w:b/>
                <w:bCs/>
                <w:lang w:val="en-GB"/>
              </w:rPr>
              <w:t>i</w:t>
            </w:r>
            <w:proofErr w:type="spellEnd"/>
            <w:r w:rsidRPr="00997551">
              <w:rPr>
                <w:b/>
                <w:bCs/>
                <w:lang w:val="en-GB"/>
              </w:rPr>
              <w:t xml:space="preserve"> </w:t>
            </w:r>
            <w:proofErr w:type="spellStart"/>
            <w:r w:rsidRPr="00997551">
              <w:rPr>
                <w:b/>
                <w:bCs/>
                <w:lang w:val="en-GB"/>
              </w:rPr>
              <w:t>arritjes</w:t>
            </w:r>
            <w:proofErr w:type="spellEnd"/>
            <w:r w:rsidRPr="00997551">
              <w:rPr>
                <w:b/>
                <w:bCs/>
                <w:lang w:val="en-GB"/>
              </w:rPr>
              <w:t xml:space="preserve"> së </w:t>
            </w:r>
            <w:proofErr w:type="spellStart"/>
            <w:r w:rsidRPr="00997551">
              <w:rPr>
                <w:b/>
                <w:bCs/>
                <w:lang w:val="en-GB"/>
              </w:rPr>
              <w:t>hapit</w:t>
            </w:r>
            <w:proofErr w:type="spellEnd"/>
          </w:p>
          <w:p w14:paraId="69B07E5E" w14:textId="203BCFFB" w:rsidR="00262A83" w:rsidRPr="00997551" w:rsidRDefault="00262A83" w:rsidP="00CF22B1">
            <w:pPr>
              <w:pStyle w:val="Other0"/>
            </w:pPr>
          </w:p>
        </w:tc>
        <w:tc>
          <w:tcPr>
            <w:tcW w:w="7805" w:type="dxa"/>
            <w:tcBorders>
              <w:top w:val="single" w:sz="4" w:space="0" w:color="auto"/>
              <w:left w:val="single" w:sz="4" w:space="0" w:color="auto"/>
              <w:bottom w:val="single" w:sz="4" w:space="0" w:color="auto"/>
              <w:right w:val="single" w:sz="4" w:space="0" w:color="auto"/>
            </w:tcBorders>
          </w:tcPr>
          <w:p w14:paraId="447C9C41" w14:textId="726B442D" w:rsidR="00044739" w:rsidRPr="00997551" w:rsidRDefault="00044739" w:rsidP="00044739">
            <w:pPr>
              <w:pStyle w:val="Other0"/>
              <w:spacing w:before="80"/>
              <w:jc w:val="both"/>
              <w:rPr>
                <w:lang w:val="sq-AL"/>
              </w:rPr>
            </w:pPr>
            <w:r w:rsidRPr="00997551">
              <w:rPr>
                <w:rStyle w:val="Other"/>
                <w:b/>
                <w:bCs/>
                <w:lang w:val="sq-AL"/>
              </w:rPr>
              <w:t>N</w:t>
            </w:r>
            <w:proofErr w:type="spellStart"/>
            <w:r w:rsidRPr="00997551">
              <w:rPr>
                <w:b/>
                <w:bCs/>
                <w:lang w:val="en-GB"/>
              </w:rPr>
              <w:t>uk</w:t>
            </w:r>
            <w:proofErr w:type="spellEnd"/>
            <w:r w:rsidRPr="00997551">
              <w:rPr>
                <w:b/>
                <w:bCs/>
                <w:lang w:val="en-GB"/>
              </w:rPr>
              <w:t xml:space="preserve"> është </w:t>
            </w:r>
            <w:proofErr w:type="spellStart"/>
            <w:r w:rsidRPr="00997551">
              <w:rPr>
                <w:b/>
                <w:bCs/>
                <w:lang w:val="en-GB"/>
              </w:rPr>
              <w:t>arritur</w:t>
            </w:r>
            <w:proofErr w:type="spellEnd"/>
            <w:r w:rsidRPr="00997551">
              <w:rPr>
                <w:lang w:val="en-GB"/>
              </w:rPr>
              <w:t>. “</w:t>
            </w:r>
            <w:proofErr w:type="spellStart"/>
            <w:r w:rsidRPr="00997551">
              <w:rPr>
                <w:lang w:val="en-GB"/>
              </w:rPr>
              <w:t>Periudha</w:t>
            </w:r>
            <w:proofErr w:type="spellEnd"/>
            <w:r w:rsidRPr="00997551">
              <w:rPr>
                <w:lang w:val="en-GB"/>
              </w:rPr>
              <w:t xml:space="preserve"> e </w:t>
            </w:r>
            <w:proofErr w:type="spellStart"/>
            <w:r w:rsidRPr="00997551">
              <w:rPr>
                <w:lang w:val="en-GB"/>
              </w:rPr>
              <w:t>lehtësimit</w:t>
            </w:r>
            <w:proofErr w:type="spellEnd"/>
            <w:r w:rsidRPr="00997551">
              <w:rPr>
                <w:lang w:val="en-GB"/>
              </w:rPr>
              <w:t xml:space="preserve"> (grace-period)” e cila </w:t>
            </w:r>
            <w:proofErr w:type="spellStart"/>
            <w:r w:rsidRPr="00997551">
              <w:rPr>
                <w:lang w:val="en-GB"/>
              </w:rPr>
              <w:t>zgjat</w:t>
            </w:r>
            <w:proofErr w:type="spellEnd"/>
            <w:r w:rsidRPr="00997551">
              <w:rPr>
                <w:lang w:val="en-GB"/>
              </w:rPr>
              <w:t xml:space="preserve"> </w:t>
            </w:r>
            <w:proofErr w:type="spellStart"/>
            <w:r w:rsidRPr="00997551">
              <w:rPr>
                <w:lang w:val="en-GB"/>
              </w:rPr>
              <w:t>deri</w:t>
            </w:r>
            <w:proofErr w:type="spellEnd"/>
            <w:r w:rsidRPr="00997551">
              <w:rPr>
                <w:lang w:val="en-GB"/>
              </w:rPr>
              <w:t xml:space="preserve"> më 31 </w:t>
            </w:r>
            <w:proofErr w:type="spellStart"/>
            <w:r w:rsidRPr="00997551">
              <w:rPr>
                <w:lang w:val="en-GB"/>
              </w:rPr>
              <w:t>dhjetor</w:t>
            </w:r>
            <w:proofErr w:type="spellEnd"/>
            <w:r w:rsidRPr="00997551">
              <w:rPr>
                <w:lang w:val="en-GB"/>
              </w:rPr>
              <w:t xml:space="preserve"> të </w:t>
            </w:r>
            <w:proofErr w:type="spellStart"/>
            <w:r w:rsidRPr="00997551">
              <w:rPr>
                <w:lang w:val="en-GB"/>
              </w:rPr>
              <w:t>vitit</w:t>
            </w:r>
            <w:proofErr w:type="spellEnd"/>
            <w:r w:rsidRPr="00997551">
              <w:rPr>
                <w:lang w:val="en-GB"/>
              </w:rPr>
              <w:t xml:space="preserve"> 2026.</w:t>
            </w:r>
          </w:p>
          <w:p w14:paraId="32ECD921" w14:textId="3B72C1E8" w:rsidR="00044739" w:rsidRPr="00997551" w:rsidRDefault="00044739" w:rsidP="00044739">
            <w:pPr>
              <w:pStyle w:val="Other0"/>
              <w:spacing w:before="80"/>
              <w:jc w:val="both"/>
              <w:rPr>
                <w:lang w:val="sq-AL"/>
              </w:rPr>
            </w:pPr>
          </w:p>
        </w:tc>
      </w:tr>
    </w:tbl>
    <w:p w14:paraId="3F56C651" w14:textId="1E963BAD" w:rsidR="00870BB1" w:rsidRPr="00997551" w:rsidRDefault="00262A83">
      <w:pPr>
        <w:pStyle w:val="Heading20"/>
        <w:keepNext/>
        <w:keepLines/>
        <w:spacing w:after="140"/>
        <w:rPr>
          <w:rStyle w:val="Heading2"/>
          <w:b/>
          <w:lang w:val="mk-MK"/>
        </w:rPr>
      </w:pPr>
      <w:bookmarkStart w:id="3" w:name="bookmark19"/>
      <w:r w:rsidRPr="00997551">
        <w:rPr>
          <w:rStyle w:val="Heading2"/>
          <w:b/>
        </w:rPr>
        <w:t xml:space="preserve">4.1.5. </w:t>
      </w:r>
      <w:bookmarkEnd w:id="3"/>
      <w:r w:rsidR="00870BB1" w:rsidRPr="00997551">
        <w:rPr>
          <w:bCs w:val="0"/>
          <w:lang w:val="sq-AL"/>
        </w:rPr>
        <w:t>R</w:t>
      </w:r>
      <w:r w:rsidR="00870BB1" w:rsidRPr="00997551">
        <w:rPr>
          <w:bCs w:val="0"/>
        </w:rPr>
        <w:t xml:space="preserve">eforma e menaxhimit </w:t>
      </w:r>
      <w:r w:rsidR="00870BB1" w:rsidRPr="00997551">
        <w:rPr>
          <w:bCs w:val="0"/>
          <w:lang w:val="sq-AL"/>
        </w:rPr>
        <w:t>me</w:t>
      </w:r>
      <w:r w:rsidR="00870BB1" w:rsidRPr="00997551">
        <w:rPr>
          <w:bCs w:val="0"/>
        </w:rPr>
        <w:t xml:space="preserve"> ndërmarrje</w:t>
      </w:r>
      <w:r w:rsidR="00870BB1" w:rsidRPr="00997551">
        <w:rPr>
          <w:bCs w:val="0"/>
          <w:lang w:val="sq-AL"/>
        </w:rPr>
        <w:t>t</w:t>
      </w:r>
      <w:r w:rsidR="00870BB1" w:rsidRPr="00997551">
        <w:rPr>
          <w:bCs w:val="0"/>
        </w:rPr>
        <w:t xml:space="preserve"> në pronësi të shtetit</w:t>
      </w:r>
      <w:r w:rsidR="00870BB1" w:rsidRPr="00997551">
        <w:t xml:space="preserve"> </w:t>
      </w:r>
      <w:r w:rsidR="00870BB1" w:rsidRPr="00997551">
        <w:rPr>
          <w:bCs w:val="0"/>
        </w:rPr>
        <w:t>me fokus në hekurudhat dhe shërbimet postare</w:t>
      </w:r>
    </w:p>
    <w:p w14:paraId="43CC9613" w14:textId="77777777" w:rsidR="00870BB1" w:rsidRPr="00997551" w:rsidRDefault="00870BB1">
      <w:pPr>
        <w:pStyle w:val="Heading20"/>
        <w:keepNext/>
        <w:keepLines/>
        <w:spacing w:after="140"/>
        <w:rPr>
          <w:lang w:val="mk-MK"/>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805"/>
      </w:tblGrid>
      <w:tr w:rsidR="00262A83" w:rsidRPr="00997551" w14:paraId="415DA3BC" w14:textId="77777777">
        <w:trPr>
          <w:trHeight w:hRule="exact" w:val="691"/>
          <w:jc w:val="center"/>
        </w:trPr>
        <w:tc>
          <w:tcPr>
            <w:tcW w:w="1714" w:type="dxa"/>
            <w:tcBorders>
              <w:top w:val="single" w:sz="4" w:space="0" w:color="auto"/>
              <w:left w:val="single" w:sz="4" w:space="0" w:color="auto"/>
            </w:tcBorders>
            <w:shd w:val="clear" w:color="auto" w:fill="E8E8E8"/>
            <w:vAlign w:val="center"/>
          </w:tcPr>
          <w:p w14:paraId="1D0C1EA9" w14:textId="67A46B24" w:rsidR="00262A83" w:rsidRPr="00997551" w:rsidRDefault="00870BB1" w:rsidP="004E34CB">
            <w:pPr>
              <w:pStyle w:val="Other0"/>
            </w:pPr>
            <w:r w:rsidRPr="00997551">
              <w:rPr>
                <w:b/>
                <w:bCs/>
              </w:rPr>
              <w:t xml:space="preserve">Hapi </w:t>
            </w:r>
            <w:r w:rsidRPr="00997551">
              <w:rPr>
                <w:b/>
                <w:bCs/>
                <w:lang w:val="sq-AL"/>
              </w:rPr>
              <w:t>i cili</w:t>
            </w:r>
            <w:r w:rsidRPr="00997551">
              <w:rPr>
                <w:b/>
                <w:bCs/>
              </w:rPr>
              <w:t xml:space="preserve"> po shqyrtohet</w:t>
            </w:r>
          </w:p>
        </w:tc>
        <w:tc>
          <w:tcPr>
            <w:tcW w:w="7805" w:type="dxa"/>
            <w:tcBorders>
              <w:top w:val="single" w:sz="4" w:space="0" w:color="auto"/>
              <w:left w:val="single" w:sz="4" w:space="0" w:color="auto"/>
              <w:right w:val="single" w:sz="4" w:space="0" w:color="auto"/>
            </w:tcBorders>
            <w:vAlign w:val="center"/>
          </w:tcPr>
          <w:p w14:paraId="7500F901" w14:textId="4ED19534" w:rsidR="00870BB1" w:rsidRPr="00997551" w:rsidRDefault="00870BB1">
            <w:pPr>
              <w:pStyle w:val="Other0"/>
              <w:jc w:val="both"/>
              <w:rPr>
                <w:lang w:val="sq-AL"/>
              </w:rPr>
            </w:pPr>
            <w:r w:rsidRPr="00997551">
              <w:t xml:space="preserve">Ndryshimi i ligjit korporativ </w:t>
            </w:r>
            <w:r w:rsidRPr="00997551">
              <w:rPr>
                <w:lang w:val="sq-AL"/>
              </w:rPr>
              <w:t>për futjen e rregulave t</w:t>
            </w:r>
            <w:r w:rsidRPr="00997551">
              <w:t xml:space="preserve">ë reja për emërimin e anëtarëve të pavarur në </w:t>
            </w:r>
            <w:r w:rsidRPr="00997551">
              <w:rPr>
                <w:lang w:val="sq-AL"/>
              </w:rPr>
              <w:t>këshillin</w:t>
            </w:r>
            <w:r w:rsidRPr="00997551">
              <w:t xml:space="preserve"> e shoqërive në pronësi të shtetit (</w:t>
            </w:r>
            <w:r w:rsidRPr="00997551">
              <w:rPr>
                <w:lang w:val="sq-AL"/>
              </w:rPr>
              <w:t>SHPSH)</w:t>
            </w:r>
          </w:p>
        </w:tc>
      </w:tr>
      <w:tr w:rsidR="00262A83" w:rsidRPr="00997551" w14:paraId="2A8BB389" w14:textId="77777777" w:rsidTr="00594D0E">
        <w:trPr>
          <w:trHeight w:hRule="exact" w:val="632"/>
          <w:jc w:val="center"/>
        </w:trPr>
        <w:tc>
          <w:tcPr>
            <w:tcW w:w="1714" w:type="dxa"/>
            <w:tcBorders>
              <w:top w:val="single" w:sz="4" w:space="0" w:color="auto"/>
              <w:left w:val="single" w:sz="4" w:space="0" w:color="auto"/>
            </w:tcBorders>
            <w:shd w:val="clear" w:color="auto" w:fill="E8E8E8"/>
            <w:vAlign w:val="center"/>
          </w:tcPr>
          <w:p w14:paraId="405F2D40" w14:textId="0C7D3643" w:rsidR="00262A83" w:rsidRPr="00997551" w:rsidRDefault="00870BB1">
            <w:pPr>
              <w:pStyle w:val="Other0"/>
            </w:pPr>
            <w:r w:rsidRPr="00997551">
              <w:rPr>
                <w:b/>
                <w:bCs/>
              </w:rPr>
              <w:t xml:space="preserve">Gjendja </w:t>
            </w:r>
            <w:r w:rsidRPr="00997551">
              <w:rPr>
                <w:b/>
                <w:bCs/>
                <w:lang w:val="sq-AL"/>
              </w:rPr>
              <w:t>themelore</w:t>
            </w:r>
          </w:p>
        </w:tc>
        <w:tc>
          <w:tcPr>
            <w:tcW w:w="7805" w:type="dxa"/>
            <w:tcBorders>
              <w:top w:val="single" w:sz="4" w:space="0" w:color="auto"/>
              <w:left w:val="single" w:sz="4" w:space="0" w:color="auto"/>
              <w:right w:val="single" w:sz="4" w:space="0" w:color="auto"/>
            </w:tcBorders>
            <w:vAlign w:val="center"/>
          </w:tcPr>
          <w:p w14:paraId="1E57D4CE" w14:textId="27333973" w:rsidR="00262A83" w:rsidRPr="00997551" w:rsidRDefault="00262A83">
            <w:pPr>
              <w:pStyle w:val="Other0"/>
              <w:jc w:val="both"/>
            </w:pPr>
            <w:r w:rsidRPr="00997551">
              <w:rPr>
                <w:rStyle w:val="Other"/>
              </w:rPr>
              <w:t xml:space="preserve">0 (2024) </w:t>
            </w:r>
            <w:r w:rsidR="00870BB1" w:rsidRPr="00997551">
              <w:rPr>
                <w:rStyle w:val="Other"/>
                <w:lang w:val="sq-AL"/>
              </w:rPr>
              <w:t>(</w:t>
            </w:r>
            <w:r w:rsidR="00870BB1" w:rsidRPr="00997551">
              <w:t>Ligji nuk është ndryshuar)</w:t>
            </w:r>
          </w:p>
        </w:tc>
      </w:tr>
      <w:tr w:rsidR="00262A83" w:rsidRPr="00997551" w14:paraId="6287DA3D" w14:textId="77777777">
        <w:trPr>
          <w:trHeight w:hRule="exact" w:val="763"/>
          <w:jc w:val="center"/>
        </w:trPr>
        <w:tc>
          <w:tcPr>
            <w:tcW w:w="1714" w:type="dxa"/>
            <w:tcBorders>
              <w:top w:val="single" w:sz="4" w:space="0" w:color="auto"/>
              <w:left w:val="single" w:sz="4" w:space="0" w:color="auto"/>
            </w:tcBorders>
            <w:shd w:val="clear" w:color="auto" w:fill="E8E8E8"/>
            <w:vAlign w:val="center"/>
          </w:tcPr>
          <w:p w14:paraId="4C735A4C" w14:textId="00708298" w:rsidR="00262A83" w:rsidRPr="00997551" w:rsidRDefault="00870BB1">
            <w:pPr>
              <w:pStyle w:val="Other0"/>
            </w:pPr>
            <w:r w:rsidRPr="00997551">
              <w:rPr>
                <w:b/>
                <w:bCs/>
              </w:rPr>
              <w:t>Afati i fundit i hapit</w:t>
            </w:r>
          </w:p>
        </w:tc>
        <w:tc>
          <w:tcPr>
            <w:tcW w:w="7805" w:type="dxa"/>
            <w:tcBorders>
              <w:top w:val="single" w:sz="4" w:space="0" w:color="auto"/>
              <w:left w:val="single" w:sz="4" w:space="0" w:color="auto"/>
              <w:right w:val="single" w:sz="4" w:space="0" w:color="auto"/>
            </w:tcBorders>
          </w:tcPr>
          <w:p w14:paraId="005BF30D" w14:textId="70CDF093" w:rsidR="00262A83" w:rsidRPr="00997551" w:rsidRDefault="00870BB1">
            <w:pPr>
              <w:pStyle w:val="Other0"/>
              <w:spacing w:before="80"/>
              <w:jc w:val="both"/>
              <w:rPr>
                <w:lang w:val="sq-AL"/>
              </w:rPr>
            </w:pPr>
            <w:r w:rsidRPr="00997551">
              <w:rPr>
                <w:rStyle w:val="Other"/>
                <w:lang w:val="sq-AL"/>
              </w:rPr>
              <w:t xml:space="preserve"> Dhjetor, viti 2024</w:t>
            </w:r>
          </w:p>
        </w:tc>
      </w:tr>
      <w:tr w:rsidR="00262A83" w:rsidRPr="00997551" w14:paraId="18EA5978" w14:textId="77777777" w:rsidTr="00594D0E">
        <w:trPr>
          <w:trHeight w:hRule="exact" w:val="1361"/>
          <w:jc w:val="center"/>
        </w:trPr>
        <w:tc>
          <w:tcPr>
            <w:tcW w:w="1714" w:type="dxa"/>
            <w:tcBorders>
              <w:top w:val="single" w:sz="4" w:space="0" w:color="auto"/>
              <w:left w:val="single" w:sz="4" w:space="0" w:color="auto"/>
            </w:tcBorders>
            <w:shd w:val="clear" w:color="auto" w:fill="E8E8E8"/>
            <w:vAlign w:val="center"/>
          </w:tcPr>
          <w:p w14:paraId="10CC4FEC" w14:textId="5097CCF3" w:rsidR="00262A83" w:rsidRPr="00997551" w:rsidRDefault="00870BB1">
            <w:pPr>
              <w:pStyle w:val="Other0"/>
            </w:pPr>
            <w:r w:rsidRPr="00997551">
              <w:rPr>
                <w:b/>
                <w:bCs/>
                <w:lang w:val="sq-AL"/>
              </w:rPr>
              <w:t>Konkludimi</w:t>
            </w:r>
            <w:r w:rsidRPr="00997551">
              <w:rPr>
                <w:b/>
                <w:bCs/>
              </w:rPr>
              <w:t xml:space="preserve"> i shqyrtimit të hapit nga </w:t>
            </w:r>
            <w:r w:rsidRPr="00997551">
              <w:rPr>
                <w:b/>
                <w:bCs/>
                <w:lang w:val="sq-AL"/>
              </w:rPr>
              <w:t>shfrytëzuesi</w:t>
            </w:r>
          </w:p>
        </w:tc>
        <w:tc>
          <w:tcPr>
            <w:tcW w:w="7805" w:type="dxa"/>
            <w:tcBorders>
              <w:top w:val="single" w:sz="4" w:space="0" w:color="auto"/>
              <w:left w:val="single" w:sz="4" w:space="0" w:color="auto"/>
              <w:right w:val="single" w:sz="4" w:space="0" w:color="auto"/>
            </w:tcBorders>
          </w:tcPr>
          <w:p w14:paraId="6FAB1E59" w14:textId="77777777" w:rsidR="00870BB1" w:rsidRPr="00997551" w:rsidRDefault="00870BB1" w:rsidP="00870BB1">
            <w:pPr>
              <w:rPr>
                <w:rFonts w:ascii="Times New Roman" w:hAnsi="Times New Roman" w:cs="Times New Roman"/>
              </w:rPr>
            </w:pPr>
            <w:r w:rsidRPr="00997551">
              <w:rPr>
                <w:rStyle w:val="Other"/>
                <w:rFonts w:eastAsia="Courier New"/>
                <w:lang w:val="sq-AL"/>
              </w:rPr>
              <w:t xml:space="preserve">Shfrytëzuesi e konsideron si e arritur e plotësishme </w:t>
            </w:r>
          </w:p>
          <w:p w14:paraId="0922D8F8" w14:textId="4E78142F" w:rsidR="00262A83" w:rsidRPr="00997551" w:rsidRDefault="00262A83">
            <w:pPr>
              <w:pStyle w:val="Other0"/>
              <w:spacing w:before="80"/>
              <w:jc w:val="both"/>
            </w:pPr>
          </w:p>
        </w:tc>
      </w:tr>
      <w:tr w:rsidR="00262A83" w:rsidRPr="00997551" w14:paraId="3EE2A580" w14:textId="77777777">
        <w:trPr>
          <w:trHeight w:hRule="exact" w:val="2702"/>
          <w:jc w:val="center"/>
        </w:trPr>
        <w:tc>
          <w:tcPr>
            <w:tcW w:w="1714" w:type="dxa"/>
            <w:tcBorders>
              <w:top w:val="single" w:sz="4" w:space="0" w:color="auto"/>
              <w:left w:val="single" w:sz="4" w:space="0" w:color="auto"/>
              <w:bottom w:val="single" w:sz="4" w:space="0" w:color="auto"/>
            </w:tcBorders>
            <w:shd w:val="clear" w:color="auto" w:fill="E8E8E8"/>
          </w:tcPr>
          <w:p w14:paraId="45D61C5F" w14:textId="77777777" w:rsidR="00870BB1" w:rsidRPr="00997551" w:rsidRDefault="00870BB1" w:rsidP="00870BB1">
            <w:pPr>
              <w:pStyle w:val="Other0"/>
              <w:spacing w:before="80"/>
              <w:rPr>
                <w:b/>
                <w:bCs/>
                <w:lang w:val="en-GB"/>
              </w:rPr>
            </w:pPr>
            <w:proofErr w:type="spellStart"/>
            <w:r w:rsidRPr="00997551">
              <w:rPr>
                <w:b/>
                <w:bCs/>
                <w:lang w:val="en-GB"/>
              </w:rPr>
              <w:t>Vlerësimi</w:t>
            </w:r>
            <w:proofErr w:type="spellEnd"/>
            <w:r w:rsidRPr="00997551">
              <w:rPr>
                <w:b/>
                <w:bCs/>
                <w:lang w:val="en-GB"/>
              </w:rPr>
              <w:t xml:space="preserve"> </w:t>
            </w:r>
            <w:proofErr w:type="spellStart"/>
            <w:r w:rsidRPr="00997551">
              <w:rPr>
                <w:b/>
                <w:bCs/>
                <w:lang w:val="en-GB"/>
              </w:rPr>
              <w:t>i</w:t>
            </w:r>
            <w:proofErr w:type="spellEnd"/>
            <w:r w:rsidRPr="00997551">
              <w:rPr>
                <w:b/>
                <w:bCs/>
                <w:lang w:val="en-GB"/>
              </w:rPr>
              <w:t xml:space="preserve"> </w:t>
            </w:r>
            <w:proofErr w:type="spellStart"/>
            <w:r w:rsidRPr="00997551">
              <w:rPr>
                <w:b/>
                <w:bCs/>
                <w:lang w:val="en-GB"/>
              </w:rPr>
              <w:t>rezultateve</w:t>
            </w:r>
            <w:proofErr w:type="spellEnd"/>
            <w:r w:rsidRPr="00997551">
              <w:rPr>
                <w:b/>
                <w:bCs/>
                <w:lang w:val="en-GB"/>
              </w:rPr>
              <w:t xml:space="preserve"> </w:t>
            </w:r>
            <w:proofErr w:type="spellStart"/>
            <w:r w:rsidRPr="00997551">
              <w:rPr>
                <w:b/>
                <w:bCs/>
                <w:lang w:val="en-GB"/>
              </w:rPr>
              <w:t>nga</w:t>
            </w:r>
            <w:proofErr w:type="spellEnd"/>
            <w:r w:rsidRPr="00997551">
              <w:rPr>
                <w:b/>
                <w:bCs/>
                <w:lang w:val="en-GB"/>
              </w:rPr>
              <w:t xml:space="preserve"> </w:t>
            </w:r>
            <w:proofErr w:type="spellStart"/>
            <w:r w:rsidRPr="00997551">
              <w:rPr>
                <w:b/>
                <w:bCs/>
                <w:lang w:val="en-GB"/>
              </w:rPr>
              <w:t>Komisioni</w:t>
            </w:r>
            <w:proofErr w:type="spellEnd"/>
          </w:p>
          <w:p w14:paraId="71770CFC" w14:textId="2C11E6F5" w:rsidR="00262A83" w:rsidRPr="00997551" w:rsidRDefault="00262A83">
            <w:pPr>
              <w:pStyle w:val="Other0"/>
              <w:spacing w:before="80"/>
            </w:pPr>
          </w:p>
        </w:tc>
        <w:tc>
          <w:tcPr>
            <w:tcW w:w="7805" w:type="dxa"/>
            <w:tcBorders>
              <w:top w:val="single" w:sz="4" w:space="0" w:color="auto"/>
              <w:left w:val="single" w:sz="4" w:space="0" w:color="auto"/>
              <w:bottom w:val="single" w:sz="4" w:space="0" w:color="auto"/>
              <w:right w:val="single" w:sz="4" w:space="0" w:color="auto"/>
            </w:tcBorders>
            <w:vAlign w:val="center"/>
          </w:tcPr>
          <w:p w14:paraId="7276A699" w14:textId="24D0C51A" w:rsidR="00870BB1" w:rsidRPr="00997551" w:rsidRDefault="00870BB1">
            <w:pPr>
              <w:pStyle w:val="Other0"/>
              <w:spacing w:after="60"/>
              <w:jc w:val="both"/>
              <w:rPr>
                <w:lang w:val="sq-AL"/>
              </w:rPr>
            </w:pPr>
            <w:r w:rsidRPr="00997551">
              <w:t xml:space="preserve">Ndryshimet në Ligjin për </w:t>
            </w:r>
            <w:r w:rsidRPr="00997551">
              <w:rPr>
                <w:lang w:val="sq-AL"/>
              </w:rPr>
              <w:t>Sh</w:t>
            </w:r>
            <w:r w:rsidRPr="00997551">
              <w:t>oq</w:t>
            </w:r>
            <w:r w:rsidRPr="00997551">
              <w:rPr>
                <w:lang w:val="sq-AL"/>
              </w:rPr>
              <w:t>atat</w:t>
            </w:r>
            <w:r w:rsidRPr="00997551">
              <w:t xml:space="preserve"> </w:t>
            </w:r>
            <w:r w:rsidRPr="00997551">
              <w:rPr>
                <w:lang w:val="sq-AL"/>
              </w:rPr>
              <w:t>T</w:t>
            </w:r>
            <w:r w:rsidRPr="00997551">
              <w:t>regtare u</w:t>
            </w:r>
            <w:r w:rsidRPr="00997551">
              <w:rPr>
                <w:lang w:val="sq-AL"/>
              </w:rPr>
              <w:t xml:space="preserve"> sollën</w:t>
            </w:r>
            <w:r w:rsidRPr="00997551">
              <w:t xml:space="preserve"> nga Kuvendi më 27 dhjetor </w:t>
            </w:r>
            <w:r w:rsidRPr="00997551">
              <w:rPr>
                <w:lang w:val="sq-AL"/>
              </w:rPr>
              <w:t xml:space="preserve">të vitit </w:t>
            </w:r>
            <w:r w:rsidRPr="00997551">
              <w:t>2024 dhe u</w:t>
            </w:r>
            <w:r w:rsidRPr="00997551">
              <w:rPr>
                <w:lang w:val="sq-AL"/>
              </w:rPr>
              <w:t xml:space="preserve"> publikuan në Gazetën</w:t>
            </w:r>
            <w:r w:rsidRPr="00997551">
              <w:t xml:space="preserve"> Zyrtare më 3 janar </w:t>
            </w:r>
            <w:r w:rsidRPr="00997551">
              <w:rPr>
                <w:lang w:val="sq-AL"/>
              </w:rPr>
              <w:t xml:space="preserve">të vitit </w:t>
            </w:r>
            <w:r w:rsidRPr="00997551">
              <w:t>2025 (</w:t>
            </w:r>
            <w:r w:rsidRPr="00997551">
              <w:rPr>
                <w:lang w:val="sq-AL"/>
              </w:rPr>
              <w:t>Gazeta</w:t>
            </w:r>
            <w:r w:rsidRPr="00997551">
              <w:t xml:space="preserve"> Zyrtare nr. 274/2024). Ndryshimet hyjnë në fuqi më 24 mars </w:t>
            </w:r>
            <w:r w:rsidRPr="00997551">
              <w:rPr>
                <w:lang w:val="sq-AL"/>
              </w:rPr>
              <w:t xml:space="preserve">të vitit </w:t>
            </w:r>
            <w:r w:rsidRPr="00997551">
              <w:t>2025.</w:t>
            </w:r>
          </w:p>
          <w:p w14:paraId="70714211" w14:textId="22A91C6B" w:rsidR="00262A83" w:rsidRPr="00997551" w:rsidRDefault="004204F4">
            <w:pPr>
              <w:pStyle w:val="Other0"/>
              <w:spacing w:after="60"/>
              <w:jc w:val="both"/>
            </w:pPr>
            <w:r w:rsidRPr="00997551">
              <w:rPr>
                <w:rStyle w:val="Other"/>
                <w:lang w:val="sq-AL"/>
              </w:rPr>
              <w:t>Ndryshimet parashikojnë</w:t>
            </w:r>
            <w:r w:rsidR="00262A83" w:rsidRPr="00997551">
              <w:rPr>
                <w:rStyle w:val="Other"/>
              </w:rPr>
              <w:t>:</w:t>
            </w:r>
          </w:p>
          <w:p w14:paraId="636F4623" w14:textId="09B7698F" w:rsidR="00262A83" w:rsidRPr="00997551" w:rsidRDefault="00262A83">
            <w:pPr>
              <w:pStyle w:val="Other0"/>
              <w:numPr>
                <w:ilvl w:val="0"/>
                <w:numId w:val="7"/>
              </w:numPr>
              <w:tabs>
                <w:tab w:val="left" w:pos="1459"/>
              </w:tabs>
              <w:spacing w:after="60"/>
              <w:ind w:left="1080"/>
              <w:jc w:val="both"/>
            </w:pPr>
            <w:r w:rsidRPr="00997551">
              <w:rPr>
                <w:rStyle w:val="Other"/>
              </w:rPr>
              <w:t xml:space="preserve">а) </w:t>
            </w:r>
            <w:r w:rsidR="004204F4" w:rsidRPr="00997551">
              <w:rPr>
                <w:rStyle w:val="Other"/>
                <w:lang w:val="sq-AL"/>
              </w:rPr>
              <w:t xml:space="preserve">Me </w:t>
            </w:r>
            <w:r w:rsidR="004204F4" w:rsidRPr="00997551">
              <w:rPr>
                <w:u w:val="single"/>
                <w:lang w:val="sq-AL"/>
              </w:rPr>
              <w:t>n</w:t>
            </w:r>
            <w:r w:rsidR="004204F4" w:rsidRPr="00997551">
              <w:rPr>
                <w:u w:val="single"/>
              </w:rPr>
              <w:t>eni</w:t>
            </w:r>
            <w:r w:rsidR="004204F4" w:rsidRPr="00997551">
              <w:rPr>
                <w:u w:val="single"/>
                <w:lang w:val="sq-AL"/>
              </w:rPr>
              <w:t>n</w:t>
            </w:r>
            <w:r w:rsidR="004204F4" w:rsidRPr="00997551">
              <w:rPr>
                <w:u w:val="single"/>
              </w:rPr>
              <w:t xml:space="preserve"> 247 rregullo</w:t>
            </w:r>
            <w:r w:rsidR="004204F4" w:rsidRPr="00997551">
              <w:rPr>
                <w:u w:val="single"/>
                <w:lang w:val="sq-AL"/>
              </w:rPr>
              <w:t>het</w:t>
            </w:r>
            <w:r w:rsidR="004204F4" w:rsidRPr="00997551">
              <w:rPr>
                <w:u w:val="single"/>
              </w:rPr>
              <w:t xml:space="preserve"> numri maksimal dhe minimal </w:t>
            </w:r>
            <w:r w:rsidR="004204F4" w:rsidRPr="00997551">
              <w:rPr>
                <w:u w:val="single"/>
                <w:lang w:val="sq-AL"/>
              </w:rPr>
              <w:t>i</w:t>
            </w:r>
            <w:r w:rsidR="004204F4" w:rsidRPr="00997551">
              <w:rPr>
                <w:u w:val="single"/>
              </w:rPr>
              <w:t xml:space="preserve"> anëtarëve</w:t>
            </w:r>
            <w:r w:rsidR="004204F4" w:rsidRPr="00997551">
              <w:rPr>
                <w:u w:val="single"/>
                <w:lang w:val="sq-AL"/>
              </w:rPr>
              <w:t xml:space="preserve"> në Këshillin</w:t>
            </w:r>
            <w:r w:rsidR="004204F4" w:rsidRPr="00997551">
              <w:rPr>
                <w:u w:val="single"/>
              </w:rPr>
              <w:t xml:space="preserve"> Mbikëqyrës të shoq</w:t>
            </w:r>
            <w:r w:rsidR="004204F4" w:rsidRPr="00997551">
              <w:rPr>
                <w:u w:val="single"/>
                <w:lang w:val="sq-AL"/>
              </w:rPr>
              <w:t>atave</w:t>
            </w:r>
            <w:r w:rsidR="004204F4" w:rsidRPr="00997551">
              <w:rPr>
                <w:u w:val="single"/>
              </w:rPr>
              <w:t xml:space="preserve"> në pronësi të shtetit (</w:t>
            </w:r>
            <w:r w:rsidR="004204F4" w:rsidRPr="00997551">
              <w:rPr>
                <w:u w:val="single"/>
                <w:lang w:val="sq-AL"/>
              </w:rPr>
              <w:t>SHPSH</w:t>
            </w:r>
            <w:r w:rsidR="004204F4" w:rsidRPr="00997551">
              <w:rPr>
                <w:u w:val="single"/>
              </w:rPr>
              <w:t>).</w:t>
            </w:r>
            <w:r w:rsidR="004204F4" w:rsidRPr="00997551">
              <w:rPr>
                <w:u w:val="single"/>
              </w:rPr>
              <w:br/>
              <w:t xml:space="preserve">(4) </w:t>
            </w:r>
            <w:r w:rsidR="004204F4" w:rsidRPr="00997551">
              <w:rPr>
                <w:u w:val="single"/>
                <w:lang w:val="sq-AL"/>
              </w:rPr>
              <w:t>Këshilli</w:t>
            </w:r>
            <w:r w:rsidR="004204F4" w:rsidRPr="00997551">
              <w:rPr>
                <w:u w:val="single"/>
              </w:rPr>
              <w:t xml:space="preserve"> Mbikëqyrës </w:t>
            </w:r>
            <w:r w:rsidR="004204F4" w:rsidRPr="00997551">
              <w:rPr>
                <w:u w:val="single"/>
                <w:lang w:val="sq-AL"/>
              </w:rPr>
              <w:t>në shoqatë</w:t>
            </w:r>
            <w:r w:rsidR="004204F4" w:rsidRPr="00997551">
              <w:rPr>
                <w:u w:val="single"/>
              </w:rPr>
              <w:t xml:space="preserve"> me pronësi dominante ose të plotë të shtetit, e klasifikuar si tregtar i mesëm ose tregtar i madh, duhet të ketë të paktën tre dhe jo më shumë se pesë anëtarë</w:t>
            </w:r>
            <w:r w:rsidRPr="00997551">
              <w:rPr>
                <w:rStyle w:val="Other"/>
                <w:i/>
              </w:rPr>
              <w:t>.</w:t>
            </w:r>
          </w:p>
        </w:tc>
      </w:tr>
    </w:tbl>
    <w:p w14:paraId="5537285D" w14:textId="66E3D1CB" w:rsidR="004204F4" w:rsidRPr="00997551" w:rsidRDefault="004204F4" w:rsidP="004204F4">
      <w:pPr>
        <w:pStyle w:val="Bodytext20"/>
        <w:numPr>
          <w:ilvl w:val="0"/>
          <w:numId w:val="8"/>
        </w:numPr>
        <w:tabs>
          <w:tab w:val="left" w:pos="3180"/>
        </w:tabs>
        <w:ind w:left="2800"/>
        <w:jc w:val="both"/>
        <w:rPr>
          <w:i/>
          <w:lang w:val="sq-AL"/>
        </w:rPr>
      </w:pPr>
      <w:r w:rsidRPr="00997551">
        <w:rPr>
          <w:i/>
          <w:lang w:val="sq-AL"/>
        </w:rPr>
        <w:t>Këshilli</w:t>
      </w:r>
      <w:r w:rsidRPr="00997551">
        <w:rPr>
          <w:i/>
        </w:rPr>
        <w:t xml:space="preserve"> Mbikëqyrës </w:t>
      </w:r>
      <w:r w:rsidRPr="00997551">
        <w:rPr>
          <w:i/>
          <w:lang w:val="sq-AL"/>
        </w:rPr>
        <w:t xml:space="preserve">në shoqatë </w:t>
      </w:r>
      <w:r w:rsidRPr="00997551">
        <w:rPr>
          <w:i/>
        </w:rPr>
        <w:t xml:space="preserve">me pronësi dominante ose të plotë të shtetit, e klasifikuar si mikro-tregtar ose tregtar i vogël, </w:t>
      </w:r>
      <w:r w:rsidRPr="00997551">
        <w:rPr>
          <w:b/>
          <w:bCs/>
          <w:i/>
        </w:rPr>
        <w:t>duhet të ketë tre anëtarë</w:t>
      </w:r>
      <w:r w:rsidRPr="00997551">
        <w:rPr>
          <w:i/>
        </w:rPr>
        <w:t>.</w:t>
      </w:r>
    </w:p>
    <w:p w14:paraId="551F12C9" w14:textId="25051568" w:rsidR="004204F4" w:rsidRPr="00997551" w:rsidRDefault="004204F4" w:rsidP="004204F4">
      <w:pPr>
        <w:pStyle w:val="Bodytext20"/>
        <w:tabs>
          <w:tab w:val="left" w:pos="2440"/>
        </w:tabs>
        <w:ind w:left="2410" w:hanging="283"/>
        <w:jc w:val="both"/>
        <w:rPr>
          <w:rStyle w:val="Bodytext2"/>
          <w:lang w:val="sq-AL"/>
        </w:rPr>
      </w:pPr>
      <w:r w:rsidRPr="00997551">
        <w:rPr>
          <w:rStyle w:val="Bodytext2"/>
          <w:lang w:val="sq-AL"/>
        </w:rPr>
        <w:t>b</w:t>
      </w:r>
      <w:r w:rsidR="00262A83" w:rsidRPr="00997551">
        <w:rPr>
          <w:rStyle w:val="Bodytext2"/>
        </w:rPr>
        <w:t>)</w:t>
      </w:r>
      <w:r w:rsidR="00262A83" w:rsidRPr="00997551">
        <w:rPr>
          <w:rStyle w:val="Bodytext2"/>
        </w:rPr>
        <w:tab/>
      </w:r>
      <w:r w:rsidRPr="00997551">
        <w:rPr>
          <w:u w:val="single"/>
          <w:lang w:val="sq-AL"/>
        </w:rPr>
        <w:t>Me n</w:t>
      </w:r>
      <w:r w:rsidRPr="00997551">
        <w:rPr>
          <w:u w:val="single"/>
        </w:rPr>
        <w:t>eni</w:t>
      </w:r>
      <w:r w:rsidRPr="00997551">
        <w:rPr>
          <w:u w:val="single"/>
          <w:lang w:val="sq-AL"/>
        </w:rPr>
        <w:t>n</w:t>
      </w:r>
      <w:r w:rsidRPr="00997551">
        <w:rPr>
          <w:u w:val="single"/>
        </w:rPr>
        <w:t xml:space="preserve"> 367</w:t>
      </w:r>
      <w:r w:rsidRPr="00997551">
        <w:t xml:space="preserve"> rregullo</w:t>
      </w:r>
      <w:r w:rsidRPr="00997551">
        <w:rPr>
          <w:lang w:val="sq-AL"/>
        </w:rPr>
        <w:t>het</w:t>
      </w:r>
      <w:r w:rsidRPr="00997551">
        <w:t xml:space="preserve"> numri </w:t>
      </w:r>
      <w:r w:rsidRPr="00997551">
        <w:rPr>
          <w:lang w:val="sq-AL"/>
        </w:rPr>
        <w:t>i</w:t>
      </w:r>
      <w:r w:rsidRPr="00997551">
        <w:t xml:space="preserve"> anëtarëve ek</w:t>
      </w:r>
      <w:r w:rsidRPr="00997551">
        <w:rPr>
          <w:lang w:val="sq-AL"/>
        </w:rPr>
        <w:t>zekutivë</w:t>
      </w:r>
      <w:r w:rsidRPr="00997551">
        <w:t xml:space="preserve">, jo-ekzekutivë dhe të pavarur në </w:t>
      </w:r>
      <w:r w:rsidRPr="00997551">
        <w:rPr>
          <w:lang w:val="sq-AL"/>
        </w:rPr>
        <w:t>Këshillin</w:t>
      </w:r>
      <w:r w:rsidRPr="00997551">
        <w:t xml:space="preserve"> </w:t>
      </w:r>
      <w:r w:rsidRPr="00997551">
        <w:rPr>
          <w:lang w:val="sq-AL"/>
        </w:rPr>
        <w:t xml:space="preserve">e </w:t>
      </w:r>
      <w:r w:rsidRPr="00997551">
        <w:t>Drejtorëve.</w:t>
      </w:r>
    </w:p>
    <w:p w14:paraId="0E68A22D" w14:textId="77777777" w:rsidR="004204F4" w:rsidRPr="00997551" w:rsidRDefault="004204F4" w:rsidP="00594D0E">
      <w:pPr>
        <w:pStyle w:val="Bodytext20"/>
        <w:tabs>
          <w:tab w:val="left" w:pos="2440"/>
        </w:tabs>
        <w:ind w:left="2410" w:hanging="283"/>
        <w:jc w:val="both"/>
        <w:rPr>
          <w:lang w:val="sq-AL"/>
        </w:rPr>
      </w:pPr>
    </w:p>
    <w:p w14:paraId="3C61845C" w14:textId="23C5299F" w:rsidR="004204F4" w:rsidRPr="00997551" w:rsidRDefault="004204F4" w:rsidP="004204F4">
      <w:pPr>
        <w:pStyle w:val="Bodytext20"/>
        <w:numPr>
          <w:ilvl w:val="0"/>
          <w:numId w:val="8"/>
        </w:numPr>
        <w:tabs>
          <w:tab w:val="left" w:pos="3180"/>
        </w:tabs>
        <w:ind w:left="2800"/>
        <w:jc w:val="both"/>
        <w:rPr>
          <w:b/>
          <w:bCs/>
          <w:lang w:val="sq-AL"/>
        </w:rPr>
      </w:pPr>
      <w:r w:rsidRPr="00997551">
        <w:rPr>
          <w:lang w:val="sq-AL"/>
        </w:rPr>
        <w:t>Këshilli</w:t>
      </w:r>
      <w:r w:rsidRPr="00997551">
        <w:t xml:space="preserve"> i Drejtorëve në</w:t>
      </w:r>
      <w:r w:rsidRPr="00997551">
        <w:rPr>
          <w:lang w:val="sq-AL"/>
        </w:rPr>
        <w:t xml:space="preserve"> shoqatë</w:t>
      </w:r>
      <w:r w:rsidRPr="00997551">
        <w:t xml:space="preserve"> me pronësi dominante ose të plotë të shtetit, e klasifikuar si tregtar mesatar ose i madh, </w:t>
      </w:r>
      <w:r w:rsidRPr="00997551">
        <w:rPr>
          <w:b/>
          <w:bCs/>
        </w:rPr>
        <w:t xml:space="preserve">duhet të ketë të paktën tre </w:t>
      </w:r>
      <w:r w:rsidRPr="00997551">
        <w:rPr>
          <w:b/>
          <w:bCs/>
          <w:lang w:val="sq-AL"/>
        </w:rPr>
        <w:t>ndërsa</w:t>
      </w:r>
      <w:r w:rsidRPr="00997551">
        <w:rPr>
          <w:b/>
          <w:bCs/>
        </w:rPr>
        <w:t xml:space="preserve"> jo më shumë se shtatë anëtarë, prej të cilëve dy duhet të jenë anëtarë të pavarur.</w:t>
      </w:r>
    </w:p>
    <w:p w14:paraId="5E4C05EF" w14:textId="16621D31" w:rsidR="004204F4" w:rsidRPr="00997551" w:rsidRDefault="004204F4" w:rsidP="004204F4">
      <w:pPr>
        <w:pStyle w:val="Bodytext20"/>
        <w:numPr>
          <w:ilvl w:val="0"/>
          <w:numId w:val="8"/>
        </w:numPr>
        <w:tabs>
          <w:tab w:val="left" w:pos="3180"/>
        </w:tabs>
        <w:ind w:left="2800"/>
        <w:jc w:val="both"/>
        <w:rPr>
          <w:rStyle w:val="Bodytext2"/>
          <w:b/>
          <w:bCs/>
          <w:lang w:val="sq-AL"/>
        </w:rPr>
      </w:pPr>
      <w:r w:rsidRPr="00997551">
        <w:rPr>
          <w:lang w:val="sq-AL"/>
        </w:rPr>
        <w:t>Këshilli</w:t>
      </w:r>
      <w:r w:rsidRPr="00997551">
        <w:t xml:space="preserve"> i Drejtorëve në shoq</w:t>
      </w:r>
      <w:r w:rsidRPr="00997551">
        <w:rPr>
          <w:lang w:val="sq-AL"/>
        </w:rPr>
        <w:t xml:space="preserve">atë </w:t>
      </w:r>
      <w:r w:rsidRPr="00997551">
        <w:t xml:space="preserve">me pronësi dominante ose të plotë të shtetit, e klasifikuar si mikro ose tregtar i vogël, </w:t>
      </w:r>
      <w:r w:rsidRPr="00997551">
        <w:rPr>
          <w:b/>
          <w:bCs/>
        </w:rPr>
        <w:t xml:space="preserve">duhet të ketë të paktën tre </w:t>
      </w:r>
      <w:r w:rsidRPr="00997551">
        <w:rPr>
          <w:b/>
          <w:bCs/>
          <w:lang w:val="sq-AL"/>
        </w:rPr>
        <w:t>ndërsa</w:t>
      </w:r>
      <w:r w:rsidRPr="004204F4">
        <w:rPr>
          <w:b/>
          <w:bCs/>
        </w:rPr>
        <w:t xml:space="preserve">  </w:t>
      </w:r>
      <w:r w:rsidRPr="00997551">
        <w:rPr>
          <w:b/>
          <w:bCs/>
        </w:rPr>
        <w:t xml:space="preserve">më </w:t>
      </w:r>
      <w:r w:rsidRPr="00997551">
        <w:rPr>
          <w:b/>
          <w:bCs/>
          <w:lang w:val="sq-AL"/>
        </w:rPr>
        <w:t xml:space="preserve">së </w:t>
      </w:r>
      <w:r w:rsidRPr="00997551">
        <w:rPr>
          <w:b/>
          <w:bCs/>
        </w:rPr>
        <w:t>shum</w:t>
      </w:r>
      <w:r w:rsidRPr="00997551">
        <w:rPr>
          <w:b/>
          <w:bCs/>
          <w:lang w:val="sq-AL"/>
        </w:rPr>
        <w:t>ti</w:t>
      </w:r>
      <w:r w:rsidRPr="00997551">
        <w:rPr>
          <w:b/>
          <w:bCs/>
        </w:rPr>
        <w:t xml:space="preserve"> pesë anëtarë, prej të cilëve një duhet të jetë anëtar i pavarur.</w:t>
      </w:r>
    </w:p>
    <w:p w14:paraId="242A7238" w14:textId="77777777" w:rsidR="004204F4" w:rsidRPr="00997551" w:rsidRDefault="004204F4" w:rsidP="004204F4">
      <w:pPr>
        <w:pStyle w:val="Bodytext20"/>
        <w:tabs>
          <w:tab w:val="left" w:pos="3180"/>
        </w:tabs>
        <w:jc w:val="both"/>
      </w:pPr>
    </w:p>
    <w:p w14:paraId="1C61BA94" w14:textId="58CA50EC" w:rsidR="004204F4" w:rsidRPr="00997551" w:rsidRDefault="00674291" w:rsidP="00674291">
      <w:pPr>
        <w:pStyle w:val="Bodytext20"/>
        <w:tabs>
          <w:tab w:val="left" w:pos="2440"/>
        </w:tabs>
        <w:ind w:left="2410" w:hanging="283"/>
        <w:jc w:val="both"/>
        <w:rPr>
          <w:rStyle w:val="Bodytext2"/>
          <w:lang w:val="sq-AL"/>
        </w:rPr>
      </w:pPr>
      <w:r w:rsidRPr="00997551">
        <w:rPr>
          <w:rStyle w:val="Bodytext2"/>
          <w:lang w:val="sq-AL"/>
        </w:rPr>
        <w:t>c</w:t>
      </w:r>
      <w:r w:rsidR="00262A83" w:rsidRPr="00997551">
        <w:rPr>
          <w:rStyle w:val="Bodytext2"/>
        </w:rPr>
        <w:t>)</w:t>
      </w:r>
      <w:r w:rsidR="00262A83" w:rsidRPr="00997551">
        <w:rPr>
          <w:rStyle w:val="Bodytext2"/>
        </w:rPr>
        <w:tab/>
      </w:r>
      <w:r w:rsidR="004204F4" w:rsidRPr="00997551">
        <w:rPr>
          <w:u w:val="single"/>
          <w:lang w:val="sq-AL"/>
        </w:rPr>
        <w:t xml:space="preserve">Me nenin </w:t>
      </w:r>
      <w:r w:rsidR="004204F4" w:rsidRPr="00997551">
        <w:rPr>
          <w:u w:val="single"/>
        </w:rPr>
        <w:t>367</w:t>
      </w:r>
      <w:r w:rsidR="004204F4" w:rsidRPr="00997551">
        <w:t xml:space="preserve"> zgjero</w:t>
      </w:r>
      <w:r w:rsidR="004204F4" w:rsidRPr="00997551">
        <w:rPr>
          <w:lang w:val="sq-AL"/>
        </w:rPr>
        <w:t>hen</w:t>
      </w:r>
      <w:r w:rsidR="004204F4" w:rsidRPr="00997551">
        <w:t xml:space="preserve"> kriteret </w:t>
      </w:r>
      <w:r w:rsidR="004204F4" w:rsidRPr="00997551">
        <w:rPr>
          <w:lang w:val="sq-AL"/>
        </w:rPr>
        <w:t>të cilat</w:t>
      </w:r>
      <w:r w:rsidR="004204F4" w:rsidRPr="00997551">
        <w:t xml:space="preserve"> duhet t’i përmbushin anëtarët</w:t>
      </w:r>
      <w:r w:rsidR="004204F4" w:rsidRPr="00997551">
        <w:rPr>
          <w:lang w:val="sq-AL"/>
        </w:rPr>
        <w:t xml:space="preserve"> e pavarur</w:t>
      </w:r>
      <w:r w:rsidR="004204F4" w:rsidRPr="00997551">
        <w:t xml:space="preserve"> jo-ekzekutivë të </w:t>
      </w:r>
      <w:r w:rsidR="004204F4" w:rsidRPr="00997551">
        <w:rPr>
          <w:lang w:val="sq-AL"/>
        </w:rPr>
        <w:t>Këshillit</w:t>
      </w:r>
      <w:r w:rsidR="004204F4" w:rsidRPr="00997551">
        <w:t xml:space="preserve"> të Drejtorëve. Megjithatë, kërkesat janë pothuajse identike me kërkesat për të gjithë anëtarët e </w:t>
      </w:r>
      <w:r w:rsidR="004204F4" w:rsidRPr="00997551">
        <w:rPr>
          <w:lang w:val="sq-AL"/>
        </w:rPr>
        <w:t>Këshillit</w:t>
      </w:r>
      <w:r w:rsidR="004204F4" w:rsidRPr="00997551">
        <w:t>, përveç një</w:t>
      </w:r>
      <w:r w:rsidRPr="00997551">
        <w:rPr>
          <w:lang w:val="sq-AL"/>
        </w:rPr>
        <w:t xml:space="preserve"> vit përvojë pune më shumë</w:t>
      </w:r>
      <w:r w:rsidR="004204F4" w:rsidRPr="00997551">
        <w:t xml:space="preserve">, </w:t>
      </w:r>
      <w:r w:rsidRPr="00997551">
        <w:rPr>
          <w:lang w:val="sq-AL"/>
        </w:rPr>
        <w:t>gjegjësisht</w:t>
      </w:r>
      <w:r w:rsidR="004204F4" w:rsidRPr="00997551">
        <w:t xml:space="preserve"> gjithsej 4 vjet përvojë pune.</w:t>
      </w:r>
    </w:p>
    <w:p w14:paraId="20A7E420" w14:textId="77777777" w:rsidR="004204F4" w:rsidRPr="00997551" w:rsidRDefault="004204F4" w:rsidP="00594D0E">
      <w:pPr>
        <w:pStyle w:val="Bodytext20"/>
        <w:tabs>
          <w:tab w:val="left" w:pos="2440"/>
        </w:tabs>
        <w:ind w:left="2410" w:hanging="283"/>
        <w:jc w:val="both"/>
        <w:rPr>
          <w:lang w:val="sq-AL"/>
        </w:rPr>
      </w:pPr>
    </w:p>
    <w:p w14:paraId="6345EE4E" w14:textId="1D4DE73A" w:rsidR="00262A83" w:rsidRPr="00997551" w:rsidRDefault="00674291">
      <w:pPr>
        <w:pStyle w:val="Bodytext20"/>
        <w:numPr>
          <w:ilvl w:val="0"/>
          <w:numId w:val="11"/>
        </w:numPr>
        <w:tabs>
          <w:tab w:val="left" w:pos="3180"/>
        </w:tabs>
        <w:ind w:left="2800"/>
        <w:jc w:val="both"/>
      </w:pPr>
      <w:proofErr w:type="spellStart"/>
      <w:r w:rsidRPr="00997551">
        <w:rPr>
          <w:i/>
          <w:lang w:val="en-GB"/>
        </w:rPr>
        <w:t>Anëtar</w:t>
      </w:r>
      <w:proofErr w:type="spellEnd"/>
      <w:r w:rsidRPr="00997551">
        <w:rPr>
          <w:i/>
          <w:lang w:val="en-GB"/>
        </w:rPr>
        <w:t xml:space="preserve"> </w:t>
      </w:r>
      <w:proofErr w:type="spellStart"/>
      <w:r w:rsidRPr="00997551">
        <w:rPr>
          <w:i/>
          <w:lang w:val="en-GB"/>
        </w:rPr>
        <w:t>i</w:t>
      </w:r>
      <w:proofErr w:type="spellEnd"/>
      <w:r w:rsidRPr="00997551">
        <w:rPr>
          <w:i/>
          <w:lang w:val="en-GB"/>
        </w:rPr>
        <w:t xml:space="preserve"> </w:t>
      </w:r>
      <w:proofErr w:type="spellStart"/>
      <w:r w:rsidRPr="00997551">
        <w:rPr>
          <w:i/>
          <w:lang w:val="en-GB"/>
        </w:rPr>
        <w:t>pavarur</w:t>
      </w:r>
      <w:proofErr w:type="spellEnd"/>
      <w:r w:rsidRPr="00997551">
        <w:rPr>
          <w:i/>
          <w:lang w:val="en-GB"/>
        </w:rPr>
        <w:t xml:space="preserve"> jo-</w:t>
      </w:r>
      <w:proofErr w:type="spellStart"/>
      <w:r w:rsidRPr="00997551">
        <w:rPr>
          <w:i/>
          <w:lang w:val="en-GB"/>
        </w:rPr>
        <w:t>ekzekutiv</w:t>
      </w:r>
      <w:proofErr w:type="spellEnd"/>
      <w:r w:rsidRPr="00997551">
        <w:rPr>
          <w:i/>
          <w:lang w:val="en-GB"/>
        </w:rPr>
        <w:t xml:space="preserve"> I </w:t>
      </w:r>
      <w:proofErr w:type="spellStart"/>
      <w:r w:rsidRPr="00997551">
        <w:rPr>
          <w:i/>
          <w:lang w:val="en-GB"/>
        </w:rPr>
        <w:t>Këshillit</w:t>
      </w:r>
      <w:proofErr w:type="spellEnd"/>
      <w:r w:rsidRPr="00997551">
        <w:rPr>
          <w:i/>
          <w:lang w:val="en-GB"/>
        </w:rPr>
        <w:t xml:space="preserve"> të </w:t>
      </w:r>
      <w:proofErr w:type="spellStart"/>
      <w:r w:rsidRPr="00997551">
        <w:rPr>
          <w:i/>
          <w:lang w:val="en-GB"/>
        </w:rPr>
        <w:t>Drejtorëve</w:t>
      </w:r>
      <w:proofErr w:type="spellEnd"/>
      <w:r w:rsidRPr="00997551">
        <w:rPr>
          <w:i/>
          <w:lang w:val="en-GB"/>
        </w:rPr>
        <w:t xml:space="preserve"> në </w:t>
      </w:r>
      <w:proofErr w:type="spellStart"/>
      <w:r w:rsidRPr="00997551">
        <w:rPr>
          <w:i/>
          <w:lang w:val="en-GB"/>
        </w:rPr>
        <w:t>shoqatë</w:t>
      </w:r>
      <w:proofErr w:type="spellEnd"/>
      <w:r w:rsidRPr="00997551">
        <w:rPr>
          <w:i/>
          <w:lang w:val="en-GB"/>
        </w:rPr>
        <w:t xml:space="preserve"> me </w:t>
      </w:r>
      <w:proofErr w:type="spellStart"/>
      <w:r w:rsidRPr="00997551">
        <w:rPr>
          <w:i/>
          <w:lang w:val="en-GB"/>
        </w:rPr>
        <w:t>pronësi</w:t>
      </w:r>
      <w:proofErr w:type="spellEnd"/>
      <w:r w:rsidRPr="00997551">
        <w:rPr>
          <w:i/>
          <w:lang w:val="en-GB"/>
        </w:rPr>
        <w:t xml:space="preserve"> </w:t>
      </w:r>
      <w:proofErr w:type="spellStart"/>
      <w:r w:rsidRPr="00997551">
        <w:rPr>
          <w:i/>
          <w:lang w:val="en-GB"/>
        </w:rPr>
        <w:t>dominante</w:t>
      </w:r>
      <w:proofErr w:type="spellEnd"/>
      <w:r w:rsidRPr="00997551">
        <w:rPr>
          <w:i/>
          <w:lang w:val="en-GB"/>
        </w:rPr>
        <w:t xml:space="preserve"> </w:t>
      </w:r>
      <w:proofErr w:type="spellStart"/>
      <w:r w:rsidRPr="00997551">
        <w:rPr>
          <w:i/>
          <w:lang w:val="en-GB"/>
        </w:rPr>
        <w:t>ose</w:t>
      </w:r>
      <w:proofErr w:type="spellEnd"/>
      <w:r w:rsidRPr="00997551">
        <w:rPr>
          <w:i/>
          <w:lang w:val="en-GB"/>
        </w:rPr>
        <w:t xml:space="preserve"> </w:t>
      </w:r>
      <w:proofErr w:type="spellStart"/>
      <w:r w:rsidRPr="00997551">
        <w:rPr>
          <w:i/>
          <w:lang w:val="en-GB"/>
        </w:rPr>
        <w:t>tërësisht</w:t>
      </w:r>
      <w:proofErr w:type="spellEnd"/>
      <w:r w:rsidRPr="00997551">
        <w:rPr>
          <w:i/>
          <w:lang w:val="en-GB"/>
        </w:rPr>
        <w:t xml:space="preserve"> </w:t>
      </w:r>
      <w:proofErr w:type="spellStart"/>
      <w:r w:rsidRPr="00997551">
        <w:rPr>
          <w:i/>
          <w:lang w:val="en-GB"/>
        </w:rPr>
        <w:t>shtetërore</w:t>
      </w:r>
      <w:proofErr w:type="spellEnd"/>
      <w:r w:rsidRPr="00997551">
        <w:rPr>
          <w:i/>
          <w:lang w:val="en-GB"/>
        </w:rPr>
        <w:t xml:space="preserve"> mund të </w:t>
      </w:r>
      <w:proofErr w:type="spellStart"/>
      <w:r w:rsidRPr="00997551">
        <w:rPr>
          <w:i/>
          <w:lang w:val="en-GB"/>
        </w:rPr>
        <w:t>zgjidhet</w:t>
      </w:r>
      <w:proofErr w:type="spellEnd"/>
      <w:r w:rsidRPr="00997551">
        <w:rPr>
          <w:i/>
          <w:lang w:val="en-GB"/>
        </w:rPr>
        <w:t xml:space="preserve"> </w:t>
      </w:r>
      <w:proofErr w:type="spellStart"/>
      <w:r w:rsidRPr="00997551">
        <w:rPr>
          <w:i/>
          <w:lang w:val="en-GB"/>
        </w:rPr>
        <w:t>nëse</w:t>
      </w:r>
      <w:proofErr w:type="spellEnd"/>
      <w:r w:rsidRPr="00997551">
        <w:rPr>
          <w:i/>
          <w:lang w:val="en-GB"/>
        </w:rPr>
        <w:t xml:space="preserve"> </w:t>
      </w:r>
      <w:proofErr w:type="spellStart"/>
      <w:r w:rsidRPr="00997551">
        <w:rPr>
          <w:i/>
          <w:lang w:val="en-GB"/>
        </w:rPr>
        <w:t>përmbush</w:t>
      </w:r>
      <w:proofErr w:type="spellEnd"/>
      <w:r w:rsidRPr="00997551">
        <w:rPr>
          <w:i/>
          <w:lang w:val="en-GB"/>
        </w:rPr>
        <w:t xml:space="preserve"> </w:t>
      </w:r>
      <w:proofErr w:type="spellStart"/>
      <w:r w:rsidRPr="00997551">
        <w:rPr>
          <w:b/>
          <w:bCs/>
          <w:i/>
          <w:lang w:val="en-GB"/>
        </w:rPr>
        <w:t>kushtet</w:t>
      </w:r>
      <w:proofErr w:type="spellEnd"/>
      <w:r w:rsidRPr="00997551">
        <w:rPr>
          <w:b/>
          <w:bCs/>
          <w:i/>
          <w:lang w:val="en-GB"/>
        </w:rPr>
        <w:t xml:space="preserve"> </w:t>
      </w:r>
      <w:proofErr w:type="spellStart"/>
      <w:r w:rsidRPr="00997551">
        <w:rPr>
          <w:b/>
          <w:bCs/>
          <w:i/>
          <w:lang w:val="en-GB"/>
        </w:rPr>
        <w:t>vijuese</w:t>
      </w:r>
      <w:proofErr w:type="spellEnd"/>
      <w:r w:rsidRPr="00997551">
        <w:rPr>
          <w:b/>
          <w:bCs/>
          <w:i/>
          <w:lang w:val="en-GB"/>
        </w:rPr>
        <w:t>:</w:t>
      </w:r>
    </w:p>
    <w:p w14:paraId="00ECB793" w14:textId="77777777" w:rsidR="00674291" w:rsidRPr="00997551" w:rsidRDefault="00674291" w:rsidP="00674291">
      <w:pPr>
        <w:pStyle w:val="Bodytext20"/>
        <w:tabs>
          <w:tab w:val="left" w:pos="3180"/>
        </w:tabs>
        <w:ind w:left="2800"/>
        <w:jc w:val="both"/>
      </w:pPr>
    </w:p>
    <w:p w14:paraId="0CD4183B" w14:textId="5449B55D" w:rsidR="00262A83" w:rsidRPr="00997551" w:rsidRDefault="00674291">
      <w:pPr>
        <w:pStyle w:val="Bodytext20"/>
        <w:numPr>
          <w:ilvl w:val="0"/>
          <w:numId w:val="12"/>
        </w:numPr>
        <w:tabs>
          <w:tab w:val="left" w:pos="3454"/>
        </w:tabs>
        <w:ind w:left="3160"/>
        <w:jc w:val="both"/>
      </w:pPr>
      <w:r w:rsidRPr="00997551">
        <w:rPr>
          <w:i/>
          <w:lang w:val="en-GB"/>
        </w:rPr>
        <w:t xml:space="preserve">Ai/ajo të jetë </w:t>
      </w:r>
      <w:proofErr w:type="spellStart"/>
      <w:r w:rsidRPr="00997551">
        <w:rPr>
          <w:i/>
          <w:lang w:val="en-GB"/>
        </w:rPr>
        <w:t>nënshtetas</w:t>
      </w:r>
      <w:proofErr w:type="spellEnd"/>
      <w:r w:rsidRPr="00997551">
        <w:rPr>
          <w:i/>
          <w:lang w:val="en-GB"/>
        </w:rPr>
        <w:t xml:space="preserve"> </w:t>
      </w:r>
      <w:proofErr w:type="spellStart"/>
      <w:r w:rsidRPr="00997551">
        <w:rPr>
          <w:i/>
          <w:lang w:val="en-GB"/>
        </w:rPr>
        <w:t>i</w:t>
      </w:r>
      <w:proofErr w:type="spellEnd"/>
      <w:r w:rsidRPr="00997551">
        <w:rPr>
          <w:i/>
          <w:lang w:val="en-GB"/>
        </w:rPr>
        <w:t xml:space="preserve"> </w:t>
      </w:r>
      <w:proofErr w:type="spellStart"/>
      <w:r w:rsidRPr="00997551">
        <w:rPr>
          <w:i/>
          <w:lang w:val="en-GB"/>
        </w:rPr>
        <w:t>Republikës</w:t>
      </w:r>
      <w:proofErr w:type="spellEnd"/>
      <w:r w:rsidRPr="00997551">
        <w:rPr>
          <w:i/>
          <w:lang w:val="en-GB"/>
        </w:rPr>
        <w:t xml:space="preserve"> së Maqedonisë së </w:t>
      </w:r>
      <w:proofErr w:type="gramStart"/>
      <w:r w:rsidRPr="00997551">
        <w:rPr>
          <w:i/>
          <w:lang w:val="en-GB"/>
        </w:rPr>
        <w:t>Veriut</w:t>
      </w:r>
      <w:r w:rsidR="00262A83" w:rsidRPr="00997551">
        <w:rPr>
          <w:rStyle w:val="Bodytext2"/>
          <w:i/>
        </w:rPr>
        <w:t>;</w:t>
      </w:r>
      <w:proofErr w:type="gramEnd"/>
    </w:p>
    <w:p w14:paraId="3FB24682" w14:textId="75F7CF83" w:rsidR="00262A83" w:rsidRPr="00997551" w:rsidRDefault="00674291">
      <w:pPr>
        <w:pStyle w:val="Bodytext20"/>
        <w:numPr>
          <w:ilvl w:val="0"/>
          <w:numId w:val="12"/>
        </w:numPr>
        <w:tabs>
          <w:tab w:val="left" w:pos="3463"/>
        </w:tabs>
        <w:ind w:left="3160"/>
        <w:jc w:val="both"/>
        <w:rPr>
          <w:rStyle w:val="Bodytext2"/>
        </w:rPr>
      </w:pPr>
      <w:r w:rsidRPr="00997551">
        <w:rPr>
          <w:i/>
          <w:lang w:val="en-GB"/>
        </w:rPr>
        <w:t xml:space="preserve">Ai/ajo Të </w:t>
      </w:r>
      <w:proofErr w:type="spellStart"/>
      <w:r w:rsidRPr="00997551">
        <w:rPr>
          <w:i/>
          <w:lang w:val="en-GB"/>
        </w:rPr>
        <w:t>ketë</w:t>
      </w:r>
      <w:proofErr w:type="spellEnd"/>
      <w:r w:rsidRPr="00997551">
        <w:rPr>
          <w:i/>
          <w:lang w:val="en-GB"/>
        </w:rPr>
        <w:t xml:space="preserve"> </w:t>
      </w:r>
      <w:proofErr w:type="spellStart"/>
      <w:r w:rsidRPr="00997551">
        <w:rPr>
          <w:i/>
          <w:lang w:val="en-GB"/>
        </w:rPr>
        <w:t>fituar</w:t>
      </w:r>
      <w:proofErr w:type="spellEnd"/>
      <w:r w:rsidRPr="00997551">
        <w:rPr>
          <w:i/>
          <w:lang w:val="en-GB"/>
        </w:rPr>
        <w:t xml:space="preserve"> të </w:t>
      </w:r>
      <w:proofErr w:type="spellStart"/>
      <w:r w:rsidRPr="00997551">
        <w:rPr>
          <w:i/>
          <w:lang w:val="en-GB"/>
        </w:rPr>
        <w:t>paktën</w:t>
      </w:r>
      <w:proofErr w:type="spellEnd"/>
      <w:r w:rsidRPr="00997551">
        <w:rPr>
          <w:i/>
          <w:lang w:val="en-GB"/>
        </w:rPr>
        <w:t xml:space="preserve"> 240 </w:t>
      </w:r>
      <w:proofErr w:type="spellStart"/>
      <w:r w:rsidRPr="00997551">
        <w:rPr>
          <w:i/>
          <w:lang w:val="en-GB"/>
        </w:rPr>
        <w:t>kredi</w:t>
      </w:r>
      <w:proofErr w:type="spellEnd"/>
      <w:r w:rsidRPr="00997551">
        <w:rPr>
          <w:i/>
          <w:lang w:val="en-GB"/>
        </w:rPr>
        <w:t xml:space="preserve"> SETK-së </w:t>
      </w:r>
      <w:proofErr w:type="spellStart"/>
      <w:r w:rsidRPr="00997551">
        <w:rPr>
          <w:i/>
          <w:lang w:val="en-GB"/>
        </w:rPr>
        <w:t>ose</w:t>
      </w:r>
      <w:proofErr w:type="spellEnd"/>
      <w:r w:rsidRPr="00997551">
        <w:rPr>
          <w:i/>
          <w:lang w:val="en-GB"/>
        </w:rPr>
        <w:t xml:space="preserve"> të </w:t>
      </w:r>
      <w:proofErr w:type="spellStart"/>
      <w:r w:rsidRPr="00997551">
        <w:rPr>
          <w:i/>
          <w:lang w:val="en-GB"/>
        </w:rPr>
        <w:t>ketë</w:t>
      </w:r>
      <w:proofErr w:type="spellEnd"/>
      <w:r w:rsidRPr="00997551">
        <w:rPr>
          <w:i/>
          <w:lang w:val="en-GB"/>
        </w:rPr>
        <w:t xml:space="preserve"> </w:t>
      </w:r>
      <w:proofErr w:type="spellStart"/>
      <w:r w:rsidRPr="00997551">
        <w:rPr>
          <w:i/>
          <w:lang w:val="en-GB"/>
        </w:rPr>
        <w:t>përfunduar</w:t>
      </w:r>
      <w:proofErr w:type="spellEnd"/>
      <w:r w:rsidRPr="00997551">
        <w:rPr>
          <w:i/>
          <w:lang w:val="en-GB"/>
        </w:rPr>
        <w:t xml:space="preserve"> </w:t>
      </w:r>
      <w:proofErr w:type="spellStart"/>
      <w:r w:rsidRPr="00997551">
        <w:rPr>
          <w:i/>
          <w:lang w:val="en-GB"/>
        </w:rPr>
        <w:t>nivelin</w:t>
      </w:r>
      <w:proofErr w:type="spellEnd"/>
      <w:r w:rsidRPr="00997551">
        <w:rPr>
          <w:i/>
          <w:lang w:val="en-GB"/>
        </w:rPr>
        <w:t xml:space="preserve"> VII/1 të </w:t>
      </w:r>
      <w:proofErr w:type="spellStart"/>
      <w:proofErr w:type="gramStart"/>
      <w:r w:rsidRPr="00997551">
        <w:rPr>
          <w:i/>
          <w:lang w:val="en-GB"/>
        </w:rPr>
        <w:t>arsimit</w:t>
      </w:r>
      <w:proofErr w:type="spellEnd"/>
      <w:r w:rsidR="00262A83" w:rsidRPr="00997551">
        <w:rPr>
          <w:rStyle w:val="Bodytext2"/>
          <w:i/>
        </w:rPr>
        <w:t>;</w:t>
      </w:r>
      <w:proofErr w:type="gramEnd"/>
    </w:p>
    <w:p w14:paraId="0EB47DA5" w14:textId="77777777" w:rsidR="006F59BE" w:rsidRPr="00997551" w:rsidRDefault="006F59BE" w:rsidP="006F59BE">
      <w:pPr>
        <w:pStyle w:val="Bodytext20"/>
        <w:numPr>
          <w:ilvl w:val="0"/>
          <w:numId w:val="12"/>
        </w:numPr>
        <w:tabs>
          <w:tab w:val="left" w:pos="3458"/>
        </w:tabs>
        <w:ind w:left="3160"/>
        <w:jc w:val="both"/>
      </w:pPr>
      <w:r w:rsidRPr="00997551">
        <w:rPr>
          <w:i/>
          <w:lang w:val="en-GB"/>
        </w:rPr>
        <w:t xml:space="preserve">Ai/ajo në momentin e </w:t>
      </w:r>
      <w:proofErr w:type="spellStart"/>
      <w:r w:rsidRPr="00997551">
        <w:rPr>
          <w:i/>
          <w:lang w:val="en-GB"/>
        </w:rPr>
        <w:t>emërimit</w:t>
      </w:r>
      <w:proofErr w:type="spellEnd"/>
      <w:r w:rsidRPr="00997551">
        <w:rPr>
          <w:i/>
          <w:lang w:val="en-GB"/>
        </w:rPr>
        <w:t xml:space="preserve">, </w:t>
      </w:r>
      <w:r w:rsidRPr="00997551">
        <w:rPr>
          <w:b/>
          <w:bCs/>
          <w:i/>
          <w:lang w:val="en-GB"/>
        </w:rPr>
        <w:t xml:space="preserve">të </w:t>
      </w:r>
      <w:proofErr w:type="spellStart"/>
      <w:r w:rsidRPr="00997551">
        <w:rPr>
          <w:b/>
          <w:bCs/>
          <w:i/>
          <w:lang w:val="en-GB"/>
        </w:rPr>
        <w:t>mos</w:t>
      </w:r>
      <w:proofErr w:type="spellEnd"/>
      <w:r w:rsidRPr="00997551">
        <w:rPr>
          <w:b/>
          <w:bCs/>
          <w:i/>
          <w:lang w:val="en-GB"/>
        </w:rPr>
        <w:t xml:space="preserve"> </w:t>
      </w:r>
      <w:proofErr w:type="spellStart"/>
      <w:r w:rsidRPr="00997551">
        <w:rPr>
          <w:b/>
          <w:bCs/>
          <w:i/>
          <w:lang w:val="en-GB"/>
        </w:rPr>
        <w:t>ketë</w:t>
      </w:r>
      <w:proofErr w:type="spellEnd"/>
      <w:r w:rsidRPr="00997551">
        <w:rPr>
          <w:b/>
          <w:bCs/>
          <w:i/>
          <w:lang w:val="en-GB"/>
        </w:rPr>
        <w:t xml:space="preserve"> </w:t>
      </w:r>
      <w:proofErr w:type="spellStart"/>
      <w:r w:rsidRPr="00997551">
        <w:rPr>
          <w:b/>
          <w:bCs/>
          <w:i/>
          <w:lang w:val="en-GB"/>
        </w:rPr>
        <w:t>dënim</w:t>
      </w:r>
      <w:proofErr w:type="spellEnd"/>
      <w:r w:rsidRPr="00997551">
        <w:rPr>
          <w:b/>
          <w:bCs/>
          <w:i/>
          <w:lang w:val="en-GB"/>
        </w:rPr>
        <w:t xml:space="preserve"> me </w:t>
      </w:r>
      <w:proofErr w:type="spellStart"/>
      <w:r w:rsidRPr="00997551">
        <w:rPr>
          <w:b/>
          <w:bCs/>
          <w:i/>
          <w:lang w:val="en-GB"/>
        </w:rPr>
        <w:t>vendim</w:t>
      </w:r>
      <w:proofErr w:type="spellEnd"/>
      <w:r w:rsidRPr="00997551">
        <w:rPr>
          <w:b/>
          <w:bCs/>
          <w:i/>
          <w:lang w:val="en-GB"/>
        </w:rPr>
        <w:t xml:space="preserve"> të </w:t>
      </w:r>
      <w:proofErr w:type="spellStart"/>
      <w:r w:rsidRPr="00997551">
        <w:rPr>
          <w:b/>
          <w:bCs/>
          <w:i/>
          <w:lang w:val="en-GB"/>
        </w:rPr>
        <w:t>formës</w:t>
      </w:r>
      <w:proofErr w:type="spellEnd"/>
      <w:r w:rsidRPr="00997551">
        <w:rPr>
          <w:b/>
          <w:bCs/>
          <w:i/>
          <w:lang w:val="en-GB"/>
        </w:rPr>
        <w:t xml:space="preserve"> së </w:t>
      </w:r>
      <w:proofErr w:type="spellStart"/>
      <w:r w:rsidRPr="00997551">
        <w:rPr>
          <w:b/>
          <w:bCs/>
          <w:i/>
          <w:lang w:val="en-GB"/>
        </w:rPr>
        <w:t>prerë</w:t>
      </w:r>
      <w:proofErr w:type="spellEnd"/>
      <w:r w:rsidRPr="00997551">
        <w:rPr>
          <w:b/>
          <w:bCs/>
          <w:i/>
          <w:lang w:val="en-GB"/>
        </w:rPr>
        <w:t xml:space="preserve"> </w:t>
      </w:r>
      <w:proofErr w:type="spellStart"/>
      <w:r w:rsidRPr="00997551">
        <w:rPr>
          <w:b/>
          <w:bCs/>
          <w:i/>
          <w:lang w:val="en-GB"/>
        </w:rPr>
        <w:t>gjyqësore</w:t>
      </w:r>
      <w:proofErr w:type="spellEnd"/>
      <w:r w:rsidRPr="00997551">
        <w:rPr>
          <w:b/>
          <w:bCs/>
          <w:i/>
          <w:lang w:val="en-GB"/>
        </w:rPr>
        <w:t xml:space="preserve"> për </w:t>
      </w:r>
      <w:proofErr w:type="spellStart"/>
      <w:r w:rsidRPr="00997551">
        <w:rPr>
          <w:b/>
          <w:bCs/>
          <w:i/>
          <w:lang w:val="en-GB"/>
        </w:rPr>
        <w:t>gjobë</w:t>
      </w:r>
      <w:proofErr w:type="spellEnd"/>
      <w:r w:rsidRPr="00997551">
        <w:rPr>
          <w:b/>
          <w:bCs/>
          <w:i/>
          <w:lang w:val="en-GB"/>
        </w:rPr>
        <w:t xml:space="preserve"> në të holla </w:t>
      </w:r>
      <w:proofErr w:type="spellStart"/>
      <w:r w:rsidRPr="00997551">
        <w:rPr>
          <w:b/>
          <w:bCs/>
          <w:i/>
          <w:lang w:val="en-GB"/>
        </w:rPr>
        <w:t>ose</w:t>
      </w:r>
      <w:proofErr w:type="spellEnd"/>
      <w:r w:rsidRPr="00997551">
        <w:rPr>
          <w:b/>
          <w:bCs/>
          <w:i/>
          <w:lang w:val="en-GB"/>
        </w:rPr>
        <w:t xml:space="preserve"> </w:t>
      </w:r>
      <w:proofErr w:type="spellStart"/>
      <w:r w:rsidRPr="00997551">
        <w:rPr>
          <w:b/>
          <w:bCs/>
          <w:i/>
          <w:lang w:val="en-GB"/>
        </w:rPr>
        <w:t>sanksion</w:t>
      </w:r>
      <w:proofErr w:type="spellEnd"/>
      <w:r w:rsidRPr="00997551">
        <w:rPr>
          <w:b/>
          <w:bCs/>
          <w:i/>
          <w:lang w:val="en-GB"/>
        </w:rPr>
        <w:t xml:space="preserve"> për </w:t>
      </w:r>
      <w:proofErr w:type="spellStart"/>
      <w:r w:rsidRPr="00997551">
        <w:rPr>
          <w:b/>
          <w:bCs/>
          <w:i/>
          <w:lang w:val="en-GB"/>
        </w:rPr>
        <w:t>kundërvatje</w:t>
      </w:r>
      <w:proofErr w:type="spellEnd"/>
      <w:r w:rsidRPr="00997551">
        <w:rPr>
          <w:i/>
          <w:lang w:val="en-GB"/>
        </w:rPr>
        <w:t xml:space="preserve"> </w:t>
      </w:r>
      <w:proofErr w:type="spellStart"/>
      <w:r w:rsidRPr="00997551">
        <w:rPr>
          <w:i/>
          <w:lang w:val="en-GB"/>
        </w:rPr>
        <w:t>ndalesë</w:t>
      </w:r>
      <w:proofErr w:type="spellEnd"/>
      <w:r w:rsidRPr="00997551">
        <w:rPr>
          <w:i/>
          <w:lang w:val="en-GB"/>
        </w:rPr>
        <w:t xml:space="preserve"> për </w:t>
      </w:r>
      <w:proofErr w:type="spellStart"/>
      <w:r w:rsidRPr="00997551">
        <w:rPr>
          <w:i/>
          <w:lang w:val="en-GB"/>
        </w:rPr>
        <w:t>kryerjen</w:t>
      </w:r>
      <w:proofErr w:type="spellEnd"/>
      <w:r w:rsidRPr="00997551">
        <w:rPr>
          <w:i/>
          <w:lang w:val="en-GB"/>
        </w:rPr>
        <w:t xml:space="preserve"> e </w:t>
      </w:r>
      <w:proofErr w:type="spellStart"/>
      <w:r w:rsidRPr="00997551">
        <w:rPr>
          <w:i/>
          <w:lang w:val="en-GB"/>
        </w:rPr>
        <w:t>profesionit</w:t>
      </w:r>
      <w:proofErr w:type="spellEnd"/>
      <w:r w:rsidRPr="00997551">
        <w:rPr>
          <w:i/>
          <w:lang w:val="en-GB"/>
        </w:rPr>
        <w:t xml:space="preserve">, </w:t>
      </w:r>
      <w:proofErr w:type="spellStart"/>
      <w:r w:rsidRPr="00997551">
        <w:rPr>
          <w:i/>
          <w:lang w:val="en-GB"/>
        </w:rPr>
        <w:t>veprimtarisë</w:t>
      </w:r>
      <w:proofErr w:type="spellEnd"/>
      <w:r w:rsidRPr="00997551">
        <w:rPr>
          <w:i/>
          <w:lang w:val="en-GB"/>
        </w:rPr>
        <w:t xml:space="preserve"> </w:t>
      </w:r>
      <w:proofErr w:type="spellStart"/>
      <w:r w:rsidRPr="00997551">
        <w:rPr>
          <w:i/>
          <w:lang w:val="en-GB"/>
        </w:rPr>
        <w:t>ose</w:t>
      </w:r>
      <w:proofErr w:type="spellEnd"/>
      <w:r w:rsidRPr="00997551">
        <w:rPr>
          <w:i/>
          <w:lang w:val="en-GB"/>
        </w:rPr>
        <w:t xml:space="preserve"> </w:t>
      </w:r>
      <w:proofErr w:type="spellStart"/>
      <w:proofErr w:type="gramStart"/>
      <w:r w:rsidRPr="00997551">
        <w:rPr>
          <w:i/>
          <w:lang w:val="en-GB"/>
        </w:rPr>
        <w:t>detyrës</w:t>
      </w:r>
      <w:proofErr w:type="spellEnd"/>
      <w:r w:rsidRPr="00997551">
        <w:rPr>
          <w:i/>
          <w:lang w:val="en-GB"/>
        </w:rPr>
        <w:t>;</w:t>
      </w:r>
      <w:proofErr w:type="gramEnd"/>
    </w:p>
    <w:p w14:paraId="1F8278B8" w14:textId="77C4B499" w:rsidR="00674291" w:rsidRPr="00997551" w:rsidRDefault="00262A83" w:rsidP="006F59BE">
      <w:pPr>
        <w:pStyle w:val="Bodytext20"/>
        <w:numPr>
          <w:ilvl w:val="0"/>
          <w:numId w:val="12"/>
        </w:numPr>
        <w:tabs>
          <w:tab w:val="left" w:pos="3458"/>
        </w:tabs>
        <w:ind w:left="3160"/>
        <w:jc w:val="both"/>
        <w:rPr>
          <w:rStyle w:val="Bodytext2"/>
        </w:rPr>
      </w:pPr>
      <w:r w:rsidRPr="00997551">
        <w:rPr>
          <w:rStyle w:val="Bodytext2"/>
          <w:i/>
        </w:rPr>
        <w:t>;</w:t>
      </w:r>
      <w:r w:rsidR="006F59BE" w:rsidRPr="00997551">
        <w:rPr>
          <w:i/>
          <w:lang w:val="en-GB"/>
        </w:rPr>
        <w:t xml:space="preserve"> Ai/ajo të </w:t>
      </w:r>
      <w:proofErr w:type="spellStart"/>
      <w:r w:rsidR="006F59BE" w:rsidRPr="00997551">
        <w:rPr>
          <w:i/>
          <w:lang w:val="en-GB"/>
        </w:rPr>
        <w:t>ketë</w:t>
      </w:r>
      <w:proofErr w:type="spellEnd"/>
      <w:r w:rsidR="006F59BE" w:rsidRPr="00997551">
        <w:rPr>
          <w:i/>
          <w:lang w:val="en-GB"/>
        </w:rPr>
        <w:t xml:space="preserve"> </w:t>
      </w:r>
      <w:r w:rsidR="006F59BE" w:rsidRPr="00997551">
        <w:rPr>
          <w:b/>
          <w:bCs/>
          <w:i/>
          <w:lang w:val="en-GB"/>
        </w:rPr>
        <w:t xml:space="preserve">më së </w:t>
      </w:r>
      <w:proofErr w:type="spellStart"/>
      <w:r w:rsidR="006F59BE" w:rsidRPr="00997551">
        <w:rPr>
          <w:b/>
          <w:bCs/>
          <w:i/>
          <w:lang w:val="en-GB"/>
        </w:rPr>
        <w:t>paku</w:t>
      </w:r>
      <w:proofErr w:type="spellEnd"/>
      <w:r w:rsidR="006F59BE" w:rsidRPr="00997551">
        <w:rPr>
          <w:b/>
          <w:bCs/>
          <w:i/>
          <w:lang w:val="en-GB"/>
        </w:rPr>
        <w:t xml:space="preserve"> </w:t>
      </w:r>
      <w:proofErr w:type="spellStart"/>
      <w:r w:rsidR="006F59BE" w:rsidRPr="00997551">
        <w:rPr>
          <w:b/>
          <w:bCs/>
          <w:i/>
          <w:lang w:val="en-GB"/>
        </w:rPr>
        <w:t>katër</w:t>
      </w:r>
      <w:proofErr w:type="spellEnd"/>
      <w:r w:rsidR="006F59BE" w:rsidRPr="00997551">
        <w:rPr>
          <w:b/>
          <w:bCs/>
          <w:i/>
          <w:lang w:val="en-GB"/>
        </w:rPr>
        <w:t xml:space="preserve"> </w:t>
      </w:r>
      <w:proofErr w:type="spellStart"/>
      <w:r w:rsidR="006F59BE" w:rsidRPr="00997551">
        <w:rPr>
          <w:b/>
          <w:bCs/>
          <w:i/>
          <w:lang w:val="en-GB"/>
        </w:rPr>
        <w:t>vjet</w:t>
      </w:r>
      <w:proofErr w:type="spellEnd"/>
      <w:r w:rsidR="006F59BE" w:rsidRPr="00997551">
        <w:rPr>
          <w:b/>
          <w:bCs/>
          <w:i/>
          <w:lang w:val="en-GB"/>
        </w:rPr>
        <w:t xml:space="preserve"> </w:t>
      </w:r>
      <w:proofErr w:type="spellStart"/>
      <w:r w:rsidR="006F59BE" w:rsidRPr="00997551">
        <w:rPr>
          <w:b/>
          <w:bCs/>
          <w:i/>
          <w:lang w:val="en-GB"/>
        </w:rPr>
        <w:t>përvojë</w:t>
      </w:r>
      <w:proofErr w:type="spellEnd"/>
      <w:r w:rsidR="006F59BE" w:rsidRPr="00997551">
        <w:rPr>
          <w:b/>
          <w:bCs/>
          <w:i/>
          <w:lang w:val="en-GB"/>
        </w:rPr>
        <w:t xml:space="preserve"> </w:t>
      </w:r>
      <w:proofErr w:type="spellStart"/>
      <w:r w:rsidR="006F59BE" w:rsidRPr="00997551">
        <w:rPr>
          <w:b/>
          <w:bCs/>
          <w:i/>
          <w:lang w:val="en-GB"/>
        </w:rPr>
        <w:t>pune</w:t>
      </w:r>
      <w:proofErr w:type="spellEnd"/>
    </w:p>
    <w:p w14:paraId="0C8E114C" w14:textId="77777777" w:rsidR="00674291" w:rsidRPr="00997551" w:rsidRDefault="00674291" w:rsidP="00674291">
      <w:pPr>
        <w:pStyle w:val="Bodytext20"/>
        <w:tabs>
          <w:tab w:val="left" w:pos="3458"/>
        </w:tabs>
        <w:jc w:val="both"/>
      </w:pPr>
    </w:p>
    <w:p w14:paraId="310014BC" w14:textId="596D6D43" w:rsidR="006F59BE" w:rsidRPr="00997551" w:rsidRDefault="006F59BE" w:rsidP="006F59BE">
      <w:pPr>
        <w:pStyle w:val="Bodytext20"/>
        <w:numPr>
          <w:ilvl w:val="0"/>
          <w:numId w:val="11"/>
        </w:numPr>
        <w:tabs>
          <w:tab w:val="left" w:pos="3170"/>
        </w:tabs>
        <w:ind w:left="2800"/>
        <w:jc w:val="both"/>
      </w:pPr>
      <w:proofErr w:type="gramStart"/>
      <w:r w:rsidRPr="00997551">
        <w:rPr>
          <w:color w:val="auto"/>
          <w:lang w:val="en-GB" w:eastAsia="en-GB" w:bidi="ar-SA"/>
        </w:rPr>
        <w:t xml:space="preserve">Në  </w:t>
      </w:r>
      <w:proofErr w:type="spellStart"/>
      <w:r w:rsidRPr="00997551">
        <w:rPr>
          <w:color w:val="auto"/>
          <w:lang w:val="en-GB" w:eastAsia="en-GB" w:bidi="ar-SA"/>
        </w:rPr>
        <w:t>shoqatë</w:t>
      </w:r>
      <w:proofErr w:type="spellEnd"/>
      <w:proofErr w:type="gramEnd"/>
      <w:r w:rsidRPr="00997551">
        <w:rPr>
          <w:color w:val="auto"/>
          <w:lang w:val="en-GB" w:eastAsia="en-GB" w:bidi="ar-SA"/>
        </w:rPr>
        <w:t xml:space="preserve"> me </w:t>
      </w:r>
      <w:proofErr w:type="spellStart"/>
      <w:r w:rsidRPr="00997551">
        <w:rPr>
          <w:color w:val="auto"/>
          <w:lang w:val="en-GB" w:eastAsia="en-GB" w:bidi="ar-SA"/>
        </w:rPr>
        <w:t>pronësi</w:t>
      </w:r>
      <w:proofErr w:type="spellEnd"/>
      <w:r w:rsidRPr="00997551">
        <w:rPr>
          <w:color w:val="auto"/>
          <w:lang w:val="en-GB" w:eastAsia="en-GB" w:bidi="ar-SA"/>
        </w:rPr>
        <w:t xml:space="preserve"> </w:t>
      </w:r>
      <w:proofErr w:type="spellStart"/>
      <w:r w:rsidRPr="00997551">
        <w:rPr>
          <w:color w:val="auto"/>
          <w:lang w:val="en-GB" w:eastAsia="en-GB" w:bidi="ar-SA"/>
        </w:rPr>
        <w:t>dominuese</w:t>
      </w:r>
      <w:proofErr w:type="spellEnd"/>
      <w:r w:rsidRPr="00997551">
        <w:rPr>
          <w:color w:val="auto"/>
          <w:lang w:val="en-GB" w:eastAsia="en-GB" w:bidi="ar-SA"/>
        </w:rPr>
        <w:t xml:space="preserve"> </w:t>
      </w:r>
      <w:proofErr w:type="spellStart"/>
      <w:r w:rsidRPr="00997551">
        <w:rPr>
          <w:color w:val="auto"/>
          <w:lang w:val="en-GB" w:eastAsia="en-GB" w:bidi="ar-SA"/>
        </w:rPr>
        <w:t>ose</w:t>
      </w:r>
      <w:proofErr w:type="spellEnd"/>
      <w:r w:rsidRPr="00997551">
        <w:rPr>
          <w:color w:val="auto"/>
          <w:lang w:val="en-GB" w:eastAsia="en-GB" w:bidi="ar-SA"/>
        </w:rPr>
        <w:t xml:space="preserve"> të </w:t>
      </w:r>
      <w:proofErr w:type="spellStart"/>
      <w:r w:rsidRPr="00997551">
        <w:rPr>
          <w:color w:val="auto"/>
          <w:lang w:val="en-GB" w:eastAsia="en-GB" w:bidi="ar-SA"/>
        </w:rPr>
        <w:t>plotë</w:t>
      </w:r>
      <w:proofErr w:type="spellEnd"/>
      <w:r w:rsidRPr="00997551">
        <w:rPr>
          <w:color w:val="auto"/>
          <w:lang w:val="en-GB" w:eastAsia="en-GB" w:bidi="ar-SA"/>
        </w:rPr>
        <w:t xml:space="preserve"> të </w:t>
      </w:r>
      <w:proofErr w:type="spellStart"/>
      <w:r w:rsidRPr="00997551">
        <w:rPr>
          <w:color w:val="auto"/>
          <w:lang w:val="en-GB" w:eastAsia="en-GB" w:bidi="ar-SA"/>
        </w:rPr>
        <w:t>shtetit</w:t>
      </w:r>
      <w:proofErr w:type="spellEnd"/>
      <w:r w:rsidRPr="00997551">
        <w:rPr>
          <w:color w:val="auto"/>
          <w:lang w:val="en-GB" w:eastAsia="en-GB" w:bidi="ar-SA"/>
        </w:rPr>
        <w:t xml:space="preserve">, duhet të </w:t>
      </w:r>
      <w:proofErr w:type="spellStart"/>
      <w:r w:rsidRPr="00997551">
        <w:rPr>
          <w:color w:val="auto"/>
          <w:lang w:val="en-GB" w:eastAsia="en-GB" w:bidi="ar-SA"/>
        </w:rPr>
        <w:t>ketë</w:t>
      </w:r>
      <w:proofErr w:type="spellEnd"/>
      <w:r w:rsidRPr="00997551">
        <w:rPr>
          <w:color w:val="auto"/>
          <w:lang w:val="en-GB" w:eastAsia="en-GB" w:bidi="ar-SA"/>
        </w:rPr>
        <w:t>:</w:t>
      </w:r>
    </w:p>
    <w:p w14:paraId="5AD17847" w14:textId="77777777" w:rsidR="006F59BE" w:rsidRPr="00997551" w:rsidRDefault="006F59BE" w:rsidP="006F59BE">
      <w:pPr>
        <w:pStyle w:val="Bodytext20"/>
        <w:tabs>
          <w:tab w:val="left" w:pos="3170"/>
        </w:tabs>
        <w:ind w:left="2800"/>
        <w:jc w:val="both"/>
      </w:pPr>
    </w:p>
    <w:p w14:paraId="24F287D4" w14:textId="66C99CAB" w:rsidR="006F59BE" w:rsidRPr="00997551" w:rsidRDefault="006F59BE" w:rsidP="006F59BE">
      <w:pPr>
        <w:pStyle w:val="Bodytext20"/>
        <w:numPr>
          <w:ilvl w:val="0"/>
          <w:numId w:val="13"/>
        </w:numPr>
        <w:tabs>
          <w:tab w:val="left" w:pos="3012"/>
        </w:tabs>
        <w:ind w:left="2800"/>
        <w:jc w:val="both"/>
        <w:rPr>
          <w:i/>
          <w:iCs/>
        </w:rPr>
      </w:pPr>
      <w:r w:rsidRPr="00997551">
        <w:rPr>
          <w:b/>
          <w:bCs/>
          <w:i/>
          <w:iCs/>
          <w:color w:val="auto"/>
          <w:lang w:val="en-GB" w:eastAsia="en-GB" w:bidi="ar-SA"/>
        </w:rPr>
        <w:t xml:space="preserve">Më së </w:t>
      </w:r>
      <w:proofErr w:type="spellStart"/>
      <w:r w:rsidRPr="00997551">
        <w:rPr>
          <w:b/>
          <w:bCs/>
          <w:i/>
          <w:iCs/>
          <w:color w:val="auto"/>
          <w:lang w:val="en-GB" w:eastAsia="en-GB" w:bidi="ar-SA"/>
        </w:rPr>
        <w:t>paku</w:t>
      </w:r>
      <w:proofErr w:type="spellEnd"/>
      <w:r w:rsidRPr="00997551">
        <w:rPr>
          <w:b/>
          <w:bCs/>
          <w:i/>
          <w:iCs/>
          <w:color w:val="auto"/>
          <w:lang w:val="en-GB" w:eastAsia="en-GB" w:bidi="ar-SA"/>
        </w:rPr>
        <w:t xml:space="preserve"> një </w:t>
      </w:r>
      <w:proofErr w:type="spellStart"/>
      <w:r w:rsidRPr="00997551">
        <w:rPr>
          <w:b/>
          <w:bCs/>
          <w:i/>
          <w:iCs/>
          <w:color w:val="auto"/>
          <w:lang w:val="en-GB" w:eastAsia="en-GB" w:bidi="ar-SA"/>
        </w:rPr>
        <w:t>anëtar</w:t>
      </w:r>
      <w:proofErr w:type="spellEnd"/>
      <w:r w:rsidRPr="00997551">
        <w:rPr>
          <w:b/>
          <w:bCs/>
          <w:i/>
          <w:iCs/>
          <w:color w:val="auto"/>
          <w:lang w:val="en-GB" w:eastAsia="en-GB" w:bidi="ar-SA"/>
        </w:rPr>
        <w:t xml:space="preserve"> të </w:t>
      </w:r>
      <w:proofErr w:type="spellStart"/>
      <w:r w:rsidRPr="00997551">
        <w:rPr>
          <w:b/>
          <w:bCs/>
          <w:i/>
          <w:iCs/>
          <w:color w:val="auto"/>
          <w:lang w:val="en-GB" w:eastAsia="en-GB" w:bidi="ar-SA"/>
        </w:rPr>
        <w:t>pavarur</w:t>
      </w:r>
      <w:proofErr w:type="spellEnd"/>
      <w:r w:rsidRPr="00997551">
        <w:rPr>
          <w:b/>
          <w:bCs/>
          <w:i/>
          <w:iCs/>
          <w:color w:val="auto"/>
          <w:lang w:val="en-GB" w:eastAsia="en-GB" w:bidi="ar-SA"/>
        </w:rPr>
        <w:t xml:space="preserve"> me </w:t>
      </w:r>
      <w:proofErr w:type="spellStart"/>
      <w:r w:rsidRPr="00997551">
        <w:rPr>
          <w:b/>
          <w:bCs/>
          <w:i/>
          <w:iCs/>
          <w:color w:val="auto"/>
          <w:lang w:val="en-GB" w:eastAsia="en-GB" w:bidi="ar-SA"/>
        </w:rPr>
        <w:t>përvojë</w:t>
      </w:r>
      <w:proofErr w:type="spellEnd"/>
      <w:r w:rsidRPr="00997551">
        <w:rPr>
          <w:b/>
          <w:bCs/>
          <w:i/>
          <w:iCs/>
          <w:color w:val="auto"/>
          <w:lang w:val="en-GB" w:eastAsia="en-GB" w:bidi="ar-SA"/>
        </w:rPr>
        <w:t xml:space="preserve"> </w:t>
      </w:r>
      <w:proofErr w:type="spellStart"/>
      <w:r w:rsidRPr="00997551">
        <w:rPr>
          <w:b/>
          <w:bCs/>
          <w:i/>
          <w:iCs/>
          <w:color w:val="auto"/>
          <w:lang w:val="en-GB" w:eastAsia="en-GB" w:bidi="ar-SA"/>
        </w:rPr>
        <w:t>pune</w:t>
      </w:r>
      <w:proofErr w:type="spellEnd"/>
      <w:r w:rsidRPr="00997551">
        <w:rPr>
          <w:b/>
          <w:bCs/>
          <w:i/>
          <w:iCs/>
          <w:color w:val="auto"/>
          <w:lang w:val="en-GB" w:eastAsia="en-GB" w:bidi="ar-SA"/>
        </w:rPr>
        <w:t xml:space="preserve"> në </w:t>
      </w:r>
      <w:proofErr w:type="spellStart"/>
      <w:r w:rsidRPr="00997551">
        <w:rPr>
          <w:b/>
          <w:bCs/>
          <w:i/>
          <w:iCs/>
          <w:color w:val="auto"/>
          <w:lang w:val="en-GB" w:eastAsia="en-GB" w:bidi="ar-SA"/>
        </w:rPr>
        <w:t>fushën</w:t>
      </w:r>
      <w:proofErr w:type="spellEnd"/>
      <w:r w:rsidRPr="00997551">
        <w:rPr>
          <w:b/>
          <w:bCs/>
          <w:i/>
          <w:iCs/>
          <w:color w:val="auto"/>
          <w:lang w:val="en-GB" w:eastAsia="en-GB" w:bidi="ar-SA"/>
        </w:rPr>
        <w:t xml:space="preserve"> e </w:t>
      </w:r>
      <w:proofErr w:type="spellStart"/>
      <w:r w:rsidRPr="00997551">
        <w:rPr>
          <w:b/>
          <w:bCs/>
          <w:i/>
          <w:iCs/>
          <w:color w:val="auto"/>
          <w:lang w:val="en-GB" w:eastAsia="en-GB" w:bidi="ar-SA"/>
        </w:rPr>
        <w:t>financave</w:t>
      </w:r>
      <w:proofErr w:type="spellEnd"/>
      <w:r w:rsidRPr="00997551">
        <w:rPr>
          <w:b/>
          <w:bCs/>
          <w:i/>
          <w:iCs/>
          <w:color w:val="auto"/>
          <w:lang w:val="en-GB" w:eastAsia="en-GB" w:bidi="ar-SA"/>
        </w:rPr>
        <w:t xml:space="preserve"> </w:t>
      </w:r>
      <w:proofErr w:type="spellStart"/>
      <w:r w:rsidRPr="00997551">
        <w:rPr>
          <w:b/>
          <w:bCs/>
          <w:i/>
          <w:iCs/>
          <w:color w:val="auto"/>
          <w:lang w:val="en-GB" w:eastAsia="en-GB" w:bidi="ar-SA"/>
        </w:rPr>
        <w:t>ose</w:t>
      </w:r>
      <w:proofErr w:type="spellEnd"/>
      <w:r w:rsidRPr="00997551">
        <w:rPr>
          <w:b/>
          <w:bCs/>
          <w:i/>
          <w:iCs/>
          <w:color w:val="auto"/>
          <w:lang w:val="en-GB" w:eastAsia="en-GB" w:bidi="ar-SA"/>
        </w:rPr>
        <w:t xml:space="preserve"> me </w:t>
      </w:r>
      <w:proofErr w:type="spellStart"/>
      <w:r w:rsidRPr="00997551">
        <w:rPr>
          <w:b/>
          <w:bCs/>
          <w:i/>
          <w:iCs/>
          <w:color w:val="auto"/>
          <w:lang w:val="en-GB" w:eastAsia="en-GB" w:bidi="ar-SA"/>
        </w:rPr>
        <w:t>përvojë</w:t>
      </w:r>
      <w:proofErr w:type="spellEnd"/>
      <w:r w:rsidRPr="00997551">
        <w:rPr>
          <w:b/>
          <w:bCs/>
          <w:i/>
          <w:iCs/>
          <w:color w:val="auto"/>
          <w:lang w:val="en-GB" w:eastAsia="en-GB" w:bidi="ar-SA"/>
        </w:rPr>
        <w:t xml:space="preserve"> </w:t>
      </w:r>
      <w:proofErr w:type="spellStart"/>
      <w:r w:rsidRPr="00997551">
        <w:rPr>
          <w:b/>
          <w:bCs/>
          <w:i/>
          <w:iCs/>
          <w:color w:val="auto"/>
          <w:lang w:val="en-GB" w:eastAsia="en-GB" w:bidi="ar-SA"/>
        </w:rPr>
        <w:t>pune</w:t>
      </w:r>
      <w:proofErr w:type="spellEnd"/>
      <w:r w:rsidRPr="00997551">
        <w:rPr>
          <w:b/>
          <w:bCs/>
          <w:i/>
          <w:iCs/>
          <w:color w:val="auto"/>
          <w:lang w:val="en-GB" w:eastAsia="en-GB" w:bidi="ar-SA"/>
        </w:rPr>
        <w:t xml:space="preserve"> në </w:t>
      </w:r>
      <w:proofErr w:type="spellStart"/>
      <w:r w:rsidRPr="00997551">
        <w:rPr>
          <w:b/>
          <w:bCs/>
          <w:i/>
          <w:iCs/>
          <w:color w:val="auto"/>
          <w:lang w:val="en-GB" w:eastAsia="en-GB" w:bidi="ar-SA"/>
        </w:rPr>
        <w:t>fushën</w:t>
      </w:r>
      <w:proofErr w:type="spellEnd"/>
      <w:r w:rsidRPr="00997551">
        <w:rPr>
          <w:b/>
          <w:bCs/>
          <w:i/>
          <w:iCs/>
          <w:color w:val="auto"/>
          <w:lang w:val="en-GB" w:eastAsia="en-GB" w:bidi="ar-SA"/>
        </w:rPr>
        <w:t xml:space="preserve"> e </w:t>
      </w:r>
      <w:proofErr w:type="spellStart"/>
      <w:r w:rsidRPr="00997551">
        <w:rPr>
          <w:b/>
          <w:bCs/>
          <w:i/>
          <w:iCs/>
          <w:color w:val="auto"/>
          <w:lang w:val="en-GB" w:eastAsia="en-GB" w:bidi="ar-SA"/>
        </w:rPr>
        <w:t>çështjeve</w:t>
      </w:r>
      <w:proofErr w:type="spellEnd"/>
      <w:r w:rsidRPr="00997551">
        <w:rPr>
          <w:b/>
          <w:bCs/>
          <w:i/>
          <w:iCs/>
          <w:color w:val="auto"/>
          <w:lang w:val="en-GB" w:eastAsia="en-GB" w:bidi="ar-SA"/>
        </w:rPr>
        <w:t xml:space="preserve"> </w:t>
      </w:r>
      <w:proofErr w:type="spellStart"/>
      <w:r w:rsidRPr="00997551">
        <w:rPr>
          <w:b/>
          <w:bCs/>
          <w:i/>
          <w:iCs/>
          <w:color w:val="auto"/>
          <w:lang w:val="en-GB" w:eastAsia="en-GB" w:bidi="ar-SA"/>
        </w:rPr>
        <w:t>juridike</w:t>
      </w:r>
      <w:proofErr w:type="spellEnd"/>
      <w:r w:rsidRPr="00997551">
        <w:rPr>
          <w:i/>
          <w:iCs/>
          <w:color w:val="auto"/>
          <w:lang w:val="en-GB" w:eastAsia="en-GB" w:bidi="ar-SA"/>
        </w:rPr>
        <w:t xml:space="preserve">, </w:t>
      </w:r>
      <w:proofErr w:type="spellStart"/>
      <w:r w:rsidRPr="00997551">
        <w:rPr>
          <w:i/>
          <w:iCs/>
          <w:color w:val="auto"/>
          <w:lang w:val="en-GB" w:eastAsia="en-GB" w:bidi="ar-SA"/>
        </w:rPr>
        <w:t>nëse</w:t>
      </w:r>
      <w:proofErr w:type="spellEnd"/>
      <w:r w:rsidRPr="00997551">
        <w:rPr>
          <w:i/>
          <w:iCs/>
          <w:color w:val="auto"/>
          <w:lang w:val="en-GB" w:eastAsia="en-GB" w:bidi="ar-SA"/>
        </w:rPr>
        <w:t xml:space="preserve"> </w:t>
      </w:r>
      <w:proofErr w:type="spellStart"/>
      <w:r w:rsidRPr="00997551">
        <w:rPr>
          <w:i/>
          <w:iCs/>
          <w:color w:val="auto"/>
          <w:lang w:val="en-GB" w:eastAsia="en-GB" w:bidi="ar-SA"/>
        </w:rPr>
        <w:t>bëhet</w:t>
      </w:r>
      <w:proofErr w:type="spellEnd"/>
      <w:r w:rsidRPr="00997551">
        <w:rPr>
          <w:i/>
          <w:iCs/>
          <w:color w:val="auto"/>
          <w:lang w:val="en-GB" w:eastAsia="en-GB" w:bidi="ar-SA"/>
        </w:rPr>
        <w:t xml:space="preserve"> </w:t>
      </w:r>
      <w:proofErr w:type="spellStart"/>
      <w:r w:rsidRPr="00997551">
        <w:rPr>
          <w:i/>
          <w:iCs/>
          <w:color w:val="auto"/>
          <w:lang w:val="en-GB" w:eastAsia="en-GB" w:bidi="ar-SA"/>
        </w:rPr>
        <w:t>fjalë</w:t>
      </w:r>
      <w:proofErr w:type="spellEnd"/>
      <w:r w:rsidRPr="00997551">
        <w:rPr>
          <w:i/>
          <w:iCs/>
          <w:color w:val="auto"/>
          <w:lang w:val="en-GB" w:eastAsia="en-GB" w:bidi="ar-SA"/>
        </w:rPr>
        <w:t xml:space="preserve"> për </w:t>
      </w:r>
      <w:proofErr w:type="spellStart"/>
      <w:r w:rsidRPr="00997551">
        <w:rPr>
          <w:i/>
          <w:iCs/>
          <w:color w:val="auto"/>
          <w:lang w:val="en-GB" w:eastAsia="en-GB" w:bidi="ar-SA"/>
        </w:rPr>
        <w:t>shoqatë</w:t>
      </w:r>
      <w:proofErr w:type="spellEnd"/>
      <w:r w:rsidRPr="00997551">
        <w:rPr>
          <w:i/>
          <w:iCs/>
          <w:color w:val="auto"/>
          <w:lang w:val="en-GB" w:eastAsia="en-GB" w:bidi="ar-SA"/>
        </w:rPr>
        <w:t xml:space="preserve"> e </w:t>
      </w:r>
      <w:proofErr w:type="spellStart"/>
      <w:r w:rsidRPr="00997551">
        <w:rPr>
          <w:i/>
          <w:iCs/>
          <w:color w:val="auto"/>
          <w:lang w:val="en-GB" w:eastAsia="en-GB" w:bidi="ar-SA"/>
        </w:rPr>
        <w:t>klasifikuar</w:t>
      </w:r>
      <w:proofErr w:type="spellEnd"/>
      <w:r w:rsidRPr="00997551">
        <w:rPr>
          <w:i/>
          <w:iCs/>
          <w:color w:val="auto"/>
          <w:lang w:val="en-GB" w:eastAsia="en-GB" w:bidi="ar-SA"/>
        </w:rPr>
        <w:t xml:space="preserve"> </w:t>
      </w:r>
      <w:proofErr w:type="spellStart"/>
      <w:r w:rsidRPr="00997551">
        <w:rPr>
          <w:i/>
          <w:iCs/>
          <w:color w:val="auto"/>
          <w:lang w:val="en-GB" w:eastAsia="en-GB" w:bidi="ar-SA"/>
        </w:rPr>
        <w:t>si</w:t>
      </w:r>
      <w:proofErr w:type="spellEnd"/>
      <w:r w:rsidRPr="00997551">
        <w:rPr>
          <w:i/>
          <w:iCs/>
          <w:color w:val="auto"/>
          <w:lang w:val="en-GB" w:eastAsia="en-GB" w:bidi="ar-SA"/>
        </w:rPr>
        <w:t xml:space="preserve"> </w:t>
      </w:r>
      <w:proofErr w:type="spellStart"/>
      <w:r w:rsidRPr="00997551">
        <w:rPr>
          <w:i/>
          <w:iCs/>
          <w:color w:val="auto"/>
          <w:lang w:val="en-GB" w:eastAsia="en-GB" w:bidi="ar-SA"/>
        </w:rPr>
        <w:t>mikro</w:t>
      </w:r>
      <w:proofErr w:type="spellEnd"/>
      <w:r w:rsidRPr="00997551">
        <w:rPr>
          <w:i/>
          <w:iCs/>
          <w:color w:val="auto"/>
          <w:lang w:val="en-GB" w:eastAsia="en-GB" w:bidi="ar-SA"/>
        </w:rPr>
        <w:t xml:space="preserve"> </w:t>
      </w:r>
      <w:proofErr w:type="spellStart"/>
      <w:r w:rsidRPr="00997551">
        <w:rPr>
          <w:i/>
          <w:iCs/>
          <w:color w:val="auto"/>
          <w:lang w:val="en-GB" w:eastAsia="en-GB" w:bidi="ar-SA"/>
        </w:rPr>
        <w:t>ose</w:t>
      </w:r>
      <w:proofErr w:type="spellEnd"/>
      <w:r w:rsidRPr="00997551">
        <w:rPr>
          <w:i/>
          <w:iCs/>
          <w:color w:val="auto"/>
          <w:lang w:val="en-GB" w:eastAsia="en-GB" w:bidi="ar-SA"/>
        </w:rPr>
        <w:t xml:space="preserve"> </w:t>
      </w:r>
      <w:proofErr w:type="spellStart"/>
      <w:r w:rsidRPr="00997551">
        <w:rPr>
          <w:i/>
          <w:iCs/>
          <w:color w:val="auto"/>
          <w:lang w:val="en-GB" w:eastAsia="en-GB" w:bidi="ar-SA"/>
        </w:rPr>
        <w:t>tregtar</w:t>
      </w:r>
      <w:proofErr w:type="spellEnd"/>
      <w:r w:rsidRPr="00997551">
        <w:rPr>
          <w:i/>
          <w:iCs/>
          <w:color w:val="auto"/>
          <w:lang w:val="en-GB" w:eastAsia="en-GB" w:bidi="ar-SA"/>
        </w:rPr>
        <w:t xml:space="preserve"> </w:t>
      </w:r>
      <w:proofErr w:type="spellStart"/>
      <w:r w:rsidRPr="00997551">
        <w:rPr>
          <w:i/>
          <w:iCs/>
          <w:color w:val="auto"/>
          <w:lang w:val="en-GB" w:eastAsia="en-GB" w:bidi="ar-SA"/>
        </w:rPr>
        <w:t>i</w:t>
      </w:r>
      <w:proofErr w:type="spellEnd"/>
      <w:r w:rsidRPr="00997551">
        <w:rPr>
          <w:i/>
          <w:iCs/>
          <w:color w:val="auto"/>
          <w:lang w:val="en-GB" w:eastAsia="en-GB" w:bidi="ar-SA"/>
        </w:rPr>
        <w:t xml:space="preserve"> </w:t>
      </w:r>
      <w:proofErr w:type="spellStart"/>
      <w:r w:rsidRPr="00997551">
        <w:rPr>
          <w:i/>
          <w:iCs/>
          <w:color w:val="auto"/>
          <w:lang w:val="en-GB" w:eastAsia="en-GB" w:bidi="ar-SA"/>
        </w:rPr>
        <w:t>vogël</w:t>
      </w:r>
      <w:proofErr w:type="spellEnd"/>
      <w:r w:rsidRPr="00997551">
        <w:rPr>
          <w:i/>
          <w:iCs/>
          <w:color w:val="auto"/>
          <w:lang w:val="en-GB" w:eastAsia="en-GB" w:bidi="ar-SA"/>
        </w:rPr>
        <w:t xml:space="preserve">; </w:t>
      </w:r>
      <w:proofErr w:type="spellStart"/>
      <w:r w:rsidRPr="00997551">
        <w:rPr>
          <w:i/>
          <w:iCs/>
          <w:color w:val="auto"/>
          <w:lang w:val="en-GB" w:eastAsia="en-GB" w:bidi="ar-SA"/>
        </w:rPr>
        <w:t>ose</w:t>
      </w:r>
      <w:proofErr w:type="spellEnd"/>
    </w:p>
    <w:p w14:paraId="39746B9B" w14:textId="3159A2C4" w:rsidR="006F59BE" w:rsidRPr="00997551" w:rsidRDefault="006F59BE" w:rsidP="006F59BE">
      <w:pPr>
        <w:pStyle w:val="Bodytext20"/>
        <w:numPr>
          <w:ilvl w:val="0"/>
          <w:numId w:val="13"/>
        </w:numPr>
        <w:tabs>
          <w:tab w:val="left" w:pos="3012"/>
        </w:tabs>
        <w:ind w:left="2800"/>
        <w:jc w:val="both"/>
        <w:rPr>
          <w:i/>
          <w:iCs/>
        </w:rPr>
      </w:pPr>
      <w:r w:rsidRPr="00997551">
        <w:rPr>
          <w:b/>
          <w:bCs/>
          <w:i/>
          <w:iCs/>
          <w:color w:val="auto"/>
          <w:lang w:val="en-GB" w:eastAsia="en-GB" w:bidi="ar-SA"/>
        </w:rPr>
        <w:t xml:space="preserve">Më së </w:t>
      </w:r>
      <w:proofErr w:type="spellStart"/>
      <w:r w:rsidRPr="00997551">
        <w:rPr>
          <w:b/>
          <w:bCs/>
          <w:i/>
          <w:iCs/>
          <w:color w:val="auto"/>
          <w:lang w:val="en-GB" w:eastAsia="en-GB" w:bidi="ar-SA"/>
        </w:rPr>
        <w:t>paku</w:t>
      </w:r>
      <w:proofErr w:type="spellEnd"/>
      <w:r w:rsidRPr="00997551">
        <w:rPr>
          <w:b/>
          <w:bCs/>
          <w:i/>
          <w:iCs/>
          <w:color w:val="auto"/>
          <w:lang w:val="en-GB" w:eastAsia="en-GB" w:bidi="ar-SA"/>
        </w:rPr>
        <w:t xml:space="preserve"> një </w:t>
      </w:r>
      <w:proofErr w:type="spellStart"/>
      <w:r w:rsidRPr="00997551">
        <w:rPr>
          <w:b/>
          <w:bCs/>
          <w:i/>
          <w:iCs/>
          <w:color w:val="auto"/>
          <w:lang w:val="en-GB" w:eastAsia="en-GB" w:bidi="ar-SA"/>
        </w:rPr>
        <w:t>anëtar</w:t>
      </w:r>
      <w:proofErr w:type="spellEnd"/>
      <w:r w:rsidRPr="00997551">
        <w:rPr>
          <w:b/>
          <w:bCs/>
          <w:i/>
          <w:iCs/>
          <w:color w:val="auto"/>
          <w:lang w:val="en-GB" w:eastAsia="en-GB" w:bidi="ar-SA"/>
        </w:rPr>
        <w:t xml:space="preserve"> të </w:t>
      </w:r>
      <w:proofErr w:type="spellStart"/>
      <w:r w:rsidRPr="00997551">
        <w:rPr>
          <w:b/>
          <w:bCs/>
          <w:i/>
          <w:iCs/>
          <w:color w:val="auto"/>
          <w:lang w:val="en-GB" w:eastAsia="en-GB" w:bidi="ar-SA"/>
        </w:rPr>
        <w:t>pavarur</w:t>
      </w:r>
      <w:proofErr w:type="spellEnd"/>
      <w:r w:rsidRPr="00997551">
        <w:rPr>
          <w:b/>
          <w:bCs/>
          <w:i/>
          <w:iCs/>
          <w:color w:val="auto"/>
          <w:lang w:val="en-GB" w:eastAsia="en-GB" w:bidi="ar-SA"/>
        </w:rPr>
        <w:t xml:space="preserve"> me </w:t>
      </w:r>
      <w:proofErr w:type="spellStart"/>
      <w:r w:rsidRPr="00997551">
        <w:rPr>
          <w:b/>
          <w:bCs/>
          <w:i/>
          <w:iCs/>
          <w:color w:val="auto"/>
          <w:lang w:val="en-GB" w:eastAsia="en-GB" w:bidi="ar-SA"/>
        </w:rPr>
        <w:t>përvojë</w:t>
      </w:r>
      <w:proofErr w:type="spellEnd"/>
      <w:r w:rsidRPr="00997551">
        <w:rPr>
          <w:b/>
          <w:bCs/>
          <w:i/>
          <w:iCs/>
          <w:color w:val="auto"/>
          <w:lang w:val="en-GB" w:eastAsia="en-GB" w:bidi="ar-SA"/>
        </w:rPr>
        <w:t xml:space="preserve"> </w:t>
      </w:r>
      <w:proofErr w:type="spellStart"/>
      <w:r w:rsidRPr="00997551">
        <w:rPr>
          <w:b/>
          <w:bCs/>
          <w:i/>
          <w:iCs/>
          <w:color w:val="auto"/>
          <w:lang w:val="en-GB" w:eastAsia="en-GB" w:bidi="ar-SA"/>
        </w:rPr>
        <w:t>pune</w:t>
      </w:r>
      <w:proofErr w:type="spellEnd"/>
      <w:r w:rsidRPr="00997551">
        <w:rPr>
          <w:b/>
          <w:bCs/>
          <w:i/>
          <w:iCs/>
          <w:color w:val="auto"/>
          <w:lang w:val="en-GB" w:eastAsia="en-GB" w:bidi="ar-SA"/>
        </w:rPr>
        <w:t xml:space="preserve"> në </w:t>
      </w:r>
      <w:proofErr w:type="spellStart"/>
      <w:r w:rsidRPr="00997551">
        <w:rPr>
          <w:b/>
          <w:bCs/>
          <w:i/>
          <w:iCs/>
          <w:color w:val="auto"/>
          <w:lang w:val="en-GB" w:eastAsia="en-GB" w:bidi="ar-SA"/>
        </w:rPr>
        <w:t>fushën</w:t>
      </w:r>
      <w:proofErr w:type="spellEnd"/>
      <w:r w:rsidRPr="00997551">
        <w:rPr>
          <w:b/>
          <w:bCs/>
          <w:i/>
          <w:iCs/>
          <w:color w:val="auto"/>
          <w:lang w:val="en-GB" w:eastAsia="en-GB" w:bidi="ar-SA"/>
        </w:rPr>
        <w:t xml:space="preserve"> e </w:t>
      </w:r>
      <w:proofErr w:type="spellStart"/>
      <w:r w:rsidRPr="00997551">
        <w:rPr>
          <w:b/>
          <w:bCs/>
          <w:i/>
          <w:iCs/>
          <w:color w:val="auto"/>
          <w:lang w:val="en-GB" w:eastAsia="en-GB" w:bidi="ar-SA"/>
        </w:rPr>
        <w:t>financave</w:t>
      </w:r>
      <w:proofErr w:type="spellEnd"/>
      <w:r w:rsidRPr="00997551">
        <w:rPr>
          <w:b/>
          <w:bCs/>
          <w:i/>
          <w:iCs/>
          <w:color w:val="auto"/>
          <w:lang w:val="en-GB" w:eastAsia="en-GB" w:bidi="ar-SA"/>
        </w:rPr>
        <w:t xml:space="preserve"> dhe një </w:t>
      </w:r>
      <w:proofErr w:type="spellStart"/>
      <w:r w:rsidRPr="00997551">
        <w:rPr>
          <w:b/>
          <w:bCs/>
          <w:i/>
          <w:iCs/>
          <w:color w:val="auto"/>
          <w:lang w:val="en-GB" w:eastAsia="en-GB" w:bidi="ar-SA"/>
        </w:rPr>
        <w:t>anëtar</w:t>
      </w:r>
      <w:proofErr w:type="spellEnd"/>
      <w:r w:rsidRPr="00997551">
        <w:rPr>
          <w:b/>
          <w:bCs/>
          <w:i/>
          <w:iCs/>
          <w:color w:val="auto"/>
          <w:lang w:val="en-GB" w:eastAsia="en-GB" w:bidi="ar-SA"/>
        </w:rPr>
        <w:t xml:space="preserve"> të </w:t>
      </w:r>
      <w:proofErr w:type="spellStart"/>
      <w:r w:rsidRPr="00997551">
        <w:rPr>
          <w:b/>
          <w:bCs/>
          <w:i/>
          <w:iCs/>
          <w:color w:val="auto"/>
          <w:lang w:val="en-GB" w:eastAsia="en-GB" w:bidi="ar-SA"/>
        </w:rPr>
        <w:t>pavarur</w:t>
      </w:r>
      <w:proofErr w:type="spellEnd"/>
      <w:r w:rsidRPr="00997551">
        <w:rPr>
          <w:b/>
          <w:bCs/>
          <w:i/>
          <w:iCs/>
          <w:color w:val="auto"/>
          <w:lang w:val="en-GB" w:eastAsia="en-GB" w:bidi="ar-SA"/>
        </w:rPr>
        <w:t xml:space="preserve"> me </w:t>
      </w:r>
      <w:proofErr w:type="spellStart"/>
      <w:r w:rsidRPr="00997551">
        <w:rPr>
          <w:b/>
          <w:bCs/>
          <w:i/>
          <w:iCs/>
          <w:color w:val="auto"/>
          <w:lang w:val="en-GB" w:eastAsia="en-GB" w:bidi="ar-SA"/>
        </w:rPr>
        <w:t>përvojë</w:t>
      </w:r>
      <w:proofErr w:type="spellEnd"/>
      <w:r w:rsidRPr="00997551">
        <w:rPr>
          <w:b/>
          <w:bCs/>
          <w:i/>
          <w:iCs/>
          <w:color w:val="auto"/>
          <w:lang w:val="en-GB" w:eastAsia="en-GB" w:bidi="ar-SA"/>
        </w:rPr>
        <w:t xml:space="preserve"> </w:t>
      </w:r>
      <w:proofErr w:type="spellStart"/>
      <w:r w:rsidRPr="00997551">
        <w:rPr>
          <w:b/>
          <w:bCs/>
          <w:i/>
          <w:iCs/>
          <w:color w:val="auto"/>
          <w:lang w:val="en-GB" w:eastAsia="en-GB" w:bidi="ar-SA"/>
        </w:rPr>
        <w:t>pune</w:t>
      </w:r>
      <w:proofErr w:type="spellEnd"/>
      <w:r w:rsidRPr="00997551">
        <w:rPr>
          <w:b/>
          <w:bCs/>
          <w:i/>
          <w:iCs/>
          <w:color w:val="auto"/>
          <w:lang w:val="en-GB" w:eastAsia="en-GB" w:bidi="ar-SA"/>
        </w:rPr>
        <w:t xml:space="preserve"> në </w:t>
      </w:r>
      <w:proofErr w:type="spellStart"/>
      <w:r w:rsidRPr="00997551">
        <w:rPr>
          <w:b/>
          <w:bCs/>
          <w:i/>
          <w:iCs/>
          <w:color w:val="auto"/>
          <w:lang w:val="en-GB" w:eastAsia="en-GB" w:bidi="ar-SA"/>
        </w:rPr>
        <w:t>fushën</w:t>
      </w:r>
      <w:proofErr w:type="spellEnd"/>
      <w:r w:rsidRPr="00997551">
        <w:rPr>
          <w:b/>
          <w:bCs/>
          <w:i/>
          <w:iCs/>
          <w:color w:val="auto"/>
          <w:lang w:val="en-GB" w:eastAsia="en-GB" w:bidi="ar-SA"/>
        </w:rPr>
        <w:t xml:space="preserve"> e </w:t>
      </w:r>
      <w:proofErr w:type="spellStart"/>
      <w:r w:rsidRPr="00997551">
        <w:rPr>
          <w:b/>
          <w:bCs/>
          <w:i/>
          <w:iCs/>
          <w:color w:val="auto"/>
          <w:lang w:val="en-GB" w:eastAsia="en-GB" w:bidi="ar-SA"/>
        </w:rPr>
        <w:t>çështjeve</w:t>
      </w:r>
      <w:proofErr w:type="spellEnd"/>
      <w:r w:rsidRPr="00997551">
        <w:rPr>
          <w:b/>
          <w:bCs/>
          <w:i/>
          <w:iCs/>
          <w:color w:val="auto"/>
          <w:lang w:val="en-GB" w:eastAsia="en-GB" w:bidi="ar-SA"/>
        </w:rPr>
        <w:t xml:space="preserve"> </w:t>
      </w:r>
      <w:proofErr w:type="spellStart"/>
      <w:r w:rsidRPr="00997551">
        <w:rPr>
          <w:b/>
          <w:bCs/>
          <w:i/>
          <w:iCs/>
          <w:color w:val="auto"/>
          <w:lang w:val="en-GB" w:eastAsia="en-GB" w:bidi="ar-SA"/>
        </w:rPr>
        <w:t>juridike</w:t>
      </w:r>
      <w:proofErr w:type="spellEnd"/>
      <w:r w:rsidRPr="00997551">
        <w:rPr>
          <w:i/>
          <w:iCs/>
          <w:color w:val="auto"/>
          <w:lang w:val="en-GB" w:eastAsia="en-GB" w:bidi="ar-SA"/>
        </w:rPr>
        <w:t xml:space="preserve">, </w:t>
      </w:r>
      <w:proofErr w:type="spellStart"/>
      <w:r w:rsidRPr="00997551">
        <w:rPr>
          <w:i/>
          <w:iCs/>
          <w:color w:val="auto"/>
          <w:lang w:val="en-GB" w:eastAsia="en-GB" w:bidi="ar-SA"/>
        </w:rPr>
        <w:t>nëse</w:t>
      </w:r>
      <w:proofErr w:type="spellEnd"/>
      <w:r w:rsidRPr="00997551">
        <w:rPr>
          <w:i/>
          <w:iCs/>
          <w:color w:val="auto"/>
          <w:lang w:val="en-GB" w:eastAsia="en-GB" w:bidi="ar-SA"/>
        </w:rPr>
        <w:t xml:space="preserve"> </w:t>
      </w:r>
      <w:proofErr w:type="spellStart"/>
      <w:r w:rsidRPr="00997551">
        <w:rPr>
          <w:i/>
          <w:iCs/>
          <w:color w:val="auto"/>
          <w:lang w:val="en-GB" w:eastAsia="en-GB" w:bidi="ar-SA"/>
        </w:rPr>
        <w:t>bëhet</w:t>
      </w:r>
      <w:proofErr w:type="spellEnd"/>
      <w:r w:rsidRPr="00997551">
        <w:rPr>
          <w:i/>
          <w:iCs/>
          <w:color w:val="auto"/>
          <w:lang w:val="en-GB" w:eastAsia="en-GB" w:bidi="ar-SA"/>
        </w:rPr>
        <w:t xml:space="preserve"> </w:t>
      </w:r>
      <w:proofErr w:type="spellStart"/>
      <w:r w:rsidRPr="00997551">
        <w:rPr>
          <w:i/>
          <w:iCs/>
          <w:color w:val="auto"/>
          <w:lang w:val="en-GB" w:eastAsia="en-GB" w:bidi="ar-SA"/>
        </w:rPr>
        <w:t>fjalë</w:t>
      </w:r>
      <w:proofErr w:type="spellEnd"/>
      <w:r w:rsidRPr="00997551">
        <w:rPr>
          <w:i/>
          <w:iCs/>
          <w:color w:val="auto"/>
          <w:lang w:val="en-GB" w:eastAsia="en-GB" w:bidi="ar-SA"/>
        </w:rPr>
        <w:t xml:space="preserve"> për </w:t>
      </w:r>
      <w:proofErr w:type="spellStart"/>
      <w:r w:rsidRPr="00997551">
        <w:rPr>
          <w:i/>
          <w:iCs/>
          <w:color w:val="auto"/>
          <w:lang w:val="en-GB" w:eastAsia="en-GB" w:bidi="ar-SA"/>
        </w:rPr>
        <w:t>shoqatë</w:t>
      </w:r>
      <w:proofErr w:type="spellEnd"/>
      <w:r w:rsidRPr="00997551">
        <w:rPr>
          <w:i/>
          <w:iCs/>
          <w:color w:val="auto"/>
          <w:lang w:val="en-GB" w:eastAsia="en-GB" w:bidi="ar-SA"/>
        </w:rPr>
        <w:t xml:space="preserve"> e </w:t>
      </w:r>
      <w:proofErr w:type="spellStart"/>
      <w:r w:rsidRPr="00997551">
        <w:rPr>
          <w:i/>
          <w:iCs/>
          <w:color w:val="auto"/>
          <w:lang w:val="en-GB" w:eastAsia="en-GB" w:bidi="ar-SA"/>
        </w:rPr>
        <w:t>klasifikuar</w:t>
      </w:r>
      <w:proofErr w:type="spellEnd"/>
      <w:r w:rsidRPr="00997551">
        <w:rPr>
          <w:i/>
          <w:iCs/>
          <w:color w:val="auto"/>
          <w:lang w:val="en-GB" w:eastAsia="en-GB" w:bidi="ar-SA"/>
        </w:rPr>
        <w:t xml:space="preserve"> </w:t>
      </w:r>
      <w:proofErr w:type="spellStart"/>
      <w:r w:rsidRPr="00997551">
        <w:rPr>
          <w:i/>
          <w:iCs/>
          <w:color w:val="auto"/>
          <w:lang w:val="en-GB" w:eastAsia="en-GB" w:bidi="ar-SA"/>
        </w:rPr>
        <w:t>si</w:t>
      </w:r>
      <w:proofErr w:type="spellEnd"/>
      <w:r w:rsidRPr="00997551">
        <w:rPr>
          <w:i/>
          <w:iCs/>
          <w:color w:val="auto"/>
          <w:lang w:val="en-GB" w:eastAsia="en-GB" w:bidi="ar-SA"/>
        </w:rPr>
        <w:t xml:space="preserve"> </w:t>
      </w:r>
      <w:proofErr w:type="spellStart"/>
      <w:r w:rsidRPr="00997551">
        <w:rPr>
          <w:i/>
          <w:iCs/>
          <w:color w:val="auto"/>
          <w:lang w:val="en-GB" w:eastAsia="en-GB" w:bidi="ar-SA"/>
        </w:rPr>
        <w:t>tregtar</w:t>
      </w:r>
      <w:proofErr w:type="spellEnd"/>
      <w:r w:rsidRPr="00997551">
        <w:rPr>
          <w:i/>
          <w:iCs/>
          <w:color w:val="auto"/>
          <w:lang w:val="en-GB" w:eastAsia="en-GB" w:bidi="ar-SA"/>
        </w:rPr>
        <w:t xml:space="preserve"> </w:t>
      </w:r>
      <w:proofErr w:type="spellStart"/>
      <w:r w:rsidRPr="00997551">
        <w:rPr>
          <w:i/>
          <w:iCs/>
          <w:color w:val="auto"/>
          <w:lang w:val="en-GB" w:eastAsia="en-GB" w:bidi="ar-SA"/>
        </w:rPr>
        <w:t>i</w:t>
      </w:r>
      <w:proofErr w:type="spellEnd"/>
      <w:r w:rsidRPr="00997551">
        <w:rPr>
          <w:i/>
          <w:iCs/>
          <w:color w:val="auto"/>
          <w:lang w:val="en-GB" w:eastAsia="en-GB" w:bidi="ar-SA"/>
        </w:rPr>
        <w:t xml:space="preserve"> </w:t>
      </w:r>
      <w:proofErr w:type="spellStart"/>
      <w:r w:rsidRPr="00997551">
        <w:rPr>
          <w:i/>
          <w:iCs/>
          <w:color w:val="auto"/>
          <w:lang w:val="en-GB" w:eastAsia="en-GB" w:bidi="ar-SA"/>
        </w:rPr>
        <w:t>mesëm</w:t>
      </w:r>
      <w:proofErr w:type="spellEnd"/>
      <w:r w:rsidRPr="00997551">
        <w:rPr>
          <w:i/>
          <w:iCs/>
          <w:color w:val="auto"/>
          <w:lang w:val="en-GB" w:eastAsia="en-GB" w:bidi="ar-SA"/>
        </w:rPr>
        <w:t xml:space="preserve"> </w:t>
      </w:r>
      <w:proofErr w:type="spellStart"/>
      <w:r w:rsidRPr="00997551">
        <w:rPr>
          <w:i/>
          <w:iCs/>
          <w:color w:val="auto"/>
          <w:lang w:val="en-GB" w:eastAsia="en-GB" w:bidi="ar-SA"/>
        </w:rPr>
        <w:t>ose</w:t>
      </w:r>
      <w:proofErr w:type="spellEnd"/>
      <w:r w:rsidRPr="00997551">
        <w:rPr>
          <w:i/>
          <w:iCs/>
          <w:color w:val="auto"/>
          <w:lang w:val="en-GB" w:eastAsia="en-GB" w:bidi="ar-SA"/>
        </w:rPr>
        <w:t xml:space="preserve"> </w:t>
      </w:r>
      <w:proofErr w:type="spellStart"/>
      <w:r w:rsidRPr="00997551">
        <w:rPr>
          <w:i/>
          <w:iCs/>
          <w:color w:val="auto"/>
          <w:lang w:val="en-GB" w:eastAsia="en-GB" w:bidi="ar-SA"/>
        </w:rPr>
        <w:t>i</w:t>
      </w:r>
      <w:proofErr w:type="spellEnd"/>
      <w:r w:rsidRPr="00997551">
        <w:rPr>
          <w:i/>
          <w:iCs/>
          <w:color w:val="auto"/>
          <w:lang w:val="en-GB" w:eastAsia="en-GB" w:bidi="ar-SA"/>
        </w:rPr>
        <w:t xml:space="preserve"> </w:t>
      </w:r>
      <w:proofErr w:type="spellStart"/>
      <w:r w:rsidRPr="00997551">
        <w:rPr>
          <w:i/>
          <w:iCs/>
          <w:color w:val="auto"/>
          <w:lang w:val="en-GB" w:eastAsia="en-GB" w:bidi="ar-SA"/>
        </w:rPr>
        <w:t>madh</w:t>
      </w:r>
      <w:proofErr w:type="spellEnd"/>
      <w:r w:rsidRPr="00997551">
        <w:rPr>
          <w:i/>
          <w:iCs/>
          <w:color w:val="auto"/>
          <w:lang w:val="en-GB" w:eastAsia="en-GB" w:bidi="ar-SA"/>
        </w:rPr>
        <w:t>.</w:t>
      </w:r>
    </w:p>
    <w:p w14:paraId="35918D64" w14:textId="77777777" w:rsidR="006F59BE" w:rsidRPr="00997551" w:rsidRDefault="006F59BE" w:rsidP="006F59BE">
      <w:pPr>
        <w:pStyle w:val="Bodytext20"/>
        <w:tabs>
          <w:tab w:val="left" w:pos="3012"/>
        </w:tabs>
        <w:ind w:left="0"/>
        <w:jc w:val="both"/>
        <w:rPr>
          <w:lang w:val="sq-AL"/>
        </w:rPr>
      </w:pPr>
    </w:p>
    <w:p w14:paraId="2273438E" w14:textId="3EB716E6" w:rsidR="00DF5C53" w:rsidRPr="00997551" w:rsidRDefault="00DF5C53" w:rsidP="00DF5C53">
      <w:pPr>
        <w:pStyle w:val="Bodytext20"/>
        <w:tabs>
          <w:tab w:val="left" w:pos="2440"/>
        </w:tabs>
        <w:ind w:left="2410" w:hanging="283"/>
        <w:jc w:val="both"/>
        <w:rPr>
          <w:lang w:val="sq-AL"/>
        </w:rPr>
      </w:pPr>
      <w:r w:rsidRPr="00997551">
        <w:rPr>
          <w:rStyle w:val="Bodytext2"/>
          <w:lang w:val="sq-AL"/>
        </w:rPr>
        <w:t>ç</w:t>
      </w:r>
      <w:r w:rsidR="00262A83" w:rsidRPr="00997551">
        <w:rPr>
          <w:rStyle w:val="Bodytext2"/>
        </w:rPr>
        <w:t>)</w:t>
      </w:r>
      <w:r w:rsidR="00262A83" w:rsidRPr="00997551">
        <w:rPr>
          <w:rStyle w:val="Bodytext2"/>
        </w:rPr>
        <w:tab/>
      </w:r>
      <w:r w:rsidRPr="00997551">
        <w:rPr>
          <w:u w:val="single"/>
          <w:lang w:val="en-GB"/>
        </w:rPr>
        <w:t xml:space="preserve">Me </w:t>
      </w:r>
      <w:proofErr w:type="spellStart"/>
      <w:r w:rsidRPr="00997551">
        <w:rPr>
          <w:u w:val="single"/>
          <w:lang w:val="en-GB"/>
        </w:rPr>
        <w:t>nenin</w:t>
      </w:r>
      <w:proofErr w:type="spellEnd"/>
      <w:r w:rsidRPr="00997551">
        <w:rPr>
          <w:u w:val="single"/>
          <w:lang w:val="en-GB"/>
        </w:rPr>
        <w:t xml:space="preserve"> 365</w:t>
      </w:r>
      <w:r w:rsidRPr="00997551">
        <w:rPr>
          <w:lang w:val="en-GB"/>
        </w:rPr>
        <w:t xml:space="preserve">, </w:t>
      </w:r>
      <w:proofErr w:type="spellStart"/>
      <w:r w:rsidRPr="00997551">
        <w:rPr>
          <w:lang w:val="en-GB"/>
        </w:rPr>
        <w:t>futet</w:t>
      </w:r>
      <w:proofErr w:type="spellEnd"/>
      <w:r w:rsidRPr="00997551">
        <w:rPr>
          <w:lang w:val="en-GB"/>
        </w:rPr>
        <w:t xml:space="preserve"> </w:t>
      </w:r>
      <w:proofErr w:type="spellStart"/>
      <w:r w:rsidRPr="00997551">
        <w:rPr>
          <w:lang w:val="en-GB"/>
        </w:rPr>
        <w:t>kompensimi</w:t>
      </w:r>
      <w:proofErr w:type="spellEnd"/>
      <w:r w:rsidRPr="00997551">
        <w:rPr>
          <w:lang w:val="en-GB"/>
        </w:rPr>
        <w:t xml:space="preserve"> </w:t>
      </w:r>
      <w:proofErr w:type="spellStart"/>
      <w:r w:rsidRPr="00997551">
        <w:rPr>
          <w:lang w:val="en-GB"/>
        </w:rPr>
        <w:t>i</w:t>
      </w:r>
      <w:proofErr w:type="spellEnd"/>
      <w:r w:rsidRPr="00997551">
        <w:rPr>
          <w:lang w:val="en-GB"/>
        </w:rPr>
        <w:t xml:space="preserve"> </w:t>
      </w:r>
      <w:proofErr w:type="spellStart"/>
      <w:r w:rsidRPr="00997551">
        <w:rPr>
          <w:lang w:val="en-GB"/>
        </w:rPr>
        <w:t>barabartë</w:t>
      </w:r>
      <w:proofErr w:type="spellEnd"/>
      <w:r w:rsidRPr="00997551">
        <w:rPr>
          <w:lang w:val="en-GB"/>
        </w:rPr>
        <w:t xml:space="preserve"> për </w:t>
      </w:r>
      <w:proofErr w:type="spellStart"/>
      <w:r w:rsidRPr="00997551">
        <w:rPr>
          <w:lang w:val="en-GB"/>
        </w:rPr>
        <w:t>anëtarët</w:t>
      </w:r>
      <w:proofErr w:type="spellEnd"/>
      <w:r w:rsidRPr="00997551">
        <w:rPr>
          <w:lang w:val="en-GB"/>
        </w:rPr>
        <w:t xml:space="preserve"> e </w:t>
      </w:r>
      <w:proofErr w:type="spellStart"/>
      <w:r w:rsidRPr="00997551">
        <w:rPr>
          <w:lang w:val="en-GB"/>
        </w:rPr>
        <w:t>Këshillit</w:t>
      </w:r>
      <w:proofErr w:type="spellEnd"/>
      <w:r w:rsidRPr="00997551">
        <w:rPr>
          <w:lang w:val="en-GB"/>
        </w:rPr>
        <w:t xml:space="preserve"> </w:t>
      </w:r>
      <w:proofErr w:type="spellStart"/>
      <w:r w:rsidRPr="00997551">
        <w:rPr>
          <w:lang w:val="en-GB"/>
        </w:rPr>
        <w:t>Mbikëqyrës</w:t>
      </w:r>
      <w:proofErr w:type="spellEnd"/>
      <w:r w:rsidRPr="00997551">
        <w:rPr>
          <w:lang w:val="en-GB"/>
        </w:rPr>
        <w:t xml:space="preserve">, në të gjitha </w:t>
      </w:r>
      <w:proofErr w:type="spellStart"/>
      <w:r w:rsidRPr="00997551">
        <w:rPr>
          <w:lang w:val="en-GB"/>
        </w:rPr>
        <w:t>shoqatat</w:t>
      </w:r>
      <w:proofErr w:type="spellEnd"/>
      <w:r w:rsidRPr="00997551">
        <w:rPr>
          <w:lang w:val="en-GB"/>
        </w:rPr>
        <w:t xml:space="preserve"> me </w:t>
      </w:r>
      <w:proofErr w:type="spellStart"/>
      <w:r w:rsidRPr="00997551">
        <w:rPr>
          <w:lang w:val="en-GB"/>
        </w:rPr>
        <w:t>përgjegjësi</w:t>
      </w:r>
      <w:proofErr w:type="spellEnd"/>
      <w:r w:rsidRPr="00997551">
        <w:rPr>
          <w:lang w:val="en-GB"/>
        </w:rPr>
        <w:t xml:space="preserve"> të </w:t>
      </w:r>
      <w:proofErr w:type="spellStart"/>
      <w:r w:rsidRPr="00997551">
        <w:rPr>
          <w:lang w:val="en-GB"/>
        </w:rPr>
        <w:t>kufizuar</w:t>
      </w:r>
      <w:proofErr w:type="spellEnd"/>
      <w:r w:rsidRPr="00997551">
        <w:rPr>
          <w:lang w:val="en-GB"/>
        </w:rPr>
        <w:t xml:space="preserve"> të </w:t>
      </w:r>
      <w:proofErr w:type="spellStart"/>
      <w:r w:rsidRPr="00997551">
        <w:rPr>
          <w:lang w:val="en-GB"/>
        </w:rPr>
        <w:t>themeluara</w:t>
      </w:r>
      <w:proofErr w:type="spellEnd"/>
      <w:r w:rsidRPr="00997551">
        <w:rPr>
          <w:lang w:val="en-GB"/>
        </w:rPr>
        <w:t xml:space="preserve"> </w:t>
      </w:r>
      <w:proofErr w:type="spellStart"/>
      <w:r w:rsidRPr="00997551">
        <w:rPr>
          <w:lang w:val="en-GB"/>
        </w:rPr>
        <w:t>konform</w:t>
      </w:r>
      <w:proofErr w:type="spellEnd"/>
      <w:r w:rsidRPr="00997551">
        <w:rPr>
          <w:lang w:val="en-GB"/>
        </w:rPr>
        <w:t xml:space="preserve"> </w:t>
      </w:r>
      <w:proofErr w:type="spellStart"/>
      <w:r w:rsidRPr="00997551">
        <w:rPr>
          <w:lang w:val="en-GB"/>
        </w:rPr>
        <w:t>Ligjit</w:t>
      </w:r>
      <w:proofErr w:type="spellEnd"/>
      <w:r w:rsidRPr="00997551">
        <w:rPr>
          <w:lang w:val="en-GB"/>
        </w:rPr>
        <w:t xml:space="preserve"> për </w:t>
      </w:r>
      <w:proofErr w:type="spellStart"/>
      <w:r w:rsidRPr="00997551">
        <w:rPr>
          <w:lang w:val="en-GB"/>
        </w:rPr>
        <w:t>Shoqatat</w:t>
      </w:r>
      <w:proofErr w:type="spellEnd"/>
      <w:r w:rsidRPr="00997551">
        <w:rPr>
          <w:lang w:val="en-GB"/>
        </w:rPr>
        <w:t xml:space="preserve"> </w:t>
      </w:r>
      <w:proofErr w:type="spellStart"/>
      <w:r w:rsidRPr="00997551">
        <w:rPr>
          <w:lang w:val="en-GB"/>
        </w:rPr>
        <w:t>Tregtare</w:t>
      </w:r>
      <w:proofErr w:type="spellEnd"/>
      <w:r w:rsidRPr="00997551">
        <w:rPr>
          <w:lang w:val="en-GB"/>
        </w:rPr>
        <w:t>.</w:t>
      </w:r>
    </w:p>
    <w:p w14:paraId="6EA5FDE7" w14:textId="75C7CE7A" w:rsidR="00262A83" w:rsidRPr="00997551" w:rsidRDefault="00262A83" w:rsidP="00DF5C53">
      <w:pPr>
        <w:pStyle w:val="Bodytext20"/>
        <w:tabs>
          <w:tab w:val="left" w:pos="3190"/>
        </w:tabs>
        <w:ind w:left="0"/>
        <w:jc w:val="both"/>
        <w:rPr>
          <w:rStyle w:val="Bodytext2"/>
        </w:rPr>
      </w:pPr>
    </w:p>
    <w:p w14:paraId="3A2A209C" w14:textId="3F3F6F54" w:rsidR="00DF5C53" w:rsidRPr="00997551" w:rsidRDefault="00DF5C53">
      <w:pPr>
        <w:pStyle w:val="Bodytext20"/>
        <w:numPr>
          <w:ilvl w:val="0"/>
          <w:numId w:val="14"/>
        </w:numPr>
        <w:tabs>
          <w:tab w:val="left" w:pos="3190"/>
        </w:tabs>
        <w:ind w:left="2800"/>
        <w:jc w:val="both"/>
        <w:rPr>
          <w:b/>
          <w:bCs/>
        </w:rPr>
      </w:pPr>
      <w:r w:rsidRPr="00997551">
        <w:t>Anëtarët jo-ekzekutivë të</w:t>
      </w:r>
      <w:r w:rsidRPr="00997551">
        <w:rPr>
          <w:lang w:val="sq-AL"/>
        </w:rPr>
        <w:t xml:space="preserve"> Këshillit</w:t>
      </w:r>
      <w:r w:rsidRPr="00997551">
        <w:t xml:space="preserve"> të Drejtorëve, </w:t>
      </w:r>
      <w:r w:rsidRPr="00997551">
        <w:rPr>
          <w:lang w:val="sq-AL"/>
        </w:rPr>
        <w:t>gjegjësisht</w:t>
      </w:r>
      <w:r w:rsidRPr="00997551">
        <w:t xml:space="preserve"> anëtarët e </w:t>
      </w:r>
      <w:r w:rsidRPr="00997551">
        <w:rPr>
          <w:lang w:val="sq-AL"/>
        </w:rPr>
        <w:t>Këshillit</w:t>
      </w:r>
      <w:r w:rsidRPr="00997551">
        <w:t xml:space="preserve"> Mbikëqyrës të </w:t>
      </w:r>
      <w:r w:rsidRPr="00997551">
        <w:rPr>
          <w:lang w:val="sq-AL"/>
        </w:rPr>
        <w:t>shoqatës</w:t>
      </w:r>
      <w:r w:rsidRPr="00997551">
        <w:t xml:space="preserve"> aksionare me pronësi dominuese ose tërësore të shtetit, </w:t>
      </w:r>
      <w:r w:rsidRPr="00997551">
        <w:rPr>
          <w:lang w:val="sq-AL"/>
        </w:rPr>
        <w:t>gjegjësisht</w:t>
      </w:r>
      <w:r w:rsidRPr="00997551">
        <w:t xml:space="preserve"> anëtarët e</w:t>
      </w:r>
      <w:r w:rsidRPr="00997551">
        <w:rPr>
          <w:lang w:val="sq-AL"/>
        </w:rPr>
        <w:t xml:space="preserve"> këshillit</w:t>
      </w:r>
      <w:r w:rsidRPr="00997551">
        <w:t xml:space="preserve"> mbikëqyrës në </w:t>
      </w:r>
      <w:r w:rsidRPr="00997551">
        <w:rPr>
          <w:lang w:val="sq-AL"/>
        </w:rPr>
        <w:t xml:space="preserve">shoqatë </w:t>
      </w:r>
      <w:r w:rsidRPr="00997551">
        <w:t>me përgjegjësi të kufizuar me pronësi dominuese ose tërësore të shtetit, kanë të drejtë për kompensim vetëm në formën e shum</w:t>
      </w:r>
      <w:r w:rsidRPr="00997551">
        <w:rPr>
          <w:lang w:val="sq-AL"/>
        </w:rPr>
        <w:t>ës</w:t>
      </w:r>
      <w:r w:rsidRPr="00997551">
        <w:t xml:space="preserve"> fikse mujore, në shumë </w:t>
      </w:r>
      <w:r w:rsidRPr="00997551">
        <w:rPr>
          <w:b/>
          <w:bCs/>
        </w:rPr>
        <w:t>prej një të katërtës së pagës mesatare neto të paguar në Republikën e Maqedonisë së Veriut për vitin paraprak.</w:t>
      </w:r>
    </w:p>
    <w:p w14:paraId="6DF0EACB" w14:textId="652D3097" w:rsidR="00DF5C53" w:rsidRPr="00997551" w:rsidRDefault="00DF5C53" w:rsidP="00D17971">
      <w:pPr>
        <w:pStyle w:val="Bodytext20"/>
        <w:tabs>
          <w:tab w:val="left" w:pos="3190"/>
        </w:tabs>
        <w:ind w:left="2800"/>
        <w:jc w:val="both"/>
        <w:rPr>
          <w:rStyle w:val="Other"/>
          <w:b/>
          <w:bCs/>
        </w:rPr>
      </w:pPr>
      <w:r w:rsidRPr="00997551">
        <w:t xml:space="preserve">Në </w:t>
      </w:r>
      <w:r w:rsidRPr="00997551">
        <w:rPr>
          <w:lang w:val="sq-AL"/>
        </w:rPr>
        <w:t>përgjithësi</w:t>
      </w:r>
      <w:r w:rsidRPr="00997551">
        <w:t xml:space="preserve">, ndryshimet </w:t>
      </w:r>
      <w:r w:rsidRPr="00997551">
        <w:rPr>
          <w:lang w:val="sq-AL"/>
        </w:rPr>
        <w:t>sjellin</w:t>
      </w:r>
      <w:r w:rsidRPr="00997551">
        <w:t xml:space="preserve"> kritere të unifikuara për emërimin e anëtarëve të pavarur</w:t>
      </w:r>
      <w:r w:rsidRPr="00997551">
        <w:rPr>
          <w:lang w:val="sq-AL"/>
        </w:rPr>
        <w:t>. Ato, poashtu</w:t>
      </w:r>
      <w:r w:rsidRPr="00997551">
        <w:t xml:space="preserve"> </w:t>
      </w:r>
      <w:r w:rsidRPr="00997551">
        <w:rPr>
          <w:lang w:val="sq-AL"/>
        </w:rPr>
        <w:t xml:space="preserve">e </w:t>
      </w:r>
      <w:r w:rsidRPr="00997551">
        <w:t xml:space="preserve">rregullojnë përbërjen e </w:t>
      </w:r>
      <w:r w:rsidRPr="00997551">
        <w:rPr>
          <w:lang w:val="sq-AL"/>
        </w:rPr>
        <w:t>Këshillit</w:t>
      </w:r>
      <w:r w:rsidRPr="00997551">
        <w:t xml:space="preserve"> Mbikëqyrës dhe</w:t>
      </w:r>
      <w:r w:rsidRPr="00997551">
        <w:rPr>
          <w:lang w:val="sq-AL"/>
        </w:rPr>
        <w:t xml:space="preserve"> Këshillit</w:t>
      </w:r>
      <w:r w:rsidRPr="00997551">
        <w:t xml:space="preserve"> të Drejtorëve në shoq</w:t>
      </w:r>
      <w:r w:rsidRPr="00997551">
        <w:rPr>
          <w:lang w:val="sq-AL"/>
        </w:rPr>
        <w:t>atat</w:t>
      </w:r>
      <w:r w:rsidRPr="00997551">
        <w:t xml:space="preserve"> në pronësi të shtetit (</w:t>
      </w:r>
      <w:r w:rsidRPr="00997551">
        <w:rPr>
          <w:lang w:val="sq-AL"/>
        </w:rPr>
        <w:t>SHPSH</w:t>
      </w:r>
      <w:r w:rsidRPr="00997551">
        <w:t xml:space="preserve">) dhe </w:t>
      </w:r>
      <w:r w:rsidRPr="00997551">
        <w:rPr>
          <w:lang w:val="sq-AL"/>
        </w:rPr>
        <w:t>sjellin</w:t>
      </w:r>
      <w:r w:rsidRPr="00997551">
        <w:t xml:space="preserve"> kërkesa të reja për arsim dhe përvojë pune </w:t>
      </w:r>
      <w:r w:rsidRPr="00997551">
        <w:rPr>
          <w:lang w:val="sq-AL"/>
        </w:rPr>
        <w:t xml:space="preserve">të duhura emërimin e </w:t>
      </w:r>
      <w:r w:rsidRPr="00997551">
        <w:t>anëtarë</w:t>
      </w:r>
      <w:r w:rsidRPr="00997551">
        <w:rPr>
          <w:lang w:val="sq-AL"/>
        </w:rPr>
        <w:t>ve</w:t>
      </w:r>
      <w:r w:rsidRPr="00997551">
        <w:t xml:space="preserve"> </w:t>
      </w:r>
      <w:r w:rsidRPr="00997551">
        <w:rPr>
          <w:lang w:val="sq-AL"/>
        </w:rPr>
        <w:t>të</w:t>
      </w:r>
      <w:r w:rsidRPr="00997551">
        <w:t xml:space="preserve"> </w:t>
      </w:r>
      <w:r w:rsidRPr="00997551">
        <w:rPr>
          <w:lang w:val="sq-AL"/>
        </w:rPr>
        <w:t>Këshillit</w:t>
      </w:r>
      <w:r w:rsidRPr="00997551">
        <w:t>. Për</w:t>
      </w:r>
      <w:r w:rsidR="00D17971" w:rsidRPr="00997551">
        <w:rPr>
          <w:lang w:val="sq-AL"/>
        </w:rPr>
        <w:t xml:space="preserve"> kundër kësaj</w:t>
      </w:r>
      <w:r w:rsidRPr="00997551">
        <w:t xml:space="preserve">, ndryshimet </w:t>
      </w:r>
      <w:r w:rsidR="00D17971" w:rsidRPr="00997551">
        <w:rPr>
          <w:lang w:val="sq-AL"/>
        </w:rPr>
        <w:t>sjellin</w:t>
      </w:r>
      <w:r w:rsidRPr="00997551">
        <w:t xml:space="preserve">  kompensim t</w:t>
      </w:r>
      <w:r w:rsidR="00D17971" w:rsidRPr="00997551">
        <w:rPr>
          <w:lang w:val="sq-AL"/>
        </w:rPr>
        <w:t>ë njëjtë</w:t>
      </w:r>
      <w:r w:rsidRPr="00997551">
        <w:t xml:space="preserve"> për anëtarët e </w:t>
      </w:r>
      <w:r w:rsidRPr="00997551">
        <w:rPr>
          <w:lang w:val="sq-AL"/>
        </w:rPr>
        <w:t>Këshillit</w:t>
      </w:r>
      <w:r w:rsidRPr="00997551">
        <w:t xml:space="preserve"> Mbikëqyrës.</w:t>
      </w:r>
    </w:p>
    <w:p w14:paraId="38320033" w14:textId="77777777" w:rsidR="00DF5C53" w:rsidRPr="00997551" w:rsidRDefault="00DF5C53" w:rsidP="005674DA">
      <w:pPr>
        <w:pStyle w:val="Other0"/>
        <w:spacing w:after="60"/>
        <w:ind w:left="2127"/>
        <w:jc w:val="both"/>
        <w:rPr>
          <w:rStyle w:val="Other"/>
          <w:lang w:val="sq-AL"/>
        </w:rPr>
      </w:pPr>
    </w:p>
    <w:p w14:paraId="45229AAC" w14:textId="77777777" w:rsidR="00DF5C53" w:rsidRPr="00997551" w:rsidRDefault="00DF5C53" w:rsidP="005674DA">
      <w:pPr>
        <w:pStyle w:val="Other0"/>
        <w:spacing w:after="60"/>
        <w:ind w:left="2127"/>
        <w:jc w:val="both"/>
        <w:rPr>
          <w:lang w:val="sq-A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805"/>
      </w:tblGrid>
      <w:tr w:rsidR="00262A83" w:rsidRPr="00997551" w14:paraId="7A945B66" w14:textId="77777777" w:rsidTr="00594D0E">
        <w:trPr>
          <w:trHeight w:hRule="exact" w:val="12059"/>
          <w:jc w:val="center"/>
        </w:trPr>
        <w:tc>
          <w:tcPr>
            <w:tcW w:w="1714" w:type="dxa"/>
            <w:tcBorders>
              <w:top w:val="single" w:sz="4" w:space="0" w:color="auto"/>
              <w:left w:val="single" w:sz="4" w:space="0" w:color="auto"/>
            </w:tcBorders>
            <w:shd w:val="clear" w:color="auto" w:fill="E8E8E8"/>
          </w:tcPr>
          <w:p w14:paraId="5888E7F9" w14:textId="77777777" w:rsidR="00262A83" w:rsidRPr="00997551" w:rsidRDefault="00262A83">
            <w:pPr>
              <w:rPr>
                <w:rFonts w:ascii="Times New Roman" w:hAnsi="Times New Roman" w:cs="Times New Roman"/>
                <w:sz w:val="10"/>
                <w:szCs w:val="10"/>
              </w:rPr>
            </w:pPr>
          </w:p>
        </w:tc>
        <w:tc>
          <w:tcPr>
            <w:tcW w:w="7805" w:type="dxa"/>
            <w:tcBorders>
              <w:top w:val="single" w:sz="4" w:space="0" w:color="auto"/>
              <w:left w:val="single" w:sz="4" w:space="0" w:color="auto"/>
              <w:right w:val="single" w:sz="4" w:space="0" w:color="auto"/>
            </w:tcBorders>
            <w:vAlign w:val="center"/>
          </w:tcPr>
          <w:p w14:paraId="7C69ABC1" w14:textId="797B39F5" w:rsidR="00F31DC5" w:rsidRPr="00997551" w:rsidRDefault="00F31DC5">
            <w:pPr>
              <w:pStyle w:val="Other0"/>
              <w:spacing w:after="60"/>
              <w:jc w:val="both"/>
              <w:rPr>
                <w:lang w:val="sq-AL"/>
              </w:rPr>
            </w:pPr>
            <w:r w:rsidRPr="00997551">
              <w:t xml:space="preserve">Ndryshimet hyjnë në fuqi nga </w:t>
            </w:r>
            <w:r w:rsidRPr="00997551">
              <w:rPr>
                <w:b/>
                <w:bCs/>
                <w:lang w:val="sq-AL"/>
              </w:rPr>
              <w:t xml:space="preserve">muaji </w:t>
            </w:r>
            <w:r w:rsidRPr="00997551">
              <w:rPr>
                <w:b/>
                <w:bCs/>
              </w:rPr>
              <w:t>mars i vitit 2025</w:t>
            </w:r>
            <w:r w:rsidRPr="00997551">
              <w:t xml:space="preserve">. Megjithatë, </w:t>
            </w:r>
            <w:r w:rsidRPr="00997551">
              <w:rPr>
                <w:lang w:val="sq-AL"/>
              </w:rPr>
              <w:t>ndryshimet</w:t>
            </w:r>
            <w:r w:rsidRPr="00997551">
              <w:t xml:space="preserve"> nuk do të </w:t>
            </w:r>
            <w:r w:rsidRPr="00997551">
              <w:rPr>
                <w:lang w:val="sq-AL"/>
              </w:rPr>
              <w:t>vlejnë</w:t>
            </w:r>
            <w:r w:rsidRPr="00997551">
              <w:t xml:space="preserve"> për anëtarët e </w:t>
            </w:r>
            <w:r w:rsidRPr="00997551">
              <w:rPr>
                <w:lang w:val="sq-AL"/>
              </w:rPr>
              <w:t>Këshillit</w:t>
            </w:r>
            <w:r w:rsidRPr="00997551">
              <w:t xml:space="preserve"> që aktualisht janë në detyrë deri në përfundimin e mandat</w:t>
            </w:r>
            <w:r w:rsidRPr="00997551">
              <w:rPr>
                <w:lang w:val="sq-AL"/>
              </w:rPr>
              <w:t>eve</w:t>
            </w:r>
            <w:r w:rsidRPr="00997551">
              <w:t xml:space="preserve"> të tyre. Anëtarët e </w:t>
            </w:r>
            <w:r w:rsidRPr="00997551">
              <w:rPr>
                <w:lang w:val="sq-AL"/>
              </w:rPr>
              <w:t>Këshillit</w:t>
            </w:r>
            <w:r w:rsidRPr="00997551">
              <w:t xml:space="preserve"> të </w:t>
            </w:r>
            <w:r w:rsidRPr="00997551">
              <w:rPr>
                <w:lang w:val="sq-AL"/>
              </w:rPr>
              <w:t>SHPSH</w:t>
            </w:r>
            <w:r w:rsidRPr="00997551">
              <w:t>-së u emëruan (në masë të madhe, nëse jo të gjithë) në vjeshtë</w:t>
            </w:r>
            <w:r w:rsidRPr="00997551">
              <w:rPr>
                <w:lang w:val="sq-AL"/>
              </w:rPr>
              <w:t xml:space="preserve"> të</w:t>
            </w:r>
            <w:r w:rsidRPr="00997551">
              <w:t xml:space="preserve"> vitit 2024, kur Qeveria e re mori detyrën. Kjo do të thotë se ndryshimet nuk do të ndikojnë në asnjë mënyrë (përfshirë edhe kompensimin) tek anëtarët aktualë të </w:t>
            </w:r>
            <w:r w:rsidRPr="00997551">
              <w:rPr>
                <w:lang w:val="sq-AL"/>
              </w:rPr>
              <w:t>Këshillit</w:t>
            </w:r>
            <w:r w:rsidRPr="00997551">
              <w:t xml:space="preserve"> të </w:t>
            </w:r>
            <w:r w:rsidRPr="00997551">
              <w:rPr>
                <w:lang w:val="sq-AL"/>
              </w:rPr>
              <w:t>SHPSH</w:t>
            </w:r>
            <w:r w:rsidRPr="00997551">
              <w:t>-së deri në vjeshtë</w:t>
            </w:r>
            <w:r w:rsidRPr="00997551">
              <w:rPr>
                <w:lang w:val="sq-AL"/>
              </w:rPr>
              <w:t xml:space="preserve"> të</w:t>
            </w:r>
            <w:r w:rsidRPr="00997551">
              <w:t xml:space="preserve"> vitit 2028. </w:t>
            </w:r>
            <w:r w:rsidRPr="00997551">
              <w:rPr>
                <w:lang w:val="sq-AL"/>
              </w:rPr>
              <w:t>Kjo d.m.th. se</w:t>
            </w:r>
            <w:r w:rsidRPr="00997551">
              <w:t xml:space="preserve"> ndikimi i vërtetë në terren pritet në tremujorin e tretë të vitit 2028.</w:t>
            </w:r>
          </w:p>
          <w:p w14:paraId="4D410E0B" w14:textId="50520482" w:rsidR="00423363" w:rsidRPr="00997551" w:rsidRDefault="00423363" w:rsidP="00423363">
            <w:pPr>
              <w:pStyle w:val="Other0"/>
              <w:spacing w:after="60"/>
              <w:jc w:val="both"/>
              <w:rPr>
                <w:lang w:val="en-GB"/>
              </w:rPr>
            </w:pPr>
            <w:r w:rsidRPr="00997551">
              <w:t xml:space="preserve">Me ndryshimet përcaktohet emërimi i anëtarëve të pavarur në </w:t>
            </w:r>
            <w:r w:rsidRPr="00997551">
              <w:rPr>
                <w:lang w:val="sq-AL"/>
              </w:rPr>
              <w:t xml:space="preserve">këshillat </w:t>
            </w:r>
            <w:r w:rsidRPr="00997551">
              <w:t xml:space="preserve"> </w:t>
            </w:r>
            <w:r w:rsidRPr="00997551">
              <w:rPr>
                <w:lang w:val="sq-AL"/>
              </w:rPr>
              <w:t>e</w:t>
            </w:r>
            <w:r w:rsidRPr="00997551">
              <w:t xml:space="preserve"> </w:t>
            </w:r>
            <w:r w:rsidRPr="00997551">
              <w:rPr>
                <w:lang w:val="sq-AL"/>
              </w:rPr>
              <w:t>SHPSH</w:t>
            </w:r>
            <w:r w:rsidRPr="00997551">
              <w:t xml:space="preserve">-së dhe </w:t>
            </w:r>
            <w:r w:rsidRPr="00997551">
              <w:rPr>
                <w:lang w:val="sq-AL"/>
              </w:rPr>
              <w:t>sjellen</w:t>
            </w:r>
            <w:r w:rsidRPr="00997551">
              <w:t xml:space="preserve"> kritere të reja për arsimimin dhe përvojën</w:t>
            </w:r>
            <w:r w:rsidRPr="00997551">
              <w:rPr>
                <w:lang w:val="sq-AL"/>
              </w:rPr>
              <w:t xml:space="preserve"> punuese</w:t>
            </w:r>
            <w:r w:rsidRPr="00997551">
              <w:t xml:space="preserve">. Priten përmirësime të mëtejshme të kritereve në lidhje me hapat pasues </w:t>
            </w:r>
            <w:r w:rsidRPr="00997551">
              <w:rPr>
                <w:lang w:val="sq-AL"/>
              </w:rPr>
              <w:t xml:space="preserve">në kuadër të </w:t>
            </w:r>
            <w:r w:rsidRPr="00997551">
              <w:t xml:space="preserve">fushës reformuese “Reforma </w:t>
            </w:r>
            <w:r w:rsidRPr="00997551">
              <w:rPr>
                <w:lang w:val="sq-AL"/>
              </w:rPr>
              <w:t>të</w:t>
            </w:r>
            <w:r w:rsidRPr="00997551">
              <w:t xml:space="preserve"> menaxhimit </w:t>
            </w:r>
            <w:r w:rsidRPr="00997551">
              <w:rPr>
                <w:lang w:val="sq-AL"/>
              </w:rPr>
              <w:t>me</w:t>
            </w:r>
            <w:r w:rsidRPr="00997551">
              <w:t xml:space="preserve"> ndërmarrje</w:t>
            </w:r>
            <w:r w:rsidRPr="00997551">
              <w:rPr>
                <w:lang w:val="sq-AL"/>
              </w:rPr>
              <w:t>t</w:t>
            </w:r>
            <w:r w:rsidRPr="00997551">
              <w:t xml:space="preserve"> në pronësi të shtetit me fokus </w:t>
            </w:r>
            <w:r w:rsidRPr="00997551">
              <w:rPr>
                <w:lang w:val="sq-AL"/>
              </w:rPr>
              <w:t>në</w:t>
            </w:r>
            <w:r w:rsidRPr="00997551">
              <w:t xml:space="preserve"> hekurudha dhe shërbime postare”, të cilat </w:t>
            </w:r>
            <w:r w:rsidRPr="00997551">
              <w:rPr>
                <w:lang w:val="sq-AL"/>
              </w:rPr>
              <w:t>kanë të bëjnë</w:t>
            </w:r>
            <w:r w:rsidRPr="00997551">
              <w:t xml:space="preserve"> me </w:t>
            </w:r>
            <w:r w:rsidRPr="00997551">
              <w:rPr>
                <w:lang w:val="sq-AL"/>
              </w:rPr>
              <w:t>menaxhimin</w:t>
            </w:r>
            <w:r w:rsidRPr="00997551">
              <w:t xml:space="preserve"> korporativ në </w:t>
            </w:r>
            <w:r w:rsidRPr="00997551">
              <w:rPr>
                <w:lang w:val="sq-AL"/>
              </w:rPr>
              <w:t>SHPSH</w:t>
            </w:r>
            <w:r w:rsidRPr="00997551">
              <w:t xml:space="preserve"> dhe </w:t>
            </w:r>
            <w:r w:rsidR="00401F81" w:rsidRPr="00997551">
              <w:rPr>
                <w:lang w:val="sq-AL"/>
              </w:rPr>
              <w:t xml:space="preserve">e </w:t>
            </w:r>
            <w:r w:rsidRPr="00997551">
              <w:t xml:space="preserve">vendosin bazën për </w:t>
            </w:r>
            <w:r w:rsidR="00401F81" w:rsidRPr="00997551">
              <w:rPr>
                <w:lang w:val="sq-AL"/>
              </w:rPr>
              <w:t>harmonizim</w:t>
            </w:r>
            <w:r w:rsidRPr="00997551">
              <w:t xml:space="preserve"> me parimet e O</w:t>
            </w:r>
            <w:r w:rsidR="00401F81" w:rsidRPr="00997551">
              <w:rPr>
                <w:lang w:val="sq-AL"/>
              </w:rPr>
              <w:t>EKZH</w:t>
            </w:r>
            <w:r w:rsidRPr="00997551">
              <w:t>-së në këtë fushë (</w:t>
            </w:r>
            <w:r w:rsidRPr="00997551">
              <w:rPr>
                <w:lang w:val="sq-AL"/>
              </w:rPr>
              <w:t>d.m.th</w:t>
            </w:r>
            <w:r w:rsidRPr="00997551">
              <w:t xml:space="preserve">, Udhëzimet e </w:t>
            </w:r>
            <w:r w:rsidR="00401F81" w:rsidRPr="00997551">
              <w:rPr>
                <w:lang w:val="sq-AL"/>
              </w:rPr>
              <w:t>OEKZH</w:t>
            </w:r>
            <w:r w:rsidRPr="00997551">
              <w:t xml:space="preserve">-së për </w:t>
            </w:r>
            <w:r w:rsidR="00401F81" w:rsidRPr="00997551">
              <w:rPr>
                <w:lang w:val="sq-AL"/>
              </w:rPr>
              <w:t>menaxhim</w:t>
            </w:r>
            <w:r w:rsidRPr="00997551">
              <w:t xml:space="preserve"> korporativ </w:t>
            </w:r>
            <w:r w:rsidR="00401F81" w:rsidRPr="00997551">
              <w:rPr>
                <w:lang w:val="sq-AL"/>
              </w:rPr>
              <w:t>me</w:t>
            </w:r>
            <w:r w:rsidRPr="00997551">
              <w:t xml:space="preserve"> ndërmarrje</w:t>
            </w:r>
            <w:r w:rsidR="00401F81" w:rsidRPr="00997551">
              <w:rPr>
                <w:lang w:val="sq-AL"/>
              </w:rPr>
              <w:t>t</w:t>
            </w:r>
            <w:r w:rsidRPr="00997551">
              <w:t xml:space="preserve"> në pronësi të shtetit).</w:t>
            </w:r>
            <w:r w:rsidRPr="00997551">
              <w:rPr>
                <w:lang w:val="sq-AL"/>
              </w:rPr>
              <w:t xml:space="preserve"> </w:t>
            </w:r>
            <w:proofErr w:type="spellStart"/>
            <w:r w:rsidRPr="00997551">
              <w:rPr>
                <w:lang w:val="en-GB"/>
              </w:rPr>
              <w:t>Organet</w:t>
            </w:r>
            <w:proofErr w:type="spellEnd"/>
            <w:r w:rsidRPr="00997551">
              <w:rPr>
                <w:lang w:val="en-GB"/>
              </w:rPr>
              <w:t xml:space="preserve"> </w:t>
            </w:r>
            <w:proofErr w:type="spellStart"/>
            <w:r w:rsidR="00401F81" w:rsidRPr="00997551">
              <w:rPr>
                <w:lang w:val="en-GB"/>
              </w:rPr>
              <w:t>kanë</w:t>
            </w:r>
            <w:proofErr w:type="spellEnd"/>
            <w:r w:rsidR="00401F81" w:rsidRPr="00997551">
              <w:rPr>
                <w:lang w:val="en-GB"/>
              </w:rPr>
              <w:t xml:space="preserve"> për qëllim</w:t>
            </w:r>
            <w:r w:rsidRPr="00997551">
              <w:rPr>
                <w:lang w:val="en-GB"/>
              </w:rPr>
              <w:t xml:space="preserve"> të </w:t>
            </w:r>
            <w:proofErr w:type="spellStart"/>
            <w:r w:rsidRPr="00997551">
              <w:rPr>
                <w:lang w:val="en-GB"/>
              </w:rPr>
              <w:t>angazhojnë</w:t>
            </w:r>
            <w:proofErr w:type="spellEnd"/>
            <w:r w:rsidRPr="00997551">
              <w:rPr>
                <w:lang w:val="en-GB"/>
              </w:rPr>
              <w:t xml:space="preserve"> </w:t>
            </w:r>
            <w:proofErr w:type="spellStart"/>
            <w:r w:rsidR="00401F81" w:rsidRPr="00997551">
              <w:rPr>
                <w:lang w:val="en-GB"/>
              </w:rPr>
              <w:t>ndihmë</w:t>
            </w:r>
            <w:proofErr w:type="spellEnd"/>
            <w:r w:rsidRPr="00997551">
              <w:rPr>
                <w:lang w:val="en-GB"/>
              </w:rPr>
              <w:t xml:space="preserve"> </w:t>
            </w:r>
            <w:proofErr w:type="spellStart"/>
            <w:r w:rsidRPr="00997551">
              <w:rPr>
                <w:lang w:val="en-GB"/>
              </w:rPr>
              <w:t>teknike</w:t>
            </w:r>
            <w:proofErr w:type="spellEnd"/>
            <w:r w:rsidRPr="00997551">
              <w:rPr>
                <w:lang w:val="en-GB"/>
              </w:rPr>
              <w:t xml:space="preserve"> </w:t>
            </w:r>
            <w:proofErr w:type="spellStart"/>
            <w:r w:rsidRPr="00997551">
              <w:rPr>
                <w:lang w:val="en-GB"/>
              </w:rPr>
              <w:t>nga</w:t>
            </w:r>
            <w:proofErr w:type="spellEnd"/>
            <w:r w:rsidRPr="00997551">
              <w:rPr>
                <w:lang w:val="en-GB"/>
              </w:rPr>
              <w:t xml:space="preserve"> BE për </w:t>
            </w:r>
            <w:proofErr w:type="spellStart"/>
            <w:r w:rsidRPr="00997551">
              <w:rPr>
                <w:lang w:val="en-GB"/>
              </w:rPr>
              <w:t>përfundimin</w:t>
            </w:r>
            <w:proofErr w:type="spellEnd"/>
            <w:r w:rsidRPr="00997551">
              <w:rPr>
                <w:lang w:val="en-GB"/>
              </w:rPr>
              <w:t xml:space="preserve"> e </w:t>
            </w:r>
            <w:proofErr w:type="spellStart"/>
            <w:r w:rsidRPr="00997551">
              <w:rPr>
                <w:lang w:val="en-GB"/>
              </w:rPr>
              <w:t>hapit</w:t>
            </w:r>
            <w:proofErr w:type="spellEnd"/>
            <w:r w:rsidRPr="00997551">
              <w:rPr>
                <w:lang w:val="en-GB"/>
              </w:rPr>
              <w:t xml:space="preserve"> të </w:t>
            </w:r>
            <w:proofErr w:type="spellStart"/>
            <w:r w:rsidRPr="00997551">
              <w:rPr>
                <w:lang w:val="en-GB"/>
              </w:rPr>
              <w:t>ardhshëm</w:t>
            </w:r>
            <w:proofErr w:type="spellEnd"/>
            <w:r w:rsidRPr="00997551">
              <w:rPr>
                <w:lang w:val="en-GB"/>
              </w:rPr>
              <w:t xml:space="preserve"> për </w:t>
            </w:r>
            <w:proofErr w:type="spellStart"/>
            <w:r w:rsidRPr="00997551">
              <w:rPr>
                <w:lang w:val="en-GB"/>
              </w:rPr>
              <w:t>Strategjinë</w:t>
            </w:r>
            <w:proofErr w:type="spellEnd"/>
            <w:r w:rsidRPr="00997551">
              <w:rPr>
                <w:lang w:val="en-GB"/>
              </w:rPr>
              <w:t xml:space="preserve"> e </w:t>
            </w:r>
            <w:proofErr w:type="spellStart"/>
            <w:r w:rsidRPr="00997551">
              <w:rPr>
                <w:lang w:val="en-GB"/>
              </w:rPr>
              <w:t>pronësisë</w:t>
            </w:r>
            <w:proofErr w:type="spellEnd"/>
            <w:r w:rsidRPr="00997551">
              <w:rPr>
                <w:lang w:val="en-GB"/>
              </w:rPr>
              <w:t xml:space="preserve"> </w:t>
            </w:r>
            <w:proofErr w:type="spellStart"/>
            <w:r w:rsidRPr="00997551">
              <w:rPr>
                <w:lang w:val="en-GB"/>
              </w:rPr>
              <w:t>shtetërore</w:t>
            </w:r>
            <w:proofErr w:type="spellEnd"/>
            <w:r w:rsidRPr="00997551">
              <w:rPr>
                <w:lang w:val="en-GB"/>
              </w:rPr>
              <w:t xml:space="preserve"> dhe </w:t>
            </w:r>
            <w:proofErr w:type="spellStart"/>
            <w:r w:rsidRPr="00997551">
              <w:rPr>
                <w:lang w:val="en-GB"/>
              </w:rPr>
              <w:t>Ligjin</w:t>
            </w:r>
            <w:proofErr w:type="spellEnd"/>
            <w:r w:rsidRPr="00997551">
              <w:rPr>
                <w:lang w:val="en-GB"/>
              </w:rPr>
              <w:t xml:space="preserve"> e </w:t>
            </w:r>
            <w:proofErr w:type="spellStart"/>
            <w:r w:rsidRPr="00997551">
              <w:rPr>
                <w:lang w:val="en-GB"/>
              </w:rPr>
              <w:t>ri</w:t>
            </w:r>
            <w:proofErr w:type="spellEnd"/>
            <w:r w:rsidRPr="00997551">
              <w:rPr>
                <w:lang w:val="en-GB"/>
              </w:rPr>
              <w:t xml:space="preserve"> për </w:t>
            </w:r>
            <w:proofErr w:type="spellStart"/>
            <w:r w:rsidR="00401F81" w:rsidRPr="00997551">
              <w:rPr>
                <w:lang w:val="en-GB"/>
              </w:rPr>
              <w:t>N</w:t>
            </w:r>
            <w:r w:rsidRPr="00997551">
              <w:rPr>
                <w:lang w:val="en-GB"/>
              </w:rPr>
              <w:t>dërmarrjet</w:t>
            </w:r>
            <w:proofErr w:type="spellEnd"/>
            <w:r w:rsidRPr="00997551">
              <w:rPr>
                <w:lang w:val="en-GB"/>
              </w:rPr>
              <w:t xml:space="preserve"> në </w:t>
            </w:r>
            <w:proofErr w:type="spellStart"/>
            <w:r w:rsidR="00401F81" w:rsidRPr="00997551">
              <w:rPr>
                <w:lang w:val="en-GB"/>
              </w:rPr>
              <w:t>P</w:t>
            </w:r>
            <w:r w:rsidRPr="00997551">
              <w:rPr>
                <w:lang w:val="en-GB"/>
              </w:rPr>
              <w:t>ronësi</w:t>
            </w:r>
            <w:proofErr w:type="spellEnd"/>
            <w:r w:rsidRPr="00997551">
              <w:rPr>
                <w:lang w:val="en-GB"/>
              </w:rPr>
              <w:t xml:space="preserve"> të </w:t>
            </w:r>
            <w:proofErr w:type="spellStart"/>
            <w:r w:rsidR="00401F81" w:rsidRPr="00997551">
              <w:rPr>
                <w:lang w:val="en-GB"/>
              </w:rPr>
              <w:t>S</w:t>
            </w:r>
            <w:r w:rsidRPr="00997551">
              <w:rPr>
                <w:lang w:val="en-GB"/>
              </w:rPr>
              <w:t>htetit</w:t>
            </w:r>
            <w:proofErr w:type="spellEnd"/>
            <w:r w:rsidRPr="00997551">
              <w:rPr>
                <w:lang w:val="en-GB"/>
              </w:rPr>
              <w:t xml:space="preserve"> (</w:t>
            </w:r>
            <w:proofErr w:type="spellStart"/>
            <w:r w:rsidRPr="00997551">
              <w:rPr>
                <w:lang w:val="en-GB"/>
              </w:rPr>
              <w:t>deri</w:t>
            </w:r>
            <w:proofErr w:type="spellEnd"/>
            <w:r w:rsidRPr="00997551">
              <w:rPr>
                <w:lang w:val="en-GB"/>
              </w:rPr>
              <w:t xml:space="preserve"> në </w:t>
            </w:r>
            <w:proofErr w:type="spellStart"/>
            <w:r w:rsidR="00401F81" w:rsidRPr="00997551">
              <w:rPr>
                <w:lang w:val="en-GB"/>
              </w:rPr>
              <w:t>muajin</w:t>
            </w:r>
            <w:proofErr w:type="spellEnd"/>
            <w:r w:rsidR="00401F81" w:rsidRPr="00997551">
              <w:rPr>
                <w:lang w:val="en-GB"/>
              </w:rPr>
              <w:t xml:space="preserve"> </w:t>
            </w:r>
            <w:proofErr w:type="spellStart"/>
            <w:r w:rsidRPr="00997551">
              <w:rPr>
                <w:lang w:val="en-GB"/>
              </w:rPr>
              <w:t>dhjetor</w:t>
            </w:r>
            <w:proofErr w:type="spellEnd"/>
            <w:r w:rsidR="00401F81" w:rsidRPr="00997551">
              <w:rPr>
                <w:lang w:val="en-GB"/>
              </w:rPr>
              <w:t xml:space="preserve"> të </w:t>
            </w:r>
            <w:proofErr w:type="spellStart"/>
            <w:r w:rsidR="00401F81" w:rsidRPr="00997551">
              <w:rPr>
                <w:lang w:val="en-GB"/>
              </w:rPr>
              <w:t>vitit</w:t>
            </w:r>
            <w:proofErr w:type="spellEnd"/>
            <w:r w:rsidRPr="00997551">
              <w:rPr>
                <w:lang w:val="en-GB"/>
              </w:rPr>
              <w:t xml:space="preserve"> 2025). Hapi </w:t>
            </w:r>
            <w:proofErr w:type="spellStart"/>
            <w:r w:rsidR="00401F81" w:rsidRPr="00997551">
              <w:rPr>
                <w:lang w:val="en-GB"/>
              </w:rPr>
              <w:t>vijues</w:t>
            </w:r>
            <w:proofErr w:type="spellEnd"/>
            <w:r w:rsidR="00401F81" w:rsidRPr="00997551">
              <w:rPr>
                <w:lang w:val="en-GB"/>
              </w:rPr>
              <w:t xml:space="preserve"> ka për qëllim</w:t>
            </w:r>
            <w:r w:rsidRPr="00997551">
              <w:rPr>
                <w:lang w:val="en-GB"/>
              </w:rPr>
              <w:t xml:space="preserve"> të </w:t>
            </w:r>
            <w:proofErr w:type="spellStart"/>
            <w:r w:rsidRPr="00997551">
              <w:rPr>
                <w:lang w:val="en-GB"/>
              </w:rPr>
              <w:t>vendosë</w:t>
            </w:r>
            <w:proofErr w:type="spellEnd"/>
            <w:r w:rsidRPr="00997551">
              <w:rPr>
                <w:lang w:val="en-GB"/>
              </w:rPr>
              <w:t xml:space="preserve"> </w:t>
            </w:r>
            <w:proofErr w:type="spellStart"/>
            <w:r w:rsidRPr="00997551">
              <w:rPr>
                <w:lang w:val="en-GB"/>
              </w:rPr>
              <w:t>sistem</w:t>
            </w:r>
            <w:proofErr w:type="spellEnd"/>
            <w:r w:rsidRPr="00997551">
              <w:rPr>
                <w:lang w:val="en-GB"/>
              </w:rPr>
              <w:t xml:space="preserve"> </w:t>
            </w:r>
            <w:r w:rsidR="00401F81" w:rsidRPr="00997551">
              <w:t xml:space="preserve">për lidhjen e </w:t>
            </w:r>
            <w:r w:rsidR="00401F81" w:rsidRPr="00997551">
              <w:rPr>
                <w:lang w:val="sq-AL"/>
              </w:rPr>
              <w:t>kompensimeve</w:t>
            </w:r>
            <w:r w:rsidR="00401F81" w:rsidRPr="00997551">
              <w:t xml:space="preserve"> të anëtarëve të pavarur të </w:t>
            </w:r>
            <w:r w:rsidR="00401F81" w:rsidRPr="00997551">
              <w:rPr>
                <w:lang w:val="sq-AL"/>
              </w:rPr>
              <w:t>këshillit</w:t>
            </w:r>
            <w:r w:rsidR="00401F81" w:rsidRPr="00997551">
              <w:t xml:space="preserve"> me performanc</w:t>
            </w:r>
            <w:r w:rsidR="00401F81" w:rsidRPr="00997551">
              <w:rPr>
                <w:lang w:val="sq-AL"/>
              </w:rPr>
              <w:t>a</w:t>
            </w:r>
            <w:r w:rsidR="00401F81" w:rsidRPr="00997551">
              <w:t xml:space="preserve"> financiare dhe efikasitetin e </w:t>
            </w:r>
            <w:r w:rsidR="00401F81" w:rsidRPr="00997551">
              <w:rPr>
                <w:lang w:val="sq-AL"/>
              </w:rPr>
              <w:t>SHPSH</w:t>
            </w:r>
            <w:r w:rsidR="00401F81" w:rsidRPr="00997551">
              <w:t>-së (deri në</w:t>
            </w:r>
            <w:r w:rsidR="00401F81" w:rsidRPr="00997551">
              <w:rPr>
                <w:lang w:val="sq-AL"/>
              </w:rPr>
              <w:t xml:space="preserve"> muajin</w:t>
            </w:r>
            <w:r w:rsidR="00401F81" w:rsidRPr="00997551">
              <w:t xml:space="preserve"> qershor </w:t>
            </w:r>
            <w:r w:rsidR="00401F81" w:rsidRPr="00997551">
              <w:rPr>
                <w:lang w:val="sq-AL"/>
              </w:rPr>
              <w:t>të vitit</w:t>
            </w:r>
            <w:r w:rsidR="00401F81" w:rsidRPr="00997551">
              <w:t>2026).</w:t>
            </w:r>
          </w:p>
          <w:p w14:paraId="2531E311" w14:textId="53C49B9B" w:rsidR="00423363" w:rsidRPr="00997551" w:rsidRDefault="00423363">
            <w:pPr>
              <w:pStyle w:val="Other0"/>
              <w:spacing w:after="60"/>
              <w:jc w:val="both"/>
              <w:rPr>
                <w:lang w:val="sq-AL"/>
              </w:rPr>
            </w:pPr>
          </w:p>
          <w:p w14:paraId="5CD0B6D2" w14:textId="73A24D3E" w:rsidR="00401F81" w:rsidRPr="00997551" w:rsidRDefault="00401F81">
            <w:pPr>
              <w:pStyle w:val="Other0"/>
              <w:spacing w:after="60"/>
              <w:jc w:val="both"/>
              <w:rPr>
                <w:rStyle w:val="Other"/>
                <w:lang w:val="sq-AL"/>
              </w:rPr>
            </w:pPr>
            <w:r w:rsidRPr="00997551">
              <w:rPr>
                <w:lang w:val="sq-AL"/>
              </w:rPr>
              <w:t>Për më tepër</w:t>
            </w:r>
            <w:r w:rsidRPr="00997551">
              <w:t xml:space="preserve">, procedura për emërimin e anëtarëve të </w:t>
            </w:r>
            <w:r w:rsidRPr="00997551">
              <w:rPr>
                <w:lang w:val="sq-AL"/>
              </w:rPr>
              <w:t>Këshillit</w:t>
            </w:r>
            <w:r w:rsidRPr="00997551">
              <w:t xml:space="preserve"> të drejtorëve ose të Këshillit mbikëqyrës në </w:t>
            </w:r>
            <w:r w:rsidRPr="00997551">
              <w:rPr>
                <w:lang w:val="sq-AL"/>
              </w:rPr>
              <w:t>SHPSH</w:t>
            </w:r>
            <w:r w:rsidRPr="00997551">
              <w:t xml:space="preserve"> nuk është e rregulluar </w:t>
            </w:r>
            <w:r w:rsidRPr="00997551">
              <w:rPr>
                <w:lang w:val="sq-AL"/>
              </w:rPr>
              <w:t xml:space="preserve">dhe </w:t>
            </w:r>
            <w:r w:rsidRPr="00997551">
              <w:t>as e</w:t>
            </w:r>
            <w:r w:rsidRPr="00997551">
              <w:rPr>
                <w:lang w:val="sq-AL"/>
              </w:rPr>
              <w:t xml:space="preserve"> përshkruar</w:t>
            </w:r>
            <w:r w:rsidRPr="00997551">
              <w:t>, ashtu siç nuk është as procedura për vlerësimin/evaluimin e punës së anëtarëve (dhe kritere</w:t>
            </w:r>
            <w:r w:rsidRPr="00997551">
              <w:rPr>
                <w:lang w:val="sq-AL"/>
              </w:rPr>
              <w:t>t</w:t>
            </w:r>
            <w:r w:rsidRPr="00997551">
              <w:t xml:space="preserve"> për shkarkim). </w:t>
            </w:r>
            <w:r w:rsidRPr="00997551">
              <w:rPr>
                <w:lang w:val="sq-AL"/>
              </w:rPr>
              <w:t>Këshillat e</w:t>
            </w:r>
            <w:r w:rsidRPr="00997551">
              <w:t xml:space="preserve"> </w:t>
            </w:r>
            <w:r w:rsidRPr="00997551">
              <w:rPr>
                <w:lang w:val="sq-AL"/>
              </w:rPr>
              <w:t>SHPSH</w:t>
            </w:r>
            <w:r w:rsidRPr="00997551">
              <w:t xml:space="preserve">-së duhet, nën mbikëqyrjen </w:t>
            </w:r>
            <w:r w:rsidRPr="00997551">
              <w:rPr>
                <w:lang w:val="sq-AL"/>
              </w:rPr>
              <w:t>të</w:t>
            </w:r>
            <w:r w:rsidRPr="00997551">
              <w:t xml:space="preserve"> kryetarit, të kryejnë rregullisht </w:t>
            </w:r>
            <w:r w:rsidRPr="00997551">
              <w:rPr>
                <w:lang w:val="sq-AL"/>
              </w:rPr>
              <w:t xml:space="preserve">evaluim </w:t>
            </w:r>
            <w:r w:rsidRPr="00997551">
              <w:t xml:space="preserve"> </w:t>
            </w:r>
            <w:r w:rsidRPr="00997551">
              <w:rPr>
                <w:lang w:val="sq-AL"/>
              </w:rPr>
              <w:t xml:space="preserve">të </w:t>
            </w:r>
            <w:r w:rsidRPr="00997551">
              <w:t xml:space="preserve">strukturuar mirë për </w:t>
            </w:r>
            <w:r w:rsidRPr="00997551">
              <w:rPr>
                <w:lang w:val="sq-AL"/>
              </w:rPr>
              <w:t>t’i vlerësuar</w:t>
            </w:r>
            <w:r w:rsidRPr="00997551">
              <w:t xml:space="preserve"> performancat dhe efikasitetin e tyre, </w:t>
            </w:r>
            <w:r w:rsidRPr="00997551">
              <w:rPr>
                <w:lang w:val="sq-AL"/>
              </w:rPr>
              <w:t>dhe të vlerësojnë</w:t>
            </w:r>
            <w:r w:rsidRPr="00997551">
              <w:t xml:space="preserve"> nëse</w:t>
            </w:r>
            <w:r w:rsidRPr="00997551">
              <w:rPr>
                <w:lang w:val="sq-AL"/>
              </w:rPr>
              <w:t xml:space="preserve"> në mënyrë kolektive posedojnë</w:t>
            </w:r>
            <w:r w:rsidRPr="00997551">
              <w:t xml:space="preserve"> kombinim </w:t>
            </w:r>
            <w:r w:rsidRPr="00997551">
              <w:rPr>
                <w:lang w:val="sq-AL"/>
              </w:rPr>
              <w:t>përkatës të eksperiencës</w:t>
            </w:r>
            <w:r w:rsidRPr="00997551">
              <w:t xml:space="preserve"> dhe kompetencave, duke përfshirë edhe aspektin gjinor.</w:t>
            </w:r>
            <w:r w:rsidRPr="00997551">
              <w:br/>
              <w:t xml:space="preserve">Këto aspekte duhet </w:t>
            </w:r>
            <w:r w:rsidRPr="00997551">
              <w:rPr>
                <w:lang w:val="sq-AL"/>
              </w:rPr>
              <w:t xml:space="preserve">të shqyrëtohen duke marrë parasysh hapat  të cilat </w:t>
            </w:r>
            <w:r w:rsidRPr="00997551">
              <w:t>duhe</w:t>
            </w:r>
            <w:r w:rsidRPr="00997551">
              <w:rPr>
                <w:lang w:val="sq-AL"/>
              </w:rPr>
              <w:t>n</w:t>
            </w:r>
            <w:r w:rsidRPr="00997551">
              <w:t xml:space="preserve"> të përfundo</w:t>
            </w:r>
            <w:r w:rsidRPr="00997551">
              <w:rPr>
                <w:lang w:val="sq-AL"/>
              </w:rPr>
              <w:t>hen</w:t>
            </w:r>
            <w:r w:rsidRPr="00997551">
              <w:t xml:space="preserve"> deri në</w:t>
            </w:r>
            <w:r w:rsidRPr="00997551">
              <w:rPr>
                <w:lang w:val="sq-AL"/>
              </w:rPr>
              <w:t xml:space="preserve"> muajin</w:t>
            </w:r>
            <w:r w:rsidRPr="00997551">
              <w:t xml:space="preserve"> dhjetor </w:t>
            </w:r>
            <w:r w:rsidRPr="00997551">
              <w:rPr>
                <w:lang w:val="sq-AL"/>
              </w:rPr>
              <w:t xml:space="preserve">të vitit </w:t>
            </w:r>
            <w:r w:rsidRPr="00997551">
              <w:t xml:space="preserve">2026, </w:t>
            </w:r>
            <w:r w:rsidRPr="00997551">
              <w:rPr>
                <w:lang w:val="sq-AL"/>
              </w:rPr>
              <w:t>gjë që</w:t>
            </w:r>
            <w:r w:rsidRPr="00997551">
              <w:t xml:space="preserve"> kërkojnë që 100 % e anëtarëve të rinj të </w:t>
            </w:r>
            <w:r w:rsidRPr="00997551">
              <w:rPr>
                <w:lang w:val="sq-AL"/>
              </w:rPr>
              <w:t>këshillave</w:t>
            </w:r>
            <w:r w:rsidRPr="00997551">
              <w:t xml:space="preserve"> të </w:t>
            </w:r>
            <w:r w:rsidR="001B2FEB" w:rsidRPr="00997551">
              <w:rPr>
                <w:lang w:val="sq-AL"/>
              </w:rPr>
              <w:t>shoqatave</w:t>
            </w:r>
            <w:r w:rsidRPr="00997551">
              <w:t xml:space="preserve"> në pronësi të shtetit dhe të </w:t>
            </w:r>
            <w:r w:rsidR="001B2FEB" w:rsidRPr="00997551">
              <w:rPr>
                <w:lang w:val="sq-AL"/>
              </w:rPr>
              <w:t>SHPSH</w:t>
            </w:r>
            <w:r w:rsidRPr="00997551">
              <w:t>-ve të jenë</w:t>
            </w:r>
            <w:r w:rsidR="001B2FEB" w:rsidRPr="00997551">
              <w:rPr>
                <w:lang w:val="sq-AL"/>
              </w:rPr>
              <w:t xml:space="preserve"> çështje</w:t>
            </w:r>
            <w:r w:rsidRPr="00997551">
              <w:t xml:space="preserve"> </w:t>
            </w:r>
            <w:r w:rsidR="001B2FEB" w:rsidRPr="00997551">
              <w:rPr>
                <w:lang w:val="sq-AL"/>
              </w:rPr>
              <w:t xml:space="preserve">të </w:t>
            </w:r>
            <w:r w:rsidRPr="00997551">
              <w:t xml:space="preserve">proceseve të hapura, të pavarura dhe të bazuara në merita. 100 % </w:t>
            </w:r>
            <w:r w:rsidR="001B2FEB" w:rsidRPr="00997551">
              <w:rPr>
                <w:lang w:val="sq-AL"/>
              </w:rPr>
              <w:t>nga</w:t>
            </w:r>
            <w:r w:rsidRPr="00997551">
              <w:t xml:space="preserve"> anëtarë</w:t>
            </w:r>
            <w:r w:rsidR="001B2FEB" w:rsidRPr="00997551">
              <w:rPr>
                <w:lang w:val="sq-AL"/>
              </w:rPr>
              <w:t>t</w:t>
            </w:r>
            <w:r w:rsidRPr="00997551">
              <w:t xml:space="preserve"> ekzistues të </w:t>
            </w:r>
            <w:r w:rsidR="001B2FEB" w:rsidRPr="00997551">
              <w:rPr>
                <w:lang w:val="sq-AL"/>
              </w:rPr>
              <w:t>këshillave janë</w:t>
            </w:r>
            <w:r w:rsidRPr="00997551">
              <w:t xml:space="preserve"> </w:t>
            </w:r>
            <w:r w:rsidR="001B2FEB" w:rsidRPr="00997551">
              <w:rPr>
                <w:lang w:val="sq-AL"/>
              </w:rPr>
              <w:t xml:space="preserve"> lëndë e vlerësimit të sërishëm</w:t>
            </w:r>
            <w:r w:rsidRPr="00997551">
              <w:t>.</w:t>
            </w:r>
          </w:p>
          <w:p w14:paraId="6FECB715" w14:textId="77777777" w:rsidR="00401F81" w:rsidRPr="00997551" w:rsidRDefault="00401F81">
            <w:pPr>
              <w:pStyle w:val="Other0"/>
              <w:spacing w:after="60"/>
              <w:jc w:val="both"/>
              <w:rPr>
                <w:lang w:val="sq-AL"/>
              </w:rPr>
            </w:pPr>
          </w:p>
          <w:p w14:paraId="51C61D2F" w14:textId="606082BF" w:rsidR="001B2FEB" w:rsidRPr="00997551" w:rsidRDefault="001B2FEB" w:rsidP="001B2FEB">
            <w:pPr>
              <w:pStyle w:val="Other0"/>
              <w:spacing w:after="60"/>
              <w:jc w:val="both"/>
              <w:rPr>
                <w:lang w:val="en-GB"/>
              </w:rPr>
            </w:pPr>
            <w:r w:rsidRPr="00997551">
              <w:rPr>
                <w:lang w:val="en-GB"/>
              </w:rPr>
              <w:t xml:space="preserve">Për </w:t>
            </w:r>
            <w:proofErr w:type="spellStart"/>
            <w:r w:rsidRPr="00997551">
              <w:rPr>
                <w:lang w:val="en-GB"/>
              </w:rPr>
              <w:t>kundër</w:t>
            </w:r>
            <w:proofErr w:type="spellEnd"/>
            <w:r w:rsidRPr="00997551">
              <w:rPr>
                <w:lang w:val="en-GB"/>
              </w:rPr>
              <w:t xml:space="preserve"> </w:t>
            </w:r>
            <w:proofErr w:type="spellStart"/>
            <w:r w:rsidRPr="00997551">
              <w:rPr>
                <w:lang w:val="en-GB"/>
              </w:rPr>
              <w:t>kësaj</w:t>
            </w:r>
            <w:proofErr w:type="spellEnd"/>
            <w:r w:rsidRPr="00997551">
              <w:rPr>
                <w:lang w:val="en-GB"/>
              </w:rPr>
              <w:t xml:space="preserve">, Maqedonia e Veriut duhet të </w:t>
            </w:r>
            <w:proofErr w:type="spellStart"/>
            <w:r w:rsidRPr="00997551">
              <w:rPr>
                <w:lang w:val="en-GB"/>
              </w:rPr>
              <w:t>sigurojë</w:t>
            </w:r>
            <w:proofErr w:type="spellEnd"/>
            <w:r w:rsidRPr="00997551">
              <w:rPr>
                <w:lang w:val="en-GB"/>
              </w:rPr>
              <w:t xml:space="preserve"> </w:t>
            </w:r>
            <w:proofErr w:type="spellStart"/>
            <w:r w:rsidRPr="00997551">
              <w:rPr>
                <w:lang w:val="en-GB"/>
              </w:rPr>
              <w:t>përfshirjen</w:t>
            </w:r>
            <w:proofErr w:type="spellEnd"/>
            <w:r w:rsidRPr="00997551">
              <w:rPr>
                <w:lang w:val="en-GB"/>
              </w:rPr>
              <w:t xml:space="preserve"> e </w:t>
            </w:r>
            <w:proofErr w:type="spellStart"/>
            <w:r w:rsidRPr="00997551">
              <w:rPr>
                <w:lang w:val="en-GB"/>
              </w:rPr>
              <w:t>dispozitave</w:t>
            </w:r>
            <w:proofErr w:type="spellEnd"/>
            <w:r w:rsidRPr="00997551">
              <w:rPr>
                <w:lang w:val="en-GB"/>
              </w:rPr>
              <w:t xml:space="preserve"> me të </w:t>
            </w:r>
            <w:proofErr w:type="spellStart"/>
            <w:r w:rsidRPr="00997551">
              <w:rPr>
                <w:lang w:val="en-GB"/>
              </w:rPr>
              <w:t>cilat</w:t>
            </w:r>
            <w:proofErr w:type="spellEnd"/>
            <w:r w:rsidRPr="00997551">
              <w:rPr>
                <w:lang w:val="en-GB"/>
              </w:rPr>
              <w:t xml:space="preserve"> </w:t>
            </w:r>
            <w:proofErr w:type="spellStart"/>
            <w:r w:rsidRPr="00997551">
              <w:rPr>
                <w:lang w:val="en-GB"/>
              </w:rPr>
              <w:t>kishllat</w:t>
            </w:r>
            <w:proofErr w:type="spellEnd"/>
            <w:r w:rsidRPr="00997551">
              <w:rPr>
                <w:lang w:val="en-GB"/>
              </w:rPr>
              <w:t xml:space="preserve"> e SHPSH-</w:t>
            </w:r>
            <w:proofErr w:type="spellStart"/>
            <w:r w:rsidRPr="00997551">
              <w:rPr>
                <w:lang w:val="en-GB"/>
              </w:rPr>
              <w:t>ve</w:t>
            </w:r>
            <w:proofErr w:type="spellEnd"/>
            <w:r w:rsidRPr="00997551">
              <w:rPr>
                <w:lang w:val="en-GB"/>
              </w:rPr>
              <w:t xml:space="preserve"> do të </w:t>
            </w:r>
            <w:proofErr w:type="spellStart"/>
            <w:r w:rsidRPr="00997551">
              <w:rPr>
                <w:lang w:val="en-GB"/>
              </w:rPr>
              <w:t>kenë</w:t>
            </w:r>
            <w:proofErr w:type="spellEnd"/>
            <w:r w:rsidRPr="00997551">
              <w:rPr>
                <w:lang w:val="en-GB"/>
              </w:rPr>
              <w:t xml:space="preserve"> </w:t>
            </w:r>
            <w:proofErr w:type="spellStart"/>
            <w:r w:rsidRPr="00997551">
              <w:rPr>
                <w:lang w:val="en-GB"/>
              </w:rPr>
              <w:t>kompetencat</w:t>
            </w:r>
            <w:proofErr w:type="spellEnd"/>
            <w:r w:rsidRPr="00997551">
              <w:rPr>
                <w:lang w:val="en-GB"/>
              </w:rPr>
              <w:t xml:space="preserve">, </w:t>
            </w:r>
            <w:proofErr w:type="spellStart"/>
            <w:r w:rsidRPr="00997551">
              <w:rPr>
                <w:lang w:val="en-GB"/>
              </w:rPr>
              <w:t>autorizimet</w:t>
            </w:r>
            <w:proofErr w:type="spellEnd"/>
            <w:r w:rsidRPr="00997551">
              <w:rPr>
                <w:lang w:val="en-GB"/>
              </w:rPr>
              <w:t xml:space="preserve"> dhe </w:t>
            </w:r>
            <w:proofErr w:type="spellStart"/>
            <w:r w:rsidRPr="00997551">
              <w:rPr>
                <w:lang w:val="en-GB"/>
              </w:rPr>
              <w:t>objektivitetin</w:t>
            </w:r>
            <w:proofErr w:type="spellEnd"/>
            <w:r w:rsidRPr="00997551">
              <w:rPr>
                <w:lang w:val="en-GB"/>
              </w:rPr>
              <w:t xml:space="preserve"> e </w:t>
            </w:r>
            <w:proofErr w:type="spellStart"/>
            <w:r w:rsidRPr="00997551">
              <w:rPr>
                <w:lang w:val="en-GB"/>
              </w:rPr>
              <w:t>nevojshëm</w:t>
            </w:r>
            <w:proofErr w:type="spellEnd"/>
            <w:r w:rsidRPr="00997551">
              <w:rPr>
                <w:lang w:val="en-GB"/>
              </w:rPr>
              <w:t xml:space="preserve"> për </w:t>
            </w:r>
            <w:proofErr w:type="spellStart"/>
            <w:r w:rsidRPr="00997551">
              <w:rPr>
                <w:lang w:val="en-GB"/>
              </w:rPr>
              <w:t>ti</w:t>
            </w:r>
            <w:proofErr w:type="spellEnd"/>
            <w:r w:rsidRPr="00997551">
              <w:rPr>
                <w:lang w:val="en-GB"/>
              </w:rPr>
              <w:t xml:space="preserve"> </w:t>
            </w:r>
            <w:proofErr w:type="spellStart"/>
            <w:r w:rsidRPr="00997551">
              <w:rPr>
                <w:lang w:val="en-GB"/>
              </w:rPr>
              <w:t>realizuar</w:t>
            </w:r>
            <w:proofErr w:type="spellEnd"/>
            <w:r w:rsidRPr="00997551">
              <w:rPr>
                <w:lang w:val="en-GB"/>
              </w:rPr>
              <w:t xml:space="preserve"> </w:t>
            </w:r>
            <w:proofErr w:type="spellStart"/>
            <w:r w:rsidRPr="00997551">
              <w:rPr>
                <w:lang w:val="en-GB"/>
              </w:rPr>
              <w:t>funksionet</w:t>
            </w:r>
            <w:proofErr w:type="spellEnd"/>
            <w:r w:rsidRPr="00997551">
              <w:rPr>
                <w:lang w:val="en-GB"/>
              </w:rPr>
              <w:t xml:space="preserve"> e tyre të </w:t>
            </w:r>
            <w:proofErr w:type="spellStart"/>
            <w:r w:rsidRPr="00997551">
              <w:rPr>
                <w:lang w:val="en-GB"/>
              </w:rPr>
              <w:t>udhëheqësisë</w:t>
            </w:r>
            <w:proofErr w:type="spellEnd"/>
            <w:r w:rsidRPr="00997551">
              <w:rPr>
                <w:lang w:val="en-GB"/>
              </w:rPr>
              <w:t xml:space="preserve"> </w:t>
            </w:r>
            <w:proofErr w:type="spellStart"/>
            <w:r w:rsidRPr="00997551">
              <w:rPr>
                <w:lang w:val="en-GB"/>
              </w:rPr>
              <w:t>strategjike</w:t>
            </w:r>
            <w:proofErr w:type="spellEnd"/>
            <w:r w:rsidRPr="00997551">
              <w:rPr>
                <w:lang w:val="en-GB"/>
              </w:rPr>
              <w:t xml:space="preserve">, </w:t>
            </w:r>
            <w:proofErr w:type="spellStart"/>
            <w:r w:rsidRPr="00997551">
              <w:rPr>
                <w:lang w:val="en-GB"/>
              </w:rPr>
              <w:t>mbikëqyrjes</w:t>
            </w:r>
            <w:proofErr w:type="spellEnd"/>
            <w:r w:rsidRPr="00997551">
              <w:rPr>
                <w:lang w:val="en-GB"/>
              </w:rPr>
              <w:t xml:space="preserve"> së </w:t>
            </w:r>
            <w:proofErr w:type="spellStart"/>
            <w:r w:rsidRPr="00997551">
              <w:rPr>
                <w:lang w:val="en-GB"/>
              </w:rPr>
              <w:t>menaxhimit</w:t>
            </w:r>
            <w:proofErr w:type="spellEnd"/>
            <w:r w:rsidRPr="00997551">
              <w:rPr>
                <w:lang w:val="en-GB"/>
              </w:rPr>
              <w:t xml:space="preserve"> të </w:t>
            </w:r>
            <w:proofErr w:type="spellStart"/>
            <w:r w:rsidRPr="00997551">
              <w:rPr>
                <w:lang w:val="en-GB"/>
              </w:rPr>
              <w:t>rreziqeve</w:t>
            </w:r>
            <w:proofErr w:type="spellEnd"/>
            <w:r w:rsidRPr="00997551">
              <w:rPr>
                <w:lang w:val="en-GB"/>
              </w:rPr>
              <w:t xml:space="preserve"> dhe </w:t>
            </w:r>
            <w:proofErr w:type="spellStart"/>
            <w:r w:rsidRPr="00997551">
              <w:rPr>
                <w:lang w:val="en-GB"/>
              </w:rPr>
              <w:t>monitorimin</w:t>
            </w:r>
            <w:proofErr w:type="spellEnd"/>
            <w:r w:rsidRPr="00997551">
              <w:rPr>
                <w:lang w:val="en-GB"/>
              </w:rPr>
              <w:t xml:space="preserve"> e </w:t>
            </w:r>
            <w:proofErr w:type="spellStart"/>
            <w:r w:rsidRPr="00997551">
              <w:rPr>
                <w:lang w:val="en-GB"/>
              </w:rPr>
              <w:t>menaxhimit</w:t>
            </w:r>
            <w:proofErr w:type="spellEnd"/>
            <w:r w:rsidRPr="00997551">
              <w:rPr>
                <w:lang w:val="en-GB"/>
              </w:rPr>
              <w:t xml:space="preserve">. Ata duhet të </w:t>
            </w:r>
            <w:proofErr w:type="spellStart"/>
            <w:r w:rsidRPr="00997551">
              <w:rPr>
                <w:lang w:val="en-GB"/>
              </w:rPr>
              <w:t>veprojnë</w:t>
            </w:r>
            <w:proofErr w:type="spellEnd"/>
            <w:r w:rsidRPr="00997551">
              <w:rPr>
                <w:lang w:val="en-GB"/>
              </w:rPr>
              <w:t xml:space="preserve"> me </w:t>
            </w:r>
            <w:proofErr w:type="spellStart"/>
            <w:r w:rsidRPr="00997551">
              <w:rPr>
                <w:lang w:val="en-GB"/>
              </w:rPr>
              <w:t>integritet</w:t>
            </w:r>
            <w:proofErr w:type="spellEnd"/>
            <w:r w:rsidRPr="00997551">
              <w:rPr>
                <w:lang w:val="en-GB"/>
              </w:rPr>
              <w:t xml:space="preserve"> dhe ta </w:t>
            </w:r>
            <w:proofErr w:type="spellStart"/>
            <w:r w:rsidRPr="00997551">
              <w:rPr>
                <w:lang w:val="en-GB"/>
              </w:rPr>
              <w:t>promovojnë</w:t>
            </w:r>
            <w:proofErr w:type="spellEnd"/>
            <w:r w:rsidRPr="00997551">
              <w:rPr>
                <w:lang w:val="en-GB"/>
              </w:rPr>
              <w:t xml:space="preserve"> atë, </w:t>
            </w:r>
            <w:proofErr w:type="spellStart"/>
            <w:r w:rsidRPr="00997551">
              <w:rPr>
                <w:lang w:val="en-GB"/>
              </w:rPr>
              <w:t>si</w:t>
            </w:r>
            <w:proofErr w:type="spellEnd"/>
            <w:r w:rsidRPr="00997551">
              <w:rPr>
                <w:lang w:val="en-GB"/>
              </w:rPr>
              <w:t xml:space="preserve"> dhe të jenë </w:t>
            </w:r>
            <w:proofErr w:type="spellStart"/>
            <w:r w:rsidRPr="00997551">
              <w:rPr>
                <w:lang w:val="en-GB"/>
              </w:rPr>
              <w:t>përgjegjës</w:t>
            </w:r>
            <w:proofErr w:type="spellEnd"/>
            <w:r w:rsidRPr="00997551">
              <w:rPr>
                <w:lang w:val="en-GB"/>
              </w:rPr>
              <w:t xml:space="preserve"> për </w:t>
            </w:r>
            <w:proofErr w:type="spellStart"/>
            <w:r w:rsidRPr="00997551">
              <w:rPr>
                <w:lang w:val="en-GB"/>
              </w:rPr>
              <w:t>veprimet</w:t>
            </w:r>
            <w:proofErr w:type="spellEnd"/>
            <w:r w:rsidRPr="00997551">
              <w:rPr>
                <w:lang w:val="en-GB"/>
              </w:rPr>
              <w:t xml:space="preserve"> e tyre.</w:t>
            </w:r>
          </w:p>
          <w:p w14:paraId="385A6FDD" w14:textId="4E7AE553" w:rsidR="001B2FEB" w:rsidRPr="00997551" w:rsidRDefault="001B2FEB" w:rsidP="001B2FEB">
            <w:pPr>
              <w:pStyle w:val="Other0"/>
              <w:spacing w:after="60"/>
              <w:jc w:val="both"/>
              <w:rPr>
                <w:lang w:val="en-GB"/>
              </w:rPr>
            </w:pPr>
            <w:r w:rsidRPr="00997551">
              <w:rPr>
                <w:lang w:val="en-GB"/>
              </w:rPr>
              <w:t xml:space="preserve">Në këtë </w:t>
            </w:r>
            <w:proofErr w:type="spellStart"/>
            <w:r w:rsidRPr="00997551">
              <w:rPr>
                <w:lang w:val="en-GB"/>
              </w:rPr>
              <w:t>drejtim</w:t>
            </w:r>
            <w:proofErr w:type="spellEnd"/>
            <w:r w:rsidRPr="00997551">
              <w:rPr>
                <w:lang w:val="en-GB"/>
              </w:rPr>
              <w:t xml:space="preserve">, </w:t>
            </w:r>
            <w:proofErr w:type="spellStart"/>
            <w:r w:rsidRPr="00997551">
              <w:rPr>
                <w:lang w:val="en-GB"/>
              </w:rPr>
              <w:t>përbërja</w:t>
            </w:r>
            <w:proofErr w:type="spellEnd"/>
            <w:r w:rsidRPr="00997551">
              <w:rPr>
                <w:lang w:val="en-GB"/>
              </w:rPr>
              <w:t xml:space="preserve"> e </w:t>
            </w:r>
            <w:proofErr w:type="spellStart"/>
            <w:r w:rsidRPr="00997551">
              <w:rPr>
                <w:lang w:val="en-GB"/>
              </w:rPr>
              <w:t>këshillave</w:t>
            </w:r>
            <w:proofErr w:type="spellEnd"/>
            <w:r w:rsidRPr="00997551">
              <w:rPr>
                <w:lang w:val="en-GB"/>
              </w:rPr>
              <w:t xml:space="preserve"> të SHPSH-</w:t>
            </w:r>
            <w:proofErr w:type="spellStart"/>
            <w:r w:rsidRPr="00997551">
              <w:rPr>
                <w:lang w:val="en-GB"/>
              </w:rPr>
              <w:t>ve</w:t>
            </w:r>
            <w:proofErr w:type="spellEnd"/>
            <w:r w:rsidRPr="00997551">
              <w:rPr>
                <w:lang w:val="en-GB"/>
              </w:rPr>
              <w:t xml:space="preserve"> duhet të </w:t>
            </w:r>
            <w:proofErr w:type="spellStart"/>
            <w:r w:rsidRPr="00997551">
              <w:rPr>
                <w:lang w:val="en-GB"/>
              </w:rPr>
              <w:t>mundësojë</w:t>
            </w:r>
            <w:proofErr w:type="spellEnd"/>
            <w:r w:rsidRPr="00997551">
              <w:rPr>
                <w:lang w:val="en-GB"/>
              </w:rPr>
              <w:t xml:space="preserve"> </w:t>
            </w:r>
            <w:proofErr w:type="spellStart"/>
            <w:r w:rsidRPr="00997551">
              <w:rPr>
                <w:lang w:val="en-GB"/>
              </w:rPr>
              <w:t>kryerjen</w:t>
            </w:r>
            <w:proofErr w:type="spellEnd"/>
            <w:r w:rsidRPr="00997551">
              <w:rPr>
                <w:lang w:val="en-GB"/>
              </w:rPr>
              <w:t xml:space="preserve"> e </w:t>
            </w:r>
            <w:proofErr w:type="spellStart"/>
            <w:r w:rsidRPr="00997551">
              <w:rPr>
                <w:lang w:val="en-GB"/>
              </w:rPr>
              <w:t>vlerësimit</w:t>
            </w:r>
            <w:proofErr w:type="spellEnd"/>
            <w:r w:rsidRPr="00997551">
              <w:rPr>
                <w:lang w:val="en-GB"/>
              </w:rPr>
              <w:t xml:space="preserve"> </w:t>
            </w:r>
            <w:proofErr w:type="spellStart"/>
            <w:r w:rsidRPr="00997551">
              <w:rPr>
                <w:lang w:val="en-GB"/>
              </w:rPr>
              <w:t>objektiv</w:t>
            </w:r>
            <w:proofErr w:type="spellEnd"/>
            <w:r w:rsidRPr="00997551">
              <w:rPr>
                <w:lang w:val="en-GB"/>
              </w:rPr>
              <w:t xml:space="preserve"> dhe të </w:t>
            </w:r>
            <w:proofErr w:type="spellStart"/>
            <w:r w:rsidRPr="00997551">
              <w:rPr>
                <w:lang w:val="en-GB"/>
              </w:rPr>
              <w:t>pavarur</w:t>
            </w:r>
            <w:proofErr w:type="spellEnd"/>
            <w:r w:rsidRPr="00997551">
              <w:rPr>
                <w:lang w:val="en-GB"/>
              </w:rPr>
              <w:t xml:space="preserve">. Të </w:t>
            </w:r>
            <w:proofErr w:type="spellStart"/>
            <w:r w:rsidRPr="00997551">
              <w:rPr>
                <w:lang w:val="en-GB"/>
              </w:rPr>
              <w:t>gjithë</w:t>
            </w:r>
            <w:proofErr w:type="spellEnd"/>
            <w:r w:rsidRPr="00997551">
              <w:rPr>
                <w:lang w:val="en-GB"/>
              </w:rPr>
              <w:t xml:space="preserve"> </w:t>
            </w:r>
            <w:proofErr w:type="spellStart"/>
            <w:r w:rsidRPr="00997551">
              <w:rPr>
                <w:lang w:val="en-GB"/>
              </w:rPr>
              <w:t>anëtarët</w:t>
            </w:r>
            <w:proofErr w:type="spellEnd"/>
            <w:r w:rsidRPr="00997551">
              <w:rPr>
                <w:lang w:val="en-GB"/>
              </w:rPr>
              <w:t xml:space="preserve"> e </w:t>
            </w:r>
            <w:proofErr w:type="spellStart"/>
            <w:r w:rsidRPr="00997551">
              <w:rPr>
                <w:lang w:val="en-GB"/>
              </w:rPr>
              <w:t>këshillit</w:t>
            </w:r>
            <w:proofErr w:type="spellEnd"/>
            <w:r w:rsidRPr="00997551">
              <w:rPr>
                <w:lang w:val="en-GB"/>
              </w:rPr>
              <w:t xml:space="preserve">, </w:t>
            </w:r>
            <w:proofErr w:type="spellStart"/>
            <w:r w:rsidRPr="00997551">
              <w:rPr>
                <w:lang w:val="en-GB"/>
              </w:rPr>
              <w:t>përfshirë</w:t>
            </w:r>
            <w:proofErr w:type="spellEnd"/>
            <w:r w:rsidRPr="00997551">
              <w:rPr>
                <w:lang w:val="en-GB"/>
              </w:rPr>
              <w:t xml:space="preserve"> të </w:t>
            </w:r>
            <w:proofErr w:type="spellStart"/>
            <w:r w:rsidRPr="00997551">
              <w:rPr>
                <w:lang w:val="en-GB"/>
              </w:rPr>
              <w:t>gjithë</w:t>
            </w:r>
            <w:proofErr w:type="spellEnd"/>
            <w:r w:rsidRPr="00997551">
              <w:rPr>
                <w:lang w:val="en-GB"/>
              </w:rPr>
              <w:t xml:space="preserve"> </w:t>
            </w:r>
            <w:proofErr w:type="spellStart"/>
            <w:r w:rsidRPr="00997551">
              <w:rPr>
                <w:lang w:val="en-GB"/>
              </w:rPr>
              <w:t>nëpunësit</w:t>
            </w:r>
            <w:proofErr w:type="spellEnd"/>
            <w:r w:rsidRPr="00997551">
              <w:rPr>
                <w:lang w:val="en-GB"/>
              </w:rPr>
              <w:t xml:space="preserve"> </w:t>
            </w:r>
            <w:proofErr w:type="spellStart"/>
            <w:r w:rsidRPr="00997551">
              <w:rPr>
                <w:lang w:val="en-GB"/>
              </w:rPr>
              <w:t>publikë</w:t>
            </w:r>
            <w:proofErr w:type="spellEnd"/>
            <w:r w:rsidRPr="00997551">
              <w:rPr>
                <w:lang w:val="en-GB"/>
              </w:rPr>
              <w:t xml:space="preserve">, duhet të jenë të </w:t>
            </w:r>
            <w:proofErr w:type="spellStart"/>
            <w:r w:rsidRPr="00997551">
              <w:rPr>
                <w:lang w:val="en-GB"/>
              </w:rPr>
              <w:t>nominuar</w:t>
            </w:r>
            <w:proofErr w:type="spellEnd"/>
            <w:r w:rsidRPr="00997551">
              <w:rPr>
                <w:lang w:val="en-GB"/>
              </w:rPr>
              <w:t xml:space="preserve"> </w:t>
            </w:r>
            <w:proofErr w:type="spellStart"/>
            <w:r w:rsidRPr="00997551">
              <w:rPr>
                <w:lang w:val="en-GB"/>
              </w:rPr>
              <w:t>ose</w:t>
            </w:r>
            <w:proofErr w:type="spellEnd"/>
            <w:r w:rsidRPr="00997551">
              <w:rPr>
                <w:lang w:val="en-GB"/>
              </w:rPr>
              <w:t xml:space="preserve"> të </w:t>
            </w:r>
            <w:proofErr w:type="spellStart"/>
            <w:r w:rsidRPr="00997551">
              <w:rPr>
                <w:lang w:val="en-GB"/>
              </w:rPr>
              <w:t>emëruar</w:t>
            </w:r>
            <w:proofErr w:type="spellEnd"/>
            <w:r w:rsidRPr="00997551">
              <w:rPr>
                <w:lang w:val="en-GB"/>
              </w:rPr>
              <w:t xml:space="preserve"> </w:t>
            </w:r>
            <w:proofErr w:type="spellStart"/>
            <w:r w:rsidRPr="00997551">
              <w:rPr>
                <w:lang w:val="en-GB"/>
              </w:rPr>
              <w:t>mbi</w:t>
            </w:r>
            <w:proofErr w:type="spellEnd"/>
            <w:r w:rsidRPr="00997551">
              <w:rPr>
                <w:lang w:val="en-GB"/>
              </w:rPr>
              <w:t xml:space="preserve"> </w:t>
            </w:r>
            <w:proofErr w:type="spellStart"/>
            <w:r w:rsidRPr="00997551">
              <w:rPr>
                <w:lang w:val="en-GB"/>
              </w:rPr>
              <w:t>bazën</w:t>
            </w:r>
            <w:proofErr w:type="spellEnd"/>
            <w:r w:rsidRPr="00997551">
              <w:rPr>
                <w:lang w:val="en-GB"/>
              </w:rPr>
              <w:t xml:space="preserve"> e </w:t>
            </w:r>
            <w:proofErr w:type="spellStart"/>
            <w:proofErr w:type="gramStart"/>
            <w:r w:rsidRPr="00997551">
              <w:rPr>
                <w:lang w:val="en-GB"/>
              </w:rPr>
              <w:t>kualifikimeve</w:t>
            </w:r>
            <w:proofErr w:type="spellEnd"/>
            <w:r w:rsidRPr="00997551">
              <w:rPr>
                <w:lang w:val="en-GB"/>
              </w:rPr>
              <w:t xml:space="preserve">  </w:t>
            </w:r>
            <w:proofErr w:type="spellStart"/>
            <w:r w:rsidRPr="00997551">
              <w:rPr>
                <w:lang w:val="en-GB"/>
              </w:rPr>
              <w:t>relevante</w:t>
            </w:r>
            <w:proofErr w:type="spellEnd"/>
            <w:proofErr w:type="gramEnd"/>
            <w:r w:rsidRPr="00997551">
              <w:rPr>
                <w:lang w:val="en-GB"/>
              </w:rPr>
              <w:t xml:space="preserve"> për </w:t>
            </w:r>
            <w:proofErr w:type="spellStart"/>
            <w:r w:rsidRPr="00997551">
              <w:rPr>
                <w:lang w:val="en-GB"/>
              </w:rPr>
              <w:t>sektorin</w:t>
            </w:r>
            <w:proofErr w:type="spellEnd"/>
            <w:r w:rsidRPr="00997551">
              <w:rPr>
                <w:lang w:val="en-GB"/>
              </w:rPr>
              <w:t xml:space="preserve"> e </w:t>
            </w:r>
            <w:proofErr w:type="spellStart"/>
            <w:r w:rsidRPr="00997551">
              <w:rPr>
                <w:lang w:val="en-GB"/>
              </w:rPr>
              <w:t>veprimtarisë</w:t>
            </w:r>
            <w:proofErr w:type="spellEnd"/>
            <w:r w:rsidRPr="00997551">
              <w:rPr>
                <w:lang w:val="en-GB"/>
              </w:rPr>
              <w:t xml:space="preserve"> dhe profilin </w:t>
            </w:r>
            <w:proofErr w:type="spellStart"/>
            <w:r w:rsidRPr="00997551">
              <w:rPr>
                <w:lang w:val="en-GB"/>
              </w:rPr>
              <w:t>afarist</w:t>
            </w:r>
            <w:proofErr w:type="spellEnd"/>
            <w:r w:rsidRPr="00997551">
              <w:rPr>
                <w:lang w:val="en-GB"/>
              </w:rPr>
              <w:t xml:space="preserve"> të </w:t>
            </w:r>
            <w:proofErr w:type="spellStart"/>
            <w:r w:rsidRPr="00997551">
              <w:rPr>
                <w:lang w:val="en-GB"/>
              </w:rPr>
              <w:t>ndërmarrjes</w:t>
            </w:r>
            <w:proofErr w:type="spellEnd"/>
            <w:r w:rsidRPr="00997551">
              <w:rPr>
                <w:lang w:val="en-GB"/>
              </w:rPr>
              <w:t xml:space="preserve">. Po ashtu, duhet të </w:t>
            </w:r>
            <w:proofErr w:type="spellStart"/>
            <w:r w:rsidRPr="00997551">
              <w:rPr>
                <w:lang w:val="en-GB"/>
              </w:rPr>
              <w:t>ekzistojë</w:t>
            </w:r>
            <w:proofErr w:type="spellEnd"/>
            <w:r w:rsidRPr="00997551">
              <w:rPr>
                <w:lang w:val="en-GB"/>
              </w:rPr>
              <w:t xml:space="preserve"> </w:t>
            </w:r>
            <w:proofErr w:type="spellStart"/>
            <w:r w:rsidRPr="00997551">
              <w:rPr>
                <w:lang w:val="en-GB"/>
              </w:rPr>
              <w:t>procedurë</w:t>
            </w:r>
            <w:proofErr w:type="spellEnd"/>
            <w:r w:rsidRPr="00997551">
              <w:rPr>
                <w:lang w:val="en-GB"/>
              </w:rPr>
              <w:t xml:space="preserve"> </w:t>
            </w:r>
            <w:proofErr w:type="spellStart"/>
            <w:r w:rsidRPr="00997551">
              <w:rPr>
                <w:lang w:val="en-GB"/>
              </w:rPr>
              <w:t>gjithëpërfshirëse</w:t>
            </w:r>
            <w:proofErr w:type="spellEnd"/>
            <w:r w:rsidRPr="00997551">
              <w:rPr>
                <w:lang w:val="en-GB"/>
              </w:rPr>
              <w:t xml:space="preserve"> për </w:t>
            </w:r>
            <w:proofErr w:type="spellStart"/>
            <w:r w:rsidRPr="00997551">
              <w:rPr>
                <w:lang w:val="en-GB"/>
              </w:rPr>
              <w:t>emërim</w:t>
            </w:r>
            <w:proofErr w:type="spellEnd"/>
            <w:r w:rsidRPr="00997551">
              <w:rPr>
                <w:lang w:val="en-GB"/>
              </w:rPr>
              <w:t xml:space="preserve">, </w:t>
            </w:r>
            <w:proofErr w:type="spellStart"/>
            <w:r w:rsidRPr="00997551">
              <w:rPr>
                <w:lang w:val="en-GB"/>
              </w:rPr>
              <w:t>vlerësim</w:t>
            </w:r>
            <w:proofErr w:type="spellEnd"/>
            <w:r w:rsidRPr="00997551">
              <w:rPr>
                <w:lang w:val="en-GB"/>
              </w:rPr>
              <w:t xml:space="preserve"> dhe </w:t>
            </w:r>
            <w:proofErr w:type="spellStart"/>
            <w:r w:rsidRPr="00997551">
              <w:rPr>
                <w:lang w:val="en-GB"/>
              </w:rPr>
              <w:t>shkarkim</w:t>
            </w:r>
            <w:proofErr w:type="spellEnd"/>
            <w:r w:rsidRPr="00997551">
              <w:rPr>
                <w:lang w:val="en-GB"/>
              </w:rPr>
              <w:t>.</w:t>
            </w:r>
          </w:p>
          <w:p w14:paraId="7B40A8B0" w14:textId="11E6793F" w:rsidR="00262A83" w:rsidRPr="00997551" w:rsidRDefault="00262A83" w:rsidP="004B2C86">
            <w:pPr>
              <w:pStyle w:val="Other0"/>
              <w:spacing w:after="60"/>
              <w:jc w:val="both"/>
            </w:pPr>
          </w:p>
        </w:tc>
      </w:tr>
      <w:tr w:rsidR="00262A83" w:rsidRPr="00997551" w14:paraId="6AA78573" w14:textId="77777777">
        <w:trPr>
          <w:trHeight w:hRule="exact" w:val="2208"/>
          <w:jc w:val="center"/>
        </w:trPr>
        <w:tc>
          <w:tcPr>
            <w:tcW w:w="1714" w:type="dxa"/>
            <w:tcBorders>
              <w:top w:val="single" w:sz="4" w:space="0" w:color="auto"/>
              <w:left w:val="single" w:sz="4" w:space="0" w:color="auto"/>
              <w:bottom w:val="single" w:sz="4" w:space="0" w:color="auto"/>
            </w:tcBorders>
            <w:shd w:val="clear" w:color="auto" w:fill="E8E8E8"/>
            <w:vAlign w:val="center"/>
          </w:tcPr>
          <w:p w14:paraId="288354D0" w14:textId="65B80382" w:rsidR="00262A83" w:rsidRPr="00997551" w:rsidRDefault="000B2492">
            <w:pPr>
              <w:pStyle w:val="Other0"/>
            </w:pPr>
            <w:r w:rsidRPr="00997551">
              <w:rPr>
                <w:b/>
                <w:bCs/>
              </w:rPr>
              <w:lastRenderedPageBreak/>
              <w:t xml:space="preserve">Kontrollet e kryera dhe </w:t>
            </w:r>
            <w:r w:rsidRPr="00997551">
              <w:rPr>
                <w:b/>
                <w:bCs/>
                <w:lang w:val="sq-AL"/>
              </w:rPr>
              <w:t>provat</w:t>
            </w:r>
            <w:r w:rsidRPr="00997551">
              <w:rPr>
                <w:b/>
                <w:bCs/>
              </w:rPr>
              <w:t xml:space="preserve"> e </w:t>
            </w:r>
            <w:r w:rsidRPr="00997551">
              <w:rPr>
                <w:b/>
                <w:bCs/>
                <w:lang w:val="sq-AL"/>
              </w:rPr>
              <w:t>shfrytëzuara</w:t>
            </w:r>
            <w:r w:rsidRPr="00997551">
              <w:rPr>
                <w:b/>
                <w:bCs/>
              </w:rPr>
              <w:t xml:space="preserve"> </w:t>
            </w:r>
            <w:r w:rsidRPr="00997551">
              <w:rPr>
                <w:b/>
                <w:bCs/>
                <w:lang w:val="sq-AL"/>
              </w:rPr>
              <w:t>gjatë</w:t>
            </w:r>
            <w:r w:rsidRPr="00997551">
              <w:rPr>
                <w:b/>
                <w:bCs/>
              </w:rPr>
              <w:t xml:space="preserve"> verifikimi</w:t>
            </w:r>
            <w:r w:rsidRPr="00997551">
              <w:rPr>
                <w:b/>
                <w:bCs/>
                <w:lang w:val="sq-AL"/>
              </w:rPr>
              <w:t>t</w:t>
            </w:r>
            <w:r w:rsidRPr="00997551">
              <w:rPr>
                <w:b/>
                <w:bCs/>
              </w:rPr>
              <w:t xml:space="preserve"> </w:t>
            </w:r>
            <w:r w:rsidRPr="00997551">
              <w:rPr>
                <w:b/>
                <w:bCs/>
                <w:lang w:val="sq-AL"/>
              </w:rPr>
              <w:t>të</w:t>
            </w:r>
            <w:r w:rsidRPr="00997551">
              <w:rPr>
                <w:b/>
                <w:bCs/>
              </w:rPr>
              <w:t xml:space="preserve"> hapit dhe </w:t>
            </w:r>
            <w:r w:rsidRPr="00997551">
              <w:rPr>
                <w:b/>
                <w:bCs/>
                <w:lang w:val="sq-AL"/>
              </w:rPr>
              <w:t>konsatimet</w:t>
            </w:r>
            <w:r w:rsidRPr="00997551">
              <w:rPr>
                <w:b/>
                <w:bCs/>
              </w:rPr>
              <w:t xml:space="preserve"> </w:t>
            </w:r>
            <w:r w:rsidRPr="00997551">
              <w:rPr>
                <w:b/>
                <w:bCs/>
                <w:lang w:val="sq-AL"/>
              </w:rPr>
              <w:t>e lidhura</w:t>
            </w:r>
          </w:p>
        </w:tc>
        <w:tc>
          <w:tcPr>
            <w:tcW w:w="7805" w:type="dxa"/>
            <w:tcBorders>
              <w:top w:val="single" w:sz="4" w:space="0" w:color="auto"/>
              <w:left w:val="single" w:sz="4" w:space="0" w:color="auto"/>
              <w:bottom w:val="single" w:sz="4" w:space="0" w:color="auto"/>
              <w:right w:val="single" w:sz="4" w:space="0" w:color="auto"/>
            </w:tcBorders>
          </w:tcPr>
          <w:p w14:paraId="68C4806C" w14:textId="3D014D11" w:rsidR="000B2492" w:rsidRPr="00997551" w:rsidRDefault="000B2492" w:rsidP="00D96499">
            <w:pPr>
              <w:pStyle w:val="Other0"/>
              <w:jc w:val="both"/>
              <w:rPr>
                <w:rStyle w:val="Other"/>
                <w:lang w:val="en-GB"/>
              </w:rPr>
            </w:pPr>
            <w:r w:rsidRPr="00997551">
              <w:t xml:space="preserve">Vlerësimi bëhet përmes analizës së kërkesave dhe </w:t>
            </w:r>
            <w:r w:rsidR="00C1686B" w:rsidRPr="00997551">
              <w:rPr>
                <w:lang w:val="sq-AL"/>
              </w:rPr>
              <w:t>qëllimeve</w:t>
            </w:r>
            <w:r w:rsidRPr="00997551">
              <w:t xml:space="preserve"> të masës reformuese.</w:t>
            </w:r>
            <w:r w:rsidRPr="00997551">
              <w:br/>
              <w:t>Gjatë shqyrtimit të ndryshimeve, si referencë u morën parasysh edhe “Udhëzimet e O</w:t>
            </w:r>
            <w:r w:rsidR="00C1686B" w:rsidRPr="00997551">
              <w:rPr>
                <w:lang w:val="sq-AL"/>
              </w:rPr>
              <w:t>EZHK</w:t>
            </w:r>
            <w:r w:rsidRPr="00997551">
              <w:t xml:space="preserve">-së për qeverisjen korporative </w:t>
            </w:r>
            <w:r w:rsidR="00C1686B" w:rsidRPr="00997551">
              <w:rPr>
                <w:lang w:val="sq-AL"/>
              </w:rPr>
              <w:t>me</w:t>
            </w:r>
            <w:r w:rsidRPr="00997551">
              <w:t xml:space="preserve"> ndërmarrje</w:t>
            </w:r>
            <w:r w:rsidR="00C1686B" w:rsidRPr="00997551">
              <w:rPr>
                <w:lang w:val="sq-AL"/>
              </w:rPr>
              <w:t>t</w:t>
            </w:r>
            <w:r w:rsidRPr="00997551">
              <w:t xml:space="preserve"> në pronësi të shtetit” </w:t>
            </w:r>
            <w:r w:rsidR="00262A83" w:rsidRPr="00997551">
              <w:fldChar w:fldCharType="begin"/>
            </w:r>
            <w:r w:rsidR="00262A83" w:rsidRPr="00997551">
              <w:instrText>HYPERLINK "https://www.oecd.org/en/publications/oecd-guidelines-on-corporate-governance-of-state-owned-enterprises-2024_18a24f43-en.html"</w:instrText>
            </w:r>
            <w:r w:rsidR="00262A83" w:rsidRPr="00997551">
              <w:fldChar w:fldCharType="separate"/>
            </w:r>
            <w:r w:rsidR="00262A83" w:rsidRPr="00997551">
              <w:rPr>
                <w:rStyle w:val="Other"/>
                <w:u w:val="single"/>
              </w:rPr>
              <w:t>(</w:t>
            </w:r>
            <w:r w:rsidR="00262A83" w:rsidRPr="00997551">
              <w:rPr>
                <w:rStyle w:val="Other"/>
                <w:i/>
                <w:color w:val="467886"/>
                <w:u w:val="single"/>
              </w:rPr>
              <w:t>link</w:t>
            </w:r>
            <w:r w:rsidR="00262A83" w:rsidRPr="00997551">
              <w:rPr>
                <w:rStyle w:val="Other"/>
              </w:rPr>
              <w:t>)</w:t>
            </w:r>
            <w:r w:rsidR="00262A83" w:rsidRPr="00997551">
              <w:fldChar w:fldCharType="end"/>
            </w:r>
            <w:r w:rsidR="00262A83" w:rsidRPr="00997551">
              <w:rPr>
                <w:rStyle w:val="Other"/>
              </w:rPr>
              <w:t xml:space="preserve">. </w:t>
            </w:r>
          </w:p>
          <w:p w14:paraId="2060E53E" w14:textId="7C9BBC9D" w:rsidR="000B2492" w:rsidRPr="00997551" w:rsidRDefault="000B2492" w:rsidP="00D96499">
            <w:pPr>
              <w:pStyle w:val="Other0"/>
              <w:jc w:val="both"/>
              <w:rPr>
                <w:rStyle w:val="Other"/>
                <w:lang w:val="en-GB"/>
              </w:rPr>
            </w:pPr>
            <w:r w:rsidRPr="00997551">
              <w:t xml:space="preserve">Gjatë diskutimeve me organet, këto udhëzime u rekomanduan si praktika më e mirë ndërkombëtare </w:t>
            </w:r>
            <w:r w:rsidR="00C1686B" w:rsidRPr="00997551">
              <w:rPr>
                <w:lang w:val="sq-AL"/>
              </w:rPr>
              <w:t>e cila</w:t>
            </w:r>
            <w:r w:rsidRPr="00997551">
              <w:t xml:space="preserve"> duhet të merret parasysh.</w:t>
            </w:r>
          </w:p>
          <w:p w14:paraId="6FB76B97" w14:textId="45A0D1BA" w:rsidR="000B2492" w:rsidRPr="00997551" w:rsidRDefault="000B2492" w:rsidP="00D96499">
            <w:pPr>
              <w:pStyle w:val="Other0"/>
              <w:jc w:val="both"/>
              <w:rPr>
                <w:lang w:val="en-GB"/>
              </w:rPr>
            </w:pPr>
          </w:p>
        </w:tc>
      </w:tr>
      <w:tr w:rsidR="00262A83" w:rsidRPr="00997551" w14:paraId="590E2F86" w14:textId="77777777">
        <w:trPr>
          <w:trHeight w:hRule="exact" w:val="691"/>
          <w:jc w:val="center"/>
        </w:trPr>
        <w:tc>
          <w:tcPr>
            <w:tcW w:w="1714" w:type="dxa"/>
            <w:tcBorders>
              <w:top w:val="single" w:sz="4" w:space="0" w:color="auto"/>
              <w:left w:val="single" w:sz="4" w:space="0" w:color="auto"/>
            </w:tcBorders>
            <w:shd w:val="clear" w:color="auto" w:fill="E8E8E8"/>
          </w:tcPr>
          <w:p w14:paraId="63986C62" w14:textId="46BA83A3" w:rsidR="00262A83" w:rsidRPr="00997551" w:rsidRDefault="000B2492">
            <w:pPr>
              <w:pStyle w:val="Other0"/>
              <w:spacing w:before="100"/>
            </w:pPr>
            <w:r w:rsidRPr="00997551">
              <w:rPr>
                <w:b/>
              </w:rPr>
              <w:t>Financim i dyfishtë</w:t>
            </w:r>
          </w:p>
        </w:tc>
        <w:tc>
          <w:tcPr>
            <w:tcW w:w="7805" w:type="dxa"/>
            <w:tcBorders>
              <w:top w:val="single" w:sz="4" w:space="0" w:color="auto"/>
              <w:left w:val="single" w:sz="4" w:space="0" w:color="auto"/>
              <w:right w:val="single" w:sz="4" w:space="0" w:color="auto"/>
            </w:tcBorders>
            <w:vAlign w:val="center"/>
          </w:tcPr>
          <w:p w14:paraId="6982C6B6" w14:textId="6A398BD1" w:rsidR="00262A83" w:rsidRPr="00997551" w:rsidRDefault="000B2492">
            <w:pPr>
              <w:pStyle w:val="Other0"/>
              <w:jc w:val="both"/>
            </w:pPr>
            <w:r w:rsidRPr="00997551">
              <w:t>Nuk u raportuan kontribute nga palë të treta si mbështetje për arritjen e këtij hapi.</w:t>
            </w:r>
          </w:p>
        </w:tc>
      </w:tr>
      <w:tr w:rsidR="00262A83" w:rsidRPr="00997551" w14:paraId="50D64439" w14:textId="77777777">
        <w:trPr>
          <w:trHeight w:hRule="exact" w:val="1450"/>
          <w:jc w:val="center"/>
        </w:trPr>
        <w:tc>
          <w:tcPr>
            <w:tcW w:w="1714" w:type="dxa"/>
            <w:tcBorders>
              <w:top w:val="single" w:sz="4" w:space="0" w:color="auto"/>
              <w:left w:val="single" w:sz="4" w:space="0" w:color="auto"/>
              <w:bottom w:val="single" w:sz="4" w:space="0" w:color="auto"/>
            </w:tcBorders>
            <w:shd w:val="clear" w:color="auto" w:fill="E8E8E8"/>
            <w:vAlign w:val="center"/>
          </w:tcPr>
          <w:p w14:paraId="16520669" w14:textId="77777777" w:rsidR="000B2492" w:rsidRPr="00997551" w:rsidRDefault="000B2492" w:rsidP="000B2492">
            <w:pPr>
              <w:pStyle w:val="Other0"/>
              <w:rPr>
                <w:b/>
                <w:bCs/>
                <w:lang w:val="en-GB"/>
              </w:rPr>
            </w:pPr>
            <w:proofErr w:type="spellStart"/>
            <w:r w:rsidRPr="00997551">
              <w:rPr>
                <w:b/>
                <w:bCs/>
                <w:lang w:val="en-GB"/>
              </w:rPr>
              <w:t>Konkludim</w:t>
            </w:r>
            <w:proofErr w:type="spellEnd"/>
            <w:r w:rsidRPr="00997551">
              <w:rPr>
                <w:b/>
                <w:bCs/>
                <w:lang w:val="en-GB"/>
              </w:rPr>
              <w:t xml:space="preserve"> </w:t>
            </w:r>
            <w:proofErr w:type="spellStart"/>
            <w:r w:rsidRPr="00997551">
              <w:rPr>
                <w:b/>
                <w:bCs/>
                <w:lang w:val="en-GB"/>
              </w:rPr>
              <w:t>i</w:t>
            </w:r>
            <w:proofErr w:type="spellEnd"/>
            <w:r w:rsidRPr="00997551">
              <w:rPr>
                <w:b/>
                <w:bCs/>
                <w:lang w:val="en-GB"/>
              </w:rPr>
              <w:t xml:space="preserve"> qartë </w:t>
            </w:r>
            <w:proofErr w:type="spellStart"/>
            <w:r w:rsidRPr="00997551">
              <w:rPr>
                <w:b/>
                <w:bCs/>
                <w:lang w:val="en-GB"/>
              </w:rPr>
              <w:t>i</w:t>
            </w:r>
            <w:proofErr w:type="spellEnd"/>
            <w:r w:rsidRPr="00997551">
              <w:rPr>
                <w:b/>
                <w:bCs/>
                <w:lang w:val="en-GB"/>
              </w:rPr>
              <w:t xml:space="preserve"> </w:t>
            </w:r>
            <w:proofErr w:type="spellStart"/>
            <w:r w:rsidRPr="00997551">
              <w:rPr>
                <w:b/>
                <w:bCs/>
                <w:lang w:val="en-GB"/>
              </w:rPr>
              <w:t>arritjes</w:t>
            </w:r>
            <w:proofErr w:type="spellEnd"/>
            <w:r w:rsidRPr="00997551">
              <w:rPr>
                <w:b/>
                <w:bCs/>
                <w:lang w:val="en-GB"/>
              </w:rPr>
              <w:t xml:space="preserve"> së </w:t>
            </w:r>
            <w:proofErr w:type="spellStart"/>
            <w:r w:rsidRPr="00997551">
              <w:rPr>
                <w:b/>
                <w:bCs/>
                <w:lang w:val="en-GB"/>
              </w:rPr>
              <w:t>hapit</w:t>
            </w:r>
            <w:proofErr w:type="spellEnd"/>
          </w:p>
          <w:p w14:paraId="104207BE" w14:textId="0D371CA1" w:rsidR="00262A83" w:rsidRPr="00997551" w:rsidRDefault="00262A83">
            <w:pPr>
              <w:pStyle w:val="Other0"/>
            </w:pPr>
          </w:p>
        </w:tc>
        <w:tc>
          <w:tcPr>
            <w:tcW w:w="7805" w:type="dxa"/>
            <w:tcBorders>
              <w:top w:val="single" w:sz="4" w:space="0" w:color="auto"/>
              <w:left w:val="single" w:sz="4" w:space="0" w:color="auto"/>
              <w:bottom w:val="single" w:sz="4" w:space="0" w:color="auto"/>
              <w:right w:val="single" w:sz="4" w:space="0" w:color="auto"/>
            </w:tcBorders>
          </w:tcPr>
          <w:p w14:paraId="502FB241" w14:textId="36ACBCE5" w:rsidR="00262A83" w:rsidRPr="00997551" w:rsidRDefault="000B2492">
            <w:pPr>
              <w:pStyle w:val="Other0"/>
              <w:spacing w:before="80"/>
              <w:jc w:val="both"/>
              <w:rPr>
                <w:b/>
                <w:bCs/>
              </w:rPr>
            </w:pPr>
            <w:r w:rsidRPr="00997551">
              <w:rPr>
                <w:b/>
                <w:bCs/>
                <w:lang w:val="sq-AL"/>
              </w:rPr>
              <w:t>Plotësisht i a</w:t>
            </w:r>
            <w:r w:rsidRPr="00997551">
              <w:rPr>
                <w:b/>
                <w:bCs/>
              </w:rPr>
              <w:t xml:space="preserve">rritur </w:t>
            </w:r>
            <w:r w:rsidRPr="00997551">
              <w:rPr>
                <w:b/>
                <w:bCs/>
                <w:lang w:val="sq-AL"/>
              </w:rPr>
              <w:t xml:space="preserve"> </w:t>
            </w:r>
          </w:p>
        </w:tc>
      </w:tr>
    </w:tbl>
    <w:p w14:paraId="47042C07" w14:textId="77777777" w:rsidR="00262A83" w:rsidRPr="00997551" w:rsidRDefault="00262A83">
      <w:pPr>
        <w:spacing w:after="459" w:line="1" w:lineRule="exact"/>
        <w:rPr>
          <w:rFonts w:ascii="Times New Roman" w:hAnsi="Times New Roman" w:cs="Times New Roman"/>
        </w:rPr>
      </w:pPr>
    </w:p>
    <w:p w14:paraId="13903210" w14:textId="0186B3B1" w:rsidR="0031401B" w:rsidRPr="00997551" w:rsidRDefault="0031401B" w:rsidP="00C1686B">
      <w:pPr>
        <w:pStyle w:val="Heading20"/>
        <w:keepNext/>
        <w:keepLines/>
        <w:numPr>
          <w:ilvl w:val="2"/>
          <w:numId w:val="15"/>
        </w:numPr>
        <w:tabs>
          <w:tab w:val="left" w:pos="686"/>
        </w:tabs>
        <w:jc w:val="both"/>
      </w:pPr>
      <w:r w:rsidRPr="00997551">
        <w:t>Përmirësimi i integritetit gjyqësor përmes r</w:t>
      </w:r>
      <w:r w:rsidR="00C1686B" w:rsidRPr="00997551">
        <w:rPr>
          <w:lang w:val="sq-AL"/>
        </w:rPr>
        <w:t>evidimit</w:t>
      </w:r>
      <w:r w:rsidRPr="00997551">
        <w:t xml:space="preserve"> të proceseve të rekrutimit, përzgjedhjes, emërimit, vlerësimit, avancimit, transferimit dhe shkarkimit të gjyqtarëve dhe prokurorëve.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805"/>
      </w:tblGrid>
      <w:tr w:rsidR="00262A83" w:rsidRPr="00997551" w14:paraId="736768EE" w14:textId="77777777">
        <w:trPr>
          <w:trHeight w:hRule="exact" w:val="941"/>
          <w:jc w:val="center"/>
        </w:trPr>
        <w:tc>
          <w:tcPr>
            <w:tcW w:w="1714" w:type="dxa"/>
            <w:tcBorders>
              <w:top w:val="single" w:sz="4" w:space="0" w:color="auto"/>
              <w:left w:val="single" w:sz="4" w:space="0" w:color="auto"/>
            </w:tcBorders>
            <w:shd w:val="clear" w:color="auto" w:fill="E8E8E8"/>
          </w:tcPr>
          <w:p w14:paraId="2A22BA5F" w14:textId="6067C890" w:rsidR="00262A83" w:rsidRPr="00997551" w:rsidRDefault="000B2492">
            <w:pPr>
              <w:pStyle w:val="Other0"/>
              <w:spacing w:before="100"/>
            </w:pPr>
            <w:r w:rsidRPr="00997551">
              <w:rPr>
                <w:b/>
                <w:bCs/>
              </w:rPr>
              <w:t xml:space="preserve">Hapi </w:t>
            </w:r>
            <w:r w:rsidRPr="00997551">
              <w:rPr>
                <w:b/>
                <w:bCs/>
                <w:lang w:val="sq-AL"/>
              </w:rPr>
              <w:t>i cili</w:t>
            </w:r>
            <w:r w:rsidRPr="00997551">
              <w:rPr>
                <w:b/>
                <w:bCs/>
              </w:rPr>
              <w:t xml:space="preserve"> po shqyrtohet</w:t>
            </w:r>
          </w:p>
        </w:tc>
        <w:tc>
          <w:tcPr>
            <w:tcW w:w="7805" w:type="dxa"/>
            <w:tcBorders>
              <w:top w:val="single" w:sz="4" w:space="0" w:color="auto"/>
              <w:left w:val="single" w:sz="4" w:space="0" w:color="auto"/>
              <w:right w:val="single" w:sz="4" w:space="0" w:color="auto"/>
            </w:tcBorders>
            <w:vAlign w:val="center"/>
          </w:tcPr>
          <w:p w14:paraId="11548B0F" w14:textId="28F8291A" w:rsidR="00262A83" w:rsidRPr="00997551" w:rsidRDefault="0031401B">
            <w:pPr>
              <w:pStyle w:val="Other0"/>
              <w:jc w:val="both"/>
            </w:pPr>
            <w:r w:rsidRPr="00997551">
              <w:t xml:space="preserve">Pozicionet e lira për gjyqtarë dhe prokurorë plotësohen rregullisht mbi bazën e projeksioneve të Këshillit Gjyqësor/Këshillit të Prokurorëve Publikë pas zbatimit të strategjive për menaxhimin </w:t>
            </w:r>
            <w:r w:rsidR="00C1686B" w:rsidRPr="00997551">
              <w:rPr>
                <w:lang w:val="sq-AL"/>
              </w:rPr>
              <w:t>me</w:t>
            </w:r>
            <w:r w:rsidRPr="00997551">
              <w:t xml:space="preserve"> burime</w:t>
            </w:r>
            <w:r w:rsidR="00C1686B" w:rsidRPr="00997551">
              <w:rPr>
                <w:lang w:val="sq-AL"/>
              </w:rPr>
              <w:t>t</w:t>
            </w:r>
            <w:r w:rsidRPr="00997551">
              <w:t xml:space="preserve"> njerëzore në</w:t>
            </w:r>
            <w:r w:rsidR="00C1686B" w:rsidRPr="00997551">
              <w:rPr>
                <w:lang w:val="sq-AL"/>
              </w:rPr>
              <w:t xml:space="preserve"> PTHP</w:t>
            </w:r>
            <w:r w:rsidRPr="00997551">
              <w:t>.</w:t>
            </w:r>
          </w:p>
        </w:tc>
      </w:tr>
      <w:tr w:rsidR="00262A83" w:rsidRPr="00997551" w14:paraId="23E68BB1" w14:textId="77777777">
        <w:trPr>
          <w:trHeight w:hRule="exact" w:val="1776"/>
          <w:jc w:val="center"/>
        </w:trPr>
        <w:tc>
          <w:tcPr>
            <w:tcW w:w="1714" w:type="dxa"/>
            <w:tcBorders>
              <w:top w:val="single" w:sz="4" w:space="0" w:color="auto"/>
              <w:left w:val="single" w:sz="4" w:space="0" w:color="auto"/>
            </w:tcBorders>
            <w:shd w:val="clear" w:color="auto" w:fill="E8E8E8"/>
          </w:tcPr>
          <w:p w14:paraId="61317249" w14:textId="3AC66149" w:rsidR="00262A83" w:rsidRPr="00997551" w:rsidRDefault="000B2492">
            <w:pPr>
              <w:pStyle w:val="Other0"/>
              <w:spacing w:before="80"/>
            </w:pPr>
            <w:r w:rsidRPr="00997551">
              <w:rPr>
                <w:b/>
                <w:bCs/>
              </w:rPr>
              <w:t xml:space="preserve">Gjendja </w:t>
            </w:r>
            <w:r w:rsidRPr="00997551">
              <w:rPr>
                <w:b/>
                <w:bCs/>
                <w:lang w:val="sq-AL"/>
              </w:rPr>
              <w:t>themelore</w:t>
            </w:r>
          </w:p>
        </w:tc>
        <w:tc>
          <w:tcPr>
            <w:tcW w:w="7805" w:type="dxa"/>
            <w:tcBorders>
              <w:top w:val="single" w:sz="4" w:space="0" w:color="auto"/>
              <w:left w:val="single" w:sz="4" w:space="0" w:color="auto"/>
              <w:right w:val="single" w:sz="4" w:space="0" w:color="auto"/>
            </w:tcBorders>
            <w:vAlign w:val="center"/>
          </w:tcPr>
          <w:p w14:paraId="5ECAC4A3" w14:textId="2E2F2DAD" w:rsidR="00262A83" w:rsidRPr="00997551" w:rsidRDefault="0031401B">
            <w:pPr>
              <w:pStyle w:val="Other0"/>
              <w:jc w:val="both"/>
            </w:pPr>
            <w:r w:rsidRPr="00997551">
              <w:rPr>
                <w:rStyle w:val="Strong"/>
                <w:b w:val="0"/>
                <w:bCs w:val="0"/>
              </w:rPr>
              <w:t>Gjendja bazë (viti 2024): gjithsej ka 261 vende të lira për gjyqtarë në të gjitha gjykatat (nga të cilat 162 janë vende të lira për gjyqtarë në gjykatat themelore) dhe 88 vende të lira për prokurorë (gjithsej 349 gjyqtarë dhe prokurorë).</w:t>
            </w:r>
            <w:r w:rsidRPr="00997551">
              <w:br/>
            </w:r>
            <w:r w:rsidRPr="00997551">
              <w:rPr>
                <w:rStyle w:val="Strong"/>
                <w:b w:val="0"/>
                <w:bCs w:val="0"/>
              </w:rPr>
              <w:t>Në të gjitha nivelet punojnë 334 gjyqtarë dhe 178 prokurorë. Gjendja bazë për vlerësimin e hapit në dhjetor</w:t>
            </w:r>
            <w:r w:rsidR="00C1686B" w:rsidRPr="00997551">
              <w:rPr>
                <w:rStyle w:val="Strong"/>
                <w:b w:val="0"/>
                <w:bCs w:val="0"/>
                <w:lang w:val="sq-AL"/>
              </w:rPr>
              <w:t xml:space="preserve"> të vitit</w:t>
            </w:r>
            <w:r w:rsidRPr="00997551">
              <w:rPr>
                <w:rStyle w:val="Strong"/>
                <w:b w:val="0"/>
                <w:bCs w:val="0"/>
              </w:rPr>
              <w:t xml:space="preserve"> 2026 do të jenë rezultatet e vlerësimit në </w:t>
            </w:r>
            <w:r w:rsidR="00C1686B" w:rsidRPr="00997551">
              <w:rPr>
                <w:rStyle w:val="Strong"/>
                <w:b w:val="0"/>
                <w:bCs w:val="0"/>
                <w:lang w:val="sq-AL"/>
              </w:rPr>
              <w:t xml:space="preserve">muajin </w:t>
            </w:r>
            <w:r w:rsidRPr="00997551">
              <w:rPr>
                <w:rStyle w:val="Strong"/>
                <w:b w:val="0"/>
                <w:bCs w:val="0"/>
              </w:rPr>
              <w:t>dhjetor</w:t>
            </w:r>
            <w:r w:rsidR="00C1686B" w:rsidRPr="00997551">
              <w:rPr>
                <w:rStyle w:val="Strong"/>
                <w:b w:val="0"/>
                <w:bCs w:val="0"/>
                <w:lang w:val="sq-AL"/>
              </w:rPr>
              <w:t xml:space="preserve"> të vitit</w:t>
            </w:r>
            <w:r w:rsidRPr="00997551">
              <w:rPr>
                <w:rStyle w:val="Strong"/>
                <w:b w:val="0"/>
                <w:bCs w:val="0"/>
              </w:rPr>
              <w:t xml:space="preserve"> 2024.</w:t>
            </w:r>
          </w:p>
        </w:tc>
      </w:tr>
      <w:tr w:rsidR="0031401B" w:rsidRPr="00997551" w14:paraId="0A881FE4" w14:textId="77777777">
        <w:trPr>
          <w:trHeight w:hRule="exact" w:val="758"/>
          <w:jc w:val="center"/>
        </w:trPr>
        <w:tc>
          <w:tcPr>
            <w:tcW w:w="1714" w:type="dxa"/>
            <w:tcBorders>
              <w:top w:val="single" w:sz="4" w:space="0" w:color="auto"/>
              <w:left w:val="single" w:sz="4" w:space="0" w:color="auto"/>
            </w:tcBorders>
            <w:shd w:val="clear" w:color="auto" w:fill="E8E8E8"/>
            <w:vAlign w:val="center"/>
          </w:tcPr>
          <w:p w14:paraId="5E89BD0C" w14:textId="426417A5" w:rsidR="0031401B" w:rsidRPr="00997551" w:rsidRDefault="0031401B" w:rsidP="0031401B">
            <w:pPr>
              <w:pStyle w:val="Other0"/>
            </w:pPr>
            <w:r w:rsidRPr="00997551">
              <w:rPr>
                <w:b/>
                <w:bCs/>
              </w:rPr>
              <w:t>Afati i fundit i hapit</w:t>
            </w:r>
          </w:p>
        </w:tc>
        <w:tc>
          <w:tcPr>
            <w:tcW w:w="7805" w:type="dxa"/>
            <w:tcBorders>
              <w:top w:val="single" w:sz="4" w:space="0" w:color="auto"/>
              <w:left w:val="single" w:sz="4" w:space="0" w:color="auto"/>
              <w:right w:val="single" w:sz="4" w:space="0" w:color="auto"/>
            </w:tcBorders>
          </w:tcPr>
          <w:tbl>
            <w:tblPr>
              <w:tblOverlap w:val="never"/>
              <w:tblW w:w="0" w:type="auto"/>
              <w:jc w:val="center"/>
              <w:tblLayout w:type="fixed"/>
              <w:tblCellMar>
                <w:left w:w="10" w:type="dxa"/>
                <w:right w:w="10" w:type="dxa"/>
              </w:tblCellMar>
              <w:tblLook w:val="04A0" w:firstRow="1" w:lastRow="0" w:firstColumn="1" w:lastColumn="0" w:noHBand="0" w:noVBand="1"/>
            </w:tblPr>
            <w:tblGrid>
              <w:gridCol w:w="7805"/>
            </w:tblGrid>
            <w:tr w:rsidR="0031401B" w:rsidRPr="00997551" w14:paraId="375D91C2" w14:textId="77777777" w:rsidTr="0031401B">
              <w:trPr>
                <w:trHeight w:hRule="exact" w:val="1014"/>
                <w:jc w:val="center"/>
              </w:trPr>
              <w:tc>
                <w:tcPr>
                  <w:tcW w:w="7805" w:type="dxa"/>
                  <w:tcBorders>
                    <w:top w:val="single" w:sz="4" w:space="0" w:color="auto"/>
                    <w:left w:val="single" w:sz="4" w:space="0" w:color="auto"/>
                    <w:right w:val="single" w:sz="4" w:space="0" w:color="auto"/>
                  </w:tcBorders>
                </w:tcPr>
                <w:p w14:paraId="0DD82058" w14:textId="5A7E6516" w:rsidR="0031401B" w:rsidRPr="00997551" w:rsidRDefault="0031401B" w:rsidP="0031401B">
                  <w:pPr>
                    <w:pStyle w:val="Other0"/>
                    <w:spacing w:before="80"/>
                    <w:rPr>
                      <w:lang w:val="sq-AL"/>
                    </w:rPr>
                  </w:pPr>
                  <w:r w:rsidRPr="00997551">
                    <w:rPr>
                      <w:rStyle w:val="Other"/>
                    </w:rPr>
                    <w:t>Në muajin dh</w:t>
                  </w:r>
                  <w:r w:rsidRPr="00997551">
                    <w:rPr>
                      <w:rStyle w:val="Other"/>
                      <w:lang w:val="sq-AL"/>
                    </w:rPr>
                    <w:t>jetor të vitit 202</w:t>
                  </w:r>
                  <w:r w:rsidR="00C1686B" w:rsidRPr="00997551">
                    <w:rPr>
                      <w:rStyle w:val="Other"/>
                      <w:lang w:val="sq-AL"/>
                    </w:rPr>
                    <w:t>4</w:t>
                  </w:r>
                </w:p>
              </w:tc>
            </w:tr>
            <w:tr w:rsidR="0031401B" w:rsidRPr="00997551" w14:paraId="5B54E9DF" w14:textId="77777777" w:rsidTr="00650F63">
              <w:trPr>
                <w:trHeight w:hRule="exact" w:val="1186"/>
                <w:jc w:val="center"/>
              </w:trPr>
              <w:tc>
                <w:tcPr>
                  <w:tcW w:w="7805" w:type="dxa"/>
                  <w:tcBorders>
                    <w:top w:val="single" w:sz="4" w:space="0" w:color="auto"/>
                    <w:left w:val="single" w:sz="4" w:space="0" w:color="auto"/>
                    <w:right w:val="single" w:sz="4" w:space="0" w:color="auto"/>
                  </w:tcBorders>
                </w:tcPr>
                <w:p w14:paraId="6AE2EC7F" w14:textId="77777777" w:rsidR="0031401B" w:rsidRPr="00997551" w:rsidRDefault="0031401B" w:rsidP="0031401B">
                  <w:pPr>
                    <w:rPr>
                      <w:rFonts w:ascii="Times New Roman" w:hAnsi="Times New Roman" w:cs="Times New Roman"/>
                    </w:rPr>
                  </w:pPr>
                </w:p>
                <w:p w14:paraId="1E97B38F" w14:textId="77777777" w:rsidR="0031401B" w:rsidRPr="00997551" w:rsidRDefault="0031401B" w:rsidP="0031401B">
                  <w:pPr>
                    <w:rPr>
                      <w:rFonts w:ascii="Times New Roman" w:hAnsi="Times New Roman" w:cs="Times New Roman"/>
                    </w:rPr>
                  </w:pPr>
                </w:p>
                <w:p w14:paraId="3CD02C52" w14:textId="77777777" w:rsidR="0031401B" w:rsidRPr="00997551" w:rsidRDefault="0031401B" w:rsidP="0031401B">
                  <w:pPr>
                    <w:rPr>
                      <w:rFonts w:ascii="Times New Roman" w:hAnsi="Times New Roman" w:cs="Times New Roman"/>
                    </w:rPr>
                  </w:pPr>
                </w:p>
                <w:p w14:paraId="1941288C" w14:textId="77777777" w:rsidR="0031401B" w:rsidRPr="00997551" w:rsidRDefault="0031401B" w:rsidP="0031401B">
                  <w:pPr>
                    <w:rPr>
                      <w:rFonts w:ascii="Times New Roman" w:hAnsi="Times New Roman" w:cs="Times New Roman"/>
                    </w:rPr>
                  </w:pPr>
                </w:p>
                <w:p w14:paraId="73BD45C4" w14:textId="77777777" w:rsidR="0031401B" w:rsidRPr="00997551" w:rsidRDefault="0031401B" w:rsidP="0031401B">
                  <w:pPr>
                    <w:rPr>
                      <w:rFonts w:ascii="Times New Roman" w:hAnsi="Times New Roman" w:cs="Times New Roman"/>
                    </w:rPr>
                  </w:pPr>
                </w:p>
                <w:p w14:paraId="3F2A7846" w14:textId="77777777" w:rsidR="0031401B" w:rsidRPr="00997551" w:rsidRDefault="0031401B" w:rsidP="0031401B">
                  <w:pPr>
                    <w:rPr>
                      <w:rFonts w:ascii="Times New Roman" w:hAnsi="Times New Roman" w:cs="Times New Roman"/>
                    </w:rPr>
                  </w:pPr>
                </w:p>
              </w:tc>
            </w:tr>
          </w:tbl>
          <w:p w14:paraId="65265497" w14:textId="040D508F" w:rsidR="0031401B" w:rsidRPr="00997551" w:rsidRDefault="0031401B" w:rsidP="0031401B">
            <w:pPr>
              <w:pStyle w:val="Other0"/>
              <w:spacing w:before="80"/>
              <w:jc w:val="both"/>
              <w:rPr>
                <w:lang w:val="en-GB"/>
              </w:rPr>
            </w:pPr>
          </w:p>
        </w:tc>
      </w:tr>
      <w:tr w:rsidR="0031401B" w:rsidRPr="00997551" w14:paraId="43950EE7" w14:textId="77777777" w:rsidTr="00594D0E">
        <w:trPr>
          <w:trHeight w:hRule="exact" w:val="1473"/>
          <w:jc w:val="center"/>
        </w:trPr>
        <w:tc>
          <w:tcPr>
            <w:tcW w:w="1714" w:type="dxa"/>
            <w:tcBorders>
              <w:top w:val="single" w:sz="4" w:space="0" w:color="auto"/>
              <w:left w:val="single" w:sz="4" w:space="0" w:color="auto"/>
            </w:tcBorders>
            <w:shd w:val="clear" w:color="auto" w:fill="E8E8E8"/>
            <w:vAlign w:val="center"/>
          </w:tcPr>
          <w:p w14:paraId="233C2B0C" w14:textId="5CDD6E92" w:rsidR="0031401B" w:rsidRPr="00997551" w:rsidRDefault="0031401B" w:rsidP="0031401B">
            <w:pPr>
              <w:pStyle w:val="Other0"/>
            </w:pPr>
            <w:r w:rsidRPr="00997551">
              <w:rPr>
                <w:b/>
                <w:bCs/>
                <w:lang w:val="sq-AL"/>
              </w:rPr>
              <w:t>Konkludimi</w:t>
            </w:r>
            <w:r w:rsidRPr="00997551">
              <w:rPr>
                <w:b/>
                <w:bCs/>
              </w:rPr>
              <w:t xml:space="preserve"> i shqyrtimit të hapit nga </w:t>
            </w:r>
            <w:r w:rsidRPr="00997551">
              <w:rPr>
                <w:b/>
                <w:bCs/>
                <w:lang w:val="sq-AL"/>
              </w:rPr>
              <w:t>shfrytëzuesi</w:t>
            </w:r>
          </w:p>
        </w:tc>
        <w:tc>
          <w:tcPr>
            <w:tcW w:w="7805" w:type="dxa"/>
            <w:tcBorders>
              <w:top w:val="single" w:sz="4" w:space="0" w:color="auto"/>
              <w:left w:val="single" w:sz="4" w:space="0" w:color="auto"/>
              <w:right w:val="single" w:sz="4" w:space="0" w:color="auto"/>
            </w:tcBorders>
          </w:tcPr>
          <w:p w14:paraId="3D1ACB71" w14:textId="77777777" w:rsidR="0031401B" w:rsidRPr="00997551" w:rsidRDefault="0031401B" w:rsidP="0031401B">
            <w:pPr>
              <w:rPr>
                <w:rFonts w:ascii="Times New Roman" w:hAnsi="Times New Roman" w:cs="Times New Roman"/>
              </w:rPr>
            </w:pPr>
            <w:r w:rsidRPr="00997551">
              <w:rPr>
                <w:rStyle w:val="Other"/>
                <w:rFonts w:eastAsia="Courier New"/>
                <w:lang w:val="sq-AL"/>
              </w:rPr>
              <w:t xml:space="preserve">Shfrytëzuesi e konsideron si e arritur e plotësishme </w:t>
            </w:r>
          </w:p>
          <w:p w14:paraId="47FB78E7" w14:textId="77777777" w:rsidR="0031401B" w:rsidRPr="00997551" w:rsidRDefault="0031401B" w:rsidP="0031401B">
            <w:pPr>
              <w:rPr>
                <w:rFonts w:ascii="Times New Roman" w:hAnsi="Times New Roman" w:cs="Times New Roman"/>
              </w:rPr>
            </w:pPr>
          </w:p>
          <w:p w14:paraId="155A215E" w14:textId="77777777" w:rsidR="0031401B" w:rsidRPr="00997551" w:rsidRDefault="0031401B" w:rsidP="0031401B">
            <w:pPr>
              <w:rPr>
                <w:rFonts w:ascii="Times New Roman" w:hAnsi="Times New Roman" w:cs="Times New Roman"/>
              </w:rPr>
            </w:pPr>
          </w:p>
          <w:p w14:paraId="3DBED8C2" w14:textId="77777777" w:rsidR="0031401B" w:rsidRPr="00997551" w:rsidRDefault="0031401B" w:rsidP="0031401B">
            <w:pPr>
              <w:rPr>
                <w:rFonts w:ascii="Times New Roman" w:hAnsi="Times New Roman" w:cs="Times New Roman"/>
              </w:rPr>
            </w:pPr>
          </w:p>
          <w:p w14:paraId="5D8E5A80" w14:textId="77777777" w:rsidR="0031401B" w:rsidRPr="00997551" w:rsidRDefault="0031401B" w:rsidP="0031401B">
            <w:pPr>
              <w:rPr>
                <w:rFonts w:ascii="Times New Roman" w:hAnsi="Times New Roman" w:cs="Times New Roman"/>
              </w:rPr>
            </w:pPr>
          </w:p>
          <w:p w14:paraId="3932BA0A" w14:textId="77777777" w:rsidR="0031401B" w:rsidRPr="00997551" w:rsidRDefault="0031401B" w:rsidP="0031401B">
            <w:pPr>
              <w:rPr>
                <w:rFonts w:ascii="Times New Roman" w:hAnsi="Times New Roman" w:cs="Times New Roman"/>
              </w:rPr>
            </w:pPr>
          </w:p>
          <w:p w14:paraId="564C2E32" w14:textId="675B856E" w:rsidR="0031401B" w:rsidRPr="00997551" w:rsidRDefault="0031401B" w:rsidP="0031401B">
            <w:pPr>
              <w:pStyle w:val="Other0"/>
              <w:spacing w:before="80"/>
              <w:jc w:val="both"/>
              <w:rPr>
                <w:lang w:val="en-GB"/>
              </w:rPr>
            </w:pPr>
          </w:p>
        </w:tc>
      </w:tr>
      <w:tr w:rsidR="0031401B" w:rsidRPr="00997551" w14:paraId="7C52D70E" w14:textId="77777777" w:rsidTr="007C40BB">
        <w:trPr>
          <w:trHeight w:hRule="exact" w:val="6106"/>
          <w:jc w:val="center"/>
        </w:trPr>
        <w:tc>
          <w:tcPr>
            <w:tcW w:w="1714" w:type="dxa"/>
            <w:tcBorders>
              <w:top w:val="single" w:sz="4" w:space="0" w:color="auto"/>
              <w:left w:val="single" w:sz="4" w:space="0" w:color="auto"/>
              <w:bottom w:val="single" w:sz="4" w:space="0" w:color="auto"/>
            </w:tcBorders>
            <w:shd w:val="clear" w:color="auto" w:fill="E8E8E8"/>
          </w:tcPr>
          <w:p w14:paraId="266ADBCB" w14:textId="77777777" w:rsidR="0031401B" w:rsidRPr="00997551" w:rsidRDefault="0031401B" w:rsidP="0031401B">
            <w:pPr>
              <w:pStyle w:val="Other0"/>
              <w:spacing w:before="80"/>
              <w:rPr>
                <w:b/>
                <w:bCs/>
                <w:lang w:val="en-GB"/>
              </w:rPr>
            </w:pPr>
            <w:proofErr w:type="spellStart"/>
            <w:r w:rsidRPr="00997551">
              <w:rPr>
                <w:b/>
                <w:bCs/>
                <w:lang w:val="en-GB"/>
              </w:rPr>
              <w:lastRenderedPageBreak/>
              <w:t>Vlerësimi</w:t>
            </w:r>
            <w:proofErr w:type="spellEnd"/>
            <w:r w:rsidRPr="00997551">
              <w:rPr>
                <w:b/>
                <w:bCs/>
                <w:lang w:val="en-GB"/>
              </w:rPr>
              <w:t xml:space="preserve"> </w:t>
            </w:r>
            <w:proofErr w:type="spellStart"/>
            <w:r w:rsidRPr="00997551">
              <w:rPr>
                <w:b/>
                <w:bCs/>
                <w:lang w:val="en-GB"/>
              </w:rPr>
              <w:t>i</w:t>
            </w:r>
            <w:proofErr w:type="spellEnd"/>
            <w:r w:rsidRPr="00997551">
              <w:rPr>
                <w:b/>
                <w:bCs/>
                <w:lang w:val="en-GB"/>
              </w:rPr>
              <w:t xml:space="preserve"> </w:t>
            </w:r>
            <w:proofErr w:type="spellStart"/>
            <w:r w:rsidRPr="00997551">
              <w:rPr>
                <w:b/>
                <w:bCs/>
                <w:lang w:val="en-GB"/>
              </w:rPr>
              <w:t>rezultateve</w:t>
            </w:r>
            <w:proofErr w:type="spellEnd"/>
            <w:r w:rsidRPr="00997551">
              <w:rPr>
                <w:b/>
                <w:bCs/>
                <w:lang w:val="en-GB"/>
              </w:rPr>
              <w:t xml:space="preserve"> </w:t>
            </w:r>
            <w:proofErr w:type="spellStart"/>
            <w:r w:rsidRPr="00997551">
              <w:rPr>
                <w:b/>
                <w:bCs/>
                <w:lang w:val="en-GB"/>
              </w:rPr>
              <w:t>nga</w:t>
            </w:r>
            <w:proofErr w:type="spellEnd"/>
            <w:r w:rsidRPr="00997551">
              <w:rPr>
                <w:b/>
                <w:bCs/>
                <w:lang w:val="en-GB"/>
              </w:rPr>
              <w:t xml:space="preserve"> </w:t>
            </w:r>
            <w:proofErr w:type="spellStart"/>
            <w:r w:rsidRPr="00997551">
              <w:rPr>
                <w:b/>
                <w:bCs/>
                <w:lang w:val="en-GB"/>
              </w:rPr>
              <w:t>Komisioni</w:t>
            </w:r>
            <w:proofErr w:type="spellEnd"/>
          </w:p>
          <w:p w14:paraId="48698C7C" w14:textId="5C1B8284" w:rsidR="0031401B" w:rsidRPr="00997551" w:rsidRDefault="0031401B" w:rsidP="0031401B">
            <w:pPr>
              <w:pStyle w:val="Other0"/>
              <w:spacing w:before="80"/>
            </w:pPr>
          </w:p>
        </w:tc>
        <w:tc>
          <w:tcPr>
            <w:tcW w:w="7805" w:type="dxa"/>
            <w:tcBorders>
              <w:top w:val="single" w:sz="4" w:space="0" w:color="auto"/>
              <w:left w:val="single" w:sz="4" w:space="0" w:color="auto"/>
              <w:bottom w:val="single" w:sz="4" w:space="0" w:color="auto"/>
              <w:right w:val="single" w:sz="4" w:space="0" w:color="auto"/>
            </w:tcBorders>
            <w:vAlign w:val="bottom"/>
          </w:tcPr>
          <w:p w14:paraId="143F3F5A" w14:textId="3DB5E028" w:rsidR="0031401B" w:rsidRPr="00997551" w:rsidRDefault="00C1686B" w:rsidP="0031401B">
            <w:pPr>
              <w:pStyle w:val="Other0"/>
              <w:spacing w:after="80"/>
              <w:jc w:val="both"/>
            </w:pPr>
            <w:r w:rsidRPr="00997551">
              <w:rPr>
                <w:lang w:val="sq-AL"/>
              </w:rPr>
              <w:t>P</w:t>
            </w:r>
            <w:r w:rsidR="0031401B" w:rsidRPr="00997551">
              <w:t xml:space="preserve">rojekcioni pesëvjeçar dhe vendimi vjetor për numrin e vendeve të lira për gjyqtarë nga Këshilli Gjyqësor dhe Këshilli i Prokurorëve Publikë nuk janë paraqitur si burim i drejtpërdrejtë verifikimi dhe elementi i vazhdimësisë është vështirë të </w:t>
            </w:r>
            <w:r w:rsidR="00B0365B" w:rsidRPr="00997551">
              <w:rPr>
                <w:lang w:val="sq-AL"/>
              </w:rPr>
              <w:t>zbulohet</w:t>
            </w:r>
            <w:r w:rsidR="0031401B" w:rsidRPr="00997551">
              <w:t xml:space="preserve">. Megjithatë, Maqedonia e Veriut raporton se, sipas projeksioneve pesëvjeçare të raportit të Këshillit Gjyqësor dhe Këshillit të Prokurorëve Publikë, do të ketë 112 vende të lira për gjyqtarë dhe 32 vende për prokurorë publikë, bazuar në pensionimin në moshën 64 vjeç në fund të vitit 2029. Projekcionet janë </w:t>
            </w:r>
            <w:r w:rsidR="00B0365B" w:rsidRPr="00997551">
              <w:rPr>
                <w:lang w:val="sq-AL"/>
              </w:rPr>
              <w:t>si në</w:t>
            </w:r>
            <w:r w:rsidR="0031401B" w:rsidRPr="00997551">
              <w:t xml:space="preserve"> vij</w:t>
            </w:r>
            <w:r w:rsidR="00B0365B" w:rsidRPr="00997551">
              <w:rPr>
                <w:lang w:val="sq-AL"/>
              </w:rPr>
              <w:t>im</w:t>
            </w:r>
            <w:r w:rsidR="0031401B" w:rsidRPr="00997551">
              <w:rPr>
                <w:rStyle w:val="Other"/>
              </w:rPr>
              <w:t>:</w:t>
            </w:r>
          </w:p>
          <w:p w14:paraId="542E4D77" w14:textId="79A22EE4" w:rsidR="0031401B" w:rsidRPr="0031401B" w:rsidRDefault="0031401B" w:rsidP="0031401B">
            <w:pPr>
              <w:pStyle w:val="Other0"/>
              <w:numPr>
                <w:ilvl w:val="0"/>
                <w:numId w:val="16"/>
              </w:numPr>
              <w:tabs>
                <w:tab w:val="left" w:pos="672"/>
                <w:tab w:val="left" w:pos="710"/>
              </w:tabs>
              <w:spacing w:after="80" w:line="276" w:lineRule="auto"/>
              <w:ind w:firstLine="360"/>
              <w:jc w:val="both"/>
              <w:rPr>
                <w:lang w:val="en-GB"/>
              </w:rPr>
            </w:pPr>
            <w:r w:rsidRPr="0031401B">
              <w:rPr>
                <w:b/>
                <w:bCs/>
                <w:lang w:val="en-GB"/>
              </w:rPr>
              <w:t>Viti 2025:</w:t>
            </w:r>
            <w:r w:rsidRPr="0031401B">
              <w:rPr>
                <w:lang w:val="en-GB"/>
              </w:rPr>
              <w:t xml:space="preserve"> 25 </w:t>
            </w:r>
            <w:proofErr w:type="spellStart"/>
            <w:r w:rsidRPr="0031401B">
              <w:rPr>
                <w:lang w:val="en-GB"/>
              </w:rPr>
              <w:t>gjyqtarë</w:t>
            </w:r>
            <w:proofErr w:type="spellEnd"/>
            <w:r w:rsidRPr="0031401B">
              <w:rPr>
                <w:lang w:val="en-GB"/>
              </w:rPr>
              <w:t xml:space="preserve"> dhe 7 </w:t>
            </w:r>
            <w:proofErr w:type="spellStart"/>
            <w:r w:rsidRPr="0031401B">
              <w:rPr>
                <w:lang w:val="en-GB"/>
              </w:rPr>
              <w:t>prokurorë</w:t>
            </w:r>
            <w:proofErr w:type="spellEnd"/>
            <w:r w:rsidRPr="0031401B">
              <w:rPr>
                <w:lang w:val="en-GB"/>
              </w:rPr>
              <w:t xml:space="preserve"> </w:t>
            </w:r>
            <w:proofErr w:type="spellStart"/>
            <w:r w:rsidRPr="0031401B">
              <w:rPr>
                <w:lang w:val="en-GB"/>
              </w:rPr>
              <w:t>publikë</w:t>
            </w:r>
            <w:proofErr w:type="spellEnd"/>
            <w:r w:rsidRPr="0031401B">
              <w:rPr>
                <w:lang w:val="en-GB"/>
              </w:rPr>
              <w:t>,</w:t>
            </w:r>
          </w:p>
          <w:p w14:paraId="0F5EBFD3" w14:textId="107826F0" w:rsidR="0031401B" w:rsidRPr="0031401B" w:rsidRDefault="0031401B" w:rsidP="0031401B">
            <w:pPr>
              <w:pStyle w:val="Other0"/>
              <w:numPr>
                <w:ilvl w:val="0"/>
                <w:numId w:val="16"/>
              </w:numPr>
              <w:tabs>
                <w:tab w:val="left" w:pos="672"/>
                <w:tab w:val="left" w:pos="710"/>
              </w:tabs>
              <w:spacing w:after="80" w:line="276" w:lineRule="auto"/>
              <w:ind w:firstLine="360"/>
              <w:jc w:val="both"/>
              <w:rPr>
                <w:lang w:val="en-GB"/>
              </w:rPr>
            </w:pPr>
            <w:r w:rsidRPr="0031401B">
              <w:rPr>
                <w:b/>
                <w:bCs/>
                <w:lang w:val="en-GB"/>
              </w:rPr>
              <w:t>Viti 2026:</w:t>
            </w:r>
            <w:r w:rsidRPr="0031401B">
              <w:rPr>
                <w:lang w:val="en-GB"/>
              </w:rPr>
              <w:t xml:space="preserve"> 19 </w:t>
            </w:r>
            <w:proofErr w:type="spellStart"/>
            <w:r w:rsidRPr="0031401B">
              <w:rPr>
                <w:lang w:val="en-GB"/>
              </w:rPr>
              <w:t>gjyqtarë</w:t>
            </w:r>
            <w:proofErr w:type="spellEnd"/>
            <w:r w:rsidRPr="0031401B">
              <w:rPr>
                <w:lang w:val="en-GB"/>
              </w:rPr>
              <w:t xml:space="preserve"> dhe 3 </w:t>
            </w:r>
            <w:proofErr w:type="spellStart"/>
            <w:r w:rsidRPr="0031401B">
              <w:rPr>
                <w:lang w:val="en-GB"/>
              </w:rPr>
              <w:t>prokurorë</w:t>
            </w:r>
            <w:proofErr w:type="spellEnd"/>
            <w:r w:rsidRPr="0031401B">
              <w:rPr>
                <w:lang w:val="en-GB"/>
              </w:rPr>
              <w:t xml:space="preserve"> </w:t>
            </w:r>
            <w:proofErr w:type="spellStart"/>
            <w:r w:rsidRPr="0031401B">
              <w:rPr>
                <w:lang w:val="en-GB"/>
              </w:rPr>
              <w:t>publikë</w:t>
            </w:r>
            <w:proofErr w:type="spellEnd"/>
            <w:r w:rsidRPr="0031401B">
              <w:rPr>
                <w:lang w:val="en-GB"/>
              </w:rPr>
              <w:t>,</w:t>
            </w:r>
          </w:p>
          <w:p w14:paraId="40F1C337" w14:textId="59E69DFE" w:rsidR="0031401B" w:rsidRPr="0031401B" w:rsidRDefault="0031401B" w:rsidP="0031401B">
            <w:pPr>
              <w:pStyle w:val="Other0"/>
              <w:numPr>
                <w:ilvl w:val="0"/>
                <w:numId w:val="16"/>
              </w:numPr>
              <w:tabs>
                <w:tab w:val="left" w:pos="672"/>
                <w:tab w:val="left" w:pos="710"/>
              </w:tabs>
              <w:spacing w:after="80" w:line="276" w:lineRule="auto"/>
              <w:ind w:firstLine="360"/>
              <w:jc w:val="both"/>
              <w:rPr>
                <w:lang w:val="en-GB"/>
              </w:rPr>
            </w:pPr>
            <w:r w:rsidRPr="0031401B">
              <w:rPr>
                <w:b/>
                <w:bCs/>
                <w:lang w:val="en-GB"/>
              </w:rPr>
              <w:t>Viti 2027:</w:t>
            </w:r>
            <w:r w:rsidRPr="0031401B">
              <w:rPr>
                <w:lang w:val="en-GB"/>
              </w:rPr>
              <w:t xml:space="preserve"> 26 </w:t>
            </w:r>
            <w:proofErr w:type="spellStart"/>
            <w:r w:rsidRPr="0031401B">
              <w:rPr>
                <w:lang w:val="en-GB"/>
              </w:rPr>
              <w:t>gjyqtarë</w:t>
            </w:r>
            <w:proofErr w:type="spellEnd"/>
            <w:r w:rsidRPr="0031401B">
              <w:rPr>
                <w:lang w:val="en-GB"/>
              </w:rPr>
              <w:t xml:space="preserve"> dhe 7 </w:t>
            </w:r>
            <w:proofErr w:type="spellStart"/>
            <w:r w:rsidRPr="0031401B">
              <w:rPr>
                <w:lang w:val="en-GB"/>
              </w:rPr>
              <w:t>prokurorë</w:t>
            </w:r>
            <w:proofErr w:type="spellEnd"/>
            <w:r w:rsidRPr="0031401B">
              <w:rPr>
                <w:lang w:val="en-GB"/>
              </w:rPr>
              <w:t xml:space="preserve"> </w:t>
            </w:r>
            <w:proofErr w:type="spellStart"/>
            <w:r w:rsidRPr="0031401B">
              <w:rPr>
                <w:lang w:val="en-GB"/>
              </w:rPr>
              <w:t>publikë</w:t>
            </w:r>
            <w:proofErr w:type="spellEnd"/>
            <w:r w:rsidRPr="0031401B">
              <w:rPr>
                <w:lang w:val="en-GB"/>
              </w:rPr>
              <w:t>,</w:t>
            </w:r>
          </w:p>
          <w:p w14:paraId="15DAEC5A" w14:textId="2F9551D7" w:rsidR="0031401B" w:rsidRPr="0031401B" w:rsidRDefault="0031401B" w:rsidP="0031401B">
            <w:pPr>
              <w:pStyle w:val="Other0"/>
              <w:numPr>
                <w:ilvl w:val="0"/>
                <w:numId w:val="16"/>
              </w:numPr>
              <w:tabs>
                <w:tab w:val="left" w:pos="672"/>
                <w:tab w:val="left" w:pos="710"/>
              </w:tabs>
              <w:spacing w:after="80" w:line="276" w:lineRule="auto"/>
              <w:ind w:firstLine="360"/>
              <w:jc w:val="both"/>
              <w:rPr>
                <w:lang w:val="en-GB"/>
              </w:rPr>
            </w:pPr>
            <w:r w:rsidRPr="0031401B">
              <w:rPr>
                <w:b/>
                <w:bCs/>
                <w:lang w:val="en-GB"/>
              </w:rPr>
              <w:t>Viti 2028:</w:t>
            </w:r>
            <w:r w:rsidRPr="0031401B">
              <w:rPr>
                <w:lang w:val="en-GB"/>
              </w:rPr>
              <w:t xml:space="preserve"> 23 </w:t>
            </w:r>
            <w:proofErr w:type="spellStart"/>
            <w:r w:rsidRPr="0031401B">
              <w:rPr>
                <w:lang w:val="en-GB"/>
              </w:rPr>
              <w:t>gjyqtarë</w:t>
            </w:r>
            <w:proofErr w:type="spellEnd"/>
            <w:r w:rsidRPr="0031401B">
              <w:rPr>
                <w:lang w:val="en-GB"/>
              </w:rPr>
              <w:t xml:space="preserve"> dhe 10 </w:t>
            </w:r>
            <w:proofErr w:type="spellStart"/>
            <w:r w:rsidRPr="0031401B">
              <w:rPr>
                <w:lang w:val="en-GB"/>
              </w:rPr>
              <w:t>prokurorë</w:t>
            </w:r>
            <w:proofErr w:type="spellEnd"/>
            <w:r w:rsidRPr="0031401B">
              <w:rPr>
                <w:lang w:val="en-GB"/>
              </w:rPr>
              <w:t xml:space="preserve"> </w:t>
            </w:r>
            <w:proofErr w:type="spellStart"/>
            <w:r w:rsidRPr="0031401B">
              <w:rPr>
                <w:lang w:val="en-GB"/>
              </w:rPr>
              <w:t>publikë</w:t>
            </w:r>
            <w:proofErr w:type="spellEnd"/>
            <w:r w:rsidRPr="0031401B">
              <w:rPr>
                <w:lang w:val="en-GB"/>
              </w:rPr>
              <w:t>,</w:t>
            </w:r>
          </w:p>
          <w:p w14:paraId="12BE7D4F" w14:textId="0217368B" w:rsidR="0031401B" w:rsidRPr="00997551" w:rsidRDefault="0031401B" w:rsidP="0031401B">
            <w:pPr>
              <w:pStyle w:val="Other0"/>
              <w:numPr>
                <w:ilvl w:val="0"/>
                <w:numId w:val="16"/>
              </w:numPr>
              <w:tabs>
                <w:tab w:val="left" w:pos="672"/>
                <w:tab w:val="left" w:pos="710"/>
                <w:tab w:val="left" w:pos="710"/>
              </w:tabs>
              <w:spacing w:after="80" w:line="276" w:lineRule="auto"/>
              <w:ind w:firstLine="360"/>
              <w:jc w:val="both"/>
              <w:rPr>
                <w:lang w:val="en-GB"/>
              </w:rPr>
            </w:pPr>
            <w:r w:rsidRPr="0031401B">
              <w:rPr>
                <w:b/>
                <w:bCs/>
                <w:lang w:val="en-GB"/>
              </w:rPr>
              <w:t>Viti 2029:</w:t>
            </w:r>
            <w:r w:rsidRPr="0031401B">
              <w:rPr>
                <w:lang w:val="en-GB"/>
              </w:rPr>
              <w:t xml:space="preserve"> 19 </w:t>
            </w:r>
            <w:proofErr w:type="spellStart"/>
            <w:r w:rsidRPr="0031401B">
              <w:rPr>
                <w:lang w:val="en-GB"/>
              </w:rPr>
              <w:t>gjyqtarë</w:t>
            </w:r>
            <w:proofErr w:type="spellEnd"/>
            <w:r w:rsidRPr="0031401B">
              <w:rPr>
                <w:lang w:val="en-GB"/>
              </w:rPr>
              <w:t xml:space="preserve"> dhe 5 </w:t>
            </w:r>
            <w:proofErr w:type="spellStart"/>
            <w:r w:rsidRPr="0031401B">
              <w:rPr>
                <w:lang w:val="en-GB"/>
              </w:rPr>
              <w:t>prokurorë</w:t>
            </w:r>
            <w:proofErr w:type="spellEnd"/>
            <w:r w:rsidRPr="0031401B">
              <w:rPr>
                <w:lang w:val="en-GB"/>
              </w:rPr>
              <w:t xml:space="preserve"> </w:t>
            </w:r>
            <w:proofErr w:type="spellStart"/>
            <w:r w:rsidRPr="0031401B">
              <w:rPr>
                <w:lang w:val="en-GB"/>
              </w:rPr>
              <w:t>publikë</w:t>
            </w:r>
            <w:proofErr w:type="spellEnd"/>
            <w:r w:rsidRPr="0031401B">
              <w:rPr>
                <w:lang w:val="en-GB"/>
              </w:rPr>
              <w:t>.</w:t>
            </w:r>
          </w:p>
          <w:p w14:paraId="49641F0F" w14:textId="77777777" w:rsidR="0031401B" w:rsidRPr="00997551" w:rsidRDefault="0031401B" w:rsidP="0031401B">
            <w:pPr>
              <w:pStyle w:val="Other0"/>
              <w:spacing w:after="80"/>
              <w:jc w:val="both"/>
              <w:rPr>
                <w:b/>
                <w:bCs/>
                <w:u w:val="single"/>
                <w:lang w:val="en-GB"/>
              </w:rPr>
            </w:pPr>
            <w:r w:rsidRPr="00997551">
              <w:rPr>
                <w:b/>
                <w:bCs/>
                <w:u w:val="single"/>
              </w:rPr>
              <w:t>Zgjedhja e gjyqtarëve dhe prokurorëve publikë</w:t>
            </w:r>
          </w:p>
          <w:p w14:paraId="36E7F947" w14:textId="79F8DD3A" w:rsidR="0031401B" w:rsidRPr="00997551" w:rsidRDefault="0031401B" w:rsidP="0031401B">
            <w:pPr>
              <w:pStyle w:val="Other0"/>
              <w:spacing w:after="80"/>
              <w:jc w:val="both"/>
            </w:pPr>
            <w:r w:rsidRPr="00997551">
              <w:t>Më 10 shkurt</w:t>
            </w:r>
            <w:r w:rsidR="00B0365B" w:rsidRPr="00997551">
              <w:rPr>
                <w:lang w:val="sq-AL"/>
              </w:rPr>
              <w:t xml:space="preserve"> të vitit</w:t>
            </w:r>
            <w:r w:rsidRPr="00997551">
              <w:t xml:space="preserve"> 2025, Këshilli Gjyqësor (KGJ) dhe Këshilli i Prokurorëve Publikë (KPP) shpallën konkurs </w:t>
            </w:r>
            <w:r w:rsidRPr="00997551">
              <w:rPr>
                <w:b/>
                <w:bCs/>
              </w:rPr>
              <w:t>për 50 gjyqtarë dhe 47 prokurorë publikë nga gjenerata e 8-të</w:t>
            </w:r>
            <w:r w:rsidRPr="00997551">
              <w:t xml:space="preserve"> e kandidatëve të Akademisë së Gjyqtarëve dhe Prokurorëve Publikë (AGJP). Këto shifra</w:t>
            </w:r>
            <w:r w:rsidR="00B0365B" w:rsidRPr="00997551">
              <w:rPr>
                <w:lang w:val="sq-AL"/>
              </w:rPr>
              <w:t xml:space="preserve"> përputhen</w:t>
            </w:r>
            <w:r w:rsidRPr="00997551">
              <w:t xml:space="preserve"> me projeksionet e dërguara nga Këshillat </w:t>
            </w:r>
            <w:r w:rsidR="00B0365B" w:rsidRPr="00997551">
              <w:rPr>
                <w:lang w:val="sq-AL"/>
              </w:rPr>
              <w:t>deri te</w:t>
            </w:r>
            <w:r w:rsidRPr="00997551">
              <w:t xml:space="preserve"> AGJP në vitin 2020, para pranimit të kandidatëve.</w:t>
            </w:r>
          </w:p>
        </w:tc>
      </w:tr>
    </w:tbl>
    <w:p w14:paraId="1111321E" w14:textId="77777777" w:rsidR="00262A83" w:rsidRPr="00997551" w:rsidRDefault="00262A83">
      <w:pPr>
        <w:pStyle w:val="Tablecaption0"/>
        <w:ind w:left="4574"/>
        <w:rPr>
          <w:sz w:val="20"/>
          <w:szCs w:val="20"/>
        </w:rPr>
      </w:pPr>
      <w:r w:rsidRPr="00997551">
        <w:rPr>
          <w:rStyle w:val="Tablecaption"/>
          <w:i/>
          <w:color w:val="808080"/>
          <w:sz w:val="20"/>
        </w:rPr>
        <w:t>14</w:t>
      </w:r>
    </w:p>
    <w:p w14:paraId="7D8B024C" w14:textId="7946B96A" w:rsidR="0031401B" w:rsidRPr="0031401B" w:rsidRDefault="0031401B" w:rsidP="0031401B">
      <w:pPr>
        <w:pStyle w:val="Bodytext20"/>
        <w:ind w:left="1780"/>
        <w:jc w:val="both"/>
        <w:rPr>
          <w:lang w:val="en-GB"/>
        </w:rPr>
      </w:pPr>
      <w:r w:rsidRPr="0031401B">
        <w:rPr>
          <w:lang w:val="en-GB"/>
        </w:rPr>
        <w:t>Më</w:t>
      </w:r>
      <w:r w:rsidR="00B0365B" w:rsidRPr="00997551">
        <w:rPr>
          <w:lang w:val="en-GB"/>
        </w:rPr>
        <w:t xml:space="preserve"> </w:t>
      </w:r>
      <w:r w:rsidRPr="0031401B">
        <w:rPr>
          <w:b/>
          <w:bCs/>
          <w:lang w:val="en-GB"/>
        </w:rPr>
        <w:t>10 mars</w:t>
      </w:r>
      <w:r w:rsidR="00B0365B" w:rsidRPr="00997551">
        <w:rPr>
          <w:b/>
          <w:bCs/>
          <w:lang w:val="en-GB"/>
        </w:rPr>
        <w:t xml:space="preserve"> të </w:t>
      </w:r>
      <w:proofErr w:type="spellStart"/>
      <w:r w:rsidR="00B0365B" w:rsidRPr="00997551">
        <w:rPr>
          <w:b/>
          <w:bCs/>
          <w:lang w:val="en-GB"/>
        </w:rPr>
        <w:t>vitit</w:t>
      </w:r>
      <w:proofErr w:type="spellEnd"/>
      <w:r w:rsidR="00B0365B" w:rsidRPr="00997551">
        <w:rPr>
          <w:b/>
          <w:bCs/>
          <w:lang w:val="en-GB"/>
        </w:rPr>
        <w:t xml:space="preserve"> </w:t>
      </w:r>
      <w:r w:rsidRPr="0031401B">
        <w:rPr>
          <w:b/>
          <w:bCs/>
          <w:lang w:val="en-GB"/>
        </w:rPr>
        <w:t>2025</w:t>
      </w:r>
      <w:r w:rsidRPr="0031401B">
        <w:rPr>
          <w:lang w:val="en-GB"/>
        </w:rPr>
        <w:t xml:space="preserve">, </w:t>
      </w:r>
      <w:proofErr w:type="spellStart"/>
      <w:r w:rsidRPr="0031401B">
        <w:rPr>
          <w:lang w:val="en-GB"/>
        </w:rPr>
        <w:t>Këshilli</w:t>
      </w:r>
      <w:proofErr w:type="spellEnd"/>
      <w:r w:rsidRPr="0031401B">
        <w:rPr>
          <w:lang w:val="en-GB"/>
        </w:rPr>
        <w:t xml:space="preserve"> </w:t>
      </w:r>
      <w:proofErr w:type="spellStart"/>
      <w:r w:rsidRPr="0031401B">
        <w:rPr>
          <w:lang w:val="en-GB"/>
        </w:rPr>
        <w:t>Gjyqësor</w:t>
      </w:r>
      <w:proofErr w:type="spellEnd"/>
      <w:r w:rsidRPr="0031401B">
        <w:rPr>
          <w:lang w:val="en-GB"/>
        </w:rPr>
        <w:t xml:space="preserve"> (KGJ), në </w:t>
      </w:r>
      <w:proofErr w:type="spellStart"/>
      <w:r w:rsidRPr="0031401B">
        <w:rPr>
          <w:lang w:val="en-GB"/>
        </w:rPr>
        <w:t>seancë</w:t>
      </w:r>
      <w:proofErr w:type="spellEnd"/>
      <w:r w:rsidRPr="0031401B">
        <w:rPr>
          <w:lang w:val="en-GB"/>
        </w:rPr>
        <w:t xml:space="preserve"> publike, </w:t>
      </w:r>
      <w:proofErr w:type="spellStart"/>
      <w:r w:rsidR="00B0365B" w:rsidRPr="00997551">
        <w:rPr>
          <w:lang w:val="en-GB"/>
        </w:rPr>
        <w:t>për</w:t>
      </w:r>
      <w:r w:rsidRPr="0031401B">
        <w:rPr>
          <w:lang w:val="en-GB"/>
        </w:rPr>
        <w:t>zgjodhi</w:t>
      </w:r>
      <w:proofErr w:type="spellEnd"/>
      <w:r w:rsidRPr="0031401B">
        <w:rPr>
          <w:lang w:val="en-GB"/>
        </w:rPr>
        <w:t xml:space="preserve"> </w:t>
      </w:r>
      <w:r w:rsidRPr="0031401B">
        <w:rPr>
          <w:b/>
          <w:bCs/>
          <w:lang w:val="en-GB"/>
        </w:rPr>
        <w:t xml:space="preserve">49 </w:t>
      </w:r>
      <w:proofErr w:type="spellStart"/>
      <w:r w:rsidRPr="0031401B">
        <w:rPr>
          <w:b/>
          <w:bCs/>
          <w:lang w:val="en-GB"/>
        </w:rPr>
        <w:t>kandidatë</w:t>
      </w:r>
      <w:proofErr w:type="spellEnd"/>
      <w:r w:rsidRPr="0031401B">
        <w:rPr>
          <w:lang w:val="en-GB"/>
        </w:rPr>
        <w:t xml:space="preserve"> në </w:t>
      </w:r>
      <w:r w:rsidRPr="0031401B">
        <w:rPr>
          <w:b/>
          <w:bCs/>
          <w:lang w:val="en-GB"/>
        </w:rPr>
        <w:t xml:space="preserve">19 </w:t>
      </w:r>
      <w:proofErr w:type="spellStart"/>
      <w:r w:rsidRPr="0031401B">
        <w:rPr>
          <w:b/>
          <w:bCs/>
          <w:lang w:val="en-GB"/>
        </w:rPr>
        <w:t>gjykata</w:t>
      </w:r>
      <w:proofErr w:type="spellEnd"/>
      <w:r w:rsidRPr="0031401B">
        <w:rPr>
          <w:b/>
          <w:bCs/>
          <w:lang w:val="en-GB"/>
        </w:rPr>
        <w:t xml:space="preserve"> </w:t>
      </w:r>
      <w:proofErr w:type="spellStart"/>
      <w:r w:rsidRPr="0031401B">
        <w:rPr>
          <w:b/>
          <w:bCs/>
          <w:lang w:val="en-GB"/>
        </w:rPr>
        <w:t>themelore</w:t>
      </w:r>
      <w:proofErr w:type="spellEnd"/>
      <w:r w:rsidRPr="0031401B">
        <w:rPr>
          <w:lang w:val="en-GB"/>
        </w:rPr>
        <w:t xml:space="preserve"> në </w:t>
      </w:r>
      <w:proofErr w:type="spellStart"/>
      <w:r w:rsidRPr="0031401B">
        <w:rPr>
          <w:lang w:val="en-GB"/>
        </w:rPr>
        <w:t>gjithë</w:t>
      </w:r>
      <w:proofErr w:type="spellEnd"/>
      <w:r w:rsidRPr="0031401B">
        <w:rPr>
          <w:lang w:val="en-GB"/>
        </w:rPr>
        <w:t xml:space="preserve"> vendin. Për </w:t>
      </w:r>
      <w:proofErr w:type="spellStart"/>
      <w:r w:rsidRPr="0031401B">
        <w:rPr>
          <w:lang w:val="en-GB"/>
        </w:rPr>
        <w:t>shkak</w:t>
      </w:r>
      <w:proofErr w:type="spellEnd"/>
      <w:r w:rsidRPr="0031401B">
        <w:rPr>
          <w:lang w:val="en-GB"/>
        </w:rPr>
        <w:t xml:space="preserve"> të </w:t>
      </w:r>
      <w:proofErr w:type="spellStart"/>
      <w:r w:rsidRPr="0031401B">
        <w:rPr>
          <w:lang w:val="en-GB"/>
        </w:rPr>
        <w:t>parimit</w:t>
      </w:r>
      <w:proofErr w:type="spellEnd"/>
      <w:r w:rsidRPr="0031401B">
        <w:rPr>
          <w:lang w:val="en-GB"/>
        </w:rPr>
        <w:t xml:space="preserve"> të </w:t>
      </w:r>
      <w:proofErr w:type="spellStart"/>
      <w:r w:rsidRPr="0031401B">
        <w:rPr>
          <w:lang w:val="en-GB"/>
        </w:rPr>
        <w:t>votimit</w:t>
      </w:r>
      <w:proofErr w:type="spellEnd"/>
      <w:r w:rsidRPr="0031401B">
        <w:rPr>
          <w:lang w:val="en-GB"/>
        </w:rPr>
        <w:t xml:space="preserve"> me </w:t>
      </w:r>
      <w:proofErr w:type="spellStart"/>
      <w:r w:rsidRPr="0031401B">
        <w:rPr>
          <w:lang w:val="en-GB"/>
        </w:rPr>
        <w:t>shumicë</w:t>
      </w:r>
      <w:proofErr w:type="spellEnd"/>
      <w:r w:rsidRPr="0031401B">
        <w:rPr>
          <w:lang w:val="en-GB"/>
        </w:rPr>
        <w:t xml:space="preserve"> të </w:t>
      </w:r>
      <w:proofErr w:type="spellStart"/>
      <w:r w:rsidRPr="0031401B">
        <w:rPr>
          <w:lang w:val="en-GB"/>
        </w:rPr>
        <w:t>dyfishtë</w:t>
      </w:r>
      <w:proofErr w:type="spellEnd"/>
      <w:r w:rsidRPr="0031401B">
        <w:rPr>
          <w:lang w:val="en-GB"/>
        </w:rPr>
        <w:t xml:space="preserve">, </w:t>
      </w:r>
      <w:proofErr w:type="spellStart"/>
      <w:r w:rsidRPr="0031401B">
        <w:rPr>
          <w:lang w:val="en-GB"/>
        </w:rPr>
        <w:t>disa</w:t>
      </w:r>
      <w:proofErr w:type="spellEnd"/>
      <w:r w:rsidRPr="0031401B">
        <w:rPr>
          <w:lang w:val="en-GB"/>
        </w:rPr>
        <w:t xml:space="preserve"> </w:t>
      </w:r>
      <w:proofErr w:type="spellStart"/>
      <w:r w:rsidRPr="0031401B">
        <w:rPr>
          <w:lang w:val="en-GB"/>
        </w:rPr>
        <w:t>kandidatë</w:t>
      </w:r>
      <w:proofErr w:type="spellEnd"/>
      <w:r w:rsidRPr="0031401B">
        <w:rPr>
          <w:lang w:val="en-GB"/>
        </w:rPr>
        <w:t xml:space="preserve"> të </w:t>
      </w:r>
      <w:proofErr w:type="spellStart"/>
      <w:r w:rsidRPr="0031401B">
        <w:rPr>
          <w:lang w:val="en-GB"/>
        </w:rPr>
        <w:t>renditur</w:t>
      </w:r>
      <w:proofErr w:type="spellEnd"/>
      <w:r w:rsidRPr="0031401B">
        <w:rPr>
          <w:lang w:val="en-GB"/>
        </w:rPr>
        <w:t xml:space="preserve"> </w:t>
      </w:r>
      <w:proofErr w:type="spellStart"/>
      <w:r w:rsidRPr="0031401B">
        <w:rPr>
          <w:lang w:val="en-GB"/>
        </w:rPr>
        <w:t>lart</w:t>
      </w:r>
      <w:proofErr w:type="spellEnd"/>
      <w:r w:rsidRPr="0031401B">
        <w:rPr>
          <w:lang w:val="en-GB"/>
        </w:rPr>
        <w:t xml:space="preserve"> për </w:t>
      </w:r>
      <w:proofErr w:type="spellStart"/>
      <w:r w:rsidRPr="0031401B">
        <w:rPr>
          <w:lang w:val="en-GB"/>
        </w:rPr>
        <w:t>gjykatat</w:t>
      </w:r>
      <w:proofErr w:type="spellEnd"/>
      <w:r w:rsidRPr="0031401B">
        <w:rPr>
          <w:lang w:val="en-GB"/>
        </w:rPr>
        <w:t xml:space="preserve"> civile dhe </w:t>
      </w:r>
      <w:proofErr w:type="spellStart"/>
      <w:r w:rsidRPr="0031401B">
        <w:rPr>
          <w:lang w:val="en-GB"/>
        </w:rPr>
        <w:t>penale</w:t>
      </w:r>
      <w:proofErr w:type="spellEnd"/>
      <w:r w:rsidRPr="0031401B">
        <w:rPr>
          <w:lang w:val="en-GB"/>
        </w:rPr>
        <w:t xml:space="preserve"> në </w:t>
      </w:r>
      <w:proofErr w:type="spellStart"/>
      <w:r w:rsidRPr="0031401B">
        <w:rPr>
          <w:lang w:val="en-GB"/>
        </w:rPr>
        <w:t>Shkup</w:t>
      </w:r>
      <w:proofErr w:type="spellEnd"/>
      <w:r w:rsidRPr="0031401B">
        <w:rPr>
          <w:lang w:val="en-GB"/>
        </w:rPr>
        <w:t xml:space="preserve"> nuk u </w:t>
      </w:r>
      <w:proofErr w:type="spellStart"/>
      <w:r w:rsidR="00B0365B" w:rsidRPr="00997551">
        <w:rPr>
          <w:lang w:val="en-GB"/>
        </w:rPr>
        <w:t>për</w:t>
      </w:r>
      <w:r w:rsidRPr="0031401B">
        <w:rPr>
          <w:lang w:val="en-GB"/>
        </w:rPr>
        <w:t>zgjodhën</w:t>
      </w:r>
      <w:proofErr w:type="spellEnd"/>
      <w:r w:rsidRPr="0031401B">
        <w:rPr>
          <w:lang w:val="en-GB"/>
        </w:rPr>
        <w:t xml:space="preserve">, </w:t>
      </w:r>
      <w:proofErr w:type="spellStart"/>
      <w:r w:rsidRPr="0031401B">
        <w:rPr>
          <w:lang w:val="en-GB"/>
        </w:rPr>
        <w:t>pasi</w:t>
      </w:r>
      <w:proofErr w:type="spellEnd"/>
      <w:r w:rsidRPr="0031401B">
        <w:rPr>
          <w:lang w:val="en-GB"/>
        </w:rPr>
        <w:t xml:space="preserve"> u dha </w:t>
      </w:r>
      <w:proofErr w:type="spellStart"/>
      <w:r w:rsidRPr="0031401B">
        <w:rPr>
          <w:lang w:val="en-GB"/>
        </w:rPr>
        <w:t>prioritet</w:t>
      </w:r>
      <w:proofErr w:type="spellEnd"/>
      <w:r w:rsidRPr="0031401B">
        <w:rPr>
          <w:lang w:val="en-GB"/>
        </w:rPr>
        <w:t xml:space="preserve"> </w:t>
      </w:r>
      <w:proofErr w:type="spellStart"/>
      <w:r w:rsidRPr="0031401B">
        <w:rPr>
          <w:lang w:val="en-GB"/>
        </w:rPr>
        <w:t>kandidatëve</w:t>
      </w:r>
      <w:proofErr w:type="spellEnd"/>
      <w:r w:rsidRPr="0031401B">
        <w:rPr>
          <w:lang w:val="en-GB"/>
        </w:rPr>
        <w:t xml:space="preserve"> të </w:t>
      </w:r>
      <w:proofErr w:type="spellStart"/>
      <w:r w:rsidRPr="0031401B">
        <w:rPr>
          <w:lang w:val="en-GB"/>
        </w:rPr>
        <w:t>renditur</w:t>
      </w:r>
      <w:proofErr w:type="spellEnd"/>
      <w:r w:rsidRPr="0031401B">
        <w:rPr>
          <w:lang w:val="en-GB"/>
        </w:rPr>
        <w:t xml:space="preserve"> më </w:t>
      </w:r>
      <w:proofErr w:type="spellStart"/>
      <w:r w:rsidRPr="0031401B">
        <w:rPr>
          <w:lang w:val="en-GB"/>
        </w:rPr>
        <w:t>poshtë</w:t>
      </w:r>
      <w:proofErr w:type="spellEnd"/>
      <w:r w:rsidRPr="0031401B">
        <w:rPr>
          <w:lang w:val="en-GB"/>
        </w:rPr>
        <w:t xml:space="preserve"> </w:t>
      </w:r>
      <w:proofErr w:type="spellStart"/>
      <w:r w:rsidRPr="0031401B">
        <w:rPr>
          <w:lang w:val="en-GB"/>
        </w:rPr>
        <w:t>nga</w:t>
      </w:r>
      <w:proofErr w:type="spellEnd"/>
      <w:r w:rsidRPr="0031401B">
        <w:rPr>
          <w:lang w:val="en-GB"/>
        </w:rPr>
        <w:t xml:space="preserve"> </w:t>
      </w:r>
      <w:proofErr w:type="spellStart"/>
      <w:r w:rsidRPr="0031401B">
        <w:rPr>
          <w:lang w:val="en-GB"/>
        </w:rPr>
        <w:t>komunitetet</w:t>
      </w:r>
      <w:proofErr w:type="spellEnd"/>
      <w:r w:rsidRPr="0031401B">
        <w:rPr>
          <w:lang w:val="en-GB"/>
        </w:rPr>
        <w:t xml:space="preserve"> </w:t>
      </w:r>
      <w:proofErr w:type="spellStart"/>
      <w:r w:rsidRPr="0031401B">
        <w:rPr>
          <w:lang w:val="en-GB"/>
        </w:rPr>
        <w:t>pakicë</w:t>
      </w:r>
      <w:proofErr w:type="spellEnd"/>
      <w:r w:rsidRPr="0031401B">
        <w:rPr>
          <w:lang w:val="en-GB"/>
        </w:rPr>
        <w:t xml:space="preserve"> në vend.</w:t>
      </w:r>
    </w:p>
    <w:p w14:paraId="58E42B13" w14:textId="0CD22152" w:rsidR="0031401B" w:rsidRPr="0031401B" w:rsidRDefault="0031401B" w:rsidP="0031401B">
      <w:pPr>
        <w:pStyle w:val="Bodytext20"/>
        <w:ind w:left="1780"/>
        <w:jc w:val="both"/>
        <w:rPr>
          <w:lang w:val="en-GB"/>
        </w:rPr>
      </w:pPr>
      <w:r w:rsidRPr="0031401B">
        <w:rPr>
          <w:lang w:val="en-GB"/>
        </w:rPr>
        <w:t xml:space="preserve">Më </w:t>
      </w:r>
      <w:r w:rsidRPr="0031401B">
        <w:rPr>
          <w:b/>
          <w:bCs/>
          <w:lang w:val="en-GB"/>
        </w:rPr>
        <w:t xml:space="preserve">7 mars </w:t>
      </w:r>
      <w:r w:rsidR="00B0365B" w:rsidRPr="00997551">
        <w:rPr>
          <w:b/>
          <w:bCs/>
          <w:lang w:val="en-GB"/>
        </w:rPr>
        <w:t xml:space="preserve">të </w:t>
      </w:r>
      <w:proofErr w:type="spellStart"/>
      <w:r w:rsidR="00B0365B" w:rsidRPr="00997551">
        <w:rPr>
          <w:b/>
          <w:bCs/>
          <w:lang w:val="en-GB"/>
        </w:rPr>
        <w:t>vitit</w:t>
      </w:r>
      <w:proofErr w:type="spellEnd"/>
      <w:r w:rsidR="00B0365B" w:rsidRPr="00997551">
        <w:rPr>
          <w:b/>
          <w:bCs/>
          <w:lang w:val="en-GB"/>
        </w:rPr>
        <w:t xml:space="preserve"> </w:t>
      </w:r>
      <w:r w:rsidRPr="0031401B">
        <w:rPr>
          <w:b/>
          <w:bCs/>
          <w:lang w:val="en-GB"/>
        </w:rPr>
        <w:t>2025</w:t>
      </w:r>
      <w:r w:rsidRPr="0031401B">
        <w:rPr>
          <w:lang w:val="en-GB"/>
        </w:rPr>
        <w:t xml:space="preserve">, </w:t>
      </w:r>
      <w:proofErr w:type="spellStart"/>
      <w:r w:rsidRPr="0031401B">
        <w:rPr>
          <w:lang w:val="en-GB"/>
        </w:rPr>
        <w:t>Këshilli</w:t>
      </w:r>
      <w:proofErr w:type="spellEnd"/>
      <w:r w:rsidRPr="0031401B">
        <w:rPr>
          <w:lang w:val="en-GB"/>
        </w:rPr>
        <w:t xml:space="preserve"> </w:t>
      </w:r>
      <w:proofErr w:type="spellStart"/>
      <w:r w:rsidRPr="0031401B">
        <w:rPr>
          <w:lang w:val="en-GB"/>
        </w:rPr>
        <w:t>i</w:t>
      </w:r>
      <w:proofErr w:type="spellEnd"/>
      <w:r w:rsidRPr="0031401B">
        <w:rPr>
          <w:lang w:val="en-GB"/>
        </w:rPr>
        <w:t xml:space="preserve"> </w:t>
      </w:r>
      <w:proofErr w:type="spellStart"/>
      <w:r w:rsidRPr="0031401B">
        <w:rPr>
          <w:lang w:val="en-GB"/>
        </w:rPr>
        <w:t>Prokurorëve</w:t>
      </w:r>
      <w:proofErr w:type="spellEnd"/>
      <w:r w:rsidRPr="0031401B">
        <w:rPr>
          <w:lang w:val="en-GB"/>
        </w:rPr>
        <w:t xml:space="preserve"> </w:t>
      </w:r>
      <w:proofErr w:type="spellStart"/>
      <w:r w:rsidRPr="0031401B">
        <w:rPr>
          <w:lang w:val="en-GB"/>
        </w:rPr>
        <w:t>Publikë</w:t>
      </w:r>
      <w:proofErr w:type="spellEnd"/>
      <w:r w:rsidRPr="0031401B">
        <w:rPr>
          <w:lang w:val="en-GB"/>
        </w:rPr>
        <w:t xml:space="preserve"> (KPP</w:t>
      </w:r>
      <w:r w:rsidR="00B0365B" w:rsidRPr="00997551">
        <w:rPr>
          <w:lang w:val="en-GB"/>
        </w:rPr>
        <w:t>-</w:t>
      </w:r>
      <w:proofErr w:type="spellStart"/>
      <w:r w:rsidR="00B0365B" w:rsidRPr="00997551">
        <w:rPr>
          <w:lang w:val="en-GB"/>
        </w:rPr>
        <w:t>ja</w:t>
      </w:r>
      <w:proofErr w:type="spellEnd"/>
      <w:r w:rsidRPr="0031401B">
        <w:rPr>
          <w:lang w:val="en-GB"/>
        </w:rPr>
        <w:t xml:space="preserve">), në </w:t>
      </w:r>
      <w:proofErr w:type="spellStart"/>
      <w:r w:rsidRPr="0031401B">
        <w:rPr>
          <w:lang w:val="en-GB"/>
        </w:rPr>
        <w:t>seancë</w:t>
      </w:r>
      <w:proofErr w:type="spellEnd"/>
      <w:r w:rsidRPr="0031401B">
        <w:rPr>
          <w:lang w:val="en-GB"/>
        </w:rPr>
        <w:t xml:space="preserve"> publike, </w:t>
      </w:r>
      <w:proofErr w:type="spellStart"/>
      <w:r w:rsidR="00B0365B" w:rsidRPr="00997551">
        <w:rPr>
          <w:lang w:val="en-GB"/>
        </w:rPr>
        <w:t>për</w:t>
      </w:r>
      <w:r w:rsidRPr="0031401B">
        <w:rPr>
          <w:lang w:val="en-GB"/>
        </w:rPr>
        <w:t>zgjodhi</w:t>
      </w:r>
      <w:proofErr w:type="spellEnd"/>
      <w:r w:rsidRPr="0031401B">
        <w:rPr>
          <w:lang w:val="en-GB"/>
        </w:rPr>
        <w:t xml:space="preserve"> </w:t>
      </w:r>
      <w:r w:rsidRPr="0031401B">
        <w:rPr>
          <w:b/>
          <w:bCs/>
          <w:lang w:val="en-GB"/>
        </w:rPr>
        <w:t xml:space="preserve">28 </w:t>
      </w:r>
      <w:proofErr w:type="spellStart"/>
      <w:r w:rsidRPr="0031401B">
        <w:rPr>
          <w:b/>
          <w:bCs/>
          <w:lang w:val="en-GB"/>
        </w:rPr>
        <w:t>kandidatë</w:t>
      </w:r>
      <w:proofErr w:type="spellEnd"/>
      <w:r w:rsidRPr="0031401B">
        <w:rPr>
          <w:lang w:val="en-GB"/>
        </w:rPr>
        <w:t xml:space="preserve"> në </w:t>
      </w:r>
      <w:r w:rsidRPr="0031401B">
        <w:rPr>
          <w:b/>
          <w:bCs/>
          <w:lang w:val="en-GB"/>
        </w:rPr>
        <w:t xml:space="preserve">10 </w:t>
      </w:r>
      <w:proofErr w:type="spellStart"/>
      <w:r w:rsidRPr="0031401B">
        <w:rPr>
          <w:b/>
          <w:bCs/>
          <w:lang w:val="en-GB"/>
        </w:rPr>
        <w:t>prokurori</w:t>
      </w:r>
      <w:proofErr w:type="spellEnd"/>
      <w:r w:rsidRPr="0031401B">
        <w:rPr>
          <w:b/>
          <w:bCs/>
          <w:lang w:val="en-GB"/>
        </w:rPr>
        <w:t xml:space="preserve"> </w:t>
      </w:r>
      <w:proofErr w:type="spellStart"/>
      <w:r w:rsidRPr="0031401B">
        <w:rPr>
          <w:b/>
          <w:bCs/>
          <w:lang w:val="en-GB"/>
        </w:rPr>
        <w:t>themelore</w:t>
      </w:r>
      <w:proofErr w:type="spellEnd"/>
      <w:r w:rsidRPr="0031401B">
        <w:rPr>
          <w:lang w:val="en-GB"/>
        </w:rPr>
        <w:t xml:space="preserve"> në </w:t>
      </w:r>
      <w:proofErr w:type="spellStart"/>
      <w:r w:rsidRPr="0031401B">
        <w:rPr>
          <w:lang w:val="en-GB"/>
        </w:rPr>
        <w:t>gjithë</w:t>
      </w:r>
      <w:proofErr w:type="spellEnd"/>
      <w:r w:rsidRPr="0031401B">
        <w:rPr>
          <w:lang w:val="en-GB"/>
        </w:rPr>
        <w:t xml:space="preserve"> vendin. </w:t>
      </w:r>
      <w:proofErr w:type="spellStart"/>
      <w:r w:rsidRPr="0031401B">
        <w:rPr>
          <w:lang w:val="en-GB"/>
        </w:rPr>
        <w:t>Numri</w:t>
      </w:r>
      <w:proofErr w:type="spellEnd"/>
      <w:r w:rsidRPr="0031401B">
        <w:rPr>
          <w:lang w:val="en-GB"/>
        </w:rPr>
        <w:t xml:space="preserve"> më </w:t>
      </w:r>
      <w:proofErr w:type="spellStart"/>
      <w:r w:rsidRPr="0031401B">
        <w:rPr>
          <w:lang w:val="en-GB"/>
        </w:rPr>
        <w:t>i</w:t>
      </w:r>
      <w:proofErr w:type="spellEnd"/>
      <w:r w:rsidRPr="0031401B">
        <w:rPr>
          <w:lang w:val="en-GB"/>
        </w:rPr>
        <w:t xml:space="preserve"> </w:t>
      </w:r>
      <w:proofErr w:type="spellStart"/>
      <w:r w:rsidRPr="0031401B">
        <w:rPr>
          <w:lang w:val="en-GB"/>
        </w:rPr>
        <w:t>vogël</w:t>
      </w:r>
      <w:proofErr w:type="spellEnd"/>
      <w:r w:rsidRPr="0031401B">
        <w:rPr>
          <w:lang w:val="en-GB"/>
        </w:rPr>
        <w:t xml:space="preserve"> </w:t>
      </w:r>
      <w:proofErr w:type="spellStart"/>
      <w:r w:rsidRPr="0031401B">
        <w:rPr>
          <w:lang w:val="en-GB"/>
        </w:rPr>
        <w:t>i</w:t>
      </w:r>
      <w:proofErr w:type="spellEnd"/>
      <w:r w:rsidRPr="0031401B">
        <w:rPr>
          <w:lang w:val="en-GB"/>
        </w:rPr>
        <w:t xml:space="preserve"> </w:t>
      </w:r>
      <w:proofErr w:type="spellStart"/>
      <w:r w:rsidRPr="0031401B">
        <w:rPr>
          <w:lang w:val="en-GB"/>
        </w:rPr>
        <w:t>prokurorëve</w:t>
      </w:r>
      <w:proofErr w:type="spellEnd"/>
      <w:r w:rsidRPr="0031401B">
        <w:rPr>
          <w:lang w:val="en-GB"/>
        </w:rPr>
        <w:t xml:space="preserve"> </w:t>
      </w:r>
      <w:proofErr w:type="spellStart"/>
      <w:r w:rsidRPr="0031401B">
        <w:rPr>
          <w:lang w:val="en-GB"/>
        </w:rPr>
        <w:t>publikë</w:t>
      </w:r>
      <w:proofErr w:type="spellEnd"/>
      <w:r w:rsidRPr="0031401B">
        <w:rPr>
          <w:lang w:val="en-GB"/>
        </w:rPr>
        <w:t xml:space="preserve"> të </w:t>
      </w:r>
      <w:proofErr w:type="spellStart"/>
      <w:r w:rsidR="00B0365B" w:rsidRPr="00997551">
        <w:rPr>
          <w:lang w:val="en-GB"/>
        </w:rPr>
        <w:t>për</w:t>
      </w:r>
      <w:r w:rsidRPr="0031401B">
        <w:rPr>
          <w:lang w:val="en-GB"/>
        </w:rPr>
        <w:t>zgjedhur</w:t>
      </w:r>
      <w:proofErr w:type="spellEnd"/>
      <w:r w:rsidRPr="0031401B">
        <w:rPr>
          <w:lang w:val="en-GB"/>
        </w:rPr>
        <w:t xml:space="preserve">, </w:t>
      </w:r>
      <w:proofErr w:type="spellStart"/>
      <w:r w:rsidRPr="0031401B">
        <w:rPr>
          <w:lang w:val="en-GB"/>
        </w:rPr>
        <w:t>krahasuar</w:t>
      </w:r>
      <w:proofErr w:type="spellEnd"/>
      <w:r w:rsidRPr="0031401B">
        <w:rPr>
          <w:lang w:val="en-GB"/>
        </w:rPr>
        <w:t xml:space="preserve"> me </w:t>
      </w:r>
      <w:proofErr w:type="spellStart"/>
      <w:r w:rsidRPr="0031401B">
        <w:rPr>
          <w:lang w:val="en-GB"/>
        </w:rPr>
        <w:t>numrin</w:t>
      </w:r>
      <w:proofErr w:type="spellEnd"/>
      <w:r w:rsidRPr="0031401B">
        <w:rPr>
          <w:lang w:val="en-GB"/>
        </w:rPr>
        <w:t xml:space="preserve"> e </w:t>
      </w:r>
      <w:proofErr w:type="spellStart"/>
      <w:r w:rsidRPr="0031401B">
        <w:rPr>
          <w:lang w:val="en-GB"/>
        </w:rPr>
        <w:t>përgjithshëm</w:t>
      </w:r>
      <w:proofErr w:type="spellEnd"/>
      <w:r w:rsidRPr="0031401B">
        <w:rPr>
          <w:lang w:val="en-GB"/>
        </w:rPr>
        <w:t xml:space="preserve"> të </w:t>
      </w:r>
      <w:proofErr w:type="spellStart"/>
      <w:r w:rsidRPr="0031401B">
        <w:rPr>
          <w:lang w:val="en-GB"/>
        </w:rPr>
        <w:t>kandidatëve</w:t>
      </w:r>
      <w:proofErr w:type="spellEnd"/>
      <w:r w:rsidRPr="0031401B">
        <w:rPr>
          <w:lang w:val="en-GB"/>
        </w:rPr>
        <w:t xml:space="preserve"> (39), është </w:t>
      </w:r>
      <w:proofErr w:type="spellStart"/>
      <w:r w:rsidRPr="0031401B">
        <w:rPr>
          <w:lang w:val="en-GB"/>
        </w:rPr>
        <w:t>rezultat</w:t>
      </w:r>
      <w:proofErr w:type="spellEnd"/>
      <w:r w:rsidRPr="0031401B">
        <w:rPr>
          <w:lang w:val="en-GB"/>
        </w:rPr>
        <w:t xml:space="preserve"> </w:t>
      </w:r>
      <w:proofErr w:type="spellStart"/>
      <w:r w:rsidRPr="0031401B">
        <w:rPr>
          <w:lang w:val="en-GB"/>
        </w:rPr>
        <w:t>i</w:t>
      </w:r>
      <w:proofErr w:type="spellEnd"/>
      <w:r w:rsidRPr="0031401B">
        <w:rPr>
          <w:lang w:val="en-GB"/>
        </w:rPr>
        <w:t xml:space="preserve"> </w:t>
      </w:r>
      <w:proofErr w:type="spellStart"/>
      <w:r w:rsidRPr="0031401B">
        <w:rPr>
          <w:lang w:val="en-GB"/>
        </w:rPr>
        <w:t>shpërndarjes</w:t>
      </w:r>
      <w:proofErr w:type="spellEnd"/>
      <w:r w:rsidRPr="0031401B">
        <w:rPr>
          <w:lang w:val="en-GB"/>
        </w:rPr>
        <w:t xml:space="preserve"> së </w:t>
      </w:r>
      <w:proofErr w:type="spellStart"/>
      <w:r w:rsidRPr="0031401B">
        <w:rPr>
          <w:lang w:val="en-GB"/>
        </w:rPr>
        <w:t>pabarabartë</w:t>
      </w:r>
      <w:proofErr w:type="spellEnd"/>
      <w:r w:rsidRPr="0031401B">
        <w:rPr>
          <w:lang w:val="en-GB"/>
        </w:rPr>
        <w:t xml:space="preserve"> të </w:t>
      </w:r>
      <w:proofErr w:type="spellStart"/>
      <w:r w:rsidRPr="0031401B">
        <w:rPr>
          <w:lang w:val="en-GB"/>
        </w:rPr>
        <w:t>kandidatëve</w:t>
      </w:r>
      <w:proofErr w:type="spellEnd"/>
      <w:r w:rsidRPr="0031401B">
        <w:rPr>
          <w:lang w:val="en-GB"/>
        </w:rPr>
        <w:t xml:space="preserve"> </w:t>
      </w:r>
      <w:proofErr w:type="spellStart"/>
      <w:r w:rsidRPr="0031401B">
        <w:rPr>
          <w:lang w:val="en-GB"/>
        </w:rPr>
        <w:t>nëpër</w:t>
      </w:r>
      <w:proofErr w:type="spellEnd"/>
      <w:r w:rsidRPr="0031401B">
        <w:rPr>
          <w:lang w:val="en-GB"/>
        </w:rPr>
        <w:t xml:space="preserve"> </w:t>
      </w:r>
      <w:proofErr w:type="spellStart"/>
      <w:r w:rsidRPr="0031401B">
        <w:rPr>
          <w:lang w:val="en-GB"/>
        </w:rPr>
        <w:t>prokuroritë</w:t>
      </w:r>
      <w:proofErr w:type="spellEnd"/>
      <w:r w:rsidRPr="0031401B">
        <w:rPr>
          <w:lang w:val="en-GB"/>
        </w:rPr>
        <w:t xml:space="preserve"> publike. </w:t>
      </w:r>
      <w:proofErr w:type="spellStart"/>
      <w:r w:rsidR="00B0365B" w:rsidRPr="00997551">
        <w:rPr>
          <w:lang w:val="en-GB"/>
        </w:rPr>
        <w:t>Derisa</w:t>
      </w:r>
      <w:proofErr w:type="spellEnd"/>
      <w:r w:rsidRPr="0031401B">
        <w:rPr>
          <w:lang w:val="en-GB"/>
        </w:rPr>
        <w:t xml:space="preserve"> </w:t>
      </w:r>
      <w:proofErr w:type="spellStart"/>
      <w:r w:rsidRPr="0031401B">
        <w:rPr>
          <w:lang w:val="en-GB"/>
        </w:rPr>
        <w:t>disa</w:t>
      </w:r>
      <w:proofErr w:type="spellEnd"/>
      <w:r w:rsidRPr="0031401B">
        <w:rPr>
          <w:lang w:val="en-GB"/>
        </w:rPr>
        <w:t xml:space="preserve"> </w:t>
      </w:r>
      <w:proofErr w:type="spellStart"/>
      <w:r w:rsidRPr="0031401B">
        <w:rPr>
          <w:lang w:val="en-GB"/>
        </w:rPr>
        <w:t>shërbime</w:t>
      </w:r>
      <w:proofErr w:type="spellEnd"/>
      <w:r w:rsidRPr="0031401B">
        <w:rPr>
          <w:lang w:val="en-GB"/>
        </w:rPr>
        <w:t xml:space="preserve"> </w:t>
      </w:r>
      <w:proofErr w:type="spellStart"/>
      <w:r w:rsidRPr="0031401B">
        <w:rPr>
          <w:lang w:val="en-GB"/>
        </w:rPr>
        <w:t>morën</w:t>
      </w:r>
      <w:proofErr w:type="spellEnd"/>
      <w:r w:rsidRPr="0031401B">
        <w:rPr>
          <w:lang w:val="en-GB"/>
        </w:rPr>
        <w:t xml:space="preserve"> </w:t>
      </w:r>
      <w:proofErr w:type="spellStart"/>
      <w:r w:rsidRPr="0031401B">
        <w:rPr>
          <w:lang w:val="en-GB"/>
        </w:rPr>
        <w:t>numër</w:t>
      </w:r>
      <w:proofErr w:type="spellEnd"/>
      <w:r w:rsidRPr="0031401B">
        <w:rPr>
          <w:lang w:val="en-GB"/>
        </w:rPr>
        <w:t xml:space="preserve"> të </w:t>
      </w:r>
      <w:proofErr w:type="spellStart"/>
      <w:r w:rsidRPr="0031401B">
        <w:rPr>
          <w:lang w:val="en-GB"/>
        </w:rPr>
        <w:t>madh</w:t>
      </w:r>
      <w:proofErr w:type="spellEnd"/>
      <w:r w:rsidRPr="0031401B">
        <w:rPr>
          <w:lang w:val="en-GB"/>
        </w:rPr>
        <w:t xml:space="preserve"> </w:t>
      </w:r>
      <w:proofErr w:type="spellStart"/>
      <w:r w:rsidRPr="0031401B">
        <w:rPr>
          <w:lang w:val="en-GB"/>
        </w:rPr>
        <w:t>aplikimesh</w:t>
      </w:r>
      <w:proofErr w:type="spellEnd"/>
      <w:r w:rsidRPr="0031401B">
        <w:rPr>
          <w:lang w:val="en-GB"/>
        </w:rPr>
        <w:t xml:space="preserve">, të </w:t>
      </w:r>
      <w:proofErr w:type="spellStart"/>
      <w:r w:rsidRPr="0031401B">
        <w:rPr>
          <w:lang w:val="en-GB"/>
        </w:rPr>
        <w:t>tjerat</w:t>
      </w:r>
      <w:proofErr w:type="spellEnd"/>
      <w:r w:rsidRPr="0031401B">
        <w:rPr>
          <w:lang w:val="en-GB"/>
        </w:rPr>
        <w:t xml:space="preserve"> </w:t>
      </w:r>
      <w:proofErr w:type="spellStart"/>
      <w:r w:rsidRPr="0031401B">
        <w:rPr>
          <w:lang w:val="en-GB"/>
        </w:rPr>
        <w:t>kishin</w:t>
      </w:r>
      <w:proofErr w:type="spellEnd"/>
      <w:r w:rsidRPr="0031401B">
        <w:rPr>
          <w:lang w:val="en-GB"/>
        </w:rPr>
        <w:t xml:space="preserve"> më </w:t>
      </w:r>
      <w:proofErr w:type="spellStart"/>
      <w:r w:rsidRPr="0031401B">
        <w:rPr>
          <w:lang w:val="en-GB"/>
        </w:rPr>
        <w:t>pak</w:t>
      </w:r>
      <w:proofErr w:type="spellEnd"/>
      <w:r w:rsidRPr="0031401B">
        <w:rPr>
          <w:lang w:val="en-GB"/>
        </w:rPr>
        <w:t xml:space="preserve"> </w:t>
      </w:r>
      <w:proofErr w:type="spellStart"/>
      <w:r w:rsidRPr="0031401B">
        <w:rPr>
          <w:lang w:val="en-GB"/>
        </w:rPr>
        <w:t>ose</w:t>
      </w:r>
      <w:proofErr w:type="spellEnd"/>
      <w:r w:rsidRPr="0031401B">
        <w:rPr>
          <w:lang w:val="en-GB"/>
        </w:rPr>
        <w:t xml:space="preserve"> </w:t>
      </w:r>
      <w:proofErr w:type="spellStart"/>
      <w:r w:rsidRPr="0031401B">
        <w:rPr>
          <w:lang w:val="en-GB"/>
        </w:rPr>
        <w:t>aspak</w:t>
      </w:r>
      <w:proofErr w:type="spellEnd"/>
      <w:r w:rsidRPr="0031401B">
        <w:rPr>
          <w:lang w:val="en-GB"/>
        </w:rPr>
        <w:t xml:space="preserve"> </w:t>
      </w:r>
      <w:proofErr w:type="spellStart"/>
      <w:r w:rsidRPr="0031401B">
        <w:rPr>
          <w:lang w:val="en-GB"/>
        </w:rPr>
        <w:t>kandidatë</w:t>
      </w:r>
      <w:proofErr w:type="spellEnd"/>
      <w:r w:rsidRPr="0031401B">
        <w:rPr>
          <w:lang w:val="en-GB"/>
        </w:rPr>
        <w:t xml:space="preserve">. Më </w:t>
      </w:r>
      <w:r w:rsidRPr="0031401B">
        <w:rPr>
          <w:b/>
          <w:bCs/>
          <w:lang w:val="en-GB"/>
        </w:rPr>
        <w:t xml:space="preserve">12 mars </w:t>
      </w:r>
      <w:r w:rsidR="00B0365B" w:rsidRPr="00997551">
        <w:rPr>
          <w:b/>
          <w:bCs/>
          <w:lang w:val="en-GB"/>
        </w:rPr>
        <w:t xml:space="preserve">të </w:t>
      </w:r>
      <w:proofErr w:type="spellStart"/>
      <w:r w:rsidR="00B0365B" w:rsidRPr="00997551">
        <w:rPr>
          <w:b/>
          <w:bCs/>
          <w:lang w:val="en-GB"/>
        </w:rPr>
        <w:t>vitit</w:t>
      </w:r>
      <w:proofErr w:type="spellEnd"/>
      <w:r w:rsidR="00B0365B" w:rsidRPr="00997551">
        <w:rPr>
          <w:b/>
          <w:bCs/>
          <w:lang w:val="en-GB"/>
        </w:rPr>
        <w:t xml:space="preserve"> </w:t>
      </w:r>
      <w:r w:rsidRPr="0031401B">
        <w:rPr>
          <w:b/>
          <w:bCs/>
          <w:lang w:val="en-GB"/>
        </w:rPr>
        <w:t>2025</w:t>
      </w:r>
      <w:r w:rsidRPr="0031401B">
        <w:rPr>
          <w:lang w:val="en-GB"/>
        </w:rPr>
        <w:t xml:space="preserve">, të </w:t>
      </w:r>
      <w:proofErr w:type="spellStart"/>
      <w:r w:rsidRPr="0031401B">
        <w:rPr>
          <w:lang w:val="en-GB"/>
        </w:rPr>
        <w:t>gjithë</w:t>
      </w:r>
      <w:proofErr w:type="spellEnd"/>
      <w:r w:rsidRPr="0031401B">
        <w:rPr>
          <w:lang w:val="en-GB"/>
        </w:rPr>
        <w:t xml:space="preserve"> </w:t>
      </w:r>
      <w:r w:rsidRPr="0031401B">
        <w:rPr>
          <w:b/>
          <w:bCs/>
          <w:lang w:val="en-GB"/>
        </w:rPr>
        <w:t xml:space="preserve">28 </w:t>
      </w:r>
      <w:proofErr w:type="spellStart"/>
      <w:r w:rsidRPr="0031401B">
        <w:rPr>
          <w:b/>
          <w:bCs/>
          <w:lang w:val="en-GB"/>
        </w:rPr>
        <w:t>kandidatët</w:t>
      </w:r>
      <w:proofErr w:type="spellEnd"/>
      <w:r w:rsidRPr="0031401B">
        <w:rPr>
          <w:b/>
          <w:bCs/>
          <w:lang w:val="en-GB"/>
        </w:rPr>
        <w:t xml:space="preserve"> e </w:t>
      </w:r>
      <w:proofErr w:type="spellStart"/>
      <w:r w:rsidRPr="0031401B">
        <w:rPr>
          <w:b/>
          <w:bCs/>
          <w:lang w:val="en-GB"/>
        </w:rPr>
        <w:t>zgjedhur</w:t>
      </w:r>
      <w:proofErr w:type="spellEnd"/>
      <w:r w:rsidRPr="0031401B">
        <w:rPr>
          <w:lang w:val="en-GB"/>
        </w:rPr>
        <w:t xml:space="preserve"> </w:t>
      </w:r>
      <w:r w:rsidR="00B0365B" w:rsidRPr="00997551">
        <w:rPr>
          <w:lang w:val="en-GB"/>
        </w:rPr>
        <w:t xml:space="preserve">u </w:t>
      </w:r>
      <w:proofErr w:type="spellStart"/>
      <w:r w:rsidR="00B0365B" w:rsidRPr="00997551">
        <w:rPr>
          <w:lang w:val="en-GB"/>
        </w:rPr>
        <w:t>betuan</w:t>
      </w:r>
      <w:proofErr w:type="spellEnd"/>
      <w:r w:rsidR="00B0365B" w:rsidRPr="00997551">
        <w:rPr>
          <w:lang w:val="en-GB"/>
        </w:rPr>
        <w:t xml:space="preserve"> në mënyrë </w:t>
      </w:r>
      <w:proofErr w:type="spellStart"/>
      <w:r w:rsidR="00B0365B" w:rsidRPr="00997551">
        <w:rPr>
          <w:lang w:val="en-GB"/>
        </w:rPr>
        <w:t>solemne</w:t>
      </w:r>
      <w:proofErr w:type="spellEnd"/>
      <w:r w:rsidRPr="0031401B">
        <w:rPr>
          <w:lang w:val="en-GB"/>
        </w:rPr>
        <w:t xml:space="preserve"> para KPP-së dhe u </w:t>
      </w:r>
      <w:proofErr w:type="spellStart"/>
      <w:r w:rsidRPr="0031401B">
        <w:rPr>
          <w:lang w:val="en-GB"/>
        </w:rPr>
        <w:t>bënë</w:t>
      </w:r>
      <w:proofErr w:type="spellEnd"/>
      <w:r w:rsidRPr="0031401B">
        <w:rPr>
          <w:lang w:val="en-GB"/>
        </w:rPr>
        <w:t xml:space="preserve"> </w:t>
      </w:r>
      <w:proofErr w:type="spellStart"/>
      <w:r w:rsidRPr="0031401B">
        <w:rPr>
          <w:lang w:val="en-GB"/>
        </w:rPr>
        <w:t>prokurorë</w:t>
      </w:r>
      <w:proofErr w:type="spellEnd"/>
      <w:r w:rsidRPr="0031401B">
        <w:rPr>
          <w:lang w:val="en-GB"/>
        </w:rPr>
        <w:t xml:space="preserve"> </w:t>
      </w:r>
      <w:proofErr w:type="spellStart"/>
      <w:r w:rsidRPr="0031401B">
        <w:rPr>
          <w:lang w:val="en-GB"/>
        </w:rPr>
        <w:t>publikë</w:t>
      </w:r>
      <w:proofErr w:type="spellEnd"/>
      <w:r w:rsidRPr="0031401B">
        <w:rPr>
          <w:lang w:val="en-GB"/>
        </w:rPr>
        <w:t>.</w:t>
      </w:r>
    </w:p>
    <w:p w14:paraId="44554F58" w14:textId="50421071" w:rsidR="0031401B" w:rsidRPr="0031401B" w:rsidRDefault="0031401B" w:rsidP="0031401B">
      <w:pPr>
        <w:pStyle w:val="Bodytext20"/>
        <w:ind w:left="1780"/>
        <w:jc w:val="both"/>
        <w:rPr>
          <w:lang w:val="en-GB"/>
        </w:rPr>
      </w:pPr>
      <w:r w:rsidRPr="0031401B">
        <w:rPr>
          <w:lang w:val="en-GB"/>
        </w:rPr>
        <w:t xml:space="preserve">Duke marrë </w:t>
      </w:r>
      <w:proofErr w:type="spellStart"/>
      <w:r w:rsidRPr="0031401B">
        <w:rPr>
          <w:lang w:val="en-GB"/>
        </w:rPr>
        <w:t>parasysh</w:t>
      </w:r>
      <w:proofErr w:type="spellEnd"/>
      <w:r w:rsidRPr="0031401B">
        <w:rPr>
          <w:lang w:val="en-GB"/>
        </w:rPr>
        <w:t xml:space="preserve"> </w:t>
      </w:r>
      <w:proofErr w:type="spellStart"/>
      <w:r w:rsidR="00B0365B" w:rsidRPr="0031401B">
        <w:rPr>
          <w:b/>
          <w:bCs/>
          <w:lang w:val="en-GB"/>
        </w:rPr>
        <w:t>numri</w:t>
      </w:r>
      <w:r w:rsidR="00B0365B" w:rsidRPr="00997551">
        <w:rPr>
          <w:b/>
          <w:bCs/>
          <w:lang w:val="en-GB"/>
        </w:rPr>
        <w:t>n</w:t>
      </w:r>
      <w:proofErr w:type="spellEnd"/>
      <w:r w:rsidR="00B0365B" w:rsidRPr="0031401B">
        <w:rPr>
          <w:b/>
          <w:bCs/>
          <w:lang w:val="en-GB"/>
        </w:rPr>
        <w:t xml:space="preserve"> </w:t>
      </w:r>
      <w:r w:rsidR="00B0365B" w:rsidRPr="00997551">
        <w:rPr>
          <w:b/>
          <w:bCs/>
          <w:lang w:val="en-GB"/>
        </w:rPr>
        <w:t>e</w:t>
      </w:r>
      <w:r w:rsidR="00B0365B" w:rsidRPr="0031401B">
        <w:rPr>
          <w:b/>
          <w:bCs/>
          <w:lang w:val="en-GB"/>
        </w:rPr>
        <w:t xml:space="preserve"> </w:t>
      </w:r>
      <w:proofErr w:type="spellStart"/>
      <w:r w:rsidR="00B0365B" w:rsidRPr="0031401B">
        <w:rPr>
          <w:b/>
          <w:bCs/>
          <w:lang w:val="en-GB"/>
        </w:rPr>
        <w:t>përgjithshëm</w:t>
      </w:r>
      <w:proofErr w:type="spellEnd"/>
      <w:r w:rsidR="00B0365B" w:rsidRPr="0031401B">
        <w:rPr>
          <w:b/>
          <w:bCs/>
          <w:lang w:val="en-GB"/>
        </w:rPr>
        <w:t xml:space="preserve"> </w:t>
      </w:r>
      <w:r w:rsidR="00B0365B" w:rsidRPr="00997551">
        <w:rPr>
          <w:b/>
          <w:bCs/>
          <w:lang w:val="en-GB"/>
        </w:rPr>
        <w:t>të</w:t>
      </w:r>
      <w:r w:rsidR="00B0365B" w:rsidRPr="0031401B">
        <w:rPr>
          <w:b/>
          <w:bCs/>
          <w:lang w:val="en-GB"/>
        </w:rPr>
        <w:t xml:space="preserve"> </w:t>
      </w:r>
      <w:proofErr w:type="spellStart"/>
      <w:r w:rsidR="00B0365B" w:rsidRPr="0031401B">
        <w:rPr>
          <w:b/>
          <w:bCs/>
          <w:lang w:val="en-GB"/>
        </w:rPr>
        <w:t>kandidatëve</w:t>
      </w:r>
      <w:proofErr w:type="spellEnd"/>
      <w:r w:rsidR="00B0365B" w:rsidRPr="0031401B">
        <w:rPr>
          <w:b/>
          <w:bCs/>
          <w:lang w:val="en-GB"/>
        </w:rPr>
        <w:t xml:space="preserve"> </w:t>
      </w:r>
      <w:r w:rsidRPr="0031401B">
        <w:rPr>
          <w:b/>
          <w:bCs/>
          <w:lang w:val="en-GB"/>
        </w:rPr>
        <w:t xml:space="preserve">20 </w:t>
      </w:r>
      <w:r w:rsidR="00B0365B" w:rsidRPr="00997551">
        <w:rPr>
          <w:b/>
          <w:bCs/>
          <w:lang w:val="en-GB"/>
        </w:rPr>
        <w:t>prej tyre</w:t>
      </w:r>
      <w:r w:rsidRPr="0031401B">
        <w:rPr>
          <w:b/>
          <w:bCs/>
          <w:lang w:val="en-GB"/>
        </w:rPr>
        <w:t xml:space="preserve"> </w:t>
      </w:r>
      <w:proofErr w:type="spellStart"/>
      <w:r w:rsidRPr="0031401B">
        <w:rPr>
          <w:b/>
          <w:bCs/>
          <w:lang w:val="en-GB"/>
        </w:rPr>
        <w:t>mbetën</w:t>
      </w:r>
      <w:proofErr w:type="spellEnd"/>
      <w:r w:rsidRPr="0031401B">
        <w:rPr>
          <w:b/>
          <w:bCs/>
          <w:lang w:val="en-GB"/>
        </w:rPr>
        <w:t xml:space="preserve"> të </w:t>
      </w:r>
      <w:proofErr w:type="spellStart"/>
      <w:r w:rsidRPr="0031401B">
        <w:rPr>
          <w:b/>
          <w:bCs/>
          <w:lang w:val="en-GB"/>
        </w:rPr>
        <w:t>pazgjedhur</w:t>
      </w:r>
      <w:proofErr w:type="spellEnd"/>
      <w:r w:rsidRPr="0031401B">
        <w:rPr>
          <w:lang w:val="en-GB"/>
        </w:rPr>
        <w:t xml:space="preserve">, më </w:t>
      </w:r>
      <w:r w:rsidRPr="0031401B">
        <w:rPr>
          <w:b/>
          <w:bCs/>
          <w:lang w:val="en-GB"/>
        </w:rPr>
        <w:t xml:space="preserve">11 mars </w:t>
      </w:r>
      <w:r w:rsidR="00B0365B" w:rsidRPr="00997551">
        <w:rPr>
          <w:b/>
          <w:bCs/>
          <w:lang w:val="en-GB"/>
        </w:rPr>
        <w:t xml:space="preserve">të </w:t>
      </w:r>
      <w:proofErr w:type="spellStart"/>
      <w:r w:rsidR="00B0365B" w:rsidRPr="00997551">
        <w:rPr>
          <w:b/>
          <w:bCs/>
          <w:lang w:val="en-GB"/>
        </w:rPr>
        <w:t>vitit</w:t>
      </w:r>
      <w:proofErr w:type="spellEnd"/>
      <w:r w:rsidR="00B0365B" w:rsidRPr="00997551">
        <w:rPr>
          <w:b/>
          <w:bCs/>
          <w:lang w:val="en-GB"/>
        </w:rPr>
        <w:t xml:space="preserve"> </w:t>
      </w:r>
      <w:r w:rsidRPr="0031401B">
        <w:rPr>
          <w:b/>
          <w:bCs/>
          <w:lang w:val="en-GB"/>
        </w:rPr>
        <w:t>2025</w:t>
      </w:r>
      <w:r w:rsidRPr="0031401B">
        <w:rPr>
          <w:lang w:val="en-GB"/>
        </w:rPr>
        <w:t xml:space="preserve">, KGJ në </w:t>
      </w:r>
      <w:proofErr w:type="spellStart"/>
      <w:r w:rsidRPr="0031401B">
        <w:rPr>
          <w:lang w:val="en-GB"/>
        </w:rPr>
        <w:t>seancë</w:t>
      </w:r>
      <w:proofErr w:type="spellEnd"/>
      <w:r w:rsidRPr="0031401B">
        <w:rPr>
          <w:lang w:val="en-GB"/>
        </w:rPr>
        <w:t xml:space="preserve"> publike</w:t>
      </w:r>
      <w:r w:rsidR="00B0365B" w:rsidRPr="00997551">
        <w:rPr>
          <w:lang w:val="en-GB"/>
        </w:rPr>
        <w:t xml:space="preserve"> </w:t>
      </w:r>
      <w:proofErr w:type="spellStart"/>
      <w:r w:rsidR="00B0365B" w:rsidRPr="00997551">
        <w:rPr>
          <w:lang w:val="en-GB"/>
        </w:rPr>
        <w:t>solli</w:t>
      </w:r>
      <w:proofErr w:type="spellEnd"/>
      <w:r w:rsidRPr="0031401B">
        <w:rPr>
          <w:lang w:val="en-GB"/>
        </w:rPr>
        <w:t xml:space="preserve"> </w:t>
      </w:r>
      <w:proofErr w:type="spellStart"/>
      <w:r w:rsidRPr="0031401B">
        <w:rPr>
          <w:lang w:val="en-GB"/>
        </w:rPr>
        <w:t>vendim</w:t>
      </w:r>
      <w:proofErr w:type="spellEnd"/>
      <w:r w:rsidRPr="0031401B">
        <w:rPr>
          <w:lang w:val="en-GB"/>
        </w:rPr>
        <w:t xml:space="preserve"> për </w:t>
      </w:r>
      <w:proofErr w:type="spellStart"/>
      <w:r w:rsidRPr="0031401B">
        <w:rPr>
          <w:lang w:val="en-GB"/>
        </w:rPr>
        <w:t>shpalljen</w:t>
      </w:r>
      <w:proofErr w:type="spellEnd"/>
      <w:r w:rsidRPr="0031401B">
        <w:rPr>
          <w:lang w:val="en-GB"/>
        </w:rPr>
        <w:t xml:space="preserve"> e </w:t>
      </w:r>
      <w:proofErr w:type="spellStart"/>
      <w:r w:rsidRPr="0031401B">
        <w:rPr>
          <w:lang w:val="en-GB"/>
        </w:rPr>
        <w:t>vend</w:t>
      </w:r>
      <w:r w:rsidR="00B0365B" w:rsidRPr="00997551">
        <w:rPr>
          <w:lang w:val="en-GB"/>
        </w:rPr>
        <w:t>eve</w:t>
      </w:r>
      <w:proofErr w:type="spellEnd"/>
      <w:r w:rsidRPr="0031401B">
        <w:rPr>
          <w:lang w:val="en-GB"/>
        </w:rPr>
        <w:t xml:space="preserve"> të</w:t>
      </w:r>
      <w:r w:rsidR="00B0365B" w:rsidRPr="00997551">
        <w:rPr>
          <w:lang w:val="en-GB"/>
        </w:rPr>
        <w:t xml:space="preserve"> reja të </w:t>
      </w:r>
      <w:proofErr w:type="spellStart"/>
      <w:r w:rsidR="00B0365B" w:rsidRPr="00997551">
        <w:rPr>
          <w:lang w:val="en-GB"/>
        </w:rPr>
        <w:t>vendeve</w:t>
      </w:r>
      <w:proofErr w:type="spellEnd"/>
      <w:r w:rsidR="00B0365B" w:rsidRPr="00997551">
        <w:rPr>
          <w:lang w:val="en-GB"/>
        </w:rPr>
        <w:t xml:space="preserve"> të</w:t>
      </w:r>
      <w:r w:rsidRPr="0031401B">
        <w:rPr>
          <w:lang w:val="en-GB"/>
        </w:rPr>
        <w:t xml:space="preserve"> </w:t>
      </w:r>
      <w:proofErr w:type="spellStart"/>
      <w:r w:rsidRPr="0031401B">
        <w:rPr>
          <w:lang w:val="en-GB"/>
        </w:rPr>
        <w:t>pun</w:t>
      </w:r>
      <w:r w:rsidR="00B0365B" w:rsidRPr="00997551">
        <w:rPr>
          <w:lang w:val="en-GB"/>
        </w:rPr>
        <w:t>ës</w:t>
      </w:r>
      <w:proofErr w:type="spellEnd"/>
      <w:r w:rsidRPr="0031401B">
        <w:rPr>
          <w:lang w:val="en-GB"/>
        </w:rPr>
        <w:t xml:space="preserve"> për </w:t>
      </w:r>
      <w:r w:rsidRPr="0031401B">
        <w:rPr>
          <w:b/>
          <w:bCs/>
          <w:lang w:val="en-GB"/>
        </w:rPr>
        <w:t xml:space="preserve">35 </w:t>
      </w:r>
      <w:proofErr w:type="spellStart"/>
      <w:r w:rsidRPr="0031401B">
        <w:rPr>
          <w:b/>
          <w:bCs/>
          <w:lang w:val="en-GB"/>
        </w:rPr>
        <w:t>gjyqtarë</w:t>
      </w:r>
      <w:proofErr w:type="spellEnd"/>
      <w:r w:rsidRPr="0031401B">
        <w:rPr>
          <w:b/>
          <w:bCs/>
          <w:lang w:val="en-GB"/>
        </w:rPr>
        <w:t xml:space="preserve"> të </w:t>
      </w:r>
      <w:proofErr w:type="spellStart"/>
      <w:r w:rsidRPr="0031401B">
        <w:rPr>
          <w:b/>
          <w:bCs/>
          <w:lang w:val="en-GB"/>
        </w:rPr>
        <w:t>rinj</w:t>
      </w:r>
      <w:proofErr w:type="spellEnd"/>
      <w:r w:rsidRPr="0031401B">
        <w:rPr>
          <w:lang w:val="en-GB"/>
        </w:rPr>
        <w:t xml:space="preserve"> në </w:t>
      </w:r>
      <w:r w:rsidRPr="0031401B">
        <w:rPr>
          <w:b/>
          <w:bCs/>
          <w:lang w:val="en-GB"/>
        </w:rPr>
        <w:t xml:space="preserve">16 </w:t>
      </w:r>
      <w:proofErr w:type="spellStart"/>
      <w:r w:rsidRPr="0031401B">
        <w:rPr>
          <w:b/>
          <w:bCs/>
          <w:lang w:val="en-GB"/>
        </w:rPr>
        <w:t>gjykata</w:t>
      </w:r>
      <w:proofErr w:type="spellEnd"/>
      <w:r w:rsidRPr="0031401B">
        <w:rPr>
          <w:lang w:val="en-GB"/>
        </w:rPr>
        <w:t xml:space="preserve"> në </w:t>
      </w:r>
      <w:proofErr w:type="spellStart"/>
      <w:r w:rsidRPr="0031401B">
        <w:rPr>
          <w:lang w:val="en-GB"/>
        </w:rPr>
        <w:t>gjithë</w:t>
      </w:r>
      <w:proofErr w:type="spellEnd"/>
      <w:r w:rsidRPr="0031401B">
        <w:rPr>
          <w:lang w:val="en-GB"/>
        </w:rPr>
        <w:t xml:space="preserve"> vendin. </w:t>
      </w:r>
      <w:proofErr w:type="spellStart"/>
      <w:r w:rsidRPr="0031401B">
        <w:rPr>
          <w:lang w:val="en-GB"/>
        </w:rPr>
        <w:t>Logjika</w:t>
      </w:r>
      <w:proofErr w:type="spellEnd"/>
      <w:r w:rsidRPr="0031401B">
        <w:rPr>
          <w:lang w:val="en-GB"/>
        </w:rPr>
        <w:t xml:space="preserve"> pas </w:t>
      </w:r>
      <w:proofErr w:type="spellStart"/>
      <w:r w:rsidRPr="0031401B">
        <w:rPr>
          <w:lang w:val="en-GB"/>
        </w:rPr>
        <w:t>shpalljes</w:t>
      </w:r>
      <w:proofErr w:type="spellEnd"/>
      <w:r w:rsidRPr="0031401B">
        <w:rPr>
          <w:lang w:val="en-GB"/>
        </w:rPr>
        <w:t xml:space="preserve"> </w:t>
      </w:r>
      <w:proofErr w:type="gramStart"/>
      <w:r w:rsidRPr="0031401B">
        <w:rPr>
          <w:lang w:val="en-GB"/>
        </w:rPr>
        <w:t xml:space="preserve">së  </w:t>
      </w:r>
      <w:proofErr w:type="spellStart"/>
      <w:r w:rsidRPr="0031401B">
        <w:rPr>
          <w:lang w:val="en-GB"/>
        </w:rPr>
        <w:t>numri</w:t>
      </w:r>
      <w:r w:rsidR="00B0365B" w:rsidRPr="00997551">
        <w:rPr>
          <w:lang w:val="en-GB"/>
        </w:rPr>
        <w:t>t</w:t>
      </w:r>
      <w:proofErr w:type="spellEnd"/>
      <w:proofErr w:type="gramEnd"/>
      <w:r w:rsidRPr="0031401B">
        <w:rPr>
          <w:lang w:val="en-GB"/>
        </w:rPr>
        <w:t xml:space="preserve"> më të </w:t>
      </w:r>
      <w:proofErr w:type="spellStart"/>
      <w:r w:rsidRPr="0031401B">
        <w:rPr>
          <w:lang w:val="en-GB"/>
        </w:rPr>
        <w:t>madh</w:t>
      </w:r>
      <w:proofErr w:type="spellEnd"/>
      <w:r w:rsidRPr="0031401B">
        <w:rPr>
          <w:lang w:val="en-GB"/>
        </w:rPr>
        <w:t xml:space="preserve"> </w:t>
      </w:r>
      <w:proofErr w:type="spellStart"/>
      <w:r w:rsidRPr="0031401B">
        <w:rPr>
          <w:lang w:val="en-GB"/>
        </w:rPr>
        <w:t>vendesh</w:t>
      </w:r>
      <w:proofErr w:type="spellEnd"/>
      <w:r w:rsidRPr="0031401B">
        <w:rPr>
          <w:lang w:val="en-GB"/>
        </w:rPr>
        <w:t xml:space="preserve"> të lira se </w:t>
      </w:r>
      <w:proofErr w:type="spellStart"/>
      <w:r w:rsidRPr="0031401B">
        <w:rPr>
          <w:lang w:val="en-GB"/>
        </w:rPr>
        <w:t>sa</w:t>
      </w:r>
      <w:proofErr w:type="spellEnd"/>
      <w:r w:rsidRPr="0031401B">
        <w:rPr>
          <w:lang w:val="en-GB"/>
        </w:rPr>
        <w:t xml:space="preserve"> </w:t>
      </w:r>
      <w:proofErr w:type="spellStart"/>
      <w:r w:rsidRPr="0031401B">
        <w:rPr>
          <w:lang w:val="en-GB"/>
        </w:rPr>
        <w:t>numri</w:t>
      </w:r>
      <w:proofErr w:type="spellEnd"/>
      <w:r w:rsidRPr="0031401B">
        <w:rPr>
          <w:lang w:val="en-GB"/>
        </w:rPr>
        <w:t xml:space="preserve"> </w:t>
      </w:r>
      <w:proofErr w:type="spellStart"/>
      <w:r w:rsidRPr="0031401B">
        <w:rPr>
          <w:lang w:val="en-GB"/>
        </w:rPr>
        <w:t>i</w:t>
      </w:r>
      <w:proofErr w:type="spellEnd"/>
      <w:r w:rsidRPr="0031401B">
        <w:rPr>
          <w:lang w:val="en-GB"/>
        </w:rPr>
        <w:t xml:space="preserve"> </w:t>
      </w:r>
      <w:proofErr w:type="spellStart"/>
      <w:r w:rsidRPr="0031401B">
        <w:rPr>
          <w:lang w:val="en-GB"/>
        </w:rPr>
        <w:t>kandidatëve</w:t>
      </w:r>
      <w:proofErr w:type="spellEnd"/>
      <w:r w:rsidRPr="0031401B">
        <w:rPr>
          <w:lang w:val="en-GB"/>
        </w:rPr>
        <w:t xml:space="preserve"> është </w:t>
      </w:r>
      <w:proofErr w:type="spellStart"/>
      <w:r w:rsidRPr="0031401B">
        <w:rPr>
          <w:lang w:val="en-GB"/>
        </w:rPr>
        <w:t>pritshmëria</w:t>
      </w:r>
      <w:proofErr w:type="spellEnd"/>
      <w:r w:rsidRPr="0031401B">
        <w:rPr>
          <w:lang w:val="en-GB"/>
        </w:rPr>
        <w:t xml:space="preserve"> </w:t>
      </w:r>
      <w:r w:rsidR="00B0365B" w:rsidRPr="00997551">
        <w:rPr>
          <w:lang w:val="en-GB"/>
        </w:rPr>
        <w:t xml:space="preserve">se do të </w:t>
      </w:r>
      <w:proofErr w:type="spellStart"/>
      <w:r w:rsidR="00B0365B" w:rsidRPr="00997551">
        <w:rPr>
          <w:lang w:val="en-GB"/>
        </w:rPr>
        <w:t>ketë</w:t>
      </w:r>
      <w:proofErr w:type="spellEnd"/>
      <w:r w:rsidRPr="0031401B">
        <w:rPr>
          <w:lang w:val="en-GB"/>
        </w:rPr>
        <w:t xml:space="preserve"> </w:t>
      </w:r>
      <w:proofErr w:type="spellStart"/>
      <w:r w:rsidRPr="0031401B">
        <w:rPr>
          <w:lang w:val="en-GB"/>
        </w:rPr>
        <w:t>shpërndarje</w:t>
      </w:r>
      <w:proofErr w:type="spellEnd"/>
      <w:r w:rsidRPr="0031401B">
        <w:rPr>
          <w:lang w:val="en-GB"/>
        </w:rPr>
        <w:t xml:space="preserve"> </w:t>
      </w:r>
      <w:proofErr w:type="spellStart"/>
      <w:r w:rsidR="00B0365B" w:rsidRPr="00997551">
        <w:rPr>
          <w:lang w:val="en-GB"/>
        </w:rPr>
        <w:t>jotë</w:t>
      </w:r>
      <w:r w:rsidRPr="0031401B">
        <w:rPr>
          <w:lang w:val="en-GB"/>
        </w:rPr>
        <w:t>barabartë</w:t>
      </w:r>
      <w:proofErr w:type="spellEnd"/>
      <w:r w:rsidRPr="0031401B">
        <w:rPr>
          <w:lang w:val="en-GB"/>
        </w:rPr>
        <w:t xml:space="preserve"> të </w:t>
      </w:r>
      <w:proofErr w:type="spellStart"/>
      <w:r w:rsidRPr="0031401B">
        <w:rPr>
          <w:lang w:val="en-GB"/>
        </w:rPr>
        <w:t>kandidatëve</w:t>
      </w:r>
      <w:proofErr w:type="spellEnd"/>
      <w:r w:rsidRPr="0031401B">
        <w:rPr>
          <w:lang w:val="en-GB"/>
        </w:rPr>
        <w:t xml:space="preserve"> në </w:t>
      </w:r>
      <w:proofErr w:type="spellStart"/>
      <w:r w:rsidRPr="0031401B">
        <w:rPr>
          <w:lang w:val="en-GB"/>
        </w:rPr>
        <w:t>gjykata</w:t>
      </w:r>
      <w:proofErr w:type="spellEnd"/>
      <w:r w:rsidRPr="0031401B">
        <w:rPr>
          <w:lang w:val="en-GB"/>
        </w:rPr>
        <w:t xml:space="preserve"> të </w:t>
      </w:r>
      <w:proofErr w:type="spellStart"/>
      <w:r w:rsidRPr="0031401B">
        <w:rPr>
          <w:lang w:val="en-GB"/>
        </w:rPr>
        <w:t>ndryshme</w:t>
      </w:r>
      <w:proofErr w:type="spellEnd"/>
      <w:r w:rsidRPr="0031401B">
        <w:rPr>
          <w:lang w:val="en-GB"/>
        </w:rPr>
        <w:t>.</w:t>
      </w:r>
    </w:p>
    <w:p w14:paraId="17D1BBD6" w14:textId="6F06F736" w:rsidR="0031401B" w:rsidRPr="0031401B" w:rsidRDefault="0031401B" w:rsidP="0031401B">
      <w:pPr>
        <w:pStyle w:val="Bodytext20"/>
        <w:ind w:left="1780"/>
        <w:jc w:val="both"/>
        <w:rPr>
          <w:lang w:val="en-GB"/>
        </w:rPr>
      </w:pPr>
      <w:r w:rsidRPr="0031401B">
        <w:rPr>
          <w:lang w:val="en-GB"/>
        </w:rPr>
        <w:t xml:space="preserve">Më </w:t>
      </w:r>
      <w:r w:rsidRPr="0031401B">
        <w:rPr>
          <w:b/>
          <w:bCs/>
          <w:lang w:val="en-GB"/>
        </w:rPr>
        <w:t>12 mars</w:t>
      </w:r>
      <w:r w:rsidR="00DC38A5" w:rsidRPr="00997551">
        <w:rPr>
          <w:b/>
          <w:bCs/>
          <w:lang w:val="en-GB"/>
        </w:rPr>
        <w:t xml:space="preserve"> të </w:t>
      </w:r>
      <w:proofErr w:type="spellStart"/>
      <w:r w:rsidR="00DC38A5" w:rsidRPr="00997551">
        <w:rPr>
          <w:b/>
          <w:bCs/>
          <w:lang w:val="en-GB"/>
        </w:rPr>
        <w:t>vitit</w:t>
      </w:r>
      <w:proofErr w:type="spellEnd"/>
      <w:r w:rsidRPr="0031401B">
        <w:rPr>
          <w:b/>
          <w:bCs/>
          <w:lang w:val="en-GB"/>
        </w:rPr>
        <w:t xml:space="preserve"> 2025</w:t>
      </w:r>
      <w:r w:rsidRPr="0031401B">
        <w:rPr>
          <w:lang w:val="en-GB"/>
        </w:rPr>
        <w:t xml:space="preserve">, </w:t>
      </w:r>
      <w:proofErr w:type="spellStart"/>
      <w:r w:rsidRPr="0031401B">
        <w:rPr>
          <w:lang w:val="en-GB"/>
        </w:rPr>
        <w:t>Këshilli</w:t>
      </w:r>
      <w:proofErr w:type="spellEnd"/>
      <w:r w:rsidRPr="0031401B">
        <w:rPr>
          <w:lang w:val="en-GB"/>
        </w:rPr>
        <w:t xml:space="preserve"> </w:t>
      </w:r>
      <w:proofErr w:type="spellStart"/>
      <w:r w:rsidRPr="0031401B">
        <w:rPr>
          <w:lang w:val="en-GB"/>
        </w:rPr>
        <w:t>Gjyqësor</w:t>
      </w:r>
      <w:proofErr w:type="spellEnd"/>
      <w:r w:rsidRPr="0031401B">
        <w:rPr>
          <w:lang w:val="en-GB"/>
        </w:rPr>
        <w:t xml:space="preserve"> në </w:t>
      </w:r>
      <w:proofErr w:type="spellStart"/>
      <w:r w:rsidRPr="0031401B">
        <w:rPr>
          <w:lang w:val="en-GB"/>
        </w:rPr>
        <w:t>seancë</w:t>
      </w:r>
      <w:proofErr w:type="spellEnd"/>
      <w:r w:rsidRPr="0031401B">
        <w:rPr>
          <w:lang w:val="en-GB"/>
        </w:rPr>
        <w:t xml:space="preserve"> publike </w:t>
      </w:r>
      <w:proofErr w:type="spellStart"/>
      <w:r w:rsidR="00DC38A5" w:rsidRPr="00997551">
        <w:rPr>
          <w:lang w:val="en-GB"/>
        </w:rPr>
        <w:t>solli</w:t>
      </w:r>
      <w:proofErr w:type="spellEnd"/>
      <w:r w:rsidRPr="0031401B">
        <w:rPr>
          <w:lang w:val="en-GB"/>
        </w:rPr>
        <w:t xml:space="preserve"> ven</w:t>
      </w:r>
      <w:proofErr w:type="spellStart"/>
      <w:r w:rsidRPr="0031401B">
        <w:rPr>
          <w:lang w:val="en-GB"/>
        </w:rPr>
        <w:t>dim</w:t>
      </w:r>
      <w:proofErr w:type="spellEnd"/>
      <w:r w:rsidRPr="0031401B">
        <w:rPr>
          <w:lang w:val="en-GB"/>
        </w:rPr>
        <w:t xml:space="preserve"> për </w:t>
      </w:r>
      <w:proofErr w:type="spellStart"/>
      <w:r w:rsidRPr="0031401B">
        <w:rPr>
          <w:lang w:val="en-GB"/>
        </w:rPr>
        <w:t>shpalljen</w:t>
      </w:r>
      <w:proofErr w:type="spellEnd"/>
      <w:r w:rsidRPr="0031401B">
        <w:rPr>
          <w:lang w:val="en-GB"/>
        </w:rPr>
        <w:t xml:space="preserve"> </w:t>
      </w:r>
      <w:proofErr w:type="gramStart"/>
      <w:r w:rsidRPr="0031401B">
        <w:rPr>
          <w:lang w:val="en-GB"/>
        </w:rPr>
        <w:t xml:space="preserve">e  </w:t>
      </w:r>
      <w:proofErr w:type="spellStart"/>
      <w:r w:rsidRPr="0031401B">
        <w:rPr>
          <w:lang w:val="en-GB"/>
        </w:rPr>
        <w:t>vend</w:t>
      </w:r>
      <w:r w:rsidR="00DC38A5" w:rsidRPr="00997551">
        <w:rPr>
          <w:lang w:val="en-GB"/>
        </w:rPr>
        <w:t>eve</w:t>
      </w:r>
      <w:proofErr w:type="spellEnd"/>
      <w:proofErr w:type="gramEnd"/>
      <w:r w:rsidR="00DC38A5" w:rsidRPr="00997551">
        <w:rPr>
          <w:lang w:val="en-GB"/>
        </w:rPr>
        <w:t xml:space="preserve"> të lira të </w:t>
      </w:r>
      <w:proofErr w:type="spellStart"/>
      <w:r w:rsidR="00DC38A5" w:rsidRPr="00997551">
        <w:rPr>
          <w:lang w:val="en-GB"/>
        </w:rPr>
        <w:t>punës</w:t>
      </w:r>
      <w:proofErr w:type="spellEnd"/>
      <w:r w:rsidRPr="0031401B">
        <w:rPr>
          <w:lang w:val="en-GB"/>
        </w:rPr>
        <w:t xml:space="preserve"> për </w:t>
      </w:r>
      <w:r w:rsidRPr="0031401B">
        <w:rPr>
          <w:b/>
          <w:bCs/>
          <w:lang w:val="en-GB"/>
        </w:rPr>
        <w:t xml:space="preserve">19 </w:t>
      </w:r>
      <w:proofErr w:type="spellStart"/>
      <w:r w:rsidRPr="0031401B">
        <w:rPr>
          <w:b/>
          <w:bCs/>
          <w:lang w:val="en-GB"/>
        </w:rPr>
        <w:t>prokurorë</w:t>
      </w:r>
      <w:proofErr w:type="spellEnd"/>
      <w:r w:rsidRPr="0031401B">
        <w:rPr>
          <w:b/>
          <w:bCs/>
          <w:lang w:val="en-GB"/>
        </w:rPr>
        <w:t xml:space="preserve"> </w:t>
      </w:r>
      <w:proofErr w:type="spellStart"/>
      <w:r w:rsidRPr="0031401B">
        <w:rPr>
          <w:b/>
          <w:bCs/>
          <w:lang w:val="en-GB"/>
        </w:rPr>
        <w:t>publikë</w:t>
      </w:r>
      <w:proofErr w:type="spellEnd"/>
    </w:p>
    <w:p w14:paraId="74F8B5D2" w14:textId="77777777" w:rsidR="0031401B" w:rsidRPr="00997551" w:rsidRDefault="0031401B">
      <w:pPr>
        <w:pStyle w:val="Bodytext20"/>
        <w:ind w:left="1780"/>
        <w:jc w:val="both"/>
        <w:rPr>
          <w:rStyle w:val="Bodytext2"/>
          <w:lang w:val="en-GB"/>
        </w:rPr>
      </w:pPr>
    </w:p>
    <w:p w14:paraId="528D2992" w14:textId="77777777" w:rsidR="0031401B" w:rsidRPr="00997551" w:rsidRDefault="0031401B">
      <w:pPr>
        <w:pStyle w:val="Bodytext20"/>
        <w:ind w:left="1780"/>
        <w:jc w:val="both"/>
        <w:rPr>
          <w:rStyle w:val="Bodytext2"/>
          <w:lang w:val="en-GB"/>
        </w:rPr>
      </w:pPr>
    </w:p>
    <w:p w14:paraId="3584E4E6" w14:textId="77777777" w:rsidR="00DC38A5" w:rsidRPr="00997551" w:rsidRDefault="00DC38A5">
      <w:pPr>
        <w:pStyle w:val="Bodytext20"/>
        <w:ind w:left="1780"/>
        <w:jc w:val="both"/>
        <w:rPr>
          <w:rStyle w:val="Bodytext2"/>
          <w:lang w:val="en-GB"/>
        </w:rPr>
      </w:pPr>
    </w:p>
    <w:p w14:paraId="3C8221F2" w14:textId="77777777" w:rsidR="00DC38A5" w:rsidRPr="00997551" w:rsidRDefault="00DC38A5">
      <w:pPr>
        <w:pStyle w:val="Bodytext20"/>
        <w:ind w:left="1780"/>
        <w:jc w:val="both"/>
        <w:rPr>
          <w:rStyle w:val="Bodytext2"/>
          <w:lang w:val="en-GB"/>
        </w:rPr>
      </w:pPr>
    </w:p>
    <w:p w14:paraId="7848A1C2" w14:textId="77777777" w:rsidR="00DC38A5" w:rsidRPr="00997551" w:rsidRDefault="00DC38A5">
      <w:pPr>
        <w:pStyle w:val="Bodytext20"/>
        <w:ind w:left="1780"/>
        <w:jc w:val="both"/>
        <w:rPr>
          <w:rStyle w:val="Bodytext2"/>
          <w:lang w:val="en-GB"/>
        </w:rPr>
      </w:pPr>
    </w:p>
    <w:p w14:paraId="3D573CBD" w14:textId="77777777" w:rsidR="0031401B" w:rsidRPr="00997551" w:rsidRDefault="0031401B">
      <w:pPr>
        <w:pStyle w:val="Bodytext20"/>
        <w:ind w:left="1780"/>
        <w:jc w:val="both"/>
        <w:rPr>
          <w:lang w:val="en-GB"/>
        </w:rPr>
      </w:pPr>
    </w:p>
    <w:p w14:paraId="7AA7CFF6" w14:textId="605A008A" w:rsidR="00262A83" w:rsidRPr="00997551" w:rsidRDefault="00DC38A5">
      <w:pPr>
        <w:pStyle w:val="Bodytext20"/>
        <w:numPr>
          <w:ilvl w:val="0"/>
          <w:numId w:val="17"/>
        </w:numPr>
        <w:tabs>
          <w:tab w:val="left" w:pos="2395"/>
        </w:tabs>
        <w:ind w:hanging="360"/>
        <w:jc w:val="both"/>
      </w:pPr>
      <w:proofErr w:type="spellStart"/>
      <w:r w:rsidRPr="00997551">
        <w:rPr>
          <w:color w:val="auto"/>
          <w:lang w:val="en-GB" w:eastAsia="en-GB" w:bidi="ar-SA"/>
        </w:rPr>
        <w:lastRenderedPageBreak/>
        <w:t>Vendimet</w:t>
      </w:r>
      <w:proofErr w:type="spellEnd"/>
      <w:r w:rsidRPr="00997551">
        <w:rPr>
          <w:color w:val="auto"/>
          <w:lang w:val="en-GB" w:eastAsia="en-GB" w:bidi="ar-SA"/>
        </w:rPr>
        <w:t xml:space="preserve"> e </w:t>
      </w:r>
      <w:proofErr w:type="spellStart"/>
      <w:r w:rsidRPr="00997551">
        <w:rPr>
          <w:color w:val="auto"/>
          <w:lang w:val="en-GB" w:eastAsia="en-GB" w:bidi="ar-SA"/>
        </w:rPr>
        <w:t>sjellura</w:t>
      </w:r>
      <w:proofErr w:type="spellEnd"/>
      <w:r w:rsidRPr="00997551">
        <w:rPr>
          <w:color w:val="auto"/>
          <w:lang w:val="en-GB" w:eastAsia="en-GB" w:bidi="ar-SA"/>
        </w:rPr>
        <w:t xml:space="preserve"> </w:t>
      </w:r>
      <w:proofErr w:type="spellStart"/>
      <w:r w:rsidRPr="00997551">
        <w:rPr>
          <w:color w:val="auto"/>
          <w:lang w:val="en-GB" w:eastAsia="en-GB" w:bidi="ar-SA"/>
        </w:rPr>
        <w:t>nga</w:t>
      </w:r>
      <w:proofErr w:type="spellEnd"/>
      <w:r w:rsidRPr="00997551">
        <w:rPr>
          <w:color w:val="auto"/>
          <w:lang w:val="en-GB" w:eastAsia="en-GB" w:bidi="ar-SA"/>
        </w:rPr>
        <w:t xml:space="preserve"> </w:t>
      </w:r>
      <w:proofErr w:type="spellStart"/>
      <w:r w:rsidRPr="00997551">
        <w:rPr>
          <w:color w:val="auto"/>
          <w:lang w:val="en-GB" w:eastAsia="en-GB" w:bidi="ar-SA"/>
        </w:rPr>
        <w:t>Këshilli</w:t>
      </w:r>
      <w:proofErr w:type="spellEnd"/>
      <w:r w:rsidRPr="00997551">
        <w:rPr>
          <w:color w:val="auto"/>
          <w:lang w:val="en-GB" w:eastAsia="en-GB" w:bidi="ar-SA"/>
        </w:rPr>
        <w:t xml:space="preserve"> </w:t>
      </w:r>
      <w:proofErr w:type="spellStart"/>
      <w:r w:rsidRPr="00997551">
        <w:rPr>
          <w:color w:val="auto"/>
          <w:lang w:val="en-GB" w:eastAsia="en-GB" w:bidi="ar-SA"/>
        </w:rPr>
        <w:t>Gjyqësor</w:t>
      </w:r>
      <w:proofErr w:type="spellEnd"/>
      <w:r w:rsidRPr="00997551">
        <w:rPr>
          <w:color w:val="auto"/>
          <w:lang w:val="en-GB" w:eastAsia="en-GB" w:bidi="ar-SA"/>
        </w:rPr>
        <w:t xml:space="preserve"> dhe </w:t>
      </w:r>
      <w:proofErr w:type="spellStart"/>
      <w:r w:rsidRPr="00997551">
        <w:rPr>
          <w:color w:val="auto"/>
          <w:lang w:val="en-GB" w:eastAsia="en-GB" w:bidi="ar-SA"/>
        </w:rPr>
        <w:t>Këshilli</w:t>
      </w:r>
      <w:proofErr w:type="spellEnd"/>
      <w:r w:rsidRPr="00997551">
        <w:rPr>
          <w:color w:val="auto"/>
          <w:lang w:val="en-GB" w:eastAsia="en-GB" w:bidi="ar-SA"/>
        </w:rPr>
        <w:t xml:space="preserve"> </w:t>
      </w:r>
      <w:proofErr w:type="spellStart"/>
      <w:r w:rsidRPr="00997551">
        <w:rPr>
          <w:color w:val="auto"/>
          <w:lang w:val="en-GB" w:eastAsia="en-GB" w:bidi="ar-SA"/>
        </w:rPr>
        <w:t>i</w:t>
      </w:r>
      <w:proofErr w:type="spellEnd"/>
      <w:r w:rsidRPr="00997551">
        <w:rPr>
          <w:color w:val="auto"/>
          <w:lang w:val="en-GB" w:eastAsia="en-GB" w:bidi="ar-SA"/>
        </w:rPr>
        <w:t xml:space="preserve"> </w:t>
      </w:r>
      <w:proofErr w:type="spellStart"/>
      <w:r w:rsidRPr="00997551">
        <w:rPr>
          <w:color w:val="auto"/>
          <w:lang w:val="en-GB" w:eastAsia="en-GB" w:bidi="ar-SA"/>
        </w:rPr>
        <w:t>Prokurorëve</w:t>
      </w:r>
      <w:proofErr w:type="spellEnd"/>
      <w:r w:rsidRPr="00997551">
        <w:rPr>
          <w:color w:val="auto"/>
          <w:lang w:val="en-GB" w:eastAsia="en-GB" w:bidi="ar-SA"/>
        </w:rPr>
        <w:t xml:space="preserve"> </w:t>
      </w:r>
      <w:proofErr w:type="spellStart"/>
      <w:r w:rsidRPr="00997551">
        <w:rPr>
          <w:color w:val="auto"/>
          <w:lang w:val="en-GB" w:eastAsia="en-GB" w:bidi="ar-SA"/>
        </w:rPr>
        <w:t>Publikë</w:t>
      </w:r>
      <w:proofErr w:type="spellEnd"/>
      <w:r w:rsidRPr="00997551">
        <w:rPr>
          <w:color w:val="auto"/>
          <w:lang w:val="en-GB" w:eastAsia="en-GB" w:bidi="ar-SA"/>
        </w:rPr>
        <w:t xml:space="preserve"> për </w:t>
      </w:r>
      <w:proofErr w:type="spellStart"/>
      <w:r w:rsidRPr="00997551">
        <w:rPr>
          <w:color w:val="auto"/>
          <w:lang w:val="en-GB" w:eastAsia="en-GB" w:bidi="ar-SA"/>
        </w:rPr>
        <w:t>emërimin</w:t>
      </w:r>
      <w:proofErr w:type="spellEnd"/>
      <w:r w:rsidRPr="00997551">
        <w:rPr>
          <w:color w:val="auto"/>
          <w:lang w:val="en-GB" w:eastAsia="en-GB" w:bidi="ar-SA"/>
        </w:rPr>
        <w:t xml:space="preserve"> e të </w:t>
      </w:r>
      <w:proofErr w:type="spellStart"/>
      <w:r w:rsidRPr="00997551">
        <w:rPr>
          <w:color w:val="auto"/>
          <w:lang w:val="en-GB" w:eastAsia="en-GB" w:bidi="ar-SA"/>
        </w:rPr>
        <w:t>studentëve</w:t>
      </w:r>
      <w:proofErr w:type="spellEnd"/>
      <w:r w:rsidRPr="00997551">
        <w:rPr>
          <w:color w:val="auto"/>
          <w:lang w:val="en-GB" w:eastAsia="en-GB" w:bidi="ar-SA"/>
        </w:rPr>
        <w:t xml:space="preserve"> të </w:t>
      </w:r>
      <w:proofErr w:type="spellStart"/>
      <w:r w:rsidRPr="00997551">
        <w:rPr>
          <w:color w:val="auto"/>
          <w:lang w:val="en-GB" w:eastAsia="en-GB" w:bidi="ar-SA"/>
        </w:rPr>
        <w:t>diplomuar</w:t>
      </w:r>
      <w:proofErr w:type="spellEnd"/>
      <w:r w:rsidRPr="00997551">
        <w:rPr>
          <w:color w:val="auto"/>
          <w:lang w:val="en-GB" w:eastAsia="en-GB" w:bidi="ar-SA"/>
        </w:rPr>
        <w:t xml:space="preserve"> në </w:t>
      </w:r>
      <w:proofErr w:type="spellStart"/>
      <w:r w:rsidRPr="00997551">
        <w:rPr>
          <w:color w:val="auto"/>
          <w:lang w:val="en-GB" w:eastAsia="en-GB" w:bidi="ar-SA"/>
        </w:rPr>
        <w:t>Akademi</w:t>
      </w:r>
      <w:proofErr w:type="spellEnd"/>
      <w:r w:rsidRPr="00997551">
        <w:rPr>
          <w:color w:val="auto"/>
          <w:lang w:val="en-GB" w:eastAsia="en-GB" w:bidi="ar-SA"/>
        </w:rPr>
        <w:t xml:space="preserve"> u </w:t>
      </w:r>
      <w:proofErr w:type="spellStart"/>
      <w:r w:rsidRPr="00997551">
        <w:rPr>
          <w:color w:val="auto"/>
          <w:lang w:val="en-GB" w:eastAsia="en-GB" w:bidi="ar-SA"/>
        </w:rPr>
        <w:t>sollën</w:t>
      </w:r>
      <w:proofErr w:type="spellEnd"/>
      <w:r w:rsidRPr="00997551">
        <w:rPr>
          <w:color w:val="auto"/>
          <w:lang w:val="en-GB" w:eastAsia="en-GB" w:bidi="ar-SA"/>
        </w:rPr>
        <w:t xml:space="preserve"> pas </w:t>
      </w:r>
      <w:r w:rsidRPr="00997551">
        <w:rPr>
          <w:b/>
          <w:bCs/>
          <w:color w:val="auto"/>
          <w:u w:val="single"/>
          <w:lang w:val="en-GB" w:eastAsia="en-GB" w:bidi="ar-SA"/>
        </w:rPr>
        <w:t xml:space="preserve">28 </w:t>
      </w:r>
      <w:proofErr w:type="spellStart"/>
      <w:r w:rsidRPr="00997551">
        <w:rPr>
          <w:b/>
          <w:bCs/>
          <w:color w:val="auto"/>
          <w:u w:val="single"/>
          <w:lang w:val="en-GB" w:eastAsia="en-GB" w:bidi="ar-SA"/>
        </w:rPr>
        <w:t>shkurtit</w:t>
      </w:r>
      <w:proofErr w:type="spellEnd"/>
      <w:r w:rsidRPr="00997551">
        <w:rPr>
          <w:color w:val="auto"/>
          <w:lang w:val="en-GB" w:eastAsia="en-GB" w:bidi="ar-SA"/>
        </w:rPr>
        <w:t xml:space="preserve">, </w:t>
      </w:r>
      <w:proofErr w:type="spellStart"/>
      <w:r w:rsidRPr="00997551">
        <w:rPr>
          <w:color w:val="auto"/>
          <w:lang w:val="en-GB" w:eastAsia="en-GB" w:bidi="ar-SA"/>
        </w:rPr>
        <w:t>ndërsa</w:t>
      </w:r>
      <w:proofErr w:type="spellEnd"/>
      <w:r w:rsidRPr="00997551">
        <w:rPr>
          <w:color w:val="auto"/>
          <w:lang w:val="en-GB" w:eastAsia="en-GB" w:bidi="ar-SA"/>
        </w:rPr>
        <w:t xml:space="preserve"> </w:t>
      </w:r>
      <w:proofErr w:type="spellStart"/>
      <w:r w:rsidRPr="00997551">
        <w:rPr>
          <w:color w:val="auto"/>
          <w:lang w:val="en-GB" w:eastAsia="en-GB" w:bidi="ar-SA"/>
        </w:rPr>
        <w:t>emërimet</w:t>
      </w:r>
      <w:proofErr w:type="spellEnd"/>
      <w:r w:rsidRPr="00997551">
        <w:rPr>
          <w:color w:val="auto"/>
          <w:lang w:val="en-GB" w:eastAsia="en-GB" w:bidi="ar-SA"/>
        </w:rPr>
        <w:t xml:space="preserve"> </w:t>
      </w:r>
      <w:proofErr w:type="spellStart"/>
      <w:r w:rsidRPr="00997551">
        <w:rPr>
          <w:color w:val="auto"/>
          <w:lang w:val="en-GB" w:eastAsia="en-GB" w:bidi="ar-SA"/>
        </w:rPr>
        <w:t>plotësuese</w:t>
      </w:r>
      <w:proofErr w:type="spellEnd"/>
      <w:r w:rsidRPr="00997551">
        <w:rPr>
          <w:color w:val="auto"/>
          <w:lang w:val="en-GB" w:eastAsia="en-GB" w:bidi="ar-SA"/>
        </w:rPr>
        <w:t xml:space="preserve"> do të </w:t>
      </w:r>
      <w:proofErr w:type="spellStart"/>
      <w:r w:rsidRPr="00997551">
        <w:rPr>
          <w:color w:val="auto"/>
          <w:lang w:val="en-GB" w:eastAsia="en-GB" w:bidi="ar-SA"/>
        </w:rPr>
        <w:t>ndodhin</w:t>
      </w:r>
      <w:proofErr w:type="spellEnd"/>
      <w:r w:rsidRPr="00997551">
        <w:rPr>
          <w:color w:val="auto"/>
          <w:lang w:val="en-GB" w:eastAsia="en-GB" w:bidi="ar-SA"/>
        </w:rPr>
        <w:t xml:space="preserve"> në </w:t>
      </w:r>
      <w:proofErr w:type="spellStart"/>
      <w:r w:rsidRPr="00997551">
        <w:rPr>
          <w:color w:val="auto"/>
          <w:lang w:val="en-GB" w:eastAsia="en-GB" w:bidi="ar-SA"/>
        </w:rPr>
        <w:t>muajin</w:t>
      </w:r>
      <w:proofErr w:type="spellEnd"/>
      <w:r w:rsidRPr="00997551">
        <w:rPr>
          <w:color w:val="auto"/>
          <w:lang w:val="en-GB" w:eastAsia="en-GB" w:bidi="ar-SA"/>
        </w:rPr>
        <w:t xml:space="preserve"> </w:t>
      </w:r>
      <w:proofErr w:type="spellStart"/>
      <w:r w:rsidRPr="00997551">
        <w:rPr>
          <w:color w:val="auto"/>
          <w:lang w:val="en-GB" w:eastAsia="en-GB" w:bidi="ar-SA"/>
        </w:rPr>
        <w:t>prill</w:t>
      </w:r>
      <w:proofErr w:type="spellEnd"/>
      <w:r w:rsidRPr="00997551">
        <w:rPr>
          <w:color w:val="auto"/>
          <w:lang w:val="en-GB" w:eastAsia="en-GB" w:bidi="ar-SA"/>
        </w:rPr>
        <w:t xml:space="preserve"> të </w:t>
      </w:r>
      <w:proofErr w:type="spellStart"/>
      <w:r w:rsidRPr="00997551">
        <w:rPr>
          <w:color w:val="auto"/>
          <w:lang w:val="en-GB" w:eastAsia="en-GB" w:bidi="ar-SA"/>
        </w:rPr>
        <w:t>vitit</w:t>
      </w:r>
      <w:proofErr w:type="spellEnd"/>
      <w:r w:rsidRPr="00997551">
        <w:rPr>
          <w:color w:val="auto"/>
          <w:lang w:val="en-GB" w:eastAsia="en-GB" w:bidi="ar-SA"/>
        </w:rPr>
        <w:t xml:space="preserve"> 2025.</w:t>
      </w:r>
    </w:p>
    <w:p w14:paraId="12E204CF" w14:textId="793D62C4" w:rsidR="00262A83" w:rsidRPr="00997551" w:rsidRDefault="00DC38A5">
      <w:pPr>
        <w:pStyle w:val="Bodytext20"/>
        <w:numPr>
          <w:ilvl w:val="0"/>
          <w:numId w:val="17"/>
        </w:numPr>
        <w:tabs>
          <w:tab w:val="left" w:pos="2395"/>
        </w:tabs>
        <w:ind w:hanging="360"/>
        <w:jc w:val="both"/>
      </w:pPr>
      <w:r w:rsidRPr="00997551">
        <w:rPr>
          <w:color w:val="auto"/>
          <w:lang w:val="en-GB" w:eastAsia="en-GB" w:bidi="ar-SA"/>
        </w:rPr>
        <w:t xml:space="preserve">Këto </w:t>
      </w:r>
      <w:proofErr w:type="spellStart"/>
      <w:r w:rsidRPr="00997551">
        <w:rPr>
          <w:color w:val="auto"/>
          <w:lang w:val="en-GB" w:eastAsia="en-GB" w:bidi="ar-SA"/>
        </w:rPr>
        <w:t>vendime</w:t>
      </w:r>
      <w:proofErr w:type="spellEnd"/>
      <w:r w:rsidRPr="00997551">
        <w:rPr>
          <w:color w:val="auto"/>
          <w:lang w:val="en-GB" w:eastAsia="en-GB" w:bidi="ar-SA"/>
        </w:rPr>
        <w:t xml:space="preserve"> </w:t>
      </w:r>
      <w:proofErr w:type="spellStart"/>
      <w:r w:rsidRPr="00997551">
        <w:rPr>
          <w:color w:val="auto"/>
          <w:lang w:val="en-GB" w:eastAsia="en-GB" w:bidi="ar-SA"/>
        </w:rPr>
        <w:t>i</w:t>
      </w:r>
      <w:proofErr w:type="spellEnd"/>
      <w:r w:rsidRPr="00997551">
        <w:rPr>
          <w:color w:val="auto"/>
          <w:lang w:val="en-GB" w:eastAsia="en-GB" w:bidi="ar-SA"/>
        </w:rPr>
        <w:t xml:space="preserve"> </w:t>
      </w:r>
      <w:proofErr w:type="spellStart"/>
      <w:r w:rsidRPr="00997551">
        <w:rPr>
          <w:color w:val="auto"/>
          <w:lang w:val="en-GB" w:eastAsia="en-GB" w:bidi="ar-SA"/>
        </w:rPr>
        <w:t>referohen</w:t>
      </w:r>
      <w:proofErr w:type="spellEnd"/>
      <w:r w:rsidRPr="00997551">
        <w:rPr>
          <w:color w:val="auto"/>
          <w:lang w:val="en-GB" w:eastAsia="en-GB" w:bidi="ar-SA"/>
        </w:rPr>
        <w:t xml:space="preserve"> </w:t>
      </w:r>
      <w:proofErr w:type="spellStart"/>
      <w:r w:rsidRPr="00997551">
        <w:rPr>
          <w:b/>
          <w:bCs/>
          <w:color w:val="auto"/>
          <w:lang w:val="en-GB" w:eastAsia="en-GB" w:bidi="ar-SA"/>
        </w:rPr>
        <w:t>pozitave</w:t>
      </w:r>
      <w:proofErr w:type="spellEnd"/>
      <w:r w:rsidRPr="00997551">
        <w:rPr>
          <w:b/>
          <w:bCs/>
          <w:color w:val="auto"/>
          <w:lang w:val="en-GB" w:eastAsia="en-GB" w:bidi="ar-SA"/>
        </w:rPr>
        <w:t xml:space="preserve"> </w:t>
      </w:r>
      <w:proofErr w:type="spellStart"/>
      <w:r w:rsidRPr="00997551">
        <w:rPr>
          <w:b/>
          <w:bCs/>
          <w:color w:val="auto"/>
          <w:lang w:val="en-GB" w:eastAsia="en-GB" w:bidi="ar-SA"/>
        </w:rPr>
        <w:t>nga</w:t>
      </w:r>
      <w:proofErr w:type="spellEnd"/>
      <w:r w:rsidRPr="00997551">
        <w:rPr>
          <w:b/>
          <w:bCs/>
          <w:color w:val="auto"/>
          <w:lang w:val="en-GB" w:eastAsia="en-GB" w:bidi="ar-SA"/>
        </w:rPr>
        <w:t xml:space="preserve"> </w:t>
      </w:r>
      <w:proofErr w:type="spellStart"/>
      <w:r w:rsidRPr="00997551">
        <w:rPr>
          <w:b/>
          <w:bCs/>
          <w:color w:val="auto"/>
          <w:lang w:val="en-GB" w:eastAsia="en-GB" w:bidi="ar-SA"/>
        </w:rPr>
        <w:t>gjenerata</w:t>
      </w:r>
      <w:proofErr w:type="spellEnd"/>
      <w:r w:rsidRPr="00997551">
        <w:rPr>
          <w:b/>
          <w:bCs/>
          <w:color w:val="auto"/>
          <w:lang w:val="en-GB" w:eastAsia="en-GB" w:bidi="ar-SA"/>
        </w:rPr>
        <w:t xml:space="preserve"> e 8-të</w:t>
      </w:r>
      <w:r w:rsidRPr="00997551">
        <w:rPr>
          <w:color w:val="auto"/>
          <w:lang w:val="en-GB" w:eastAsia="en-GB" w:bidi="ar-SA"/>
        </w:rPr>
        <w:t xml:space="preserve">. Duke marrë </w:t>
      </w:r>
      <w:proofErr w:type="spellStart"/>
      <w:r w:rsidRPr="00997551">
        <w:rPr>
          <w:color w:val="auto"/>
          <w:lang w:val="en-GB" w:eastAsia="en-GB" w:bidi="ar-SA"/>
        </w:rPr>
        <w:t>parasysh</w:t>
      </w:r>
      <w:proofErr w:type="spellEnd"/>
      <w:r w:rsidRPr="00997551">
        <w:rPr>
          <w:color w:val="auto"/>
          <w:lang w:val="en-GB" w:eastAsia="en-GB" w:bidi="ar-SA"/>
        </w:rPr>
        <w:t xml:space="preserve"> se </w:t>
      </w:r>
      <w:proofErr w:type="spellStart"/>
      <w:r w:rsidRPr="00997551">
        <w:rPr>
          <w:color w:val="auto"/>
          <w:lang w:val="en-GB" w:eastAsia="en-GB" w:bidi="ar-SA"/>
        </w:rPr>
        <w:t>studentët</w:t>
      </w:r>
      <w:proofErr w:type="spellEnd"/>
      <w:r w:rsidRPr="00997551">
        <w:rPr>
          <w:color w:val="auto"/>
          <w:lang w:val="en-GB" w:eastAsia="en-GB" w:bidi="ar-SA"/>
        </w:rPr>
        <w:t xml:space="preserve"> e </w:t>
      </w:r>
      <w:proofErr w:type="spellStart"/>
      <w:r w:rsidRPr="00997551">
        <w:rPr>
          <w:color w:val="auto"/>
          <w:lang w:val="en-GB" w:eastAsia="en-GB" w:bidi="ar-SA"/>
        </w:rPr>
        <w:t>diplomuar</w:t>
      </w:r>
      <w:proofErr w:type="spellEnd"/>
      <w:r w:rsidRPr="00997551">
        <w:rPr>
          <w:color w:val="auto"/>
          <w:lang w:val="en-GB" w:eastAsia="en-GB" w:bidi="ar-SA"/>
        </w:rPr>
        <w:t xml:space="preserve"> </w:t>
      </w:r>
      <w:proofErr w:type="spellStart"/>
      <w:r w:rsidRPr="00997551">
        <w:rPr>
          <w:color w:val="auto"/>
          <w:lang w:val="en-GB" w:eastAsia="en-GB" w:bidi="ar-SA"/>
        </w:rPr>
        <w:t>i</w:t>
      </w:r>
      <w:proofErr w:type="spellEnd"/>
      <w:r w:rsidRPr="00997551">
        <w:rPr>
          <w:color w:val="auto"/>
          <w:lang w:val="en-GB" w:eastAsia="en-GB" w:bidi="ar-SA"/>
        </w:rPr>
        <w:t xml:space="preserve"> </w:t>
      </w:r>
      <w:proofErr w:type="spellStart"/>
      <w:r w:rsidRPr="00997551">
        <w:rPr>
          <w:color w:val="auto"/>
          <w:lang w:val="en-GB" w:eastAsia="en-GB" w:bidi="ar-SA"/>
        </w:rPr>
        <w:t>morën</w:t>
      </w:r>
      <w:proofErr w:type="spellEnd"/>
      <w:r w:rsidRPr="00997551">
        <w:rPr>
          <w:color w:val="auto"/>
          <w:lang w:val="en-GB" w:eastAsia="en-GB" w:bidi="ar-SA"/>
        </w:rPr>
        <w:t xml:space="preserve"> diplomat e tyre më </w:t>
      </w:r>
      <w:r w:rsidRPr="00997551">
        <w:rPr>
          <w:b/>
          <w:bCs/>
          <w:color w:val="auto"/>
          <w:lang w:val="en-GB" w:eastAsia="en-GB" w:bidi="ar-SA"/>
        </w:rPr>
        <w:t xml:space="preserve">5 </w:t>
      </w:r>
      <w:proofErr w:type="spellStart"/>
      <w:r w:rsidRPr="00997551">
        <w:rPr>
          <w:b/>
          <w:bCs/>
          <w:color w:val="auto"/>
          <w:lang w:val="en-GB" w:eastAsia="en-GB" w:bidi="ar-SA"/>
        </w:rPr>
        <w:t>shkurt</w:t>
      </w:r>
      <w:proofErr w:type="spellEnd"/>
      <w:r w:rsidRPr="00997551">
        <w:rPr>
          <w:color w:val="auto"/>
          <w:lang w:val="en-GB" w:eastAsia="en-GB" w:bidi="ar-SA"/>
        </w:rPr>
        <w:t xml:space="preserve">, ishte </w:t>
      </w:r>
      <w:proofErr w:type="spellStart"/>
      <w:r w:rsidRPr="00997551">
        <w:rPr>
          <w:color w:val="auto"/>
          <w:lang w:val="en-GB" w:eastAsia="en-GB" w:bidi="ar-SA"/>
        </w:rPr>
        <w:t>ligjërisht</w:t>
      </w:r>
      <w:proofErr w:type="spellEnd"/>
      <w:r w:rsidRPr="00997551">
        <w:rPr>
          <w:color w:val="auto"/>
          <w:lang w:val="en-GB" w:eastAsia="en-GB" w:bidi="ar-SA"/>
        </w:rPr>
        <w:t xml:space="preserve"> dhe </w:t>
      </w:r>
      <w:proofErr w:type="spellStart"/>
      <w:r w:rsidRPr="00997551">
        <w:rPr>
          <w:color w:val="auto"/>
          <w:lang w:val="en-GB" w:eastAsia="en-GB" w:bidi="ar-SA"/>
        </w:rPr>
        <w:t>praktikisht</w:t>
      </w:r>
      <w:proofErr w:type="spellEnd"/>
      <w:r w:rsidRPr="00997551">
        <w:rPr>
          <w:color w:val="auto"/>
          <w:lang w:val="en-GB" w:eastAsia="en-GB" w:bidi="ar-SA"/>
        </w:rPr>
        <w:t xml:space="preserve"> e </w:t>
      </w:r>
      <w:proofErr w:type="spellStart"/>
      <w:r w:rsidRPr="00997551">
        <w:rPr>
          <w:color w:val="auto"/>
          <w:lang w:val="en-GB" w:eastAsia="en-GB" w:bidi="ar-SA"/>
        </w:rPr>
        <w:t>pamundur</w:t>
      </w:r>
      <w:proofErr w:type="spellEnd"/>
      <w:r w:rsidRPr="00997551">
        <w:rPr>
          <w:color w:val="auto"/>
          <w:lang w:val="en-GB" w:eastAsia="en-GB" w:bidi="ar-SA"/>
        </w:rPr>
        <w:t xml:space="preserve"> të </w:t>
      </w:r>
      <w:proofErr w:type="spellStart"/>
      <w:r w:rsidRPr="00997551">
        <w:rPr>
          <w:color w:val="auto"/>
          <w:lang w:val="en-GB" w:eastAsia="en-GB" w:bidi="ar-SA"/>
        </w:rPr>
        <w:t>përfundohej</w:t>
      </w:r>
      <w:proofErr w:type="spellEnd"/>
      <w:r w:rsidRPr="00997551">
        <w:rPr>
          <w:color w:val="auto"/>
          <w:lang w:val="en-GB" w:eastAsia="en-GB" w:bidi="ar-SA"/>
        </w:rPr>
        <w:t xml:space="preserve"> procesi </w:t>
      </w:r>
      <w:proofErr w:type="spellStart"/>
      <w:r w:rsidRPr="00997551">
        <w:rPr>
          <w:color w:val="auto"/>
          <w:lang w:val="en-GB" w:eastAsia="en-GB" w:bidi="ar-SA"/>
        </w:rPr>
        <w:t>i</w:t>
      </w:r>
      <w:proofErr w:type="spellEnd"/>
      <w:r w:rsidRPr="00997551">
        <w:rPr>
          <w:color w:val="auto"/>
          <w:lang w:val="en-GB" w:eastAsia="en-GB" w:bidi="ar-SA"/>
        </w:rPr>
        <w:t xml:space="preserve"> </w:t>
      </w:r>
      <w:proofErr w:type="spellStart"/>
      <w:r w:rsidRPr="00997551">
        <w:rPr>
          <w:color w:val="auto"/>
          <w:lang w:val="en-GB" w:eastAsia="en-GB" w:bidi="ar-SA"/>
        </w:rPr>
        <w:t>përzgjedhjes</w:t>
      </w:r>
      <w:proofErr w:type="spellEnd"/>
      <w:r w:rsidRPr="00997551">
        <w:rPr>
          <w:color w:val="auto"/>
          <w:lang w:val="en-GB" w:eastAsia="en-GB" w:bidi="ar-SA"/>
        </w:rPr>
        <w:t xml:space="preserve"> </w:t>
      </w:r>
      <w:proofErr w:type="spellStart"/>
      <w:r w:rsidRPr="00997551">
        <w:rPr>
          <w:color w:val="auto"/>
          <w:lang w:val="en-GB" w:eastAsia="en-GB" w:bidi="ar-SA"/>
        </w:rPr>
        <w:t>deri</w:t>
      </w:r>
      <w:proofErr w:type="spellEnd"/>
      <w:r w:rsidRPr="00997551">
        <w:rPr>
          <w:color w:val="auto"/>
          <w:lang w:val="en-GB" w:eastAsia="en-GB" w:bidi="ar-SA"/>
        </w:rPr>
        <w:t xml:space="preserve"> më </w:t>
      </w:r>
      <w:r w:rsidRPr="00997551">
        <w:rPr>
          <w:b/>
          <w:bCs/>
          <w:color w:val="auto"/>
          <w:lang w:val="en-GB" w:eastAsia="en-GB" w:bidi="ar-SA"/>
        </w:rPr>
        <w:t xml:space="preserve">28 </w:t>
      </w:r>
      <w:proofErr w:type="spellStart"/>
      <w:r w:rsidRPr="00997551">
        <w:rPr>
          <w:b/>
          <w:bCs/>
          <w:color w:val="auto"/>
          <w:lang w:val="en-GB" w:eastAsia="en-GB" w:bidi="ar-SA"/>
        </w:rPr>
        <w:t>shkurt</w:t>
      </w:r>
      <w:proofErr w:type="spellEnd"/>
      <w:r w:rsidR="00262A83" w:rsidRPr="00997551">
        <w:rPr>
          <w:rStyle w:val="Bodytext2"/>
        </w:rPr>
        <w:t>.</w:t>
      </w:r>
    </w:p>
    <w:p w14:paraId="4BDDE43E" w14:textId="3D0EFCC3" w:rsidR="00DC38A5" w:rsidRPr="00997551" w:rsidRDefault="00DC38A5" w:rsidP="00DC38A5">
      <w:pPr>
        <w:pStyle w:val="Bodytext20"/>
        <w:numPr>
          <w:ilvl w:val="0"/>
          <w:numId w:val="17"/>
        </w:numPr>
        <w:tabs>
          <w:tab w:val="left" w:pos="2395"/>
        </w:tabs>
        <w:ind w:hanging="360"/>
        <w:jc w:val="both"/>
      </w:pPr>
      <w:r w:rsidRPr="00997551">
        <w:rPr>
          <w:b/>
          <w:bCs/>
          <w:color w:val="auto"/>
          <w:lang w:val="en-GB" w:eastAsia="en-GB" w:bidi="ar-SA"/>
        </w:rPr>
        <w:t xml:space="preserve">77 </w:t>
      </w:r>
      <w:proofErr w:type="spellStart"/>
      <w:r w:rsidRPr="00997551">
        <w:rPr>
          <w:b/>
          <w:bCs/>
          <w:color w:val="auto"/>
          <w:lang w:val="en-GB" w:eastAsia="en-GB" w:bidi="ar-SA"/>
        </w:rPr>
        <w:t>studentët</w:t>
      </w:r>
      <w:proofErr w:type="spellEnd"/>
      <w:r w:rsidRPr="00997551">
        <w:rPr>
          <w:b/>
          <w:bCs/>
          <w:color w:val="auto"/>
          <w:lang w:val="en-GB" w:eastAsia="en-GB" w:bidi="ar-SA"/>
        </w:rPr>
        <w:t xml:space="preserve"> e </w:t>
      </w:r>
      <w:proofErr w:type="spellStart"/>
      <w:r w:rsidRPr="00997551">
        <w:rPr>
          <w:b/>
          <w:bCs/>
          <w:color w:val="auto"/>
          <w:lang w:val="en-GB" w:eastAsia="en-GB" w:bidi="ar-SA"/>
        </w:rPr>
        <w:t>diplomuar</w:t>
      </w:r>
      <w:proofErr w:type="spellEnd"/>
      <w:r w:rsidRPr="00997551">
        <w:rPr>
          <w:b/>
          <w:bCs/>
          <w:color w:val="auto"/>
          <w:lang w:val="en-GB" w:eastAsia="en-GB" w:bidi="ar-SA"/>
        </w:rPr>
        <w:t xml:space="preserve"> me </w:t>
      </w:r>
      <w:proofErr w:type="spellStart"/>
      <w:r w:rsidRPr="00997551">
        <w:rPr>
          <w:b/>
          <w:bCs/>
          <w:color w:val="auto"/>
          <w:lang w:val="en-GB" w:eastAsia="en-GB" w:bidi="ar-SA"/>
        </w:rPr>
        <w:t>sukses</w:t>
      </w:r>
      <w:proofErr w:type="spellEnd"/>
      <w:r w:rsidRPr="00997551">
        <w:rPr>
          <w:color w:val="auto"/>
          <w:lang w:val="en-GB" w:eastAsia="en-GB" w:bidi="ar-SA"/>
        </w:rPr>
        <w:t xml:space="preserve"> tani </w:t>
      </w:r>
      <w:proofErr w:type="spellStart"/>
      <w:r w:rsidRPr="00997551">
        <w:rPr>
          <w:color w:val="auto"/>
          <w:lang w:val="en-GB" w:eastAsia="en-GB" w:bidi="ar-SA"/>
        </w:rPr>
        <w:t>kanë</w:t>
      </w:r>
      <w:proofErr w:type="spellEnd"/>
      <w:r w:rsidRPr="00997551">
        <w:rPr>
          <w:color w:val="auto"/>
          <w:lang w:val="en-GB" w:eastAsia="en-GB" w:bidi="ar-SA"/>
        </w:rPr>
        <w:t xml:space="preserve"> </w:t>
      </w:r>
      <w:proofErr w:type="spellStart"/>
      <w:r w:rsidRPr="00997551">
        <w:rPr>
          <w:color w:val="auto"/>
          <w:lang w:val="en-GB" w:eastAsia="en-GB" w:bidi="ar-SA"/>
        </w:rPr>
        <w:t>dhënë</w:t>
      </w:r>
      <w:proofErr w:type="spellEnd"/>
      <w:r w:rsidRPr="00997551">
        <w:rPr>
          <w:color w:val="auto"/>
          <w:lang w:val="en-GB" w:eastAsia="en-GB" w:bidi="ar-SA"/>
        </w:rPr>
        <w:t xml:space="preserve"> </w:t>
      </w:r>
      <w:proofErr w:type="spellStart"/>
      <w:r w:rsidRPr="00997551">
        <w:rPr>
          <w:color w:val="auto"/>
          <w:lang w:val="en-GB" w:eastAsia="en-GB" w:bidi="ar-SA"/>
        </w:rPr>
        <w:t>betimin</w:t>
      </w:r>
      <w:proofErr w:type="spellEnd"/>
      <w:r w:rsidRPr="00997551">
        <w:rPr>
          <w:color w:val="auto"/>
          <w:lang w:val="en-GB" w:eastAsia="en-GB" w:bidi="ar-SA"/>
        </w:rPr>
        <w:t xml:space="preserve">, duke marrë </w:t>
      </w:r>
      <w:proofErr w:type="spellStart"/>
      <w:r w:rsidRPr="00997551">
        <w:rPr>
          <w:color w:val="auto"/>
          <w:lang w:val="en-GB" w:eastAsia="en-GB" w:bidi="ar-SA"/>
        </w:rPr>
        <w:t>formalisht</w:t>
      </w:r>
      <w:proofErr w:type="spellEnd"/>
      <w:r w:rsidRPr="00997551">
        <w:rPr>
          <w:color w:val="auto"/>
          <w:lang w:val="en-GB" w:eastAsia="en-GB" w:bidi="ar-SA"/>
        </w:rPr>
        <w:t xml:space="preserve"> </w:t>
      </w:r>
      <w:proofErr w:type="spellStart"/>
      <w:r w:rsidRPr="00997551">
        <w:rPr>
          <w:color w:val="auto"/>
          <w:lang w:val="en-GB" w:eastAsia="en-GB" w:bidi="ar-SA"/>
        </w:rPr>
        <w:t>rolet</w:t>
      </w:r>
      <w:proofErr w:type="spellEnd"/>
      <w:r w:rsidRPr="00997551">
        <w:rPr>
          <w:color w:val="auto"/>
          <w:lang w:val="en-GB" w:eastAsia="en-GB" w:bidi="ar-SA"/>
        </w:rPr>
        <w:t xml:space="preserve"> e tyre </w:t>
      </w:r>
      <w:proofErr w:type="spellStart"/>
      <w:r w:rsidRPr="00997551">
        <w:rPr>
          <w:color w:val="auto"/>
          <w:lang w:val="en-GB" w:eastAsia="en-GB" w:bidi="ar-SA"/>
        </w:rPr>
        <w:t>si</w:t>
      </w:r>
      <w:proofErr w:type="spellEnd"/>
      <w:r w:rsidRPr="00997551">
        <w:rPr>
          <w:color w:val="auto"/>
          <w:lang w:val="en-GB" w:eastAsia="en-GB" w:bidi="ar-SA"/>
        </w:rPr>
        <w:t xml:space="preserve"> </w:t>
      </w:r>
      <w:proofErr w:type="spellStart"/>
      <w:r w:rsidRPr="00997551">
        <w:rPr>
          <w:color w:val="auto"/>
          <w:lang w:val="en-GB" w:eastAsia="en-GB" w:bidi="ar-SA"/>
        </w:rPr>
        <w:t>gjyqtarë</w:t>
      </w:r>
      <w:proofErr w:type="spellEnd"/>
      <w:r w:rsidRPr="00997551">
        <w:rPr>
          <w:color w:val="auto"/>
          <w:lang w:val="en-GB" w:eastAsia="en-GB" w:bidi="ar-SA"/>
        </w:rPr>
        <w:t xml:space="preserve"> dhe </w:t>
      </w:r>
      <w:proofErr w:type="spellStart"/>
      <w:r w:rsidRPr="00997551">
        <w:rPr>
          <w:color w:val="auto"/>
          <w:lang w:val="en-GB" w:eastAsia="en-GB" w:bidi="ar-SA"/>
        </w:rPr>
        <w:t>prokurorë</w:t>
      </w:r>
      <w:proofErr w:type="spellEnd"/>
      <w:r w:rsidRPr="00997551">
        <w:rPr>
          <w:color w:val="auto"/>
          <w:lang w:val="en-GB" w:eastAsia="en-GB" w:bidi="ar-SA"/>
        </w:rPr>
        <w:t xml:space="preserve"> </w:t>
      </w:r>
      <w:proofErr w:type="spellStart"/>
      <w:r w:rsidRPr="00997551">
        <w:rPr>
          <w:color w:val="auto"/>
          <w:lang w:val="en-GB" w:eastAsia="en-GB" w:bidi="ar-SA"/>
        </w:rPr>
        <w:t>publikë</w:t>
      </w:r>
      <w:proofErr w:type="spellEnd"/>
      <w:r w:rsidRPr="00997551">
        <w:rPr>
          <w:color w:val="auto"/>
          <w:lang w:val="en-GB" w:eastAsia="en-GB" w:bidi="ar-SA"/>
        </w:rPr>
        <w:t xml:space="preserve">. </w:t>
      </w:r>
      <w:proofErr w:type="spellStart"/>
      <w:r w:rsidRPr="00997551">
        <w:rPr>
          <w:color w:val="auto"/>
          <w:lang w:val="en-GB" w:eastAsia="en-GB" w:bidi="ar-SA"/>
        </w:rPr>
        <w:t>Ndërkohë</w:t>
      </w:r>
      <w:proofErr w:type="spellEnd"/>
      <w:r w:rsidRPr="00997551">
        <w:rPr>
          <w:color w:val="auto"/>
          <w:lang w:val="en-GB" w:eastAsia="en-GB" w:bidi="ar-SA"/>
        </w:rPr>
        <w:t xml:space="preserve">, </w:t>
      </w:r>
      <w:proofErr w:type="spellStart"/>
      <w:r w:rsidRPr="00997551">
        <w:rPr>
          <w:color w:val="auto"/>
          <w:lang w:val="en-GB" w:eastAsia="en-GB" w:bidi="ar-SA"/>
        </w:rPr>
        <w:t>Këshillat</w:t>
      </w:r>
      <w:proofErr w:type="spellEnd"/>
      <w:r w:rsidRPr="00997551">
        <w:rPr>
          <w:color w:val="auto"/>
          <w:lang w:val="en-GB" w:eastAsia="en-GB" w:bidi="ar-SA"/>
        </w:rPr>
        <w:t xml:space="preserve"> </w:t>
      </w:r>
      <w:proofErr w:type="spellStart"/>
      <w:r w:rsidRPr="00997551">
        <w:rPr>
          <w:color w:val="auto"/>
          <w:lang w:val="en-GB" w:eastAsia="en-GB" w:bidi="ar-SA"/>
        </w:rPr>
        <w:t>kanë</w:t>
      </w:r>
      <w:proofErr w:type="spellEnd"/>
      <w:r w:rsidRPr="00997551">
        <w:rPr>
          <w:color w:val="auto"/>
          <w:lang w:val="en-GB" w:eastAsia="en-GB" w:bidi="ar-SA"/>
        </w:rPr>
        <w:t xml:space="preserve"> </w:t>
      </w:r>
      <w:proofErr w:type="spellStart"/>
      <w:r w:rsidRPr="00997551">
        <w:rPr>
          <w:color w:val="auto"/>
          <w:lang w:val="en-GB" w:eastAsia="en-GB" w:bidi="ar-SA"/>
        </w:rPr>
        <w:t>shpallur</w:t>
      </w:r>
      <w:proofErr w:type="spellEnd"/>
      <w:r w:rsidRPr="00997551">
        <w:rPr>
          <w:color w:val="auto"/>
          <w:lang w:val="en-GB" w:eastAsia="en-GB" w:bidi="ar-SA"/>
        </w:rPr>
        <w:t xml:space="preserve"> </w:t>
      </w:r>
      <w:proofErr w:type="spellStart"/>
      <w:r w:rsidRPr="00997551">
        <w:rPr>
          <w:color w:val="auto"/>
          <w:lang w:val="en-GB" w:eastAsia="en-GB" w:bidi="ar-SA"/>
        </w:rPr>
        <w:t>thirrje</w:t>
      </w:r>
      <w:proofErr w:type="spellEnd"/>
      <w:r w:rsidRPr="00997551">
        <w:rPr>
          <w:color w:val="auto"/>
          <w:lang w:val="en-GB" w:eastAsia="en-GB" w:bidi="ar-SA"/>
        </w:rPr>
        <w:t xml:space="preserve"> të reja për </w:t>
      </w:r>
      <w:r w:rsidRPr="00997551">
        <w:rPr>
          <w:b/>
          <w:bCs/>
          <w:color w:val="auto"/>
          <w:lang w:val="en-GB" w:eastAsia="en-GB" w:bidi="ar-SA"/>
        </w:rPr>
        <w:t xml:space="preserve">20 </w:t>
      </w:r>
      <w:proofErr w:type="spellStart"/>
      <w:r w:rsidRPr="00997551">
        <w:rPr>
          <w:b/>
          <w:bCs/>
          <w:color w:val="auto"/>
          <w:lang w:val="en-GB" w:eastAsia="en-GB" w:bidi="ar-SA"/>
        </w:rPr>
        <w:t>studentët</w:t>
      </w:r>
      <w:proofErr w:type="spellEnd"/>
      <w:r w:rsidRPr="00997551">
        <w:rPr>
          <w:b/>
          <w:bCs/>
          <w:color w:val="auto"/>
          <w:lang w:val="en-GB" w:eastAsia="en-GB" w:bidi="ar-SA"/>
        </w:rPr>
        <w:t xml:space="preserve"> e </w:t>
      </w:r>
      <w:proofErr w:type="spellStart"/>
      <w:r w:rsidRPr="00997551">
        <w:rPr>
          <w:b/>
          <w:bCs/>
          <w:color w:val="auto"/>
          <w:lang w:val="en-GB" w:eastAsia="en-GB" w:bidi="ar-SA"/>
        </w:rPr>
        <w:t>mbetur</w:t>
      </w:r>
      <w:proofErr w:type="spellEnd"/>
      <w:r w:rsidRPr="00997551">
        <w:rPr>
          <w:b/>
          <w:bCs/>
          <w:color w:val="auto"/>
          <w:lang w:val="en-GB" w:eastAsia="en-GB" w:bidi="ar-SA"/>
        </w:rPr>
        <w:t xml:space="preserve"> të </w:t>
      </w:r>
      <w:proofErr w:type="spellStart"/>
      <w:r w:rsidRPr="00997551">
        <w:rPr>
          <w:b/>
          <w:bCs/>
          <w:color w:val="auto"/>
          <w:lang w:val="en-GB" w:eastAsia="en-GB" w:bidi="ar-SA"/>
        </w:rPr>
        <w:t>diplomuar</w:t>
      </w:r>
      <w:proofErr w:type="spellEnd"/>
      <w:r w:rsidRPr="00997551">
        <w:rPr>
          <w:color w:val="auto"/>
          <w:lang w:val="en-GB" w:eastAsia="en-GB" w:bidi="ar-SA"/>
        </w:rPr>
        <w:t xml:space="preserve">, dhe </w:t>
      </w:r>
      <w:proofErr w:type="spellStart"/>
      <w:r w:rsidRPr="00997551">
        <w:rPr>
          <w:color w:val="auto"/>
          <w:lang w:val="en-GB" w:eastAsia="en-GB" w:bidi="ar-SA"/>
        </w:rPr>
        <w:t>seancat</w:t>
      </w:r>
      <w:proofErr w:type="spellEnd"/>
      <w:r w:rsidRPr="00997551">
        <w:rPr>
          <w:color w:val="auto"/>
          <w:lang w:val="en-GB" w:eastAsia="en-GB" w:bidi="ar-SA"/>
        </w:rPr>
        <w:t xml:space="preserve"> publike për </w:t>
      </w:r>
      <w:proofErr w:type="spellStart"/>
      <w:r w:rsidRPr="00997551">
        <w:rPr>
          <w:color w:val="auto"/>
          <w:lang w:val="en-GB" w:eastAsia="en-GB" w:bidi="ar-SA"/>
        </w:rPr>
        <w:t>emërimet</w:t>
      </w:r>
      <w:proofErr w:type="spellEnd"/>
      <w:r w:rsidRPr="00997551">
        <w:rPr>
          <w:color w:val="auto"/>
          <w:lang w:val="en-GB" w:eastAsia="en-GB" w:bidi="ar-SA"/>
        </w:rPr>
        <w:t xml:space="preserve"> e tyre </w:t>
      </w:r>
      <w:proofErr w:type="spellStart"/>
      <w:r w:rsidRPr="00997551">
        <w:rPr>
          <w:color w:val="auto"/>
          <w:lang w:val="en-GB" w:eastAsia="en-GB" w:bidi="ar-SA"/>
        </w:rPr>
        <w:t>pritet</w:t>
      </w:r>
      <w:proofErr w:type="spellEnd"/>
      <w:r w:rsidRPr="00997551">
        <w:rPr>
          <w:color w:val="auto"/>
          <w:lang w:val="en-GB" w:eastAsia="en-GB" w:bidi="ar-SA"/>
        </w:rPr>
        <w:t xml:space="preserve"> të </w:t>
      </w:r>
      <w:proofErr w:type="spellStart"/>
      <w:r w:rsidRPr="00997551">
        <w:rPr>
          <w:color w:val="auto"/>
          <w:lang w:val="en-GB" w:eastAsia="en-GB" w:bidi="ar-SA"/>
        </w:rPr>
        <w:t>mbahen</w:t>
      </w:r>
      <w:proofErr w:type="spellEnd"/>
      <w:r w:rsidRPr="00997551">
        <w:rPr>
          <w:color w:val="auto"/>
          <w:lang w:val="en-GB" w:eastAsia="en-GB" w:bidi="ar-SA"/>
        </w:rPr>
        <w:t xml:space="preserve"> </w:t>
      </w:r>
      <w:proofErr w:type="spellStart"/>
      <w:r w:rsidRPr="00997551">
        <w:rPr>
          <w:color w:val="auto"/>
          <w:lang w:val="en-GB" w:eastAsia="en-GB" w:bidi="ar-SA"/>
        </w:rPr>
        <w:t>gjatë</w:t>
      </w:r>
      <w:proofErr w:type="spellEnd"/>
      <w:r w:rsidRPr="00997551">
        <w:rPr>
          <w:color w:val="auto"/>
          <w:lang w:val="en-GB" w:eastAsia="en-GB" w:bidi="ar-SA"/>
        </w:rPr>
        <w:t xml:space="preserve"> </w:t>
      </w:r>
      <w:proofErr w:type="spellStart"/>
      <w:r w:rsidRPr="00997551">
        <w:rPr>
          <w:color w:val="auto"/>
          <w:lang w:val="en-GB" w:eastAsia="en-GB" w:bidi="ar-SA"/>
        </w:rPr>
        <w:t>muajit</w:t>
      </w:r>
      <w:proofErr w:type="spellEnd"/>
      <w:r w:rsidRPr="00997551">
        <w:rPr>
          <w:color w:val="auto"/>
          <w:lang w:val="en-GB" w:eastAsia="en-GB" w:bidi="ar-SA"/>
        </w:rPr>
        <w:t xml:space="preserve"> </w:t>
      </w:r>
      <w:proofErr w:type="spellStart"/>
      <w:r w:rsidRPr="00997551">
        <w:rPr>
          <w:b/>
          <w:bCs/>
          <w:color w:val="auto"/>
          <w:lang w:val="en-GB" w:eastAsia="en-GB" w:bidi="ar-SA"/>
        </w:rPr>
        <w:t>pril</w:t>
      </w:r>
      <w:r w:rsidRPr="00997551">
        <w:rPr>
          <w:b/>
          <w:bCs/>
          <w:color w:val="auto"/>
          <w:lang w:val="en-GB" w:eastAsia="en-GB" w:bidi="ar-SA"/>
        </w:rPr>
        <w:t>l</w:t>
      </w:r>
      <w:proofErr w:type="spellEnd"/>
      <w:r w:rsidRPr="00997551">
        <w:rPr>
          <w:b/>
          <w:bCs/>
          <w:color w:val="auto"/>
          <w:lang w:val="en-GB" w:eastAsia="en-GB" w:bidi="ar-SA"/>
        </w:rPr>
        <w:t xml:space="preserve"> </w:t>
      </w:r>
      <w:r w:rsidRPr="00997551">
        <w:rPr>
          <w:b/>
          <w:bCs/>
          <w:color w:val="auto"/>
          <w:lang w:val="en-GB" w:eastAsia="en-GB" w:bidi="ar-SA"/>
        </w:rPr>
        <w:t>të vitit</w:t>
      </w:r>
      <w:r w:rsidRPr="00997551">
        <w:rPr>
          <w:b/>
          <w:bCs/>
          <w:color w:val="auto"/>
          <w:lang w:val="en-GB" w:eastAsia="en-GB" w:bidi="ar-SA"/>
        </w:rPr>
        <w:t>2025</w:t>
      </w:r>
      <w:r w:rsidRPr="00997551">
        <w:rPr>
          <w:b/>
          <w:bCs/>
          <w:color w:val="auto"/>
          <w:lang w:val="en-GB" w:eastAsia="en-GB" w:bidi="ar-SA"/>
        </w:rPr>
        <w:t>.</w:t>
      </w:r>
    </w:p>
    <w:p w14:paraId="1C532714" w14:textId="77777777" w:rsidR="00DC38A5" w:rsidRPr="00997551" w:rsidRDefault="00DC38A5" w:rsidP="00DC38A5">
      <w:pPr>
        <w:pStyle w:val="Bodytext20"/>
        <w:tabs>
          <w:tab w:val="left" w:pos="2395"/>
        </w:tabs>
        <w:jc w:val="both"/>
      </w:pPr>
    </w:p>
    <w:p w14:paraId="013807D1" w14:textId="5B8B5648" w:rsidR="00DC38A5" w:rsidRPr="00DC38A5" w:rsidRDefault="00DC38A5" w:rsidP="00DC38A5">
      <w:pPr>
        <w:pStyle w:val="Bodytext20"/>
        <w:ind w:left="1780"/>
        <w:jc w:val="both"/>
        <w:rPr>
          <w:lang w:val="en-GB"/>
        </w:rPr>
      </w:pPr>
      <w:proofErr w:type="spellStart"/>
      <w:r w:rsidRPr="00DC38A5">
        <w:rPr>
          <w:lang w:val="en-GB"/>
        </w:rPr>
        <w:t>Procedura</w:t>
      </w:r>
      <w:proofErr w:type="spellEnd"/>
      <w:r w:rsidRPr="00DC38A5">
        <w:rPr>
          <w:lang w:val="en-GB"/>
        </w:rPr>
        <w:t xml:space="preserve"> </w:t>
      </w:r>
      <w:r w:rsidRPr="00997551">
        <w:rPr>
          <w:lang w:val="en-GB"/>
        </w:rPr>
        <w:t>për</w:t>
      </w:r>
      <w:r w:rsidRPr="00DC38A5">
        <w:rPr>
          <w:lang w:val="en-GB"/>
        </w:rPr>
        <w:t xml:space="preserve"> </w:t>
      </w:r>
      <w:proofErr w:type="spellStart"/>
      <w:r w:rsidRPr="00DC38A5">
        <w:rPr>
          <w:lang w:val="en-GB"/>
        </w:rPr>
        <w:t>pranim</w:t>
      </w:r>
      <w:proofErr w:type="spellEnd"/>
      <w:r w:rsidRPr="00DC38A5">
        <w:rPr>
          <w:lang w:val="en-GB"/>
        </w:rPr>
        <w:t xml:space="preserve"> dhe </w:t>
      </w:r>
      <w:proofErr w:type="spellStart"/>
      <w:r w:rsidRPr="00DC38A5">
        <w:rPr>
          <w:lang w:val="en-GB"/>
        </w:rPr>
        <w:t>trajni</w:t>
      </w:r>
      <w:r w:rsidRPr="00997551">
        <w:rPr>
          <w:lang w:val="en-GB"/>
        </w:rPr>
        <w:t>m</w:t>
      </w:r>
      <w:proofErr w:type="spellEnd"/>
      <w:r w:rsidRPr="00DC38A5">
        <w:rPr>
          <w:lang w:val="en-GB"/>
        </w:rPr>
        <w:t xml:space="preserve"> </w:t>
      </w:r>
      <w:proofErr w:type="spellStart"/>
      <w:r w:rsidRPr="00DC38A5">
        <w:rPr>
          <w:lang w:val="en-GB"/>
        </w:rPr>
        <w:t>fillestar</w:t>
      </w:r>
      <w:proofErr w:type="spellEnd"/>
      <w:r w:rsidRPr="00DC38A5">
        <w:rPr>
          <w:lang w:val="en-GB"/>
        </w:rPr>
        <w:t xml:space="preserve"> (d</w:t>
      </w:r>
      <w:r w:rsidRPr="00997551">
        <w:rPr>
          <w:lang w:val="en-GB"/>
        </w:rPr>
        <w:t>.</w:t>
      </w:r>
      <w:r w:rsidRPr="00DC38A5">
        <w:rPr>
          <w:lang w:val="en-GB"/>
        </w:rPr>
        <w:t>m</w:t>
      </w:r>
      <w:r w:rsidRPr="00997551">
        <w:rPr>
          <w:lang w:val="en-GB"/>
        </w:rPr>
        <w:t>.</w:t>
      </w:r>
      <w:r w:rsidRPr="00DC38A5">
        <w:rPr>
          <w:lang w:val="en-GB"/>
        </w:rPr>
        <w:t xml:space="preserve">th. </w:t>
      </w:r>
      <w:proofErr w:type="spellStart"/>
      <w:r w:rsidRPr="00DC38A5">
        <w:rPr>
          <w:lang w:val="en-GB"/>
        </w:rPr>
        <w:t>faza</w:t>
      </w:r>
      <w:proofErr w:type="spellEnd"/>
      <w:r w:rsidRPr="00DC38A5">
        <w:rPr>
          <w:lang w:val="en-GB"/>
        </w:rPr>
        <w:t xml:space="preserve"> e </w:t>
      </w:r>
      <w:proofErr w:type="spellStart"/>
      <w:r w:rsidRPr="00DC38A5">
        <w:rPr>
          <w:lang w:val="en-GB"/>
        </w:rPr>
        <w:t>fundit</w:t>
      </w:r>
      <w:proofErr w:type="spellEnd"/>
      <w:r w:rsidRPr="00DC38A5">
        <w:rPr>
          <w:lang w:val="en-GB"/>
        </w:rPr>
        <w:t xml:space="preserve"> para </w:t>
      </w:r>
      <w:proofErr w:type="spellStart"/>
      <w:r w:rsidRPr="00DC38A5">
        <w:rPr>
          <w:lang w:val="en-GB"/>
        </w:rPr>
        <w:t>rekrutimit</w:t>
      </w:r>
      <w:proofErr w:type="spellEnd"/>
      <w:r w:rsidRPr="00DC38A5">
        <w:rPr>
          <w:lang w:val="en-GB"/>
        </w:rPr>
        <w:t xml:space="preserve">) e </w:t>
      </w:r>
      <w:proofErr w:type="spellStart"/>
      <w:r w:rsidRPr="00DC38A5">
        <w:rPr>
          <w:lang w:val="en-GB"/>
        </w:rPr>
        <w:t>praktikantëve</w:t>
      </w:r>
      <w:proofErr w:type="spellEnd"/>
      <w:r w:rsidRPr="00DC38A5">
        <w:rPr>
          <w:lang w:val="en-GB"/>
        </w:rPr>
        <w:t xml:space="preserve"> për 100 </w:t>
      </w:r>
      <w:proofErr w:type="spellStart"/>
      <w:r w:rsidRPr="00DC38A5">
        <w:rPr>
          <w:lang w:val="en-GB"/>
        </w:rPr>
        <w:t>gjyqtarë</w:t>
      </w:r>
      <w:proofErr w:type="spellEnd"/>
      <w:r w:rsidRPr="00DC38A5">
        <w:rPr>
          <w:lang w:val="en-GB"/>
        </w:rPr>
        <w:t xml:space="preserve"> dhe 30 </w:t>
      </w:r>
      <w:proofErr w:type="spellStart"/>
      <w:r w:rsidRPr="00DC38A5">
        <w:rPr>
          <w:lang w:val="en-GB"/>
        </w:rPr>
        <w:t>prokurorë</w:t>
      </w:r>
      <w:proofErr w:type="spellEnd"/>
      <w:r w:rsidRPr="00DC38A5">
        <w:rPr>
          <w:lang w:val="en-GB"/>
        </w:rPr>
        <w:t xml:space="preserve"> </w:t>
      </w:r>
      <w:proofErr w:type="spellStart"/>
      <w:r w:rsidRPr="00DC38A5">
        <w:rPr>
          <w:lang w:val="en-GB"/>
        </w:rPr>
        <w:t>publikë</w:t>
      </w:r>
      <w:proofErr w:type="spellEnd"/>
      <w:r w:rsidRPr="00DC38A5">
        <w:rPr>
          <w:lang w:val="en-GB"/>
        </w:rPr>
        <w:t xml:space="preserve"> </w:t>
      </w:r>
      <w:proofErr w:type="spellStart"/>
      <w:r w:rsidRPr="00DC38A5">
        <w:rPr>
          <w:lang w:val="en-GB"/>
        </w:rPr>
        <w:t>nga</w:t>
      </w:r>
      <w:proofErr w:type="spellEnd"/>
      <w:r w:rsidRPr="00DC38A5">
        <w:rPr>
          <w:lang w:val="en-GB"/>
        </w:rPr>
        <w:t xml:space="preserve"> </w:t>
      </w:r>
      <w:proofErr w:type="spellStart"/>
      <w:r w:rsidRPr="00DC38A5">
        <w:rPr>
          <w:lang w:val="en-GB"/>
        </w:rPr>
        <w:t>gjenerata</w:t>
      </w:r>
      <w:proofErr w:type="spellEnd"/>
      <w:r w:rsidRPr="00DC38A5">
        <w:rPr>
          <w:lang w:val="en-GB"/>
        </w:rPr>
        <w:t xml:space="preserve"> e 9-të është </w:t>
      </w:r>
      <w:proofErr w:type="spellStart"/>
      <w:r w:rsidRPr="00997551">
        <w:rPr>
          <w:lang w:val="en-GB"/>
        </w:rPr>
        <w:t>akoma</w:t>
      </w:r>
      <w:proofErr w:type="spellEnd"/>
      <w:r w:rsidRPr="00997551">
        <w:rPr>
          <w:lang w:val="en-GB"/>
        </w:rPr>
        <w:t xml:space="preserve"> në </w:t>
      </w:r>
      <w:proofErr w:type="spellStart"/>
      <w:r w:rsidRPr="00DC38A5">
        <w:rPr>
          <w:lang w:val="en-GB"/>
        </w:rPr>
        <w:t>pezullim</w:t>
      </w:r>
      <w:proofErr w:type="spellEnd"/>
      <w:r w:rsidRPr="00DC38A5">
        <w:rPr>
          <w:lang w:val="en-GB"/>
        </w:rPr>
        <w:t xml:space="preserve">, për </w:t>
      </w:r>
      <w:proofErr w:type="spellStart"/>
      <w:r w:rsidRPr="00DC38A5">
        <w:rPr>
          <w:lang w:val="en-GB"/>
        </w:rPr>
        <w:t>shkak</w:t>
      </w:r>
      <w:proofErr w:type="spellEnd"/>
      <w:r w:rsidRPr="00DC38A5">
        <w:rPr>
          <w:lang w:val="en-GB"/>
        </w:rPr>
        <w:t xml:space="preserve"> të </w:t>
      </w:r>
      <w:proofErr w:type="spellStart"/>
      <w:r w:rsidRPr="00DC38A5">
        <w:rPr>
          <w:lang w:val="en-GB"/>
        </w:rPr>
        <w:t>Konkluzioneve</w:t>
      </w:r>
      <w:proofErr w:type="spellEnd"/>
      <w:r w:rsidRPr="00DC38A5">
        <w:rPr>
          <w:lang w:val="en-GB"/>
        </w:rPr>
        <w:t xml:space="preserve"> të Qeverisë për </w:t>
      </w:r>
      <w:proofErr w:type="spellStart"/>
      <w:r w:rsidRPr="00DC38A5">
        <w:rPr>
          <w:lang w:val="en-GB"/>
        </w:rPr>
        <w:t>ndalimin</w:t>
      </w:r>
      <w:proofErr w:type="spellEnd"/>
      <w:r w:rsidRPr="00DC38A5">
        <w:rPr>
          <w:lang w:val="en-GB"/>
        </w:rPr>
        <w:t xml:space="preserve"> e të gjitha </w:t>
      </w:r>
      <w:proofErr w:type="spellStart"/>
      <w:r w:rsidRPr="00DC38A5">
        <w:rPr>
          <w:lang w:val="en-GB"/>
        </w:rPr>
        <w:t>procedurave</w:t>
      </w:r>
      <w:proofErr w:type="spellEnd"/>
      <w:r w:rsidRPr="00DC38A5">
        <w:rPr>
          <w:lang w:val="en-GB"/>
        </w:rPr>
        <w:t xml:space="preserve"> </w:t>
      </w:r>
      <w:r w:rsidRPr="00997551">
        <w:rPr>
          <w:lang w:val="en-GB"/>
        </w:rPr>
        <w:t>për</w:t>
      </w:r>
      <w:r w:rsidRPr="00DC38A5">
        <w:rPr>
          <w:lang w:val="en-GB"/>
        </w:rPr>
        <w:t xml:space="preserve"> </w:t>
      </w:r>
      <w:proofErr w:type="spellStart"/>
      <w:r w:rsidRPr="00DC38A5">
        <w:rPr>
          <w:lang w:val="en-GB"/>
        </w:rPr>
        <w:t>punësim</w:t>
      </w:r>
      <w:proofErr w:type="spellEnd"/>
      <w:r w:rsidRPr="00DC38A5">
        <w:rPr>
          <w:lang w:val="en-GB"/>
        </w:rPr>
        <w:t xml:space="preserve">. </w:t>
      </w:r>
      <w:proofErr w:type="spellStart"/>
      <w:r w:rsidRPr="00DC38A5">
        <w:rPr>
          <w:lang w:val="en-GB"/>
        </w:rPr>
        <w:t>Vendimet</w:t>
      </w:r>
      <w:proofErr w:type="spellEnd"/>
      <w:r w:rsidRPr="00DC38A5">
        <w:rPr>
          <w:lang w:val="en-GB"/>
        </w:rPr>
        <w:t xml:space="preserve"> e </w:t>
      </w:r>
      <w:proofErr w:type="spellStart"/>
      <w:r w:rsidRPr="00DC38A5">
        <w:rPr>
          <w:lang w:val="en-GB"/>
        </w:rPr>
        <w:t>Gjykatës</w:t>
      </w:r>
      <w:proofErr w:type="spellEnd"/>
      <w:r w:rsidRPr="00DC38A5">
        <w:rPr>
          <w:lang w:val="en-GB"/>
        </w:rPr>
        <w:t xml:space="preserve"> Administrative dhe </w:t>
      </w:r>
      <w:proofErr w:type="spellStart"/>
      <w:r w:rsidRPr="00DC38A5">
        <w:rPr>
          <w:lang w:val="en-GB"/>
        </w:rPr>
        <w:t>Gjykatës</w:t>
      </w:r>
      <w:proofErr w:type="spellEnd"/>
      <w:r w:rsidRPr="00DC38A5">
        <w:rPr>
          <w:lang w:val="en-GB"/>
        </w:rPr>
        <w:t xml:space="preserve"> së </w:t>
      </w:r>
      <w:proofErr w:type="spellStart"/>
      <w:r w:rsidRPr="00DC38A5">
        <w:rPr>
          <w:lang w:val="en-GB"/>
        </w:rPr>
        <w:t>Lartë</w:t>
      </w:r>
      <w:proofErr w:type="spellEnd"/>
      <w:r w:rsidRPr="00DC38A5">
        <w:rPr>
          <w:lang w:val="en-GB"/>
        </w:rPr>
        <w:t xml:space="preserve"> Administrative e </w:t>
      </w:r>
      <w:proofErr w:type="spellStart"/>
      <w:r w:rsidRPr="00DC38A5">
        <w:rPr>
          <w:lang w:val="en-GB"/>
        </w:rPr>
        <w:t>kategorizuan</w:t>
      </w:r>
      <w:proofErr w:type="spellEnd"/>
      <w:r w:rsidRPr="00DC38A5">
        <w:rPr>
          <w:lang w:val="en-GB"/>
        </w:rPr>
        <w:t xml:space="preserve"> </w:t>
      </w:r>
      <w:proofErr w:type="spellStart"/>
      <w:r w:rsidRPr="00DC38A5">
        <w:rPr>
          <w:lang w:val="en-GB"/>
        </w:rPr>
        <w:t>procedurën</w:t>
      </w:r>
      <w:proofErr w:type="spellEnd"/>
      <w:r w:rsidRPr="00DC38A5">
        <w:rPr>
          <w:lang w:val="en-GB"/>
        </w:rPr>
        <w:t xml:space="preserve"> e </w:t>
      </w:r>
      <w:proofErr w:type="spellStart"/>
      <w:r w:rsidRPr="00DC38A5">
        <w:rPr>
          <w:lang w:val="en-GB"/>
        </w:rPr>
        <w:t>pranimit</w:t>
      </w:r>
      <w:proofErr w:type="spellEnd"/>
      <w:r w:rsidRPr="00DC38A5">
        <w:rPr>
          <w:lang w:val="en-GB"/>
        </w:rPr>
        <w:t xml:space="preserve"> në </w:t>
      </w:r>
      <w:proofErr w:type="spellStart"/>
      <w:r w:rsidRPr="00DC38A5">
        <w:rPr>
          <w:lang w:val="en-GB"/>
        </w:rPr>
        <w:t>Akademi</w:t>
      </w:r>
      <w:proofErr w:type="spellEnd"/>
      <w:r w:rsidRPr="00DC38A5">
        <w:rPr>
          <w:lang w:val="en-GB"/>
        </w:rPr>
        <w:t xml:space="preserve"> </w:t>
      </w:r>
      <w:proofErr w:type="spellStart"/>
      <w:r w:rsidRPr="00DC38A5">
        <w:rPr>
          <w:lang w:val="en-GB"/>
        </w:rPr>
        <w:t>si</w:t>
      </w:r>
      <w:proofErr w:type="spellEnd"/>
      <w:r w:rsidRPr="00DC38A5">
        <w:rPr>
          <w:lang w:val="en-GB"/>
        </w:rPr>
        <w:t xml:space="preserve"> </w:t>
      </w:r>
      <w:proofErr w:type="spellStart"/>
      <w:r w:rsidRPr="00DC38A5">
        <w:rPr>
          <w:lang w:val="en-GB"/>
        </w:rPr>
        <w:t>procedurë</w:t>
      </w:r>
      <w:proofErr w:type="spellEnd"/>
      <w:r w:rsidRPr="00DC38A5">
        <w:rPr>
          <w:lang w:val="en-GB"/>
        </w:rPr>
        <w:t xml:space="preserve"> </w:t>
      </w:r>
      <w:proofErr w:type="spellStart"/>
      <w:r w:rsidRPr="00DC38A5">
        <w:rPr>
          <w:lang w:val="en-GB"/>
        </w:rPr>
        <w:t>punësimi</w:t>
      </w:r>
      <w:proofErr w:type="spellEnd"/>
      <w:r w:rsidRPr="00DC38A5">
        <w:rPr>
          <w:lang w:val="en-GB"/>
        </w:rPr>
        <w:t xml:space="preserve">. </w:t>
      </w:r>
      <w:proofErr w:type="spellStart"/>
      <w:r w:rsidRPr="00DC38A5">
        <w:rPr>
          <w:lang w:val="en-GB"/>
        </w:rPr>
        <w:t>Procedura</w:t>
      </w:r>
      <w:proofErr w:type="spellEnd"/>
      <w:r w:rsidRPr="00DC38A5">
        <w:rPr>
          <w:lang w:val="en-GB"/>
        </w:rPr>
        <w:t xml:space="preserve"> e </w:t>
      </w:r>
      <w:proofErr w:type="spellStart"/>
      <w:r w:rsidRPr="00997551">
        <w:rPr>
          <w:lang w:val="en-GB"/>
        </w:rPr>
        <w:t>suspenduar</w:t>
      </w:r>
      <w:proofErr w:type="spellEnd"/>
      <w:r w:rsidRPr="00DC38A5">
        <w:rPr>
          <w:lang w:val="en-GB"/>
        </w:rPr>
        <w:t xml:space="preserve"> </w:t>
      </w:r>
      <w:r w:rsidRPr="00997551">
        <w:rPr>
          <w:lang w:val="en-GB"/>
        </w:rPr>
        <w:t>për</w:t>
      </w:r>
      <w:r w:rsidRPr="00DC38A5">
        <w:rPr>
          <w:lang w:val="en-GB"/>
        </w:rPr>
        <w:t xml:space="preserve"> </w:t>
      </w:r>
      <w:proofErr w:type="spellStart"/>
      <w:r w:rsidRPr="00DC38A5">
        <w:rPr>
          <w:lang w:val="en-GB"/>
        </w:rPr>
        <w:t>pranim</w:t>
      </w:r>
      <w:proofErr w:type="spellEnd"/>
      <w:r w:rsidRPr="00DC38A5">
        <w:rPr>
          <w:lang w:val="en-GB"/>
        </w:rPr>
        <w:t xml:space="preserve"> është në </w:t>
      </w:r>
      <w:proofErr w:type="spellStart"/>
      <w:r w:rsidRPr="00DC38A5">
        <w:rPr>
          <w:lang w:val="en-GB"/>
        </w:rPr>
        <w:t>fazën</w:t>
      </w:r>
      <w:proofErr w:type="spellEnd"/>
      <w:r w:rsidRPr="00DC38A5">
        <w:rPr>
          <w:lang w:val="en-GB"/>
        </w:rPr>
        <w:t xml:space="preserve"> e </w:t>
      </w:r>
      <w:proofErr w:type="spellStart"/>
      <w:r w:rsidRPr="00DC38A5">
        <w:rPr>
          <w:lang w:val="en-GB"/>
        </w:rPr>
        <w:t>fundit</w:t>
      </w:r>
      <w:proofErr w:type="spellEnd"/>
      <w:r w:rsidRPr="00DC38A5">
        <w:rPr>
          <w:lang w:val="en-GB"/>
        </w:rPr>
        <w:t xml:space="preserve"> të procesit të </w:t>
      </w:r>
      <w:proofErr w:type="spellStart"/>
      <w:r w:rsidRPr="00DC38A5">
        <w:rPr>
          <w:lang w:val="en-GB"/>
        </w:rPr>
        <w:t>provimeve</w:t>
      </w:r>
      <w:proofErr w:type="spellEnd"/>
      <w:r w:rsidRPr="00DC38A5">
        <w:rPr>
          <w:lang w:val="en-GB"/>
        </w:rPr>
        <w:t xml:space="preserve">, </w:t>
      </w:r>
      <w:proofErr w:type="spellStart"/>
      <w:r w:rsidRPr="00DC38A5">
        <w:rPr>
          <w:lang w:val="en-GB"/>
        </w:rPr>
        <w:t>përkatësisht</w:t>
      </w:r>
      <w:proofErr w:type="spellEnd"/>
      <w:r w:rsidRPr="00DC38A5">
        <w:rPr>
          <w:lang w:val="en-GB"/>
        </w:rPr>
        <w:t xml:space="preserve"> </w:t>
      </w:r>
      <w:proofErr w:type="spellStart"/>
      <w:r w:rsidRPr="00DC38A5">
        <w:rPr>
          <w:lang w:val="en-GB"/>
        </w:rPr>
        <w:t>pjesës</w:t>
      </w:r>
      <w:proofErr w:type="spellEnd"/>
      <w:r w:rsidRPr="00DC38A5">
        <w:rPr>
          <w:lang w:val="en-GB"/>
        </w:rPr>
        <w:t xml:space="preserve"> me </w:t>
      </w:r>
      <w:proofErr w:type="spellStart"/>
      <w:r w:rsidRPr="00DC38A5">
        <w:rPr>
          <w:lang w:val="en-GB"/>
        </w:rPr>
        <w:t>shkrim</w:t>
      </w:r>
      <w:proofErr w:type="spellEnd"/>
      <w:r w:rsidRPr="00DC38A5">
        <w:rPr>
          <w:lang w:val="en-GB"/>
        </w:rPr>
        <w:t xml:space="preserve"> dhe </w:t>
      </w:r>
      <w:proofErr w:type="spellStart"/>
      <w:r w:rsidRPr="00DC38A5">
        <w:rPr>
          <w:lang w:val="en-GB"/>
        </w:rPr>
        <w:t>pjesës</w:t>
      </w:r>
      <w:proofErr w:type="spellEnd"/>
      <w:r w:rsidRPr="00DC38A5">
        <w:rPr>
          <w:lang w:val="en-GB"/>
        </w:rPr>
        <w:t xml:space="preserve"> </w:t>
      </w:r>
      <w:r w:rsidRPr="00997551">
        <w:rPr>
          <w:lang w:val="en-GB"/>
        </w:rPr>
        <w:t xml:space="preserve">me </w:t>
      </w:r>
      <w:proofErr w:type="spellStart"/>
      <w:r w:rsidRPr="00997551">
        <w:rPr>
          <w:lang w:val="en-GB"/>
        </w:rPr>
        <w:t>gojë</w:t>
      </w:r>
      <w:proofErr w:type="spellEnd"/>
      <w:r w:rsidRPr="00DC38A5">
        <w:rPr>
          <w:lang w:val="en-GB"/>
        </w:rPr>
        <w:t>.</w:t>
      </w:r>
    </w:p>
    <w:p w14:paraId="5D9097E5" w14:textId="14066590" w:rsidR="00DC38A5" w:rsidRPr="00DC38A5" w:rsidRDefault="00DC38A5" w:rsidP="00DC38A5">
      <w:pPr>
        <w:pStyle w:val="Bodytext20"/>
        <w:ind w:left="1780"/>
        <w:jc w:val="both"/>
        <w:rPr>
          <w:lang w:val="en-GB"/>
        </w:rPr>
      </w:pPr>
      <w:proofErr w:type="spellStart"/>
      <w:r w:rsidRPr="00DC38A5">
        <w:rPr>
          <w:lang w:val="en-GB"/>
        </w:rPr>
        <w:t>Rekrutimi</w:t>
      </w:r>
      <w:proofErr w:type="spellEnd"/>
      <w:r w:rsidRPr="00DC38A5">
        <w:rPr>
          <w:lang w:val="en-GB"/>
        </w:rPr>
        <w:t xml:space="preserve"> </w:t>
      </w:r>
      <w:proofErr w:type="spellStart"/>
      <w:r w:rsidRPr="00DC38A5">
        <w:rPr>
          <w:lang w:val="en-GB"/>
        </w:rPr>
        <w:t>i</w:t>
      </w:r>
      <w:proofErr w:type="spellEnd"/>
      <w:r w:rsidRPr="00DC38A5">
        <w:rPr>
          <w:lang w:val="en-GB"/>
        </w:rPr>
        <w:t xml:space="preserve"> </w:t>
      </w:r>
      <w:proofErr w:type="spellStart"/>
      <w:r w:rsidRPr="00DC38A5">
        <w:rPr>
          <w:lang w:val="en-GB"/>
        </w:rPr>
        <w:t>praktikantëve</w:t>
      </w:r>
      <w:proofErr w:type="spellEnd"/>
      <w:r w:rsidRPr="00DC38A5">
        <w:rPr>
          <w:lang w:val="en-GB"/>
        </w:rPr>
        <w:t xml:space="preserve"> të </w:t>
      </w:r>
      <w:proofErr w:type="spellStart"/>
      <w:r w:rsidRPr="00DC38A5">
        <w:rPr>
          <w:lang w:val="en-GB"/>
        </w:rPr>
        <w:t>rinj</w:t>
      </w:r>
      <w:proofErr w:type="spellEnd"/>
      <w:r w:rsidRPr="00DC38A5">
        <w:rPr>
          <w:lang w:val="en-GB"/>
        </w:rPr>
        <w:t xml:space="preserve"> në </w:t>
      </w:r>
      <w:proofErr w:type="spellStart"/>
      <w:r w:rsidRPr="00DC38A5">
        <w:rPr>
          <w:lang w:val="en-GB"/>
        </w:rPr>
        <w:t>Akademi</w:t>
      </w:r>
      <w:proofErr w:type="spellEnd"/>
      <w:r w:rsidRPr="00DC38A5">
        <w:rPr>
          <w:lang w:val="en-GB"/>
        </w:rPr>
        <w:t xml:space="preserve"> </w:t>
      </w:r>
      <w:proofErr w:type="spellStart"/>
      <w:r w:rsidRPr="00997551">
        <w:rPr>
          <w:lang w:val="en-GB"/>
        </w:rPr>
        <w:t>akoma</w:t>
      </w:r>
      <w:proofErr w:type="spellEnd"/>
      <w:r w:rsidRPr="00DC38A5">
        <w:rPr>
          <w:lang w:val="en-GB"/>
        </w:rPr>
        <w:t xml:space="preserve"> nuk ka </w:t>
      </w:r>
      <w:proofErr w:type="spellStart"/>
      <w:r w:rsidRPr="00DC38A5">
        <w:rPr>
          <w:lang w:val="en-GB"/>
        </w:rPr>
        <w:t>filluar</w:t>
      </w:r>
      <w:proofErr w:type="spellEnd"/>
      <w:r w:rsidRPr="00DC38A5">
        <w:rPr>
          <w:lang w:val="en-GB"/>
        </w:rPr>
        <w:t xml:space="preserve"> dhe </w:t>
      </w:r>
      <w:proofErr w:type="spellStart"/>
      <w:r w:rsidRPr="00DC38A5">
        <w:rPr>
          <w:lang w:val="en-GB"/>
        </w:rPr>
        <w:t>ata</w:t>
      </w:r>
      <w:proofErr w:type="spellEnd"/>
      <w:r w:rsidRPr="00DC38A5">
        <w:rPr>
          <w:lang w:val="en-GB"/>
        </w:rPr>
        <w:t xml:space="preserve"> do të </w:t>
      </w:r>
      <w:proofErr w:type="spellStart"/>
      <w:r w:rsidRPr="00DC38A5">
        <w:rPr>
          <w:lang w:val="en-GB"/>
        </w:rPr>
        <w:t>kenë</w:t>
      </w:r>
      <w:proofErr w:type="spellEnd"/>
      <w:r w:rsidRPr="00DC38A5">
        <w:rPr>
          <w:lang w:val="en-GB"/>
        </w:rPr>
        <w:t xml:space="preserve"> të </w:t>
      </w:r>
      <w:proofErr w:type="spellStart"/>
      <w:r w:rsidRPr="00DC38A5">
        <w:rPr>
          <w:lang w:val="en-GB"/>
        </w:rPr>
        <w:t>drejtë</w:t>
      </w:r>
      <w:proofErr w:type="spellEnd"/>
      <w:r w:rsidRPr="00DC38A5">
        <w:rPr>
          <w:lang w:val="en-GB"/>
        </w:rPr>
        <w:t xml:space="preserve"> për </w:t>
      </w:r>
      <w:proofErr w:type="spellStart"/>
      <w:r w:rsidRPr="00DC38A5">
        <w:rPr>
          <w:lang w:val="en-GB"/>
        </w:rPr>
        <w:t>emërim</w:t>
      </w:r>
      <w:proofErr w:type="spellEnd"/>
      <w:r w:rsidRPr="00DC38A5">
        <w:rPr>
          <w:lang w:val="en-GB"/>
        </w:rPr>
        <w:t xml:space="preserve"> vetëm pas </w:t>
      </w:r>
      <w:proofErr w:type="spellStart"/>
      <w:r w:rsidRPr="00DC38A5">
        <w:rPr>
          <w:lang w:val="en-GB"/>
        </w:rPr>
        <w:t>përfundimit</w:t>
      </w:r>
      <w:proofErr w:type="spellEnd"/>
      <w:r w:rsidRPr="00DC38A5">
        <w:rPr>
          <w:lang w:val="en-GB"/>
        </w:rPr>
        <w:t xml:space="preserve"> të </w:t>
      </w:r>
      <w:proofErr w:type="spellStart"/>
      <w:r w:rsidRPr="00DC38A5">
        <w:rPr>
          <w:lang w:val="en-GB"/>
        </w:rPr>
        <w:t>programit</w:t>
      </w:r>
      <w:proofErr w:type="spellEnd"/>
      <w:r w:rsidRPr="00DC38A5">
        <w:rPr>
          <w:lang w:val="en-GB"/>
        </w:rPr>
        <w:t xml:space="preserve"> </w:t>
      </w:r>
      <w:proofErr w:type="spellStart"/>
      <w:r w:rsidRPr="00DC38A5">
        <w:rPr>
          <w:lang w:val="en-GB"/>
        </w:rPr>
        <w:t>dyvjeçar</w:t>
      </w:r>
      <w:proofErr w:type="spellEnd"/>
      <w:r w:rsidRPr="00DC38A5">
        <w:rPr>
          <w:lang w:val="en-GB"/>
        </w:rPr>
        <w:t xml:space="preserve"> të </w:t>
      </w:r>
      <w:proofErr w:type="spellStart"/>
      <w:r w:rsidRPr="00DC38A5">
        <w:rPr>
          <w:lang w:val="en-GB"/>
        </w:rPr>
        <w:t>trajnimit</w:t>
      </w:r>
      <w:proofErr w:type="spellEnd"/>
      <w:r w:rsidRPr="00DC38A5">
        <w:rPr>
          <w:lang w:val="en-GB"/>
        </w:rPr>
        <w:t xml:space="preserve"> në </w:t>
      </w:r>
      <w:proofErr w:type="spellStart"/>
      <w:r w:rsidRPr="00DC38A5">
        <w:rPr>
          <w:lang w:val="en-GB"/>
        </w:rPr>
        <w:t>Akademi</w:t>
      </w:r>
      <w:proofErr w:type="spellEnd"/>
      <w:r w:rsidRPr="00DC38A5">
        <w:rPr>
          <w:lang w:val="en-GB"/>
        </w:rPr>
        <w:t xml:space="preserve"> – me </w:t>
      </w:r>
      <w:proofErr w:type="spellStart"/>
      <w:r w:rsidRPr="00DC38A5">
        <w:rPr>
          <w:lang w:val="en-GB"/>
        </w:rPr>
        <w:t>kusht</w:t>
      </w:r>
      <w:proofErr w:type="spellEnd"/>
      <w:r w:rsidRPr="00DC38A5">
        <w:rPr>
          <w:lang w:val="en-GB"/>
        </w:rPr>
        <w:t xml:space="preserve"> </w:t>
      </w:r>
      <w:proofErr w:type="spellStart"/>
      <w:r w:rsidRPr="00DC38A5">
        <w:rPr>
          <w:lang w:val="en-GB"/>
        </w:rPr>
        <w:t>që</w:t>
      </w:r>
      <w:proofErr w:type="spellEnd"/>
      <w:r w:rsidRPr="00DC38A5">
        <w:rPr>
          <w:lang w:val="en-GB"/>
        </w:rPr>
        <w:t xml:space="preserve"> procesi të vazhdojë.</w:t>
      </w:r>
    </w:p>
    <w:p w14:paraId="1C26CC2E" w14:textId="21FC5C23" w:rsidR="00DC38A5" w:rsidRPr="00997551" w:rsidRDefault="00DC38A5" w:rsidP="00E158CA">
      <w:pPr>
        <w:pStyle w:val="Bodytext20"/>
        <w:ind w:left="1780"/>
        <w:jc w:val="both"/>
        <w:rPr>
          <w:rStyle w:val="Bodytext2"/>
          <w:lang w:val="en-GB"/>
        </w:rPr>
      </w:pPr>
      <w:proofErr w:type="spellStart"/>
      <w:r w:rsidRPr="00997551">
        <w:rPr>
          <w:lang w:val="en-GB"/>
        </w:rPr>
        <w:t>Këshilli</w:t>
      </w:r>
      <w:proofErr w:type="spellEnd"/>
      <w:r w:rsidRPr="00DC38A5">
        <w:rPr>
          <w:lang w:val="en-GB"/>
        </w:rPr>
        <w:t xml:space="preserve"> </w:t>
      </w:r>
      <w:proofErr w:type="spellStart"/>
      <w:r w:rsidRPr="00DC38A5">
        <w:rPr>
          <w:lang w:val="en-GB"/>
        </w:rPr>
        <w:t>drejtues</w:t>
      </w:r>
      <w:proofErr w:type="spellEnd"/>
      <w:r w:rsidRPr="00DC38A5">
        <w:rPr>
          <w:lang w:val="en-GB"/>
        </w:rPr>
        <w:t xml:space="preserve"> </w:t>
      </w:r>
      <w:proofErr w:type="spellStart"/>
      <w:r w:rsidRPr="00DC38A5">
        <w:rPr>
          <w:lang w:val="en-GB"/>
        </w:rPr>
        <w:t>i</w:t>
      </w:r>
      <w:proofErr w:type="spellEnd"/>
      <w:r w:rsidRPr="00DC38A5">
        <w:rPr>
          <w:lang w:val="en-GB"/>
        </w:rPr>
        <w:t xml:space="preserve"> </w:t>
      </w:r>
      <w:proofErr w:type="spellStart"/>
      <w:r w:rsidRPr="00DC38A5">
        <w:rPr>
          <w:lang w:val="en-GB"/>
        </w:rPr>
        <w:t>Akademisë</w:t>
      </w:r>
      <w:proofErr w:type="spellEnd"/>
      <w:r w:rsidRPr="00DC38A5">
        <w:rPr>
          <w:lang w:val="en-GB"/>
        </w:rPr>
        <w:t xml:space="preserve"> do të </w:t>
      </w:r>
      <w:proofErr w:type="spellStart"/>
      <w:r w:rsidRPr="00DC38A5">
        <w:rPr>
          <w:lang w:val="en-GB"/>
        </w:rPr>
        <w:t>vendosë</w:t>
      </w:r>
      <w:proofErr w:type="spellEnd"/>
      <w:r w:rsidRPr="00DC38A5">
        <w:rPr>
          <w:lang w:val="en-GB"/>
        </w:rPr>
        <w:t xml:space="preserve"> për </w:t>
      </w:r>
      <w:proofErr w:type="spellStart"/>
      <w:r w:rsidRPr="00DC38A5">
        <w:rPr>
          <w:lang w:val="en-GB"/>
        </w:rPr>
        <w:t>vazhdimin</w:t>
      </w:r>
      <w:proofErr w:type="spellEnd"/>
      <w:r w:rsidRPr="00DC38A5">
        <w:rPr>
          <w:lang w:val="en-GB"/>
        </w:rPr>
        <w:t xml:space="preserve"> e procesit </w:t>
      </w:r>
      <w:r w:rsidRPr="00997551">
        <w:rPr>
          <w:lang w:val="en-GB"/>
        </w:rPr>
        <w:t>për</w:t>
      </w:r>
      <w:r w:rsidRPr="00DC38A5">
        <w:rPr>
          <w:lang w:val="en-GB"/>
        </w:rPr>
        <w:t xml:space="preserve"> </w:t>
      </w:r>
      <w:proofErr w:type="spellStart"/>
      <w:r w:rsidRPr="00DC38A5">
        <w:rPr>
          <w:lang w:val="en-GB"/>
        </w:rPr>
        <w:t>pranim</w:t>
      </w:r>
      <w:proofErr w:type="spellEnd"/>
      <w:r w:rsidRPr="00997551">
        <w:rPr>
          <w:lang w:val="en-GB"/>
        </w:rPr>
        <w:t xml:space="preserve"> </w:t>
      </w:r>
      <w:r w:rsidRPr="00DC38A5">
        <w:rPr>
          <w:lang w:val="en-GB"/>
        </w:rPr>
        <w:t xml:space="preserve">pas </w:t>
      </w:r>
      <w:proofErr w:type="spellStart"/>
      <w:r w:rsidRPr="00DC38A5">
        <w:rPr>
          <w:lang w:val="en-GB"/>
        </w:rPr>
        <w:t>marrjes</w:t>
      </w:r>
      <w:proofErr w:type="spellEnd"/>
      <w:r w:rsidRPr="00DC38A5">
        <w:rPr>
          <w:lang w:val="en-GB"/>
        </w:rPr>
        <w:t xml:space="preserve"> së </w:t>
      </w:r>
      <w:proofErr w:type="spellStart"/>
      <w:r w:rsidRPr="00DC38A5">
        <w:rPr>
          <w:lang w:val="en-GB"/>
        </w:rPr>
        <w:t>përgjigjeje</w:t>
      </w:r>
      <w:r w:rsidRPr="00997551">
        <w:rPr>
          <w:lang w:val="en-GB"/>
        </w:rPr>
        <w:t>së</w:t>
      </w:r>
      <w:proofErr w:type="spellEnd"/>
      <w:r w:rsidRPr="00DC38A5">
        <w:rPr>
          <w:lang w:val="en-GB"/>
        </w:rPr>
        <w:t xml:space="preserve"> </w:t>
      </w:r>
      <w:proofErr w:type="spellStart"/>
      <w:r w:rsidR="00E158CA" w:rsidRPr="00997551">
        <w:rPr>
          <w:lang w:val="en-GB"/>
        </w:rPr>
        <w:t>plotësuese</w:t>
      </w:r>
      <w:proofErr w:type="spellEnd"/>
      <w:r w:rsidRPr="00DC38A5">
        <w:rPr>
          <w:lang w:val="en-GB"/>
        </w:rPr>
        <w:t xml:space="preserve"> </w:t>
      </w:r>
      <w:proofErr w:type="spellStart"/>
      <w:r w:rsidRPr="00DC38A5">
        <w:rPr>
          <w:lang w:val="en-GB"/>
        </w:rPr>
        <w:t>nga</w:t>
      </w:r>
      <w:proofErr w:type="spellEnd"/>
      <w:r w:rsidRPr="00DC38A5">
        <w:rPr>
          <w:lang w:val="en-GB"/>
        </w:rPr>
        <w:t xml:space="preserve"> </w:t>
      </w:r>
      <w:proofErr w:type="spellStart"/>
      <w:r w:rsidRPr="00DC38A5">
        <w:rPr>
          <w:lang w:val="en-GB"/>
        </w:rPr>
        <w:t>Qeveria</w:t>
      </w:r>
      <w:proofErr w:type="spellEnd"/>
      <w:r w:rsidRPr="00DC38A5">
        <w:rPr>
          <w:lang w:val="en-GB"/>
        </w:rPr>
        <w:t xml:space="preserve">. </w:t>
      </w:r>
      <w:proofErr w:type="spellStart"/>
      <w:r w:rsidRPr="00DC38A5">
        <w:rPr>
          <w:lang w:val="en-GB"/>
        </w:rPr>
        <w:t>Këshilli</w:t>
      </w:r>
      <w:proofErr w:type="spellEnd"/>
      <w:r w:rsidRPr="00DC38A5">
        <w:rPr>
          <w:lang w:val="en-GB"/>
        </w:rPr>
        <w:t xml:space="preserve"> </w:t>
      </w:r>
      <w:proofErr w:type="spellStart"/>
      <w:r w:rsidRPr="00DC38A5">
        <w:rPr>
          <w:lang w:val="en-GB"/>
        </w:rPr>
        <w:t>Gjyqësor</w:t>
      </w:r>
      <w:proofErr w:type="spellEnd"/>
      <w:r w:rsidRPr="00DC38A5">
        <w:rPr>
          <w:lang w:val="en-GB"/>
        </w:rPr>
        <w:t xml:space="preserve"> dhe </w:t>
      </w:r>
      <w:proofErr w:type="spellStart"/>
      <w:r w:rsidRPr="00DC38A5">
        <w:rPr>
          <w:lang w:val="en-GB"/>
        </w:rPr>
        <w:t>Këshilli</w:t>
      </w:r>
      <w:proofErr w:type="spellEnd"/>
      <w:r w:rsidRPr="00DC38A5">
        <w:rPr>
          <w:lang w:val="en-GB"/>
        </w:rPr>
        <w:t xml:space="preserve"> </w:t>
      </w:r>
      <w:proofErr w:type="spellStart"/>
      <w:r w:rsidRPr="00DC38A5">
        <w:rPr>
          <w:lang w:val="en-GB"/>
        </w:rPr>
        <w:t>i</w:t>
      </w:r>
      <w:proofErr w:type="spellEnd"/>
      <w:r w:rsidRPr="00DC38A5">
        <w:rPr>
          <w:lang w:val="en-GB"/>
        </w:rPr>
        <w:t xml:space="preserve"> </w:t>
      </w:r>
      <w:proofErr w:type="spellStart"/>
      <w:r w:rsidRPr="00DC38A5">
        <w:rPr>
          <w:lang w:val="en-GB"/>
        </w:rPr>
        <w:t>Prokurorëve</w:t>
      </w:r>
      <w:proofErr w:type="spellEnd"/>
      <w:r w:rsidRPr="00DC38A5">
        <w:rPr>
          <w:lang w:val="en-GB"/>
        </w:rPr>
        <w:t xml:space="preserve"> </w:t>
      </w:r>
      <w:proofErr w:type="spellStart"/>
      <w:r w:rsidRPr="00DC38A5">
        <w:rPr>
          <w:lang w:val="en-GB"/>
        </w:rPr>
        <w:t>Publikë</w:t>
      </w:r>
      <w:proofErr w:type="spellEnd"/>
      <w:r w:rsidRPr="00DC38A5">
        <w:rPr>
          <w:lang w:val="en-GB"/>
        </w:rPr>
        <w:t xml:space="preserve"> </w:t>
      </w:r>
      <w:proofErr w:type="spellStart"/>
      <w:r w:rsidRPr="00DC38A5">
        <w:rPr>
          <w:lang w:val="en-GB"/>
        </w:rPr>
        <w:t>ta</w:t>
      </w:r>
      <w:r w:rsidR="00E158CA" w:rsidRPr="00997551">
        <w:rPr>
          <w:lang w:val="en-GB"/>
        </w:rPr>
        <w:t>nimë</w:t>
      </w:r>
      <w:proofErr w:type="spellEnd"/>
      <w:r w:rsidR="00E158CA" w:rsidRPr="00997551">
        <w:rPr>
          <w:lang w:val="en-GB"/>
        </w:rPr>
        <w:t xml:space="preserve"> </w:t>
      </w:r>
      <w:proofErr w:type="spellStart"/>
      <w:r w:rsidRPr="00DC38A5">
        <w:rPr>
          <w:lang w:val="en-GB"/>
        </w:rPr>
        <w:t>kërkua</w:t>
      </w:r>
      <w:r w:rsidR="00E158CA" w:rsidRPr="00997551">
        <w:rPr>
          <w:lang w:val="en-GB"/>
        </w:rPr>
        <w:t>n</w:t>
      </w:r>
      <w:proofErr w:type="spellEnd"/>
      <w:r w:rsidRPr="00DC38A5">
        <w:rPr>
          <w:lang w:val="en-GB"/>
        </w:rPr>
        <w:t xml:space="preserve"> 162 </w:t>
      </w:r>
      <w:proofErr w:type="spellStart"/>
      <w:r w:rsidRPr="00DC38A5">
        <w:rPr>
          <w:lang w:val="en-GB"/>
        </w:rPr>
        <w:t>kandidatë</w:t>
      </w:r>
      <w:proofErr w:type="spellEnd"/>
      <w:r w:rsidRPr="00DC38A5">
        <w:rPr>
          <w:lang w:val="en-GB"/>
        </w:rPr>
        <w:t xml:space="preserve"> për </w:t>
      </w:r>
      <w:proofErr w:type="spellStart"/>
      <w:r w:rsidRPr="00DC38A5">
        <w:rPr>
          <w:lang w:val="en-GB"/>
        </w:rPr>
        <w:t>gjyqtarë</w:t>
      </w:r>
      <w:proofErr w:type="spellEnd"/>
      <w:r w:rsidRPr="00DC38A5">
        <w:rPr>
          <w:lang w:val="en-GB"/>
        </w:rPr>
        <w:t xml:space="preserve">, </w:t>
      </w:r>
      <w:proofErr w:type="spellStart"/>
      <w:r w:rsidRPr="00DC38A5">
        <w:rPr>
          <w:lang w:val="en-GB"/>
        </w:rPr>
        <w:t>respektivisht</w:t>
      </w:r>
      <w:proofErr w:type="spellEnd"/>
      <w:r w:rsidRPr="00DC38A5">
        <w:rPr>
          <w:lang w:val="en-GB"/>
        </w:rPr>
        <w:t xml:space="preserve"> 30 </w:t>
      </w:r>
      <w:proofErr w:type="spellStart"/>
      <w:r w:rsidRPr="00DC38A5">
        <w:rPr>
          <w:lang w:val="en-GB"/>
        </w:rPr>
        <w:t>kandidatë</w:t>
      </w:r>
      <w:proofErr w:type="spellEnd"/>
      <w:r w:rsidRPr="00DC38A5">
        <w:rPr>
          <w:lang w:val="en-GB"/>
        </w:rPr>
        <w:t xml:space="preserve"> për </w:t>
      </w:r>
      <w:proofErr w:type="spellStart"/>
      <w:r w:rsidRPr="00DC38A5">
        <w:rPr>
          <w:lang w:val="en-GB"/>
        </w:rPr>
        <w:t>prokurorë</w:t>
      </w:r>
      <w:proofErr w:type="spellEnd"/>
      <w:r w:rsidRPr="00DC38A5">
        <w:rPr>
          <w:lang w:val="en-GB"/>
        </w:rPr>
        <w:t xml:space="preserve"> për </w:t>
      </w:r>
      <w:proofErr w:type="spellStart"/>
      <w:r w:rsidRPr="00DC38A5">
        <w:rPr>
          <w:lang w:val="en-GB"/>
        </w:rPr>
        <w:t>gjeneratën</w:t>
      </w:r>
      <w:proofErr w:type="spellEnd"/>
      <w:r w:rsidRPr="00DC38A5">
        <w:rPr>
          <w:lang w:val="en-GB"/>
        </w:rPr>
        <w:t xml:space="preserve"> e 10-të.</w:t>
      </w:r>
    </w:p>
    <w:p w14:paraId="51A86F80" w14:textId="77777777" w:rsidR="00DC38A5" w:rsidRPr="00997551" w:rsidRDefault="00DC38A5">
      <w:pPr>
        <w:pStyle w:val="Bodytext20"/>
        <w:ind w:left="1780"/>
        <w:jc w:val="both"/>
        <w:rPr>
          <w:lang w:val="sq-AL"/>
        </w:rPr>
      </w:pPr>
    </w:p>
    <w:p w14:paraId="05C9460D" w14:textId="7B79613D" w:rsidR="00E158CA" w:rsidRPr="00997551" w:rsidRDefault="00E158CA" w:rsidP="00E158CA">
      <w:pPr>
        <w:pStyle w:val="Bodytext20"/>
        <w:numPr>
          <w:ilvl w:val="0"/>
          <w:numId w:val="17"/>
        </w:numPr>
        <w:tabs>
          <w:tab w:val="left" w:pos="2395"/>
        </w:tabs>
        <w:spacing w:after="920"/>
        <w:ind w:hanging="360"/>
        <w:jc w:val="both"/>
      </w:pPr>
      <w:r w:rsidRPr="00997551">
        <w:t xml:space="preserve">Vendimet për emërimin e gjyqtarëve dhe prokurorëve nuk përbëjnë garanci se vendet e punës do të plotësohen, as që do të sigurohet kontinuitet në </w:t>
      </w:r>
      <w:r w:rsidRPr="00997551">
        <w:rPr>
          <w:lang w:val="sq-AL"/>
        </w:rPr>
        <w:t>për</w:t>
      </w:r>
      <w:r w:rsidRPr="00997551">
        <w:t xml:space="preserve">mbushjen e </w:t>
      </w:r>
      <w:r w:rsidRPr="00997551">
        <w:rPr>
          <w:lang w:val="sq-AL"/>
        </w:rPr>
        <w:t>vendeve të punës</w:t>
      </w:r>
      <w:r w:rsidRPr="00997551">
        <w:t xml:space="preserve">. </w:t>
      </w:r>
      <w:r w:rsidRPr="00997551">
        <w:rPr>
          <w:b/>
          <w:bCs/>
        </w:rPr>
        <w:t xml:space="preserve">Qasja “bazë e rregullt” e </w:t>
      </w:r>
      <w:r w:rsidRPr="00997551">
        <w:rPr>
          <w:b/>
          <w:bCs/>
          <w:lang w:val="sq-AL"/>
        </w:rPr>
        <w:t xml:space="preserve"> shënuar </w:t>
      </w:r>
      <w:r w:rsidRPr="00997551">
        <w:rPr>
          <w:b/>
          <w:bCs/>
        </w:rPr>
        <w:t>në hap nuk është arritur.</w:t>
      </w:r>
    </w:p>
    <w:tbl>
      <w:tblPr>
        <w:tblOverlap w:val="never"/>
        <w:tblW w:w="10060" w:type="dxa"/>
        <w:jc w:val="center"/>
        <w:tblLayout w:type="fixed"/>
        <w:tblCellMar>
          <w:left w:w="10" w:type="dxa"/>
          <w:right w:w="10" w:type="dxa"/>
        </w:tblCellMar>
        <w:tblLook w:val="04A0" w:firstRow="1" w:lastRow="0" w:firstColumn="1" w:lastColumn="0" w:noHBand="0" w:noVBand="1"/>
      </w:tblPr>
      <w:tblGrid>
        <w:gridCol w:w="1838"/>
        <w:gridCol w:w="8222"/>
      </w:tblGrid>
      <w:tr w:rsidR="00262A83" w:rsidRPr="00997551" w14:paraId="611FCA31" w14:textId="77777777" w:rsidTr="00D87553">
        <w:trPr>
          <w:trHeight w:hRule="exact" w:val="2016"/>
          <w:jc w:val="center"/>
        </w:trPr>
        <w:tc>
          <w:tcPr>
            <w:tcW w:w="1838" w:type="dxa"/>
            <w:tcBorders>
              <w:top w:val="single" w:sz="4" w:space="0" w:color="auto"/>
              <w:left w:val="single" w:sz="4" w:space="0" w:color="auto"/>
            </w:tcBorders>
            <w:shd w:val="clear" w:color="auto" w:fill="E8E8E8"/>
          </w:tcPr>
          <w:p w14:paraId="3A49F411" w14:textId="77777777" w:rsidR="00262A83" w:rsidRPr="00997551" w:rsidRDefault="00262A83">
            <w:pPr>
              <w:rPr>
                <w:rFonts w:ascii="Times New Roman" w:hAnsi="Times New Roman" w:cs="Times New Roman"/>
                <w:sz w:val="10"/>
                <w:szCs w:val="10"/>
              </w:rPr>
            </w:pPr>
          </w:p>
        </w:tc>
        <w:tc>
          <w:tcPr>
            <w:tcW w:w="8222" w:type="dxa"/>
            <w:tcBorders>
              <w:top w:val="single" w:sz="4" w:space="0" w:color="auto"/>
              <w:left w:val="single" w:sz="4" w:space="0" w:color="auto"/>
              <w:right w:val="single" w:sz="4" w:space="0" w:color="auto"/>
            </w:tcBorders>
          </w:tcPr>
          <w:p w14:paraId="277C7493" w14:textId="03858D54" w:rsidR="00262A83" w:rsidRPr="00997551" w:rsidRDefault="00262A83" w:rsidP="00262A83">
            <w:pPr>
              <w:pStyle w:val="Other0"/>
              <w:tabs>
                <w:tab w:val="left" w:pos="720"/>
              </w:tabs>
              <w:ind w:firstLine="360"/>
              <w:jc w:val="both"/>
              <w:rPr>
                <w:rStyle w:val="Other"/>
                <w:lang w:val="sq-AL"/>
              </w:rPr>
            </w:pPr>
            <w:r w:rsidRPr="00997551">
              <w:rPr>
                <w:rStyle w:val="Other"/>
              </w:rPr>
              <w:t xml:space="preserve">• </w:t>
            </w:r>
            <w:r w:rsidR="00E158CA" w:rsidRPr="00997551">
              <w:rPr>
                <w:lang w:val="sq-AL"/>
              </w:rPr>
              <w:t xml:space="preserve">Megjithëse </w:t>
            </w:r>
            <w:r w:rsidR="00E158CA" w:rsidRPr="00997551">
              <w:t>hapi do të përsëritet në</w:t>
            </w:r>
            <w:r w:rsidR="00E158CA" w:rsidRPr="00997551">
              <w:rPr>
                <w:lang w:val="sq-AL"/>
              </w:rPr>
              <w:t xml:space="preserve"> muajin</w:t>
            </w:r>
            <w:r w:rsidR="00E158CA" w:rsidRPr="00997551">
              <w:t xml:space="preserve"> dhjetor </w:t>
            </w:r>
            <w:r w:rsidR="00E158CA" w:rsidRPr="00997551">
              <w:rPr>
                <w:lang w:val="sq-AL"/>
              </w:rPr>
              <w:t xml:space="preserve">të vitit </w:t>
            </w:r>
            <w:r w:rsidR="00E158CA" w:rsidRPr="00997551">
              <w:t>2026, ku gjendja bazë do të jetë vlerësimi i hapit në</w:t>
            </w:r>
            <w:r w:rsidR="00E158CA" w:rsidRPr="00997551">
              <w:rPr>
                <w:lang w:val="sq-AL"/>
              </w:rPr>
              <w:t xml:space="preserve"> muajin</w:t>
            </w:r>
            <w:r w:rsidR="00E158CA" w:rsidRPr="00997551">
              <w:t xml:space="preserve"> dhjetor</w:t>
            </w:r>
            <w:r w:rsidR="00E158CA" w:rsidRPr="00997551">
              <w:rPr>
                <w:lang w:val="sq-AL"/>
              </w:rPr>
              <w:t xml:space="preserve"> të vitit</w:t>
            </w:r>
            <w:r w:rsidR="00E158CA" w:rsidRPr="00997551">
              <w:t xml:space="preserve"> 2024,</w:t>
            </w:r>
            <w:r w:rsidR="00E158CA" w:rsidRPr="00997551">
              <w:rPr>
                <w:b/>
                <w:bCs/>
              </w:rPr>
              <w:t xml:space="preserve"> gjasa</w:t>
            </w:r>
            <w:r w:rsidR="00E158CA" w:rsidRPr="00997551">
              <w:rPr>
                <w:b/>
                <w:bCs/>
                <w:lang w:val="sq-AL"/>
              </w:rPr>
              <w:t xml:space="preserve">t janë të vogla se </w:t>
            </w:r>
            <w:r w:rsidR="00E158CA" w:rsidRPr="00997551">
              <w:rPr>
                <w:b/>
                <w:bCs/>
              </w:rPr>
              <w:t xml:space="preserve">qëllimi </w:t>
            </w:r>
            <w:r w:rsidR="00E158CA" w:rsidRPr="00997551">
              <w:rPr>
                <w:b/>
                <w:bCs/>
                <w:lang w:val="sq-AL"/>
              </w:rPr>
              <w:t xml:space="preserve">do </w:t>
            </w:r>
            <w:r w:rsidR="00E158CA" w:rsidRPr="00997551">
              <w:rPr>
                <w:b/>
                <w:bCs/>
              </w:rPr>
              <w:t>të arrihet atëherë</w:t>
            </w:r>
            <w:r w:rsidR="00E158CA" w:rsidRPr="00997551">
              <w:t xml:space="preserve">, </w:t>
            </w:r>
            <w:r w:rsidR="00E158CA" w:rsidRPr="00997551">
              <w:rPr>
                <w:lang w:val="sq-AL"/>
              </w:rPr>
              <w:t>sepse</w:t>
            </w:r>
            <w:r w:rsidR="00E158CA" w:rsidRPr="00997551">
              <w:t xml:space="preserve"> trajnimi në Akademi zgjat dy vjet. </w:t>
            </w:r>
            <w:r w:rsidR="00E158CA" w:rsidRPr="00997551">
              <w:rPr>
                <w:lang w:val="sq-AL"/>
              </w:rPr>
              <w:t>Më tej</w:t>
            </w:r>
            <w:r w:rsidR="00E158CA" w:rsidRPr="00997551">
              <w:t xml:space="preserve">, </w:t>
            </w:r>
            <w:r w:rsidR="00E158CA" w:rsidRPr="00997551">
              <w:rPr>
                <w:lang w:val="sq-AL"/>
              </w:rPr>
              <w:t>në mes të</w:t>
            </w:r>
            <w:r w:rsidR="00E158CA" w:rsidRPr="00997551">
              <w:t xml:space="preserve"> diplomimit dhe emërimit/</w:t>
            </w:r>
            <w:r w:rsidR="00E158CA" w:rsidRPr="00997551">
              <w:rPr>
                <w:lang w:val="sq-AL"/>
              </w:rPr>
              <w:t>për</w:t>
            </w:r>
            <w:r w:rsidR="00E158CA" w:rsidRPr="00997551">
              <w:t>zgjedhjes ekzistojnë hapa</w:t>
            </w:r>
            <w:r w:rsidR="00E158CA" w:rsidRPr="00997551">
              <w:rPr>
                <w:lang w:val="sq-AL"/>
              </w:rPr>
              <w:t xml:space="preserve"> të ndryshëm</w:t>
            </w:r>
            <w:r w:rsidR="00E158CA" w:rsidRPr="00997551">
              <w:t xml:space="preserve"> </w:t>
            </w:r>
            <w:r w:rsidR="00E158CA" w:rsidRPr="00997551">
              <w:rPr>
                <w:lang w:val="sq-AL"/>
              </w:rPr>
              <w:t>të cilat</w:t>
            </w:r>
            <w:r w:rsidR="00E158CA" w:rsidRPr="00997551">
              <w:t xml:space="preserve"> duhet ndërmarr</w:t>
            </w:r>
            <w:r w:rsidR="00E158CA" w:rsidRPr="00997551">
              <w:rPr>
                <w:lang w:val="sq-AL"/>
              </w:rPr>
              <w:t>en</w:t>
            </w:r>
            <w:r w:rsidR="00E158CA" w:rsidRPr="00997551">
              <w:t xml:space="preserve">, për të cilat </w:t>
            </w:r>
            <w:r w:rsidR="00E158CA" w:rsidRPr="00997551">
              <w:rPr>
                <w:lang w:val="sq-AL"/>
              </w:rPr>
              <w:t xml:space="preserve">janë të nevojshme </w:t>
            </w:r>
            <w:r w:rsidR="00E158CA" w:rsidRPr="00997551">
              <w:t xml:space="preserve">2–3 muaj. Për shembull, kandidatët </w:t>
            </w:r>
            <w:r w:rsidR="00E158CA" w:rsidRPr="00997551">
              <w:rPr>
                <w:lang w:val="sq-AL"/>
              </w:rPr>
              <w:t>nga</w:t>
            </w:r>
            <w:r w:rsidR="00E158CA" w:rsidRPr="00997551">
              <w:t xml:space="preserve"> gjenerat</w:t>
            </w:r>
            <w:r w:rsidR="00E158CA" w:rsidRPr="00997551">
              <w:rPr>
                <w:lang w:val="sq-AL"/>
              </w:rPr>
              <w:t>a</w:t>
            </w:r>
            <w:r w:rsidR="00E158CA" w:rsidRPr="00997551">
              <w:t xml:space="preserve"> </w:t>
            </w:r>
            <w:r w:rsidR="00E158CA" w:rsidRPr="00997551">
              <w:rPr>
                <w:lang w:val="sq-AL"/>
              </w:rPr>
              <w:t>e</w:t>
            </w:r>
            <w:r w:rsidR="00E158CA" w:rsidRPr="00997551">
              <w:t xml:space="preserve"> 7-të diplomuan në mars </w:t>
            </w:r>
            <w:r w:rsidR="00E158CA" w:rsidRPr="00997551">
              <w:rPr>
                <w:lang w:val="sq-AL"/>
              </w:rPr>
              <w:t xml:space="preserve">të vitit </w:t>
            </w:r>
            <w:r w:rsidR="00E158CA" w:rsidRPr="00997551">
              <w:t xml:space="preserve">2023. Gjyqtarët u </w:t>
            </w:r>
            <w:r w:rsidR="00E158CA" w:rsidRPr="00997551">
              <w:rPr>
                <w:lang w:val="sq-AL"/>
              </w:rPr>
              <w:t>për</w:t>
            </w:r>
            <w:r w:rsidR="00E158CA" w:rsidRPr="00997551">
              <w:t>zgjodhën në korrik</w:t>
            </w:r>
            <w:r w:rsidR="00E158CA" w:rsidRPr="00997551">
              <w:rPr>
                <w:lang w:val="sq-AL"/>
              </w:rPr>
              <w:t xml:space="preserve"> të vitit</w:t>
            </w:r>
            <w:r w:rsidR="00E158CA" w:rsidRPr="00997551">
              <w:t xml:space="preserve"> 2023, ndërsa prokurorët u zgjodhën </w:t>
            </w:r>
            <w:r w:rsidR="00E158CA" w:rsidRPr="00997551">
              <w:rPr>
                <w:lang w:val="sq-AL"/>
              </w:rPr>
              <w:t>në mes të</w:t>
            </w:r>
            <w:r w:rsidR="00E158CA" w:rsidRPr="00997551">
              <w:t xml:space="preserve"> majit dhe</w:t>
            </w:r>
            <w:r w:rsidR="00E158CA" w:rsidRPr="00997551">
              <w:rPr>
                <w:lang w:val="sq-AL"/>
              </w:rPr>
              <w:t xml:space="preserve"> muajit</w:t>
            </w:r>
            <w:r w:rsidR="00E158CA" w:rsidRPr="00997551">
              <w:t xml:space="preserve"> korrik</w:t>
            </w:r>
            <w:r w:rsidR="00E158CA" w:rsidRPr="00997551">
              <w:rPr>
                <w:lang w:val="sq-AL"/>
              </w:rPr>
              <w:t xml:space="preserve"> të vitit</w:t>
            </w:r>
            <w:r w:rsidR="00E158CA" w:rsidRPr="00997551">
              <w:t xml:space="preserve"> 2023</w:t>
            </w:r>
          </w:p>
          <w:p w14:paraId="7AC35501" w14:textId="77777777" w:rsidR="00E158CA" w:rsidRPr="00997551" w:rsidRDefault="00E158CA" w:rsidP="00262A83">
            <w:pPr>
              <w:pStyle w:val="Other0"/>
              <w:tabs>
                <w:tab w:val="left" w:pos="720"/>
              </w:tabs>
              <w:ind w:firstLine="360"/>
              <w:jc w:val="both"/>
              <w:rPr>
                <w:rStyle w:val="Other"/>
                <w:lang w:val="sq-AL"/>
              </w:rPr>
            </w:pPr>
          </w:p>
          <w:p w14:paraId="4173C30C" w14:textId="77777777" w:rsidR="00E158CA" w:rsidRPr="00997551" w:rsidRDefault="00E158CA" w:rsidP="00262A83">
            <w:pPr>
              <w:pStyle w:val="Other0"/>
              <w:tabs>
                <w:tab w:val="left" w:pos="720"/>
              </w:tabs>
              <w:ind w:firstLine="360"/>
              <w:jc w:val="both"/>
              <w:rPr>
                <w:rStyle w:val="Other"/>
                <w:lang w:val="sq-AL"/>
              </w:rPr>
            </w:pPr>
          </w:p>
          <w:p w14:paraId="7133FE3C" w14:textId="77777777" w:rsidR="00E158CA" w:rsidRPr="00997551" w:rsidRDefault="00E158CA" w:rsidP="00262A83">
            <w:pPr>
              <w:pStyle w:val="Other0"/>
              <w:tabs>
                <w:tab w:val="left" w:pos="720"/>
              </w:tabs>
              <w:ind w:firstLine="360"/>
              <w:jc w:val="both"/>
              <w:rPr>
                <w:rStyle w:val="Other"/>
                <w:lang w:val="sq-AL"/>
              </w:rPr>
            </w:pPr>
          </w:p>
          <w:p w14:paraId="0ED4179E" w14:textId="77777777" w:rsidR="00E158CA" w:rsidRPr="00997551" w:rsidRDefault="00E158CA" w:rsidP="00262A83">
            <w:pPr>
              <w:pStyle w:val="Other0"/>
              <w:tabs>
                <w:tab w:val="left" w:pos="720"/>
              </w:tabs>
              <w:ind w:firstLine="360"/>
              <w:jc w:val="both"/>
              <w:rPr>
                <w:rStyle w:val="Other"/>
                <w:lang w:val="sq-AL"/>
              </w:rPr>
            </w:pPr>
          </w:p>
          <w:p w14:paraId="23D2980C" w14:textId="26491865" w:rsidR="00E158CA" w:rsidRPr="00997551" w:rsidRDefault="00E158CA" w:rsidP="00262A83">
            <w:pPr>
              <w:pStyle w:val="Other0"/>
              <w:tabs>
                <w:tab w:val="left" w:pos="720"/>
              </w:tabs>
              <w:ind w:firstLine="360"/>
              <w:jc w:val="both"/>
              <w:rPr>
                <w:lang w:val="sq-AL"/>
              </w:rPr>
            </w:pPr>
          </w:p>
        </w:tc>
      </w:tr>
      <w:tr w:rsidR="00262A83" w:rsidRPr="00997551" w14:paraId="38D5C475" w14:textId="77777777" w:rsidTr="00D87553">
        <w:trPr>
          <w:trHeight w:hRule="exact" w:val="480"/>
          <w:jc w:val="center"/>
        </w:trPr>
        <w:tc>
          <w:tcPr>
            <w:tcW w:w="1838" w:type="dxa"/>
            <w:tcBorders>
              <w:left w:val="single" w:sz="4" w:space="0" w:color="auto"/>
            </w:tcBorders>
            <w:shd w:val="clear" w:color="auto" w:fill="E8E8E8"/>
          </w:tcPr>
          <w:p w14:paraId="1B9C9EBB" w14:textId="77777777" w:rsidR="00262A83" w:rsidRPr="00997551" w:rsidRDefault="00262A83">
            <w:pPr>
              <w:rPr>
                <w:rFonts w:ascii="Times New Roman" w:hAnsi="Times New Roman" w:cs="Times New Roman"/>
                <w:sz w:val="10"/>
                <w:szCs w:val="10"/>
              </w:rPr>
            </w:pPr>
          </w:p>
        </w:tc>
        <w:tc>
          <w:tcPr>
            <w:tcW w:w="8222" w:type="dxa"/>
            <w:tcBorders>
              <w:left w:val="single" w:sz="4" w:space="0" w:color="auto"/>
              <w:right w:val="single" w:sz="4" w:space="0" w:color="auto"/>
            </w:tcBorders>
            <w:vAlign w:val="bottom"/>
          </w:tcPr>
          <w:p w14:paraId="6282391C" w14:textId="2B74F4E6" w:rsidR="00262A83" w:rsidRPr="00997551" w:rsidRDefault="00E158CA">
            <w:pPr>
              <w:pStyle w:val="Other0"/>
              <w:jc w:val="both"/>
              <w:rPr>
                <w:lang w:val="sq-AL"/>
              </w:rPr>
            </w:pPr>
            <w:r w:rsidRPr="00997551">
              <w:rPr>
                <w:rStyle w:val="Other"/>
                <w:b/>
                <w:u w:val="single"/>
                <w:lang w:val="sq-AL"/>
              </w:rPr>
              <w:t>Avansimet</w:t>
            </w:r>
          </w:p>
        </w:tc>
      </w:tr>
      <w:tr w:rsidR="00262A83" w:rsidRPr="00997551" w14:paraId="4253C210" w14:textId="77777777" w:rsidTr="00D87553">
        <w:trPr>
          <w:trHeight w:hRule="exact" w:val="1027"/>
          <w:jc w:val="center"/>
        </w:trPr>
        <w:tc>
          <w:tcPr>
            <w:tcW w:w="1838" w:type="dxa"/>
            <w:tcBorders>
              <w:left w:val="single" w:sz="4" w:space="0" w:color="auto"/>
            </w:tcBorders>
            <w:shd w:val="clear" w:color="auto" w:fill="E8E8E8"/>
          </w:tcPr>
          <w:p w14:paraId="7BDE9BCF" w14:textId="77777777" w:rsidR="00262A83" w:rsidRPr="00997551" w:rsidRDefault="00262A83">
            <w:pPr>
              <w:rPr>
                <w:rFonts w:ascii="Times New Roman" w:hAnsi="Times New Roman" w:cs="Times New Roman"/>
                <w:sz w:val="10"/>
                <w:szCs w:val="10"/>
              </w:rPr>
            </w:pPr>
          </w:p>
        </w:tc>
        <w:tc>
          <w:tcPr>
            <w:tcW w:w="8222" w:type="dxa"/>
            <w:tcBorders>
              <w:top w:val="single" w:sz="4" w:space="0" w:color="auto"/>
              <w:left w:val="single" w:sz="4" w:space="0" w:color="auto"/>
              <w:right w:val="single" w:sz="4" w:space="0" w:color="auto"/>
            </w:tcBorders>
          </w:tcPr>
          <w:p w14:paraId="11AD14DC" w14:textId="78742C7E" w:rsidR="00D87553" w:rsidRPr="00997551" w:rsidRDefault="00D87553" w:rsidP="00D87553">
            <w:pPr>
              <w:rPr>
                <w:rFonts w:ascii="Times New Roman" w:hAnsi="Times New Roman" w:cs="Times New Roman"/>
                <w:sz w:val="22"/>
                <w:szCs w:val="22"/>
                <w:lang w:val="sq-AL"/>
              </w:rPr>
            </w:pPr>
            <w:r w:rsidRPr="00997551">
              <w:rPr>
                <w:rFonts w:ascii="Times New Roman" w:hAnsi="Times New Roman" w:cs="Times New Roman"/>
                <w:sz w:val="22"/>
                <w:szCs w:val="22"/>
              </w:rPr>
              <w:t>N</w:t>
            </w:r>
            <w:r w:rsidRPr="00997551">
              <w:rPr>
                <w:rFonts w:ascii="Times New Roman" w:hAnsi="Times New Roman" w:cs="Times New Roman"/>
                <w:sz w:val="22"/>
                <w:szCs w:val="22"/>
                <w:lang w:val="sq-AL"/>
              </w:rPr>
              <w:t>ë mes të muajit</w:t>
            </w:r>
            <w:r w:rsidRPr="00997551">
              <w:rPr>
                <w:rFonts w:ascii="Times New Roman" w:hAnsi="Times New Roman" w:cs="Times New Roman"/>
                <w:sz w:val="22"/>
                <w:szCs w:val="22"/>
              </w:rPr>
              <w:t xml:space="preserve"> korrik 2024 dhe</w:t>
            </w:r>
            <w:r w:rsidRPr="00997551">
              <w:rPr>
                <w:rFonts w:ascii="Times New Roman" w:hAnsi="Times New Roman" w:cs="Times New Roman"/>
                <w:sz w:val="22"/>
                <w:szCs w:val="22"/>
                <w:lang w:val="sq-AL"/>
              </w:rPr>
              <w:t xml:space="preserve"> muajit</w:t>
            </w:r>
            <w:r w:rsidRPr="00997551">
              <w:rPr>
                <w:rFonts w:ascii="Times New Roman" w:hAnsi="Times New Roman" w:cs="Times New Roman"/>
                <w:sz w:val="22"/>
                <w:szCs w:val="22"/>
              </w:rPr>
              <w:t xml:space="preserve"> mars </w:t>
            </w:r>
            <w:r w:rsidRPr="00997551">
              <w:rPr>
                <w:rFonts w:ascii="Times New Roman" w:hAnsi="Times New Roman" w:cs="Times New Roman"/>
                <w:sz w:val="22"/>
                <w:szCs w:val="22"/>
                <w:lang w:val="sq-AL"/>
              </w:rPr>
              <w:t xml:space="preserve">të vitit </w:t>
            </w:r>
            <w:r w:rsidRPr="00997551">
              <w:rPr>
                <w:rFonts w:ascii="Times New Roman" w:hAnsi="Times New Roman" w:cs="Times New Roman"/>
                <w:sz w:val="22"/>
                <w:szCs w:val="22"/>
              </w:rPr>
              <w:t>2025, ata emëruan 17 gjyqtarë dhe 7</w:t>
            </w:r>
            <w:r w:rsidRPr="00997551">
              <w:rPr>
                <w:rFonts w:ascii="Times New Roman" w:hAnsi="Times New Roman" w:cs="Times New Roman"/>
                <w:sz w:val="22"/>
                <w:szCs w:val="22"/>
                <w:lang w:val="sq-AL"/>
              </w:rPr>
              <w:t xml:space="preserve"> </w:t>
            </w:r>
            <w:r w:rsidRPr="00997551">
              <w:rPr>
                <w:rFonts w:ascii="Times New Roman" w:hAnsi="Times New Roman" w:cs="Times New Roman"/>
                <w:sz w:val="22"/>
                <w:szCs w:val="22"/>
              </w:rPr>
              <w:t>prokurorë publikë. Bëhet fjalë për gjyqtarë dhe prokurorë të avancuar në gjykatë/prokurori më</w:t>
            </w:r>
            <w:r w:rsidRPr="00997551">
              <w:rPr>
                <w:rFonts w:ascii="Times New Roman" w:hAnsi="Times New Roman" w:cs="Times New Roman"/>
                <w:sz w:val="22"/>
                <w:szCs w:val="22"/>
                <w:lang w:val="sq-AL"/>
              </w:rPr>
              <w:t xml:space="preserve"> </w:t>
            </w:r>
            <w:r w:rsidRPr="00997551">
              <w:rPr>
                <w:rFonts w:ascii="Times New Roman" w:hAnsi="Times New Roman" w:cs="Times New Roman"/>
                <w:sz w:val="22"/>
                <w:szCs w:val="22"/>
              </w:rPr>
              <w:t xml:space="preserve">të lartë, prandaj kjo </w:t>
            </w:r>
            <w:r w:rsidRPr="00997551">
              <w:rPr>
                <w:rFonts w:ascii="Times New Roman" w:hAnsi="Times New Roman" w:cs="Times New Roman"/>
                <w:sz w:val="22"/>
                <w:szCs w:val="22"/>
                <w:lang w:val="sq-AL"/>
              </w:rPr>
              <w:t xml:space="preserve"> i referohet</w:t>
            </w:r>
            <w:r w:rsidRPr="00997551">
              <w:rPr>
                <w:rFonts w:ascii="Times New Roman" w:hAnsi="Times New Roman" w:cs="Times New Roman"/>
                <w:sz w:val="22"/>
                <w:szCs w:val="22"/>
              </w:rPr>
              <w:t xml:space="preserve"> vetëm prra</w:t>
            </w:r>
            <w:r w:rsidRPr="00997551">
              <w:rPr>
                <w:rFonts w:ascii="Times New Roman" w:hAnsi="Times New Roman" w:cs="Times New Roman"/>
                <w:sz w:val="22"/>
                <w:szCs w:val="22"/>
                <w:lang w:val="sq-AL"/>
              </w:rPr>
              <w:t>ve për</w:t>
            </w:r>
            <w:r w:rsidRPr="00997551">
              <w:rPr>
                <w:rFonts w:ascii="Times New Roman" w:hAnsi="Times New Roman" w:cs="Times New Roman"/>
                <w:sz w:val="22"/>
                <w:szCs w:val="22"/>
              </w:rPr>
              <w:t xml:space="preserve"> avancim</w:t>
            </w:r>
            <w:r w:rsidRPr="00997551">
              <w:rPr>
                <w:rFonts w:ascii="Times New Roman" w:hAnsi="Times New Roman" w:cs="Times New Roman"/>
                <w:sz w:val="22"/>
                <w:szCs w:val="22"/>
                <w:lang w:val="sq-AL"/>
              </w:rPr>
              <w:t>e</w:t>
            </w:r>
            <w:r w:rsidRPr="00997551">
              <w:rPr>
                <w:rFonts w:ascii="Times New Roman" w:hAnsi="Times New Roman" w:cs="Times New Roman"/>
                <w:sz w:val="22"/>
                <w:szCs w:val="22"/>
              </w:rPr>
              <w:t>.</w:t>
            </w:r>
          </w:p>
          <w:p w14:paraId="3E684F54" w14:textId="77777777" w:rsidR="00D87553" w:rsidRPr="00997551" w:rsidRDefault="00D87553" w:rsidP="00D87553">
            <w:pPr>
              <w:rPr>
                <w:rFonts w:ascii="Times New Roman" w:hAnsi="Times New Roman" w:cs="Times New Roman"/>
                <w:sz w:val="22"/>
                <w:szCs w:val="22"/>
                <w:lang w:val="sq-AL"/>
              </w:rPr>
            </w:pPr>
          </w:p>
          <w:p w14:paraId="260C5634" w14:textId="4A8F7C9C" w:rsidR="00D87553" w:rsidRPr="00997551" w:rsidRDefault="00D87553" w:rsidP="00D87553">
            <w:pPr>
              <w:pStyle w:val="Other0"/>
              <w:jc w:val="both"/>
              <w:rPr>
                <w:lang w:val="sq-AL"/>
              </w:rPr>
            </w:pPr>
          </w:p>
        </w:tc>
      </w:tr>
      <w:tr w:rsidR="00262A83" w:rsidRPr="00D87553" w14:paraId="311B28D9" w14:textId="77777777" w:rsidTr="00D87553">
        <w:trPr>
          <w:trHeight w:hRule="exact" w:val="418"/>
          <w:jc w:val="center"/>
        </w:trPr>
        <w:tc>
          <w:tcPr>
            <w:tcW w:w="1838" w:type="dxa"/>
            <w:tcBorders>
              <w:left w:val="single" w:sz="4" w:space="0" w:color="auto"/>
            </w:tcBorders>
            <w:shd w:val="clear" w:color="auto" w:fill="E8E8E8"/>
          </w:tcPr>
          <w:p w14:paraId="2248A9FE" w14:textId="77777777" w:rsidR="00262A83" w:rsidRDefault="00262A83">
            <w:pPr>
              <w:rPr>
                <w:sz w:val="10"/>
                <w:szCs w:val="10"/>
              </w:rPr>
            </w:pPr>
          </w:p>
        </w:tc>
        <w:tc>
          <w:tcPr>
            <w:tcW w:w="8222" w:type="dxa"/>
            <w:tcBorders>
              <w:left w:val="single" w:sz="4" w:space="0" w:color="auto"/>
              <w:right w:val="single" w:sz="4" w:space="0" w:color="auto"/>
            </w:tcBorders>
            <w:vAlign w:val="bottom"/>
          </w:tcPr>
          <w:p w14:paraId="6FA103D0" w14:textId="77777777" w:rsidR="00D87553" w:rsidRPr="00D87553" w:rsidRDefault="00D87553">
            <w:pPr>
              <w:pStyle w:val="Other0"/>
              <w:jc w:val="both"/>
              <w:rPr>
                <w:rStyle w:val="Other"/>
                <w:b/>
                <w:lang w:val="sq-AL"/>
              </w:rPr>
            </w:pPr>
          </w:p>
          <w:p w14:paraId="58AE485E" w14:textId="7445F4AE" w:rsidR="00262A83" w:rsidRPr="00D87553" w:rsidRDefault="00D87553">
            <w:pPr>
              <w:pStyle w:val="Other0"/>
              <w:jc w:val="both"/>
              <w:rPr>
                <w:b/>
              </w:rPr>
            </w:pPr>
            <w:r w:rsidRPr="00D87553">
              <w:rPr>
                <w:b/>
              </w:rPr>
              <w:t>Strategjitë për burimet njerëzore (S</w:t>
            </w:r>
            <w:r>
              <w:rPr>
                <w:b/>
                <w:lang w:val="sq-AL"/>
              </w:rPr>
              <w:t>BNJ-së</w:t>
            </w:r>
            <w:r w:rsidRPr="00D87553">
              <w:rPr>
                <w:b/>
              </w:rPr>
              <w:t>) për Këshillin Gjyqësor dhe Këshillin e Prokurorëve Publikë.</w:t>
            </w:r>
          </w:p>
        </w:tc>
      </w:tr>
      <w:tr w:rsidR="00262A83" w14:paraId="7E0BD94F" w14:textId="77777777" w:rsidTr="00D87553">
        <w:trPr>
          <w:trHeight w:hRule="exact" w:val="2164"/>
          <w:jc w:val="center"/>
        </w:trPr>
        <w:tc>
          <w:tcPr>
            <w:tcW w:w="1838" w:type="dxa"/>
            <w:tcBorders>
              <w:left w:val="single" w:sz="4" w:space="0" w:color="auto"/>
            </w:tcBorders>
            <w:shd w:val="clear" w:color="auto" w:fill="E8E8E8"/>
          </w:tcPr>
          <w:p w14:paraId="79FAD97B" w14:textId="77777777" w:rsidR="00262A83" w:rsidRDefault="00262A83">
            <w:pPr>
              <w:rPr>
                <w:sz w:val="10"/>
                <w:szCs w:val="10"/>
              </w:rPr>
            </w:pPr>
          </w:p>
        </w:tc>
        <w:tc>
          <w:tcPr>
            <w:tcW w:w="8222" w:type="dxa"/>
            <w:tcBorders>
              <w:top w:val="single" w:sz="4" w:space="0" w:color="auto"/>
              <w:left w:val="single" w:sz="4" w:space="0" w:color="auto"/>
              <w:right w:val="single" w:sz="4" w:space="0" w:color="auto"/>
            </w:tcBorders>
            <w:vAlign w:val="bottom"/>
          </w:tcPr>
          <w:p w14:paraId="127A3D9C" w14:textId="23132A8F" w:rsidR="00D87553" w:rsidRPr="00D87553" w:rsidRDefault="00D87553" w:rsidP="007E034B">
            <w:pPr>
              <w:pStyle w:val="Other0"/>
              <w:jc w:val="both"/>
              <w:rPr>
                <w:rStyle w:val="Other"/>
                <w:lang w:val="sq-AL"/>
              </w:rPr>
            </w:pPr>
            <w:r w:rsidRPr="00D87553">
              <w:t xml:space="preserve">Për shkak të rezistencës ndaj ndryshimeve, kufizimeve të burimeve, kompleksitetit të integrimit dhe mungesës </w:t>
            </w:r>
            <w:r>
              <w:rPr>
                <w:lang w:val="sq-AL"/>
              </w:rPr>
              <w:t>jopërkatëse</w:t>
            </w:r>
            <w:r w:rsidRPr="00D87553">
              <w:t xml:space="preserve"> politike, Strategjia për burimet njerëzore në gjyqësi mbetet në masë të madhe e pazbatuar, me p</w:t>
            </w:r>
            <w:r>
              <w:rPr>
                <w:lang w:val="sq-AL"/>
              </w:rPr>
              <w:t>rogres</w:t>
            </w:r>
            <w:r w:rsidRPr="00D87553">
              <w:t xml:space="preserve"> minimal deri më sot. E njëjt</w:t>
            </w:r>
            <w:r>
              <w:rPr>
                <w:lang w:val="sq-AL"/>
              </w:rPr>
              <w:t>a</w:t>
            </w:r>
            <w:r w:rsidRPr="00D87553">
              <w:t xml:space="preserve"> vlen edhe për Strategjinë për burimet njerëzore </w:t>
            </w:r>
            <w:r>
              <w:rPr>
                <w:lang w:val="sq-AL"/>
              </w:rPr>
              <w:t>për</w:t>
            </w:r>
            <w:r w:rsidRPr="00D87553">
              <w:t xml:space="preserve"> Prokurori</w:t>
            </w:r>
            <w:r>
              <w:rPr>
                <w:lang w:val="sq-AL"/>
              </w:rPr>
              <w:t>n</w:t>
            </w:r>
            <w:r w:rsidRPr="00D87553">
              <w:t xml:space="preserve">ë Publike nga viti 2020, pa specifikuar </w:t>
            </w:r>
            <w:r w:rsidR="00566C00">
              <w:rPr>
                <w:lang w:val="sq-AL"/>
              </w:rPr>
              <w:t>plotësueshëm</w:t>
            </w:r>
            <w:r w:rsidRPr="00D87553">
              <w:t xml:space="preserve"> periudhën</w:t>
            </w:r>
            <w:r w:rsidR="00566C00">
              <w:rPr>
                <w:lang w:val="sq-AL"/>
              </w:rPr>
              <w:t xml:space="preserve"> e përfshirë</w:t>
            </w:r>
            <w:r w:rsidRPr="00D87553">
              <w:t xml:space="preserve"> </w:t>
            </w:r>
            <w:r w:rsidR="00566C00">
              <w:rPr>
                <w:lang w:val="sq-AL"/>
              </w:rPr>
              <w:t>kohore</w:t>
            </w:r>
            <w:r w:rsidRPr="00D87553">
              <w:t xml:space="preserve">. Strategjia përfshin analizë </w:t>
            </w:r>
            <w:r w:rsidR="00566C00">
              <w:rPr>
                <w:lang w:val="sq-AL"/>
              </w:rPr>
              <w:t>të gjendjes</w:t>
            </w:r>
            <w:r w:rsidRPr="00D87553">
              <w:t xml:space="preserve"> në Prokurorinë Publike për vitin 2017 dhe Planet </w:t>
            </w:r>
            <w:r w:rsidR="00566C00">
              <w:rPr>
                <w:lang w:val="sq-AL"/>
              </w:rPr>
              <w:t>e</w:t>
            </w:r>
            <w:r w:rsidRPr="00D87553">
              <w:t xml:space="preserve"> Veprim</w:t>
            </w:r>
            <w:r w:rsidR="00566C00">
              <w:rPr>
                <w:lang w:val="sq-AL"/>
              </w:rPr>
              <w:t>it</w:t>
            </w:r>
            <w:r w:rsidRPr="00D87553">
              <w:t xml:space="preserve"> për vitin 2018, të cilat ishin p</w:t>
            </w:r>
            <w:r w:rsidR="00566C00">
              <w:rPr>
                <w:lang w:val="sq-AL"/>
              </w:rPr>
              <w:t>araparë</w:t>
            </w:r>
            <w:r w:rsidRPr="00D87553">
              <w:t xml:space="preserve"> të zbatohen deri në vitin 2023.</w:t>
            </w:r>
          </w:p>
          <w:p w14:paraId="27763CEB" w14:textId="34D6BAB0" w:rsidR="00D87553" w:rsidRPr="00D87553" w:rsidRDefault="00D87553" w:rsidP="007E034B">
            <w:pPr>
              <w:pStyle w:val="Other0"/>
              <w:jc w:val="both"/>
              <w:rPr>
                <w:lang w:val="sq-AL"/>
              </w:rPr>
            </w:pPr>
          </w:p>
        </w:tc>
      </w:tr>
      <w:tr w:rsidR="00262A83" w14:paraId="414232DA" w14:textId="77777777" w:rsidTr="00D87553">
        <w:trPr>
          <w:trHeight w:hRule="exact" w:val="341"/>
          <w:jc w:val="center"/>
        </w:trPr>
        <w:tc>
          <w:tcPr>
            <w:tcW w:w="1838" w:type="dxa"/>
            <w:tcBorders>
              <w:left w:val="single" w:sz="4" w:space="0" w:color="auto"/>
            </w:tcBorders>
            <w:shd w:val="clear" w:color="auto" w:fill="E8E8E8"/>
          </w:tcPr>
          <w:p w14:paraId="279CB904" w14:textId="77777777" w:rsidR="00262A83" w:rsidRDefault="00262A83">
            <w:pPr>
              <w:rPr>
                <w:sz w:val="10"/>
                <w:szCs w:val="10"/>
              </w:rPr>
            </w:pPr>
          </w:p>
        </w:tc>
        <w:tc>
          <w:tcPr>
            <w:tcW w:w="8222" w:type="dxa"/>
            <w:tcBorders>
              <w:left w:val="single" w:sz="4" w:space="0" w:color="auto"/>
              <w:right w:val="single" w:sz="4" w:space="0" w:color="auto"/>
            </w:tcBorders>
            <w:vAlign w:val="center"/>
          </w:tcPr>
          <w:p w14:paraId="4272981C" w14:textId="756C07CD" w:rsidR="00262A83" w:rsidRPr="00566C00" w:rsidRDefault="00262A83">
            <w:pPr>
              <w:pStyle w:val="Other0"/>
              <w:tabs>
                <w:tab w:val="left" w:pos="710"/>
              </w:tabs>
              <w:ind w:firstLine="360"/>
              <w:jc w:val="both"/>
              <w:rPr>
                <w:lang w:val="sq-AL"/>
              </w:rPr>
            </w:pPr>
            <w:r>
              <w:rPr>
                <w:rStyle w:val="Other"/>
              </w:rPr>
              <w:t xml:space="preserve">• </w:t>
            </w:r>
            <w:r w:rsidR="00566C00" w:rsidRPr="00566C00">
              <w:t>Nuk ka monitorim të zbatimit të strategjisë.</w:t>
            </w:r>
          </w:p>
        </w:tc>
      </w:tr>
      <w:tr w:rsidR="00262A83" w14:paraId="6CCA62A5" w14:textId="77777777" w:rsidTr="00D87553">
        <w:trPr>
          <w:trHeight w:hRule="exact" w:val="826"/>
          <w:jc w:val="center"/>
        </w:trPr>
        <w:tc>
          <w:tcPr>
            <w:tcW w:w="1838" w:type="dxa"/>
            <w:tcBorders>
              <w:left w:val="single" w:sz="4" w:space="0" w:color="auto"/>
            </w:tcBorders>
            <w:shd w:val="clear" w:color="auto" w:fill="E8E8E8"/>
          </w:tcPr>
          <w:p w14:paraId="23A5B661" w14:textId="77777777" w:rsidR="00262A83" w:rsidRDefault="00262A83">
            <w:pPr>
              <w:rPr>
                <w:sz w:val="10"/>
                <w:szCs w:val="10"/>
              </w:rPr>
            </w:pPr>
          </w:p>
        </w:tc>
        <w:tc>
          <w:tcPr>
            <w:tcW w:w="8222" w:type="dxa"/>
            <w:tcBorders>
              <w:left w:val="single" w:sz="4" w:space="0" w:color="auto"/>
              <w:right w:val="single" w:sz="4" w:space="0" w:color="auto"/>
            </w:tcBorders>
            <w:vAlign w:val="bottom"/>
          </w:tcPr>
          <w:p w14:paraId="20D0293A" w14:textId="69D9D2E4" w:rsidR="00262A83" w:rsidRDefault="00262A83">
            <w:pPr>
              <w:pStyle w:val="Other0"/>
              <w:ind w:left="720"/>
              <w:jc w:val="both"/>
            </w:pPr>
            <w:r>
              <w:rPr>
                <w:rStyle w:val="Other"/>
              </w:rPr>
              <w:t xml:space="preserve">• </w:t>
            </w:r>
            <w:r w:rsidR="00566C00">
              <w:rPr>
                <w:lang w:val="sq-AL"/>
              </w:rPr>
              <w:t xml:space="preserve">Azhurnimi </w:t>
            </w:r>
            <w:r w:rsidR="00566C00" w:rsidRPr="00566C00">
              <w:t xml:space="preserve">i </w:t>
            </w:r>
            <w:r w:rsidR="00566C00">
              <w:rPr>
                <w:lang w:val="sq-AL"/>
              </w:rPr>
              <w:t>KBNJ</w:t>
            </w:r>
            <w:r w:rsidR="00566C00" w:rsidRPr="00566C00">
              <w:t xml:space="preserve">-së për gjyqësorin dhe zbatimi i saj </w:t>
            </w:r>
            <w:r w:rsidR="00566C00">
              <w:rPr>
                <w:lang w:val="sq-AL"/>
              </w:rPr>
              <w:t>përkatës</w:t>
            </w:r>
            <w:r w:rsidR="00566C00" w:rsidRPr="00566C00">
              <w:t xml:space="preserve"> </w:t>
            </w:r>
            <w:r w:rsidR="00566C00">
              <w:rPr>
                <w:lang w:val="sq-AL"/>
              </w:rPr>
              <w:t xml:space="preserve">janë </w:t>
            </w:r>
            <w:r w:rsidR="00566C00" w:rsidRPr="00566C00">
              <w:t>rekomandim</w:t>
            </w:r>
            <w:r w:rsidR="00566C00">
              <w:rPr>
                <w:lang w:val="sq-AL"/>
              </w:rPr>
              <w:t>e</w:t>
            </w:r>
            <w:r w:rsidR="00566C00" w:rsidRPr="00566C00">
              <w:t xml:space="preserve"> </w:t>
            </w:r>
            <w:r w:rsidR="00566C00">
              <w:rPr>
                <w:lang w:val="sq-AL"/>
              </w:rPr>
              <w:t>konzistente të</w:t>
            </w:r>
            <w:r w:rsidR="00566C00" w:rsidRPr="00566C00">
              <w:t xml:space="preserve"> Komisionit Evropian në të gjitha raportet për zgjerim për Maqedoninë e Veriut që nga viti 2020.</w:t>
            </w:r>
          </w:p>
        </w:tc>
      </w:tr>
      <w:tr w:rsidR="00262A83" w14:paraId="0751EC81" w14:textId="77777777" w:rsidTr="00D87553">
        <w:trPr>
          <w:trHeight w:hRule="exact" w:val="1160"/>
          <w:jc w:val="center"/>
        </w:trPr>
        <w:tc>
          <w:tcPr>
            <w:tcW w:w="1838" w:type="dxa"/>
            <w:tcBorders>
              <w:left w:val="single" w:sz="4" w:space="0" w:color="auto"/>
            </w:tcBorders>
            <w:shd w:val="clear" w:color="auto" w:fill="E8E8E8"/>
          </w:tcPr>
          <w:p w14:paraId="2B374635" w14:textId="77777777" w:rsidR="00262A83" w:rsidRDefault="00262A83">
            <w:pPr>
              <w:rPr>
                <w:sz w:val="10"/>
                <w:szCs w:val="10"/>
              </w:rPr>
            </w:pPr>
          </w:p>
        </w:tc>
        <w:tc>
          <w:tcPr>
            <w:tcW w:w="8222" w:type="dxa"/>
            <w:tcBorders>
              <w:left w:val="single" w:sz="4" w:space="0" w:color="auto"/>
              <w:right w:val="single" w:sz="4" w:space="0" w:color="auto"/>
            </w:tcBorders>
          </w:tcPr>
          <w:p w14:paraId="0D434DB7" w14:textId="5BA76B6B" w:rsidR="00262A83" w:rsidRDefault="00262A83" w:rsidP="00262A83">
            <w:pPr>
              <w:pStyle w:val="Other0"/>
              <w:tabs>
                <w:tab w:val="left" w:pos="710"/>
              </w:tabs>
              <w:spacing w:line="252" w:lineRule="auto"/>
              <w:ind w:firstLine="360"/>
              <w:jc w:val="both"/>
              <w:rPr>
                <w:rStyle w:val="Other"/>
                <w:lang w:val="sq-AL"/>
              </w:rPr>
            </w:pPr>
            <w:r>
              <w:rPr>
                <w:rStyle w:val="Other"/>
              </w:rPr>
              <w:t xml:space="preserve">• </w:t>
            </w:r>
            <w:r w:rsidR="00566C00" w:rsidRPr="00566C00">
              <w:t xml:space="preserve">U përfshi në hap pasi </w:t>
            </w:r>
            <w:r w:rsidR="00566C00">
              <w:rPr>
                <w:lang w:val="sq-AL"/>
              </w:rPr>
              <w:t>azhurnimi</w:t>
            </w:r>
            <w:r w:rsidR="00566C00" w:rsidRPr="00566C00">
              <w:t xml:space="preserve"> dhe zbatimi i d</w:t>
            </w:r>
            <w:r w:rsidR="00566C00">
              <w:rPr>
                <w:lang w:val="sq-AL"/>
              </w:rPr>
              <w:t>rejtë</w:t>
            </w:r>
            <w:r w:rsidR="00566C00" w:rsidRPr="00566C00">
              <w:t xml:space="preserve"> i të dyja</w:t>
            </w:r>
            <w:r w:rsidR="00566C00">
              <w:rPr>
                <w:lang w:val="sq-AL"/>
              </w:rPr>
              <w:t>ve</w:t>
            </w:r>
            <w:r w:rsidR="00566C00" w:rsidRPr="00566C00">
              <w:t xml:space="preserve"> </w:t>
            </w:r>
            <w:r w:rsidR="00566C00">
              <w:rPr>
                <w:lang w:val="sq-AL"/>
              </w:rPr>
              <w:t>KBNJ</w:t>
            </w:r>
            <w:r w:rsidR="00566C00" w:rsidRPr="00566C00">
              <w:t>-ve do t</w:t>
            </w:r>
            <w:r w:rsidR="00566C00">
              <w:rPr>
                <w:lang w:val="sq-AL"/>
              </w:rPr>
              <w:t>’i</w:t>
            </w:r>
            <w:r w:rsidR="00566C00" w:rsidRPr="00566C00">
              <w:t xml:space="preserve"> dëshmonin përpjekjet e tyre në </w:t>
            </w:r>
            <w:r w:rsidR="00566C00">
              <w:rPr>
                <w:lang w:val="sq-AL"/>
              </w:rPr>
              <w:t>zgjidhjen</w:t>
            </w:r>
            <w:r w:rsidR="00566C00" w:rsidRPr="00566C00">
              <w:t xml:space="preserve"> e rekomandimeve të mbetura të Komisionit</w:t>
            </w:r>
            <w:r>
              <w:rPr>
                <w:rStyle w:val="Other"/>
              </w:rPr>
              <w:t>.</w:t>
            </w:r>
          </w:p>
          <w:p w14:paraId="7D7BF93A" w14:textId="77777777" w:rsidR="00D87553" w:rsidRDefault="00D87553" w:rsidP="00262A83">
            <w:pPr>
              <w:pStyle w:val="Other0"/>
              <w:tabs>
                <w:tab w:val="left" w:pos="710"/>
              </w:tabs>
              <w:spacing w:line="252" w:lineRule="auto"/>
              <w:ind w:firstLine="360"/>
              <w:jc w:val="both"/>
              <w:rPr>
                <w:rStyle w:val="Other"/>
                <w:lang w:val="sq-AL"/>
              </w:rPr>
            </w:pPr>
          </w:p>
          <w:p w14:paraId="0DEFD8D7" w14:textId="77777777" w:rsidR="00566C00" w:rsidRPr="00566C00" w:rsidRDefault="00566C00" w:rsidP="00262A83">
            <w:pPr>
              <w:pStyle w:val="Other0"/>
              <w:tabs>
                <w:tab w:val="left" w:pos="710"/>
              </w:tabs>
              <w:spacing w:line="252" w:lineRule="auto"/>
              <w:ind w:firstLine="360"/>
              <w:jc w:val="both"/>
              <w:rPr>
                <w:rStyle w:val="Other"/>
                <w:lang w:val="sq-AL"/>
              </w:rPr>
            </w:pPr>
          </w:p>
          <w:p w14:paraId="7ED9DF21" w14:textId="23527140" w:rsidR="00D87553" w:rsidRPr="00D87553" w:rsidRDefault="00D87553" w:rsidP="00262A83">
            <w:pPr>
              <w:pStyle w:val="Other0"/>
              <w:tabs>
                <w:tab w:val="left" w:pos="710"/>
              </w:tabs>
              <w:spacing w:line="252" w:lineRule="auto"/>
              <w:ind w:firstLine="360"/>
              <w:jc w:val="both"/>
              <w:rPr>
                <w:lang w:val="sq-AL"/>
              </w:rPr>
            </w:pPr>
          </w:p>
        </w:tc>
      </w:tr>
      <w:tr w:rsidR="00262A83" w14:paraId="2594F279" w14:textId="77777777" w:rsidTr="00D87553">
        <w:trPr>
          <w:trHeight w:hRule="exact" w:val="763"/>
          <w:jc w:val="center"/>
        </w:trPr>
        <w:tc>
          <w:tcPr>
            <w:tcW w:w="1838" w:type="dxa"/>
            <w:tcBorders>
              <w:left w:val="single" w:sz="4" w:space="0" w:color="auto"/>
            </w:tcBorders>
            <w:shd w:val="clear" w:color="auto" w:fill="E8E8E8"/>
          </w:tcPr>
          <w:p w14:paraId="6CEAD07A" w14:textId="77777777" w:rsidR="00262A83" w:rsidRDefault="00262A83">
            <w:pPr>
              <w:rPr>
                <w:sz w:val="10"/>
                <w:szCs w:val="10"/>
              </w:rPr>
            </w:pPr>
          </w:p>
        </w:tc>
        <w:tc>
          <w:tcPr>
            <w:tcW w:w="8222" w:type="dxa"/>
            <w:tcBorders>
              <w:left w:val="single" w:sz="4" w:space="0" w:color="auto"/>
              <w:right w:val="single" w:sz="4" w:space="0" w:color="auto"/>
            </w:tcBorders>
            <w:vAlign w:val="bottom"/>
          </w:tcPr>
          <w:p w14:paraId="074CBA55" w14:textId="0F5604EE" w:rsidR="00262A83" w:rsidRPr="00566C00" w:rsidRDefault="00262A83">
            <w:pPr>
              <w:pStyle w:val="Other0"/>
              <w:jc w:val="both"/>
              <w:rPr>
                <w:lang w:val="sq-AL"/>
              </w:rPr>
            </w:pPr>
          </w:p>
        </w:tc>
      </w:tr>
      <w:tr w:rsidR="00262A83" w14:paraId="75BBF463" w14:textId="77777777" w:rsidTr="00D87553">
        <w:trPr>
          <w:trHeight w:hRule="exact" w:val="1082"/>
          <w:jc w:val="center"/>
        </w:trPr>
        <w:tc>
          <w:tcPr>
            <w:tcW w:w="1838" w:type="dxa"/>
            <w:tcBorders>
              <w:left w:val="single" w:sz="4" w:space="0" w:color="auto"/>
            </w:tcBorders>
            <w:shd w:val="clear" w:color="auto" w:fill="E8E8E8"/>
          </w:tcPr>
          <w:p w14:paraId="5E26CA25" w14:textId="77777777" w:rsidR="00262A83" w:rsidRDefault="00262A83">
            <w:pPr>
              <w:rPr>
                <w:sz w:val="10"/>
                <w:szCs w:val="10"/>
              </w:rPr>
            </w:pPr>
          </w:p>
        </w:tc>
        <w:tc>
          <w:tcPr>
            <w:tcW w:w="8222" w:type="dxa"/>
            <w:tcBorders>
              <w:left w:val="single" w:sz="4" w:space="0" w:color="auto"/>
              <w:right w:val="single" w:sz="4" w:space="0" w:color="auto"/>
            </w:tcBorders>
            <w:vAlign w:val="center"/>
          </w:tcPr>
          <w:p w14:paraId="1D1067A8" w14:textId="1F4E4442" w:rsidR="00566C00" w:rsidRPr="00566C00" w:rsidRDefault="00566C00" w:rsidP="00D43EC1">
            <w:pPr>
              <w:pStyle w:val="Other0"/>
              <w:jc w:val="both"/>
              <w:rPr>
                <w:rStyle w:val="Other"/>
                <w:lang w:val="sq-AL"/>
              </w:rPr>
            </w:pPr>
            <w:r w:rsidRPr="00566C00">
              <w:rPr>
                <w:b/>
                <w:bCs/>
              </w:rPr>
              <w:t>Ndryshimet në Ligjin për Marrëdhënie Pun</w:t>
            </w:r>
            <w:r>
              <w:rPr>
                <w:b/>
                <w:bCs/>
                <w:lang w:val="sq-AL"/>
              </w:rPr>
              <w:t>e</w:t>
            </w:r>
            <w:r w:rsidRPr="00566C00">
              <w:t xml:space="preserve"> (të </w:t>
            </w:r>
            <w:r>
              <w:rPr>
                <w:lang w:val="sq-AL"/>
              </w:rPr>
              <w:t xml:space="preserve">shpallura në Gazetën </w:t>
            </w:r>
            <w:r w:rsidRPr="00566C00">
              <w:t xml:space="preserve">Zyrtare nr. 39/2025 më 20 shkurt </w:t>
            </w:r>
            <w:r>
              <w:rPr>
                <w:lang w:val="sq-AL"/>
              </w:rPr>
              <w:t xml:space="preserve">të vitit </w:t>
            </w:r>
            <w:r w:rsidRPr="00566C00">
              <w:t xml:space="preserve">2025 dhe në fuqi nga </w:t>
            </w:r>
            <w:r w:rsidR="00F906A6">
              <w:rPr>
                <w:lang w:val="sq-AL"/>
              </w:rPr>
              <w:t>e</w:t>
            </w:r>
            <w:r w:rsidRPr="00566C00">
              <w:t xml:space="preserve"> njëjt</w:t>
            </w:r>
            <w:r>
              <w:rPr>
                <w:lang w:val="sq-AL"/>
              </w:rPr>
              <w:t>a</w:t>
            </w:r>
            <w:r w:rsidRPr="00566C00">
              <w:t xml:space="preserve"> datë)</w:t>
            </w:r>
            <w:r w:rsidRPr="00566C00">
              <w:br/>
            </w:r>
            <w:r w:rsidRPr="00F906A6">
              <w:rPr>
                <w:b/>
                <w:bCs/>
              </w:rPr>
              <w:t xml:space="preserve">Gjykatësit dhe prokurorët </w:t>
            </w:r>
            <w:r w:rsidRPr="00566C00">
              <w:t xml:space="preserve">tani kanë </w:t>
            </w:r>
            <w:r w:rsidRPr="00F906A6">
              <w:rPr>
                <w:b/>
                <w:bCs/>
              </w:rPr>
              <w:t>mundësinë të vazhdojnë të ushtro</w:t>
            </w:r>
            <w:r w:rsidR="00F906A6" w:rsidRPr="00F906A6">
              <w:rPr>
                <w:b/>
                <w:bCs/>
                <w:lang w:val="sq-AL"/>
              </w:rPr>
              <w:t>jnë</w:t>
            </w:r>
            <w:r w:rsidRPr="00F906A6">
              <w:rPr>
                <w:b/>
                <w:bCs/>
              </w:rPr>
              <w:t xml:space="preserve"> detyrën e tyre</w:t>
            </w:r>
            <w:r w:rsidRPr="00566C00">
              <w:t xml:space="preserve"> edhe pas përmbushjes së kushteve për pensionim, deri në moshën 67 vjeç.</w:t>
            </w:r>
          </w:p>
          <w:p w14:paraId="1125E481" w14:textId="5CEEDDE2" w:rsidR="00566C00" w:rsidRPr="00566C00" w:rsidRDefault="00566C00" w:rsidP="00D43EC1">
            <w:pPr>
              <w:pStyle w:val="Other0"/>
              <w:jc w:val="both"/>
              <w:rPr>
                <w:lang w:val="sq-AL"/>
              </w:rPr>
            </w:pPr>
          </w:p>
        </w:tc>
      </w:tr>
      <w:tr w:rsidR="00262A83" w14:paraId="3964F242" w14:textId="77777777" w:rsidTr="00D87553">
        <w:trPr>
          <w:trHeight w:hRule="exact" w:val="2549"/>
          <w:jc w:val="center"/>
        </w:trPr>
        <w:tc>
          <w:tcPr>
            <w:tcW w:w="1838" w:type="dxa"/>
            <w:tcBorders>
              <w:left w:val="single" w:sz="4" w:space="0" w:color="auto"/>
            </w:tcBorders>
            <w:shd w:val="clear" w:color="auto" w:fill="E8E8E8"/>
          </w:tcPr>
          <w:p w14:paraId="469B7DC3" w14:textId="77777777" w:rsidR="00262A83" w:rsidRDefault="00262A83">
            <w:pPr>
              <w:rPr>
                <w:sz w:val="10"/>
                <w:szCs w:val="10"/>
              </w:rPr>
            </w:pPr>
          </w:p>
        </w:tc>
        <w:tc>
          <w:tcPr>
            <w:tcW w:w="8222" w:type="dxa"/>
            <w:tcBorders>
              <w:left w:val="single" w:sz="4" w:space="0" w:color="auto"/>
              <w:right w:val="single" w:sz="4" w:space="0" w:color="auto"/>
            </w:tcBorders>
            <w:vAlign w:val="bottom"/>
          </w:tcPr>
          <w:p w14:paraId="56348F29" w14:textId="01EF1E7D" w:rsidR="00F906A6" w:rsidRPr="00F906A6" w:rsidRDefault="00F906A6">
            <w:pPr>
              <w:pStyle w:val="Other0"/>
              <w:jc w:val="both"/>
              <w:rPr>
                <w:lang w:val="sq-AL"/>
              </w:rPr>
            </w:pPr>
            <w:r>
              <w:t xml:space="preserve">Sipas Analizës për përcaktimin e numrit të vendeve të lira për gjyqtarë në gjykatat themelore të Republikës së Maqedonisë së Veriut, e përgatitur nga Këshilli Gjyqësor në </w:t>
            </w:r>
            <w:r>
              <w:rPr>
                <w:lang w:val="sq-AL"/>
              </w:rPr>
              <w:t xml:space="preserve">muajin </w:t>
            </w:r>
            <w:r>
              <w:t xml:space="preserve">prill </w:t>
            </w:r>
            <w:r>
              <w:rPr>
                <w:lang w:val="sq-AL"/>
              </w:rPr>
              <w:t xml:space="preserve">të vitit </w:t>
            </w:r>
            <w:r>
              <w:t>2024, nevojiten gjithsej 434 gjyqtarë në gjykatat themelore për të siguruar zbatimin efektiv të drejtësisë. Megjithatë, në atë kohë ishin aktivë vetëm 274 gjyqtarë, duke lënë 160 vende të paplot</w:t>
            </w:r>
            <w:r>
              <w:rPr>
                <w:lang w:val="sq-AL"/>
              </w:rPr>
              <w:t>ësuara</w:t>
            </w:r>
            <w:r>
              <w:t>. Edhe pse 55 kandidatë për gjyqtarë nga gjenerata e 8-të e Akademisë për Gjyqtarë dhe Prokurorë Publik u emëruan gjyqtarë në</w:t>
            </w:r>
            <w:r>
              <w:rPr>
                <w:lang w:val="sq-AL"/>
              </w:rPr>
              <w:t xml:space="preserve"> </w:t>
            </w:r>
            <w:r>
              <w:t xml:space="preserve">mars </w:t>
            </w:r>
            <w:r>
              <w:rPr>
                <w:lang w:val="sq-AL"/>
              </w:rPr>
              <w:t xml:space="preserve">të vitit </w:t>
            </w:r>
            <w:r>
              <w:t xml:space="preserve">2025, edhe me këto emërime, mungesa e gjyqtarëve </w:t>
            </w:r>
            <w:r w:rsidRPr="00F906A6">
              <w:rPr>
                <w:b/>
                <w:bCs/>
              </w:rPr>
              <w:t>do të tejkalojë</w:t>
            </w:r>
            <w:r>
              <w:rPr>
                <w:b/>
                <w:bCs/>
                <w:lang w:val="sq-AL"/>
              </w:rPr>
              <w:t xml:space="preserve"> numrin</w:t>
            </w:r>
            <w:r w:rsidRPr="00F906A6">
              <w:rPr>
                <w:b/>
                <w:bCs/>
              </w:rPr>
              <w:t xml:space="preserve"> 100</w:t>
            </w:r>
            <w:r>
              <w:t xml:space="preserve">. Duke </w:t>
            </w:r>
            <w:r>
              <w:rPr>
                <w:lang w:val="sq-AL"/>
              </w:rPr>
              <w:t>marrë</w:t>
            </w:r>
            <w:r>
              <w:t xml:space="preserve"> parasysh që kandidatët </w:t>
            </w:r>
            <w:r>
              <w:rPr>
                <w:lang w:val="sq-AL"/>
              </w:rPr>
              <w:t>nga</w:t>
            </w:r>
            <w:r>
              <w:t xml:space="preserve"> gjenerat</w:t>
            </w:r>
            <w:r>
              <w:rPr>
                <w:lang w:val="sq-AL"/>
              </w:rPr>
              <w:t>a</w:t>
            </w:r>
            <w:r>
              <w:t xml:space="preserve"> e 9-të të Akademisë </w:t>
            </w:r>
            <w:r>
              <w:rPr>
                <w:lang w:val="sq-AL"/>
              </w:rPr>
              <w:t>akoma</w:t>
            </w:r>
            <w:r>
              <w:t xml:space="preserve"> nuk janë regjistruar,</w:t>
            </w:r>
            <w:r w:rsidR="001547F2">
              <w:rPr>
                <w:lang w:val="sq-AL"/>
              </w:rPr>
              <w:t xml:space="preserve">dhe besueshmëria është e  vogël se </w:t>
            </w:r>
            <w:r>
              <w:t xml:space="preserve">kandidatët e rinj për gjyqtarë </w:t>
            </w:r>
            <w:r w:rsidR="001547F2">
              <w:rPr>
                <w:lang w:val="sq-AL"/>
              </w:rPr>
              <w:t xml:space="preserve">do </w:t>
            </w:r>
            <w:r>
              <w:t>të jenë të disponueshëm para vitit 2027.</w:t>
            </w:r>
          </w:p>
        </w:tc>
      </w:tr>
      <w:tr w:rsidR="00262A83" w14:paraId="770B05B0" w14:textId="77777777" w:rsidTr="00D87553">
        <w:trPr>
          <w:trHeight w:hRule="exact" w:val="1567"/>
          <w:jc w:val="center"/>
        </w:trPr>
        <w:tc>
          <w:tcPr>
            <w:tcW w:w="1838" w:type="dxa"/>
            <w:tcBorders>
              <w:left w:val="single" w:sz="4" w:space="0" w:color="auto"/>
            </w:tcBorders>
            <w:shd w:val="clear" w:color="auto" w:fill="E8E8E8"/>
          </w:tcPr>
          <w:p w14:paraId="70AEAA10" w14:textId="77777777" w:rsidR="00262A83" w:rsidRDefault="00262A83">
            <w:pPr>
              <w:rPr>
                <w:sz w:val="10"/>
                <w:szCs w:val="10"/>
              </w:rPr>
            </w:pPr>
          </w:p>
        </w:tc>
        <w:tc>
          <w:tcPr>
            <w:tcW w:w="8222" w:type="dxa"/>
            <w:tcBorders>
              <w:left w:val="single" w:sz="4" w:space="0" w:color="auto"/>
              <w:right w:val="single" w:sz="4" w:space="0" w:color="auto"/>
            </w:tcBorders>
            <w:vAlign w:val="bottom"/>
          </w:tcPr>
          <w:p w14:paraId="77BF0AB7" w14:textId="7CAEE1E0" w:rsidR="00262A83" w:rsidRDefault="00F906A6">
            <w:pPr>
              <w:pStyle w:val="Other0"/>
              <w:jc w:val="both"/>
            </w:pPr>
            <w:r w:rsidRPr="00F906A6">
              <w:t xml:space="preserve">Ndryshimet e fundit në Ligjin për Marrëdhëniet e Punës nuk ofrojnë zgjidhje për këtë mungesë drastike të gjyqtarëve. Hapi më efektiv për të adresuar këtë çështje dhe për të siguruar qëndrueshmëri është regjistrimi sa më shpejt i kandidatëve të rinj dhe, në mënyrë potenciale, rritja e numrit të tyre në Akademi. Duke </w:t>
            </w:r>
            <w:r w:rsidR="001547F2">
              <w:rPr>
                <w:lang w:val="sq-AL"/>
              </w:rPr>
              <w:t>marrë</w:t>
            </w:r>
            <w:r w:rsidRPr="00F906A6">
              <w:t xml:space="preserve"> parasysh faktin që 17 prokurorë do të arrijnë moshën për pension në vitet 2025-2026, do të jetë e mundur që këta 17 prokurorë të vazhdojnë të ushtrojnë funksionin e tyre.</w:t>
            </w:r>
          </w:p>
        </w:tc>
      </w:tr>
    </w:tbl>
    <w:p w14:paraId="25EC8458" w14:textId="2DC3FB31" w:rsidR="00262A83" w:rsidRDefault="00262A8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805"/>
      </w:tblGrid>
      <w:tr w:rsidR="00262A83" w14:paraId="7D5FBF04" w14:textId="77777777" w:rsidTr="00594D0E">
        <w:trPr>
          <w:trHeight w:hRule="exact" w:val="3980"/>
          <w:jc w:val="center"/>
        </w:trPr>
        <w:tc>
          <w:tcPr>
            <w:tcW w:w="1714" w:type="dxa"/>
            <w:tcBorders>
              <w:top w:val="single" w:sz="4" w:space="0" w:color="auto"/>
              <w:left w:val="single" w:sz="4" w:space="0" w:color="auto"/>
            </w:tcBorders>
            <w:shd w:val="clear" w:color="auto" w:fill="E8E8E8"/>
          </w:tcPr>
          <w:p w14:paraId="7D9DEE85" w14:textId="77777777" w:rsidR="00262A83" w:rsidRDefault="00262A83">
            <w:pPr>
              <w:rPr>
                <w:sz w:val="10"/>
                <w:szCs w:val="10"/>
              </w:rPr>
            </w:pPr>
          </w:p>
        </w:tc>
        <w:tc>
          <w:tcPr>
            <w:tcW w:w="7805" w:type="dxa"/>
            <w:tcBorders>
              <w:top w:val="single" w:sz="4" w:space="0" w:color="auto"/>
              <w:left w:val="single" w:sz="4" w:space="0" w:color="auto"/>
              <w:right w:val="single" w:sz="4" w:space="0" w:color="auto"/>
            </w:tcBorders>
            <w:vAlign w:val="center"/>
          </w:tcPr>
          <w:p w14:paraId="5CF81311" w14:textId="1472E4A2" w:rsidR="00F906A6" w:rsidRDefault="001547F2">
            <w:pPr>
              <w:pStyle w:val="Other0"/>
              <w:jc w:val="both"/>
              <w:rPr>
                <w:lang w:val="sq-AL"/>
              </w:rPr>
            </w:pPr>
            <w:r>
              <w:rPr>
                <w:lang w:val="sq-AL"/>
              </w:rPr>
              <w:t xml:space="preserve">Sa i përket </w:t>
            </w:r>
            <w:r w:rsidR="00F906A6" w:rsidRPr="001547F2">
              <w:t>gjyqtarëve, perspektiva</w:t>
            </w:r>
            <w:r w:rsidR="00F906A6" w:rsidRPr="00F906A6">
              <w:t xml:space="preserve"> për vitet 2025–2026 përfshin rreth 37 të cilët mund të vazhdojnë në detyrë. Megjithatë, është e pamundur të parashikohet se sa prej tyre do ta bëjnë me të vërtetë këtë, pasi kjo varet nga vendimet individuale të gjyqtarëve. Disa mund të zgjedhin të mos vazhdojnë, të tjerë mund ta vazhdojnë funksionin për </w:t>
            </w:r>
            <w:r>
              <w:rPr>
                <w:lang w:val="sq-AL"/>
              </w:rPr>
              <w:t xml:space="preserve">një </w:t>
            </w:r>
            <w:r w:rsidR="00F906A6" w:rsidRPr="00F906A6">
              <w:t xml:space="preserve">periudhë më të shkurtër, ndërsa disa mund të pensionohen </w:t>
            </w:r>
            <w:r w:rsidRPr="001547F2">
              <w:t>madje edhe</w:t>
            </w:r>
            <w:r>
              <w:rPr>
                <w:lang w:val="sq-AL"/>
              </w:rPr>
              <w:t xml:space="preserve"> derisa</w:t>
            </w:r>
            <w:r w:rsidRPr="001547F2">
              <w:t xml:space="preserve"> </w:t>
            </w:r>
            <w:r>
              <w:rPr>
                <w:lang w:val="sq-AL"/>
              </w:rPr>
              <w:t>vazhdimi është në fuqi</w:t>
            </w:r>
            <w:r w:rsidR="00F906A6" w:rsidRPr="00F906A6">
              <w:t xml:space="preserve">. Për më tepër, vazhdimi i moshës së pensionit mund të tërhiqet, pasi Ligji </w:t>
            </w:r>
            <w:r>
              <w:rPr>
                <w:lang w:val="sq-AL"/>
              </w:rPr>
              <w:t>i cili</w:t>
            </w:r>
            <w:r w:rsidR="00F906A6" w:rsidRPr="00F906A6">
              <w:t xml:space="preserve"> e rregullon këtë çështje mund të ndryshohet me shumicë të thjeshtë në Kuvend (siç ka ndodhur më 2021).</w:t>
            </w:r>
          </w:p>
          <w:p w14:paraId="0DCA9F45" w14:textId="77777777" w:rsidR="00F906A6" w:rsidRDefault="00F906A6">
            <w:pPr>
              <w:pStyle w:val="Other0"/>
              <w:jc w:val="both"/>
              <w:rPr>
                <w:lang w:val="sq-AL"/>
              </w:rPr>
            </w:pPr>
          </w:p>
          <w:p w14:paraId="239745DC" w14:textId="437650C6" w:rsidR="00262A83" w:rsidRDefault="00F906A6">
            <w:pPr>
              <w:pStyle w:val="Other0"/>
              <w:jc w:val="both"/>
            </w:pPr>
            <w:r>
              <w:t xml:space="preserve">77 gjyqtarë dhe prokurorë nga gjenerata e 8-të u emëruan, por me vonesë dhe pa garantuar kriterin e “emërimit në bazë të rregullt”, duke </w:t>
            </w:r>
            <w:r w:rsidR="001547F2">
              <w:rPr>
                <w:lang w:val="sq-AL"/>
              </w:rPr>
              <w:t>marrë</w:t>
            </w:r>
            <w:r>
              <w:t xml:space="preserve"> parasysh se procedurat për gjenerat</w:t>
            </w:r>
            <w:r w:rsidR="001547F2">
              <w:rPr>
                <w:lang w:val="sq-AL"/>
              </w:rPr>
              <w:t>ën</w:t>
            </w:r>
            <w:r>
              <w:t xml:space="preserve"> e 9-të dhe 10-të </w:t>
            </w:r>
            <w:r w:rsidR="001547F2">
              <w:rPr>
                <w:lang w:val="sq-AL"/>
              </w:rPr>
              <w:t>akoma</w:t>
            </w:r>
            <w:r>
              <w:t xml:space="preserve"> nuk kanë filluar. Për më tepër, p</w:t>
            </w:r>
            <w:r w:rsidR="001547F2">
              <w:rPr>
                <w:lang w:val="sq-AL"/>
              </w:rPr>
              <w:t xml:space="preserve">rojeksionet </w:t>
            </w:r>
            <w:r>
              <w:t xml:space="preserve"> lidhur me kushtet e pensionimit të gjyqtarëve dhe prokurorëve nuk ofrojnë zgjidhje afatgjat</w:t>
            </w:r>
            <w:r w:rsidR="001547F2">
              <w:rPr>
                <w:lang w:val="sq-AL"/>
              </w:rPr>
              <w:t>e</w:t>
            </w:r>
            <w:r>
              <w:t xml:space="preserve"> për plotësimin e vendeve të punës në sistemin gjyqësor në bazë të rregullt.</w:t>
            </w:r>
          </w:p>
        </w:tc>
      </w:tr>
      <w:tr w:rsidR="00262A83" w14:paraId="17BF7090" w14:textId="77777777">
        <w:trPr>
          <w:trHeight w:hRule="exact" w:val="1949"/>
          <w:jc w:val="center"/>
        </w:trPr>
        <w:tc>
          <w:tcPr>
            <w:tcW w:w="1714" w:type="dxa"/>
            <w:tcBorders>
              <w:top w:val="single" w:sz="4" w:space="0" w:color="auto"/>
              <w:left w:val="single" w:sz="4" w:space="0" w:color="auto"/>
            </w:tcBorders>
            <w:shd w:val="clear" w:color="auto" w:fill="E8E8E8"/>
            <w:vAlign w:val="center"/>
          </w:tcPr>
          <w:p w14:paraId="5D300233" w14:textId="5AADCC89" w:rsidR="00262A83" w:rsidRDefault="000B2492">
            <w:pPr>
              <w:pStyle w:val="Other0"/>
            </w:pPr>
            <w:r w:rsidRPr="00AC241D">
              <w:rPr>
                <w:b/>
                <w:bCs/>
              </w:rPr>
              <w:t xml:space="preserve">Kontrollet e kryera dhe </w:t>
            </w:r>
            <w:r>
              <w:rPr>
                <w:b/>
                <w:bCs/>
                <w:lang w:val="sq-AL"/>
              </w:rPr>
              <w:t>provat</w:t>
            </w:r>
            <w:r w:rsidRPr="00AC241D">
              <w:rPr>
                <w:b/>
                <w:bCs/>
              </w:rPr>
              <w:t xml:space="preserve"> e </w:t>
            </w:r>
            <w:r>
              <w:rPr>
                <w:b/>
                <w:bCs/>
                <w:lang w:val="sq-AL"/>
              </w:rPr>
              <w:t>shfrytëzuara</w:t>
            </w:r>
            <w:r w:rsidRPr="00AC241D">
              <w:rPr>
                <w:b/>
                <w:bCs/>
              </w:rPr>
              <w:t xml:space="preserve"> </w:t>
            </w:r>
            <w:r>
              <w:rPr>
                <w:b/>
                <w:bCs/>
                <w:lang w:val="sq-AL"/>
              </w:rPr>
              <w:t>gjatë</w:t>
            </w:r>
            <w:r w:rsidRPr="00AC241D">
              <w:rPr>
                <w:b/>
                <w:bCs/>
              </w:rPr>
              <w:t xml:space="preserve"> verifikimi</w:t>
            </w:r>
            <w:r>
              <w:rPr>
                <w:b/>
                <w:bCs/>
                <w:lang w:val="sq-AL"/>
              </w:rPr>
              <w:t>t</w:t>
            </w:r>
            <w:r w:rsidRPr="00AC241D">
              <w:rPr>
                <w:b/>
                <w:bCs/>
              </w:rPr>
              <w:t xml:space="preserve"> </w:t>
            </w:r>
            <w:r>
              <w:rPr>
                <w:b/>
                <w:bCs/>
                <w:lang w:val="sq-AL"/>
              </w:rPr>
              <w:t>të</w:t>
            </w:r>
            <w:r w:rsidRPr="00AC241D">
              <w:rPr>
                <w:b/>
                <w:bCs/>
              </w:rPr>
              <w:t xml:space="preserve"> hapit dhe </w:t>
            </w:r>
            <w:r>
              <w:rPr>
                <w:b/>
                <w:bCs/>
                <w:lang w:val="sq-AL"/>
              </w:rPr>
              <w:t>konsatimet</w:t>
            </w:r>
            <w:r w:rsidRPr="00AC241D">
              <w:rPr>
                <w:b/>
                <w:bCs/>
              </w:rPr>
              <w:t xml:space="preserve"> </w:t>
            </w:r>
            <w:r>
              <w:rPr>
                <w:b/>
                <w:bCs/>
                <w:lang w:val="sq-AL"/>
              </w:rPr>
              <w:t>e lidhura</w:t>
            </w:r>
          </w:p>
        </w:tc>
        <w:tc>
          <w:tcPr>
            <w:tcW w:w="7805" w:type="dxa"/>
            <w:tcBorders>
              <w:top w:val="single" w:sz="4" w:space="0" w:color="auto"/>
              <w:left w:val="single" w:sz="4" w:space="0" w:color="auto"/>
              <w:right w:val="single" w:sz="4" w:space="0" w:color="auto"/>
            </w:tcBorders>
          </w:tcPr>
          <w:p w14:paraId="15D14136" w14:textId="33B86B4F" w:rsidR="00262A83" w:rsidRDefault="00F906A6">
            <w:pPr>
              <w:pStyle w:val="Other0"/>
              <w:spacing w:before="80"/>
              <w:jc w:val="both"/>
            </w:pPr>
            <w:r w:rsidRPr="00F906A6">
              <w:t xml:space="preserve">Vlerësimi bëhet përmes analizës së kërkesave dhe </w:t>
            </w:r>
            <w:r>
              <w:rPr>
                <w:lang w:val="sq-AL"/>
              </w:rPr>
              <w:t>qëllimeve</w:t>
            </w:r>
            <w:r w:rsidRPr="00F906A6">
              <w:t xml:space="preserve"> të masës reformuese.</w:t>
            </w:r>
          </w:p>
        </w:tc>
      </w:tr>
      <w:tr w:rsidR="00262A83" w14:paraId="36B46AFB" w14:textId="77777777">
        <w:trPr>
          <w:trHeight w:hRule="exact" w:val="682"/>
          <w:jc w:val="center"/>
        </w:trPr>
        <w:tc>
          <w:tcPr>
            <w:tcW w:w="1714" w:type="dxa"/>
            <w:tcBorders>
              <w:top w:val="single" w:sz="4" w:space="0" w:color="auto"/>
              <w:left w:val="single" w:sz="4" w:space="0" w:color="auto"/>
            </w:tcBorders>
            <w:shd w:val="clear" w:color="auto" w:fill="E8E8E8"/>
          </w:tcPr>
          <w:p w14:paraId="264E03C7" w14:textId="2FCE8793" w:rsidR="00262A83" w:rsidRDefault="000B2492">
            <w:pPr>
              <w:pStyle w:val="Other0"/>
              <w:spacing w:before="80"/>
            </w:pPr>
            <w:r w:rsidRPr="00AC241D">
              <w:rPr>
                <w:b/>
              </w:rPr>
              <w:t>Financim i dyfishtë</w:t>
            </w:r>
          </w:p>
        </w:tc>
        <w:tc>
          <w:tcPr>
            <w:tcW w:w="7805" w:type="dxa"/>
            <w:tcBorders>
              <w:top w:val="single" w:sz="4" w:space="0" w:color="auto"/>
              <w:left w:val="single" w:sz="4" w:space="0" w:color="auto"/>
              <w:right w:val="single" w:sz="4" w:space="0" w:color="auto"/>
            </w:tcBorders>
            <w:vAlign w:val="center"/>
          </w:tcPr>
          <w:p w14:paraId="19F3BD5D" w14:textId="3DDACA56" w:rsidR="00262A83" w:rsidRDefault="000B2492">
            <w:pPr>
              <w:pStyle w:val="Other0"/>
              <w:jc w:val="both"/>
            </w:pPr>
            <w:r w:rsidRPr="00044739">
              <w:t>Nuk u raportuan kontribute nga palë të treta si mbështetje për arritjen e këtij hapi.</w:t>
            </w:r>
          </w:p>
        </w:tc>
      </w:tr>
      <w:tr w:rsidR="00262A83" w14:paraId="63AE73AF" w14:textId="77777777">
        <w:trPr>
          <w:trHeight w:hRule="exact" w:val="1450"/>
          <w:jc w:val="center"/>
        </w:trPr>
        <w:tc>
          <w:tcPr>
            <w:tcW w:w="1714" w:type="dxa"/>
            <w:tcBorders>
              <w:top w:val="single" w:sz="4" w:space="0" w:color="auto"/>
              <w:left w:val="single" w:sz="4" w:space="0" w:color="auto"/>
              <w:bottom w:val="single" w:sz="4" w:space="0" w:color="auto"/>
            </w:tcBorders>
            <w:shd w:val="clear" w:color="auto" w:fill="E8E8E8"/>
            <w:vAlign w:val="center"/>
          </w:tcPr>
          <w:p w14:paraId="427902FD" w14:textId="5B735421" w:rsidR="00262A83" w:rsidRDefault="000B2492">
            <w:pPr>
              <w:pStyle w:val="Other0"/>
            </w:pPr>
            <w:r>
              <w:rPr>
                <w:b/>
                <w:bCs/>
                <w:lang w:val="sq-AL"/>
              </w:rPr>
              <w:t>Konkludimi</w:t>
            </w:r>
            <w:r w:rsidRPr="00AC241D">
              <w:rPr>
                <w:b/>
                <w:bCs/>
              </w:rPr>
              <w:t xml:space="preserve"> i shqyrtimit të hapit nga </w:t>
            </w:r>
            <w:r>
              <w:rPr>
                <w:b/>
                <w:bCs/>
                <w:lang w:val="sq-AL"/>
              </w:rPr>
              <w:t>shfrytëzuesi</w:t>
            </w:r>
          </w:p>
        </w:tc>
        <w:tc>
          <w:tcPr>
            <w:tcW w:w="7805" w:type="dxa"/>
            <w:tcBorders>
              <w:top w:val="single" w:sz="4" w:space="0" w:color="auto"/>
              <w:left w:val="single" w:sz="4" w:space="0" w:color="auto"/>
              <w:bottom w:val="single" w:sz="4" w:space="0" w:color="auto"/>
              <w:right w:val="single" w:sz="4" w:space="0" w:color="auto"/>
            </w:tcBorders>
          </w:tcPr>
          <w:p w14:paraId="5E94CBF3" w14:textId="77777777" w:rsidR="000B2492" w:rsidRPr="00044739" w:rsidRDefault="000B2492" w:rsidP="000B2492">
            <w:pPr>
              <w:pStyle w:val="Other0"/>
              <w:spacing w:before="80"/>
              <w:jc w:val="both"/>
              <w:rPr>
                <w:lang w:val="sq-AL"/>
              </w:rPr>
            </w:pPr>
            <w:r w:rsidRPr="00044739">
              <w:rPr>
                <w:rStyle w:val="Other"/>
                <w:b/>
                <w:bCs/>
                <w:lang w:val="sq-AL"/>
              </w:rPr>
              <w:t>N</w:t>
            </w:r>
            <w:proofErr w:type="spellStart"/>
            <w:r w:rsidRPr="00044739">
              <w:rPr>
                <w:b/>
                <w:bCs/>
                <w:lang w:val="en-GB"/>
              </w:rPr>
              <w:t>uk</w:t>
            </w:r>
            <w:proofErr w:type="spellEnd"/>
            <w:r w:rsidRPr="00044739">
              <w:rPr>
                <w:b/>
                <w:bCs/>
                <w:lang w:val="en-GB"/>
              </w:rPr>
              <w:t xml:space="preserve"> është </w:t>
            </w:r>
            <w:proofErr w:type="spellStart"/>
            <w:r w:rsidRPr="00044739">
              <w:rPr>
                <w:b/>
                <w:bCs/>
                <w:lang w:val="en-GB"/>
              </w:rPr>
              <w:t>arritur</w:t>
            </w:r>
            <w:proofErr w:type="spellEnd"/>
            <w:r w:rsidRPr="00044739">
              <w:rPr>
                <w:lang w:val="en-GB"/>
              </w:rPr>
              <w:t>. “</w:t>
            </w:r>
            <w:proofErr w:type="spellStart"/>
            <w:r w:rsidRPr="00044739">
              <w:rPr>
                <w:lang w:val="en-GB"/>
              </w:rPr>
              <w:t>Periudha</w:t>
            </w:r>
            <w:proofErr w:type="spellEnd"/>
            <w:r w:rsidRPr="00044739">
              <w:rPr>
                <w:lang w:val="en-GB"/>
              </w:rPr>
              <w:t xml:space="preserve"> e </w:t>
            </w:r>
            <w:proofErr w:type="spellStart"/>
            <w:r w:rsidRPr="00044739">
              <w:rPr>
                <w:lang w:val="en-GB"/>
              </w:rPr>
              <w:t>lehtësimit</w:t>
            </w:r>
            <w:proofErr w:type="spellEnd"/>
            <w:r w:rsidRPr="00044739">
              <w:rPr>
                <w:lang w:val="en-GB"/>
              </w:rPr>
              <w:t xml:space="preserve"> (grace-period)” </w:t>
            </w:r>
            <w:r>
              <w:rPr>
                <w:lang w:val="en-GB"/>
              </w:rPr>
              <w:t xml:space="preserve">e cila </w:t>
            </w:r>
            <w:proofErr w:type="spellStart"/>
            <w:r w:rsidRPr="00044739">
              <w:rPr>
                <w:lang w:val="en-GB"/>
              </w:rPr>
              <w:t>zgjat</w:t>
            </w:r>
            <w:proofErr w:type="spellEnd"/>
            <w:r w:rsidRPr="00044739">
              <w:rPr>
                <w:lang w:val="en-GB"/>
              </w:rPr>
              <w:t xml:space="preserve"> </w:t>
            </w:r>
            <w:proofErr w:type="spellStart"/>
            <w:r w:rsidRPr="00044739">
              <w:rPr>
                <w:lang w:val="en-GB"/>
              </w:rPr>
              <w:t>deri</w:t>
            </w:r>
            <w:proofErr w:type="spellEnd"/>
            <w:r w:rsidRPr="00044739">
              <w:rPr>
                <w:lang w:val="en-GB"/>
              </w:rPr>
              <w:t xml:space="preserve"> më 31 </w:t>
            </w:r>
            <w:proofErr w:type="spellStart"/>
            <w:r w:rsidRPr="00044739">
              <w:rPr>
                <w:lang w:val="en-GB"/>
              </w:rPr>
              <w:t>dhjetor</w:t>
            </w:r>
            <w:proofErr w:type="spellEnd"/>
            <w:r w:rsidRPr="00044739">
              <w:rPr>
                <w:lang w:val="en-GB"/>
              </w:rPr>
              <w:t xml:space="preserve"> </w:t>
            </w:r>
            <w:r>
              <w:rPr>
                <w:lang w:val="en-GB"/>
              </w:rPr>
              <w:t xml:space="preserve">të </w:t>
            </w:r>
            <w:proofErr w:type="spellStart"/>
            <w:r>
              <w:rPr>
                <w:lang w:val="en-GB"/>
              </w:rPr>
              <w:t>vitit</w:t>
            </w:r>
            <w:proofErr w:type="spellEnd"/>
            <w:r>
              <w:rPr>
                <w:lang w:val="en-GB"/>
              </w:rPr>
              <w:t xml:space="preserve"> </w:t>
            </w:r>
            <w:r w:rsidRPr="00044739">
              <w:rPr>
                <w:lang w:val="en-GB"/>
              </w:rPr>
              <w:t>2026.</w:t>
            </w:r>
          </w:p>
          <w:p w14:paraId="0AB8840C" w14:textId="3C8893A4" w:rsidR="00262A83" w:rsidRPr="00694792" w:rsidRDefault="00262A83" w:rsidP="00694792">
            <w:pPr>
              <w:pStyle w:val="Other0"/>
              <w:spacing w:before="80"/>
              <w:jc w:val="both"/>
              <w:rPr>
                <w:lang w:val="en-US"/>
              </w:rPr>
            </w:pPr>
          </w:p>
        </w:tc>
      </w:tr>
    </w:tbl>
    <w:p w14:paraId="1F1E3511" w14:textId="20AB8769" w:rsidR="006866F8" w:rsidRDefault="006866F8" w:rsidP="00694792">
      <w:pPr>
        <w:spacing w:line="1" w:lineRule="exact"/>
      </w:pPr>
    </w:p>
    <w:sectPr w:rsidR="006866F8">
      <w:headerReference w:type="default" r:id="rId48"/>
      <w:footerReference w:type="default" r:id="rId49"/>
      <w:headerReference w:type="first" r:id="rId50"/>
      <w:footerReference w:type="first" r:id="rId51"/>
      <w:pgSz w:w="12240" w:h="15840"/>
      <w:pgMar w:top="1440" w:right="1298" w:bottom="845" w:left="1404" w:header="0" w:footer="3" w:gutter="0"/>
      <w:pgNumType w:start="1"/>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85A8" w14:textId="77777777" w:rsidR="00343B90" w:rsidRDefault="00343B90">
      <w:r>
        <w:separator/>
      </w:r>
    </w:p>
  </w:endnote>
  <w:endnote w:type="continuationSeparator" w:id="0">
    <w:p w14:paraId="4BC7B12D" w14:textId="77777777" w:rsidR="00343B90" w:rsidRDefault="0034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8D97" w14:textId="0A9E591B" w:rsidR="006866F8" w:rsidRDefault="006866F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8D30" w14:textId="69BE5E8A" w:rsidR="006866F8" w:rsidRDefault="006866F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B389" w14:textId="77777777" w:rsidR="00343B90" w:rsidRDefault="00343B90"/>
  </w:footnote>
  <w:footnote w:type="continuationSeparator" w:id="0">
    <w:p w14:paraId="38DE3983" w14:textId="77777777" w:rsidR="00343B90" w:rsidRDefault="00343B90"/>
  </w:footnote>
  <w:footnote w:id="1">
    <w:p w14:paraId="23463CF0" w14:textId="6F0C6C3A" w:rsidR="00D0130D" w:rsidRPr="00D62D6D" w:rsidRDefault="00D0130D">
      <w:pPr>
        <w:pStyle w:val="FootnoteText"/>
        <w:rPr>
          <w:rFonts w:ascii="Times New Roman" w:hAnsi="Times New Roman" w:cs="Times New Roman"/>
          <w:lang w:val="en-US"/>
        </w:rPr>
      </w:pPr>
      <w:r w:rsidRPr="00262A83">
        <w:rPr>
          <w:rStyle w:val="FootnoteReference"/>
          <w:rFonts w:ascii="Times New Roman" w:hAnsi="Times New Roman" w:cs="Times New Roman"/>
          <w:color w:val="0070C0"/>
        </w:rPr>
        <w:footnoteRef/>
      </w:r>
      <w:r w:rsidRPr="00262A83">
        <w:rPr>
          <w:rFonts w:ascii="Times New Roman" w:hAnsi="Times New Roman" w:cs="Times New Roman"/>
          <w:color w:val="0070C0"/>
        </w:rPr>
        <w:t xml:space="preserve"> </w:t>
      </w:r>
      <w:hyperlink r:id="rId1" w:history="1">
        <w:r w:rsidR="00D62D6D" w:rsidRPr="00262A83">
          <w:rPr>
            <w:rStyle w:val="Hyperlink"/>
            <w:rFonts w:ascii="Times New Roman" w:hAnsi="Times New Roman" w:cs="Times New Roman"/>
            <w:color w:val="0070C0"/>
          </w:rPr>
          <w:t>https://www.osce.Org/files/f/documents/5/e/576648.pdf</w:t>
        </w:r>
      </w:hyperlink>
    </w:p>
  </w:footnote>
  <w:footnote w:id="2">
    <w:p w14:paraId="3357A1BF" w14:textId="77777777" w:rsidR="006866F8" w:rsidRPr="00D62D6D" w:rsidRDefault="00B8240F">
      <w:pPr>
        <w:pStyle w:val="Footnote0"/>
        <w:pBdr>
          <w:top w:val="single" w:sz="4" w:space="0" w:color="auto"/>
        </w:pBdr>
        <w:spacing w:after="0"/>
      </w:pPr>
      <w:r w:rsidRPr="00D62D6D">
        <w:rPr>
          <w:rStyle w:val="Footnote"/>
          <w:color w:val="000000"/>
          <w:u w:val="none"/>
          <w:vertAlign w:val="superscript"/>
        </w:rPr>
        <w:footnoteRef/>
      </w:r>
      <w:hyperlink r:id="rId2" w:history="1">
        <w:r w:rsidR="006866F8" w:rsidRPr="00D62D6D">
          <w:rPr>
            <w:rStyle w:val="Footnote"/>
            <w:color w:val="000000"/>
            <w:u w:val="none"/>
          </w:rPr>
          <w:t xml:space="preserve"> </w:t>
        </w:r>
      </w:hyperlink>
      <w:hyperlink r:id="rId3" w:history="1">
        <w:r w:rsidR="006866F8" w:rsidRPr="00D62D6D">
          <w:rPr>
            <w:rStyle w:val="Footnote"/>
            <w:u w:val="none"/>
          </w:rPr>
          <w:t>https://www.pefa.org/node/5117</w:t>
        </w:r>
      </w:hyperlink>
    </w:p>
  </w:footnote>
  <w:footnote w:id="3">
    <w:p w14:paraId="43E4DE79" w14:textId="77777777" w:rsidR="006866F8" w:rsidRPr="00D62D6D" w:rsidRDefault="00B8240F">
      <w:pPr>
        <w:pStyle w:val="Footnote0"/>
        <w:spacing w:after="340"/>
      </w:pPr>
      <w:r w:rsidRPr="00D62D6D">
        <w:rPr>
          <w:rStyle w:val="Footnote"/>
          <w:color w:val="000000"/>
          <w:u w:val="none"/>
          <w:vertAlign w:val="superscript"/>
        </w:rPr>
        <w:footnoteRef/>
      </w:r>
      <w:hyperlink r:id="rId4" w:history="1">
        <w:r w:rsidR="006866F8" w:rsidRPr="00D62D6D">
          <w:rPr>
            <w:rStyle w:val="Footnote"/>
            <w:color w:val="000000"/>
            <w:u w:val="none"/>
          </w:rPr>
          <w:t xml:space="preserve"> </w:t>
        </w:r>
      </w:hyperlink>
      <w:hyperlink r:id="rId5" w:history="1">
        <w:r w:rsidR="006866F8" w:rsidRPr="00D62D6D">
          <w:rPr>
            <w:rStyle w:val="Footnote"/>
          </w:rPr>
          <w:t>https://www.sigmaweb.org/en/publications/public-administration-in-the-republic-of-north-macedonia-</w:t>
        </w:r>
      </w:hyperlink>
      <w:r w:rsidRPr="00D62D6D">
        <w:rPr>
          <w:rStyle w:val="Footnote"/>
        </w:rPr>
        <w:t xml:space="preserve"> </w:t>
      </w:r>
      <w:hyperlink r:id="rId6" w:history="1">
        <w:r w:rsidR="006866F8" w:rsidRPr="00D62D6D">
          <w:rPr>
            <w:rStyle w:val="Footnote"/>
          </w:rPr>
          <w:t>2024 071bad9d-mk.html</w:t>
        </w:r>
      </w:hyperlink>
    </w:p>
    <w:p w14:paraId="3E37A9BD" w14:textId="77777777" w:rsidR="006866F8" w:rsidRPr="00D62D6D" w:rsidRDefault="00B8240F">
      <w:pPr>
        <w:pStyle w:val="Footnote0"/>
        <w:spacing w:after="0"/>
        <w:jc w:val="center"/>
      </w:pPr>
      <w:r w:rsidRPr="00D62D6D">
        <w:rPr>
          <w:rStyle w:val="Footnote"/>
          <w:i/>
          <w:iCs/>
          <w:color w:val="808080"/>
          <w:u w:val="none"/>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DD4A" w14:textId="77777777" w:rsidR="006866F8" w:rsidRDefault="006866F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EAC4" w14:textId="77777777" w:rsidR="002375EE" w:rsidRDefault="002375EE" w:rsidP="002375EE">
    <w:pPr>
      <w:pStyle w:val="Header"/>
      <w:jc w:val="right"/>
      <w:rPr>
        <w:rFonts w:asciiTheme="minorHAnsi" w:hAnsiTheme="minorHAnsi" w:cstheme="minorHAnsi"/>
        <w:i/>
        <w:iCs/>
        <w:sz w:val="18"/>
        <w:szCs w:val="18"/>
        <w:lang w:val="mk-MK"/>
      </w:rPr>
    </w:pPr>
  </w:p>
  <w:p w14:paraId="7E14F92D" w14:textId="77777777" w:rsidR="002375EE" w:rsidRDefault="002375EE" w:rsidP="002375EE">
    <w:pPr>
      <w:pStyle w:val="Header"/>
      <w:jc w:val="right"/>
      <w:rPr>
        <w:rFonts w:asciiTheme="minorHAnsi" w:hAnsiTheme="minorHAnsi" w:cstheme="minorHAnsi"/>
        <w:i/>
        <w:iCs/>
        <w:sz w:val="18"/>
        <w:szCs w:val="18"/>
        <w:lang w:val="mk-MK"/>
      </w:rPr>
    </w:pPr>
  </w:p>
  <w:p w14:paraId="1E111987" w14:textId="77777777" w:rsidR="002375EE" w:rsidRDefault="002375EE" w:rsidP="002375EE">
    <w:pPr>
      <w:pStyle w:val="Header"/>
      <w:jc w:val="right"/>
      <w:rPr>
        <w:rFonts w:asciiTheme="minorHAnsi" w:hAnsiTheme="minorHAnsi" w:cstheme="minorHAnsi"/>
        <w:i/>
        <w:iCs/>
        <w:sz w:val="18"/>
        <w:szCs w:val="18"/>
        <w:lang w:val="mk-MK"/>
      </w:rPr>
    </w:pPr>
  </w:p>
  <w:p w14:paraId="3D7D5DC5" w14:textId="77777777" w:rsidR="002375EE" w:rsidRDefault="002375EE" w:rsidP="002375EE">
    <w:pPr>
      <w:pStyle w:val="Header"/>
      <w:jc w:val="right"/>
      <w:rPr>
        <w:rFonts w:asciiTheme="minorHAnsi" w:hAnsiTheme="minorHAnsi" w:cstheme="minorHAnsi"/>
        <w:i/>
        <w:iCs/>
        <w:sz w:val="18"/>
        <w:szCs w:val="18"/>
        <w:lang w:val="mk-MK"/>
      </w:rPr>
    </w:pPr>
  </w:p>
  <w:p w14:paraId="606A4566" w14:textId="110D1222" w:rsidR="002375EE" w:rsidRPr="00684421" w:rsidRDefault="002375EE" w:rsidP="002375EE">
    <w:pPr>
      <w:pStyle w:val="Header"/>
      <w:jc w:val="right"/>
      <w:rPr>
        <w:rFonts w:asciiTheme="minorHAnsi" w:hAnsiTheme="minorHAnsi" w:cstheme="minorHAnsi"/>
        <w:i/>
        <w:iCs/>
        <w:sz w:val="18"/>
        <w:szCs w:val="18"/>
        <w:lang w:val="mk-MK"/>
      </w:rPr>
    </w:pPr>
    <w:r w:rsidRPr="00684421">
      <w:rPr>
        <w:rFonts w:asciiTheme="minorHAnsi" w:hAnsiTheme="minorHAnsi" w:cstheme="minorHAnsi"/>
        <w:i/>
        <w:iCs/>
        <w:sz w:val="18"/>
        <w:szCs w:val="18"/>
      </w:rPr>
      <w:t>Неофицијален превод</w:t>
    </w:r>
  </w:p>
  <w:p w14:paraId="03C0AEB9" w14:textId="703425F0" w:rsidR="006866F8" w:rsidRDefault="006866F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64B"/>
    <w:multiLevelType w:val="multilevel"/>
    <w:tmpl w:val="A50A06F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52953"/>
    <w:multiLevelType w:val="multilevel"/>
    <w:tmpl w:val="3D684AB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E06C40"/>
    <w:multiLevelType w:val="multilevel"/>
    <w:tmpl w:val="3DBE11C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312192"/>
    <w:multiLevelType w:val="multilevel"/>
    <w:tmpl w:val="222A1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622CE2"/>
    <w:multiLevelType w:val="multilevel"/>
    <w:tmpl w:val="07A0FEF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716F2E"/>
    <w:multiLevelType w:val="multilevel"/>
    <w:tmpl w:val="FFF852A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9972DC"/>
    <w:multiLevelType w:val="multilevel"/>
    <w:tmpl w:val="5B08D02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3A1AE0"/>
    <w:multiLevelType w:val="multilevel"/>
    <w:tmpl w:val="83FA9C32"/>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C448FF"/>
    <w:multiLevelType w:val="multilevel"/>
    <w:tmpl w:val="600061A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C84584"/>
    <w:multiLevelType w:val="hybridMultilevel"/>
    <w:tmpl w:val="1542D74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5567ED"/>
    <w:multiLevelType w:val="multilevel"/>
    <w:tmpl w:val="84F66584"/>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B242DE"/>
    <w:multiLevelType w:val="multilevel"/>
    <w:tmpl w:val="F048C41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C20186"/>
    <w:multiLevelType w:val="multilevel"/>
    <w:tmpl w:val="39109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760B2C"/>
    <w:multiLevelType w:val="multilevel"/>
    <w:tmpl w:val="7018E9A2"/>
    <w:lvl w:ilvl="0">
      <w:start w:val="6"/>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F4754F"/>
    <w:multiLevelType w:val="multilevel"/>
    <w:tmpl w:val="926A77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B870B6"/>
    <w:multiLevelType w:val="multilevel"/>
    <w:tmpl w:val="75DE23E4"/>
    <w:lvl w:ilvl="0">
      <w:start w:val="5"/>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EC4CFA"/>
    <w:multiLevelType w:val="multilevel"/>
    <w:tmpl w:val="8EBAEBA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5E5879"/>
    <w:multiLevelType w:val="multilevel"/>
    <w:tmpl w:val="DB0E2092"/>
    <w:lvl w:ilvl="0">
      <w:start w:val="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DE28FF"/>
    <w:multiLevelType w:val="multilevel"/>
    <w:tmpl w:val="D6D2B75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7045FF"/>
    <w:multiLevelType w:val="multilevel"/>
    <w:tmpl w:val="F21E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245B72"/>
    <w:multiLevelType w:val="multilevel"/>
    <w:tmpl w:val="F27416D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E71674"/>
    <w:multiLevelType w:val="multilevel"/>
    <w:tmpl w:val="15A0DF4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3533998">
    <w:abstractNumId w:val="14"/>
  </w:num>
  <w:num w:numId="2" w16cid:durableId="59207558">
    <w:abstractNumId w:val="5"/>
  </w:num>
  <w:num w:numId="3" w16cid:durableId="1148664465">
    <w:abstractNumId w:val="3"/>
  </w:num>
  <w:num w:numId="4" w16cid:durableId="1391994976">
    <w:abstractNumId w:val="7"/>
  </w:num>
  <w:num w:numId="5" w16cid:durableId="1740328895">
    <w:abstractNumId w:val="6"/>
  </w:num>
  <w:num w:numId="6" w16cid:durableId="1929383269">
    <w:abstractNumId w:val="20"/>
  </w:num>
  <w:num w:numId="7" w16cid:durableId="1936358186">
    <w:abstractNumId w:val="4"/>
  </w:num>
  <w:num w:numId="8" w16cid:durableId="232005634">
    <w:abstractNumId w:val="17"/>
  </w:num>
  <w:num w:numId="9" w16cid:durableId="344208132">
    <w:abstractNumId w:val="18"/>
  </w:num>
  <w:num w:numId="10" w16cid:durableId="197011928">
    <w:abstractNumId w:val="13"/>
  </w:num>
  <w:num w:numId="11" w16cid:durableId="325866515">
    <w:abstractNumId w:val="10"/>
  </w:num>
  <w:num w:numId="12" w16cid:durableId="125241463">
    <w:abstractNumId w:val="11"/>
  </w:num>
  <w:num w:numId="13" w16cid:durableId="1736661766">
    <w:abstractNumId w:val="0"/>
  </w:num>
  <w:num w:numId="14" w16cid:durableId="1559322293">
    <w:abstractNumId w:val="8"/>
  </w:num>
  <w:num w:numId="15" w16cid:durableId="1847792644">
    <w:abstractNumId w:val="15"/>
  </w:num>
  <w:num w:numId="16" w16cid:durableId="2086487860">
    <w:abstractNumId w:val="1"/>
  </w:num>
  <w:num w:numId="17" w16cid:durableId="318772463">
    <w:abstractNumId w:val="2"/>
  </w:num>
  <w:num w:numId="18" w16cid:durableId="1862739116">
    <w:abstractNumId w:val="9"/>
  </w:num>
  <w:num w:numId="19" w16cid:durableId="874346629">
    <w:abstractNumId w:val="16"/>
  </w:num>
  <w:num w:numId="20" w16cid:durableId="54008386">
    <w:abstractNumId w:val="21"/>
  </w:num>
  <w:num w:numId="21" w16cid:durableId="1288466635">
    <w:abstractNumId w:val="12"/>
  </w:num>
  <w:num w:numId="22" w16cid:durableId="6880277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6F8"/>
    <w:rsid w:val="000352DF"/>
    <w:rsid w:val="0004210A"/>
    <w:rsid w:val="00044739"/>
    <w:rsid w:val="000557E5"/>
    <w:rsid w:val="000600EC"/>
    <w:rsid w:val="000643E1"/>
    <w:rsid w:val="00077710"/>
    <w:rsid w:val="000B03EF"/>
    <w:rsid w:val="000B2492"/>
    <w:rsid w:val="000C40E8"/>
    <w:rsid w:val="000E6CFC"/>
    <w:rsid w:val="000F0E40"/>
    <w:rsid w:val="00137F96"/>
    <w:rsid w:val="00144B3D"/>
    <w:rsid w:val="001547F2"/>
    <w:rsid w:val="0016649D"/>
    <w:rsid w:val="00182DB0"/>
    <w:rsid w:val="001B2FEB"/>
    <w:rsid w:val="001E2034"/>
    <w:rsid w:val="001E2FF1"/>
    <w:rsid w:val="001E749F"/>
    <w:rsid w:val="001F0C82"/>
    <w:rsid w:val="002375EE"/>
    <w:rsid w:val="00262A83"/>
    <w:rsid w:val="0027148C"/>
    <w:rsid w:val="00274329"/>
    <w:rsid w:val="002A4B21"/>
    <w:rsid w:val="002C138D"/>
    <w:rsid w:val="002F6783"/>
    <w:rsid w:val="0031401B"/>
    <w:rsid w:val="00332D7E"/>
    <w:rsid w:val="00333668"/>
    <w:rsid w:val="00341C34"/>
    <w:rsid w:val="00343B90"/>
    <w:rsid w:val="00366982"/>
    <w:rsid w:val="0038386D"/>
    <w:rsid w:val="003A6185"/>
    <w:rsid w:val="003E05D6"/>
    <w:rsid w:val="003F3156"/>
    <w:rsid w:val="00401F81"/>
    <w:rsid w:val="00410ED6"/>
    <w:rsid w:val="004204F4"/>
    <w:rsid w:val="00421789"/>
    <w:rsid w:val="00421E73"/>
    <w:rsid w:val="0042212A"/>
    <w:rsid w:val="00423363"/>
    <w:rsid w:val="00441086"/>
    <w:rsid w:val="004420DC"/>
    <w:rsid w:val="004500BD"/>
    <w:rsid w:val="00465F84"/>
    <w:rsid w:val="004917DE"/>
    <w:rsid w:val="004C2FE0"/>
    <w:rsid w:val="005552E8"/>
    <w:rsid w:val="00566C00"/>
    <w:rsid w:val="005674DA"/>
    <w:rsid w:val="00571B65"/>
    <w:rsid w:val="00571EB3"/>
    <w:rsid w:val="005A248F"/>
    <w:rsid w:val="005B2FDF"/>
    <w:rsid w:val="00601169"/>
    <w:rsid w:val="00616F63"/>
    <w:rsid w:val="00620977"/>
    <w:rsid w:val="00665D48"/>
    <w:rsid w:val="00667F79"/>
    <w:rsid w:val="00674291"/>
    <w:rsid w:val="006866F8"/>
    <w:rsid w:val="006869E2"/>
    <w:rsid w:val="0069471B"/>
    <w:rsid w:val="00694792"/>
    <w:rsid w:val="00694F94"/>
    <w:rsid w:val="006F59BE"/>
    <w:rsid w:val="007137C1"/>
    <w:rsid w:val="00746B69"/>
    <w:rsid w:val="0076206E"/>
    <w:rsid w:val="00780CD9"/>
    <w:rsid w:val="007926F7"/>
    <w:rsid w:val="007C40BB"/>
    <w:rsid w:val="007E471C"/>
    <w:rsid w:val="007E748A"/>
    <w:rsid w:val="00801DDA"/>
    <w:rsid w:val="00803C1E"/>
    <w:rsid w:val="00806B1C"/>
    <w:rsid w:val="00832C52"/>
    <w:rsid w:val="00833BFC"/>
    <w:rsid w:val="00864877"/>
    <w:rsid w:val="00870BB1"/>
    <w:rsid w:val="008A2364"/>
    <w:rsid w:val="008B71F1"/>
    <w:rsid w:val="008C043F"/>
    <w:rsid w:val="008C14A2"/>
    <w:rsid w:val="008D66E7"/>
    <w:rsid w:val="008E0A0B"/>
    <w:rsid w:val="009151FC"/>
    <w:rsid w:val="00997551"/>
    <w:rsid w:val="009C01F7"/>
    <w:rsid w:val="009C2A4D"/>
    <w:rsid w:val="009D19A5"/>
    <w:rsid w:val="00A136D5"/>
    <w:rsid w:val="00A22FC1"/>
    <w:rsid w:val="00A462D9"/>
    <w:rsid w:val="00A62D15"/>
    <w:rsid w:val="00AA191D"/>
    <w:rsid w:val="00AA7E85"/>
    <w:rsid w:val="00AC241D"/>
    <w:rsid w:val="00B0365B"/>
    <w:rsid w:val="00B16191"/>
    <w:rsid w:val="00B5140C"/>
    <w:rsid w:val="00B5518F"/>
    <w:rsid w:val="00B624A7"/>
    <w:rsid w:val="00B74EAD"/>
    <w:rsid w:val="00B8240F"/>
    <w:rsid w:val="00B86AC2"/>
    <w:rsid w:val="00B913E1"/>
    <w:rsid w:val="00B95A66"/>
    <w:rsid w:val="00BC0260"/>
    <w:rsid w:val="00BD3ABE"/>
    <w:rsid w:val="00C01292"/>
    <w:rsid w:val="00C1686B"/>
    <w:rsid w:val="00C6407C"/>
    <w:rsid w:val="00CA195A"/>
    <w:rsid w:val="00CC280F"/>
    <w:rsid w:val="00CC2CF6"/>
    <w:rsid w:val="00D0130D"/>
    <w:rsid w:val="00D17971"/>
    <w:rsid w:val="00D17B07"/>
    <w:rsid w:val="00D54ADD"/>
    <w:rsid w:val="00D62D6D"/>
    <w:rsid w:val="00D656BE"/>
    <w:rsid w:val="00D71A07"/>
    <w:rsid w:val="00D73768"/>
    <w:rsid w:val="00D76660"/>
    <w:rsid w:val="00D87553"/>
    <w:rsid w:val="00DC38A5"/>
    <w:rsid w:val="00DD3234"/>
    <w:rsid w:val="00DF5C53"/>
    <w:rsid w:val="00E158CA"/>
    <w:rsid w:val="00E33135"/>
    <w:rsid w:val="00EA2455"/>
    <w:rsid w:val="00ED5559"/>
    <w:rsid w:val="00EF237D"/>
    <w:rsid w:val="00F24D98"/>
    <w:rsid w:val="00F2628C"/>
    <w:rsid w:val="00F31DC5"/>
    <w:rsid w:val="00F416B9"/>
    <w:rsid w:val="00F5143F"/>
    <w:rsid w:val="00F678A4"/>
    <w:rsid w:val="00F75549"/>
    <w:rsid w:val="00F779C2"/>
    <w:rsid w:val="00F863FE"/>
    <w:rsid w:val="00F906A6"/>
    <w:rsid w:val="00FA0ECD"/>
    <w:rsid w:val="00FD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D316"/>
  <w15:docId w15:val="{3B1030B0-CE0E-40A6-A3D1-F5F78CFC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mk"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5">
    <w:name w:val="heading 5"/>
    <w:basedOn w:val="Normal"/>
    <w:next w:val="Normal"/>
    <w:link w:val="Heading5Char"/>
    <w:uiPriority w:val="9"/>
    <w:semiHidden/>
    <w:unhideWhenUsed/>
    <w:qFormat/>
    <w:rsid w:val="00B5518F"/>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AC241D"/>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0563C1"/>
      <w:sz w:val="20"/>
      <w:szCs w:val="20"/>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paragraph" w:customStyle="1" w:styleId="Footnote0">
    <w:name w:val="Footnote"/>
    <w:basedOn w:val="Normal"/>
    <w:link w:val="Footnote"/>
    <w:pPr>
      <w:spacing w:after="170"/>
    </w:pPr>
    <w:rPr>
      <w:rFonts w:ascii="Times New Roman" w:eastAsia="Times New Roman" w:hAnsi="Times New Roman" w:cs="Times New Roman"/>
      <w:color w:val="0563C1"/>
      <w:sz w:val="20"/>
      <w:szCs w:val="20"/>
      <w:u w:val="single"/>
    </w:rPr>
  </w:style>
  <w:style w:type="paragraph" w:customStyle="1" w:styleId="Heading10">
    <w:name w:val="Heading #1"/>
    <w:basedOn w:val="Normal"/>
    <w:link w:val="Heading1"/>
    <w:pPr>
      <w:spacing w:after="680"/>
      <w:jc w:val="center"/>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0">
    <w:name w:val="Heading #2"/>
    <w:basedOn w:val="Normal"/>
    <w:link w:val="Heading2"/>
    <w:pPr>
      <w:spacing w:after="160" w:line="276" w:lineRule="auto"/>
      <w:outlineLvl w:val="1"/>
    </w:pPr>
    <w:rPr>
      <w:rFonts w:ascii="Times New Roman" w:eastAsia="Times New Roman" w:hAnsi="Times New Roman" w:cs="Times New Roman"/>
      <w:b/>
      <w:bCs/>
    </w:rPr>
  </w:style>
  <w:style w:type="paragraph" w:styleId="BodyText">
    <w:name w:val="Body Text"/>
    <w:basedOn w:val="Normal"/>
    <w:link w:val="BodyTextChar"/>
    <w:qFormat/>
    <w:pPr>
      <w:spacing w:after="160" w:line="259" w:lineRule="auto"/>
    </w:pPr>
    <w:rPr>
      <w:rFonts w:ascii="Times New Roman" w:eastAsia="Times New Roman" w:hAnsi="Times New Roman" w:cs="Times New Roman"/>
    </w:rPr>
  </w:style>
  <w:style w:type="paragraph" w:customStyle="1" w:styleId="Bodytext20">
    <w:name w:val="Body text (2)"/>
    <w:basedOn w:val="Normal"/>
    <w:link w:val="Bodytext2"/>
    <w:pPr>
      <w:spacing w:after="60"/>
      <w:ind w:left="2400"/>
    </w:pPr>
    <w:rPr>
      <w:rFonts w:ascii="Times New Roman" w:eastAsia="Times New Roman" w:hAnsi="Times New Roman" w:cs="Times New Roman"/>
      <w:sz w:val="22"/>
      <w:szCs w:val="22"/>
    </w:rPr>
  </w:style>
  <w:style w:type="paragraph" w:customStyle="1" w:styleId="Tablecaption0">
    <w:name w:val="Table caption"/>
    <w:basedOn w:val="Normal"/>
    <w:link w:val="Tablecaption"/>
    <w:rPr>
      <w:rFonts w:ascii="Times New Roman" w:eastAsia="Times New Roman" w:hAnsi="Times New Roman" w:cs="Times New Roman"/>
      <w:b/>
      <w:bCs/>
    </w:rPr>
  </w:style>
  <w:style w:type="paragraph" w:customStyle="1" w:styleId="Other0">
    <w:name w:val="Other"/>
    <w:basedOn w:val="Normal"/>
    <w:link w:val="Other"/>
    <w:rPr>
      <w:rFonts w:ascii="Times New Roman" w:eastAsia="Times New Roman" w:hAnsi="Times New Roman" w:cs="Times New Roman"/>
      <w:sz w:val="22"/>
      <w:szCs w:val="22"/>
    </w:rPr>
  </w:style>
  <w:style w:type="character" w:styleId="CommentReference">
    <w:name w:val="annotation reference"/>
    <w:basedOn w:val="DefaultParagraphFont"/>
    <w:uiPriority w:val="99"/>
    <w:semiHidden/>
    <w:unhideWhenUsed/>
    <w:rsid w:val="006869E2"/>
    <w:rPr>
      <w:sz w:val="16"/>
      <w:szCs w:val="16"/>
    </w:rPr>
  </w:style>
  <w:style w:type="paragraph" w:styleId="CommentText">
    <w:name w:val="annotation text"/>
    <w:basedOn w:val="Normal"/>
    <w:link w:val="CommentTextChar"/>
    <w:uiPriority w:val="99"/>
    <w:semiHidden/>
    <w:unhideWhenUsed/>
    <w:rsid w:val="006869E2"/>
    <w:rPr>
      <w:sz w:val="20"/>
      <w:szCs w:val="20"/>
    </w:rPr>
  </w:style>
  <w:style w:type="character" w:customStyle="1" w:styleId="CommentTextChar">
    <w:name w:val="Comment Text Char"/>
    <w:basedOn w:val="DefaultParagraphFont"/>
    <w:link w:val="CommentText"/>
    <w:uiPriority w:val="99"/>
    <w:semiHidden/>
    <w:rsid w:val="006869E2"/>
    <w:rPr>
      <w:color w:val="000000"/>
      <w:sz w:val="20"/>
      <w:szCs w:val="20"/>
    </w:rPr>
  </w:style>
  <w:style w:type="paragraph" w:styleId="CommentSubject">
    <w:name w:val="annotation subject"/>
    <w:basedOn w:val="CommentText"/>
    <w:next w:val="CommentText"/>
    <w:link w:val="CommentSubjectChar"/>
    <w:uiPriority w:val="99"/>
    <w:semiHidden/>
    <w:unhideWhenUsed/>
    <w:rsid w:val="006869E2"/>
    <w:rPr>
      <w:b/>
      <w:bCs/>
    </w:rPr>
  </w:style>
  <w:style w:type="character" w:customStyle="1" w:styleId="CommentSubjectChar">
    <w:name w:val="Comment Subject Char"/>
    <w:basedOn w:val="CommentTextChar"/>
    <w:link w:val="CommentSubject"/>
    <w:uiPriority w:val="99"/>
    <w:semiHidden/>
    <w:rsid w:val="006869E2"/>
    <w:rPr>
      <w:b/>
      <w:bCs/>
      <w:color w:val="000000"/>
      <w:sz w:val="20"/>
      <w:szCs w:val="20"/>
    </w:rPr>
  </w:style>
  <w:style w:type="paragraph" w:styleId="FootnoteText">
    <w:name w:val="footnote text"/>
    <w:basedOn w:val="Normal"/>
    <w:link w:val="FootnoteTextChar"/>
    <w:uiPriority w:val="99"/>
    <w:semiHidden/>
    <w:unhideWhenUsed/>
    <w:rsid w:val="00D0130D"/>
    <w:rPr>
      <w:sz w:val="20"/>
      <w:szCs w:val="20"/>
    </w:rPr>
  </w:style>
  <w:style w:type="character" w:customStyle="1" w:styleId="FootnoteTextChar">
    <w:name w:val="Footnote Text Char"/>
    <w:basedOn w:val="DefaultParagraphFont"/>
    <w:link w:val="FootnoteText"/>
    <w:uiPriority w:val="99"/>
    <w:semiHidden/>
    <w:rsid w:val="00D0130D"/>
    <w:rPr>
      <w:color w:val="000000"/>
      <w:sz w:val="20"/>
      <w:szCs w:val="20"/>
    </w:rPr>
  </w:style>
  <w:style w:type="character" w:styleId="FootnoteReference">
    <w:name w:val="footnote reference"/>
    <w:basedOn w:val="DefaultParagraphFont"/>
    <w:uiPriority w:val="99"/>
    <w:semiHidden/>
    <w:unhideWhenUsed/>
    <w:rsid w:val="00D0130D"/>
    <w:rPr>
      <w:vertAlign w:val="superscript"/>
    </w:rPr>
  </w:style>
  <w:style w:type="character" w:styleId="Hyperlink">
    <w:name w:val="Hyperlink"/>
    <w:basedOn w:val="DefaultParagraphFont"/>
    <w:uiPriority w:val="99"/>
    <w:unhideWhenUsed/>
    <w:rsid w:val="00D62D6D"/>
    <w:rPr>
      <w:color w:val="467886" w:themeColor="hyperlink"/>
      <w:u w:val="single"/>
    </w:rPr>
  </w:style>
  <w:style w:type="character" w:styleId="UnresolvedMention">
    <w:name w:val="Unresolved Mention"/>
    <w:basedOn w:val="DefaultParagraphFont"/>
    <w:uiPriority w:val="99"/>
    <w:semiHidden/>
    <w:unhideWhenUsed/>
    <w:rsid w:val="00D62D6D"/>
    <w:rPr>
      <w:color w:val="605E5C"/>
      <w:shd w:val="clear" w:color="auto" w:fill="E1DFDD"/>
    </w:rPr>
  </w:style>
  <w:style w:type="paragraph" w:styleId="Revision">
    <w:name w:val="Revision"/>
    <w:hidden/>
    <w:uiPriority w:val="99"/>
    <w:semiHidden/>
    <w:rsid w:val="000643E1"/>
    <w:pPr>
      <w:widowControl/>
    </w:pPr>
    <w:rPr>
      <w:color w:val="000000"/>
    </w:rPr>
  </w:style>
  <w:style w:type="paragraph" w:styleId="Header">
    <w:name w:val="header"/>
    <w:basedOn w:val="Normal"/>
    <w:link w:val="HeaderChar"/>
    <w:uiPriority w:val="99"/>
    <w:unhideWhenUsed/>
    <w:rsid w:val="00262A83"/>
    <w:pPr>
      <w:tabs>
        <w:tab w:val="center" w:pos="4680"/>
        <w:tab w:val="right" w:pos="9360"/>
      </w:tabs>
    </w:pPr>
  </w:style>
  <w:style w:type="character" w:customStyle="1" w:styleId="HeaderChar">
    <w:name w:val="Header Char"/>
    <w:basedOn w:val="DefaultParagraphFont"/>
    <w:link w:val="Header"/>
    <w:uiPriority w:val="99"/>
    <w:rsid w:val="00262A83"/>
    <w:rPr>
      <w:color w:val="000000"/>
    </w:rPr>
  </w:style>
  <w:style w:type="paragraph" w:styleId="Footer">
    <w:name w:val="footer"/>
    <w:basedOn w:val="Normal"/>
    <w:link w:val="FooterChar"/>
    <w:uiPriority w:val="99"/>
    <w:unhideWhenUsed/>
    <w:rsid w:val="00262A83"/>
    <w:pPr>
      <w:tabs>
        <w:tab w:val="center" w:pos="4680"/>
        <w:tab w:val="right" w:pos="9360"/>
      </w:tabs>
    </w:pPr>
  </w:style>
  <w:style w:type="character" w:customStyle="1" w:styleId="FooterChar">
    <w:name w:val="Footer Char"/>
    <w:basedOn w:val="DefaultParagraphFont"/>
    <w:link w:val="Footer"/>
    <w:uiPriority w:val="99"/>
    <w:rsid w:val="00262A83"/>
    <w:rPr>
      <w:color w:val="000000"/>
    </w:rPr>
  </w:style>
  <w:style w:type="paragraph" w:styleId="NormalWeb">
    <w:name w:val="Normal (Web)"/>
    <w:basedOn w:val="Normal"/>
    <w:uiPriority w:val="99"/>
    <w:semiHidden/>
    <w:unhideWhenUsed/>
    <w:rsid w:val="00F863FE"/>
    <w:rPr>
      <w:rFonts w:ascii="Times New Roman" w:hAnsi="Times New Roman" w:cs="Times New Roman"/>
    </w:rPr>
  </w:style>
  <w:style w:type="character" w:customStyle="1" w:styleId="Heading6Char">
    <w:name w:val="Heading 6 Char"/>
    <w:basedOn w:val="DefaultParagraphFont"/>
    <w:link w:val="Heading6"/>
    <w:uiPriority w:val="9"/>
    <w:semiHidden/>
    <w:rsid w:val="00AC241D"/>
    <w:rPr>
      <w:rFonts w:asciiTheme="majorHAnsi" w:eastAsiaTheme="majorEastAsia" w:hAnsiTheme="majorHAnsi" w:cstheme="majorBidi"/>
      <w:color w:val="0A2F40" w:themeColor="accent1" w:themeShade="7F"/>
    </w:rPr>
  </w:style>
  <w:style w:type="character" w:customStyle="1" w:styleId="Heading5Char">
    <w:name w:val="Heading 5 Char"/>
    <w:basedOn w:val="DefaultParagraphFont"/>
    <w:link w:val="Heading5"/>
    <w:uiPriority w:val="9"/>
    <w:semiHidden/>
    <w:rsid w:val="00B5518F"/>
    <w:rPr>
      <w:rFonts w:asciiTheme="majorHAnsi" w:eastAsiaTheme="majorEastAsia" w:hAnsiTheme="majorHAnsi" w:cstheme="majorBidi"/>
      <w:color w:val="0F4761" w:themeColor="accent1" w:themeShade="BF"/>
    </w:rPr>
  </w:style>
  <w:style w:type="paragraph" w:styleId="ListParagraph">
    <w:name w:val="List Paragraph"/>
    <w:basedOn w:val="Normal"/>
    <w:uiPriority w:val="34"/>
    <w:qFormat/>
    <w:rsid w:val="00332D7E"/>
    <w:pPr>
      <w:ind w:left="720"/>
      <w:contextualSpacing/>
    </w:pPr>
  </w:style>
  <w:style w:type="character" w:styleId="Strong">
    <w:name w:val="Strong"/>
    <w:basedOn w:val="DefaultParagraphFont"/>
    <w:uiPriority w:val="22"/>
    <w:qFormat/>
    <w:rsid w:val="00314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finance.gov.mk/wp-content/uploads/2025/02/RULEBOOK.pdf" TargetMode="External"/><Relationship Id="rId18" Type="http://schemas.openxmlformats.org/officeDocument/2006/relationships/hyperlink" Target="https://finance.gov.mk/wp-content/uploads/2025/02/RULEBOOK-ON-ECONOMIC-CLASSIFICATION.pdf" TargetMode="External"/><Relationship Id="rId26" Type="http://schemas.openxmlformats.org/officeDocument/2006/relationships/hyperlink" Target="https://finance.gov.mk/wp-content/uploads/2025/02/Program-Classification-Rulebook.pdf" TargetMode="External"/><Relationship Id="rId39" Type="http://schemas.openxmlformats.org/officeDocument/2006/relationships/hyperlink" Target="https://www.slvesnik.com.mk/Issues/74c71826579f4863a327830e2fb7ac36.pdf" TargetMode="External"/><Relationship Id="rId21" Type="http://schemas.openxmlformats.org/officeDocument/2006/relationships/hyperlink" Target="https://finance.gov.mk/wp-content/uploads/2025/02/Economic-expenditure.pdf" TargetMode="External"/><Relationship Id="rId34" Type="http://schemas.openxmlformats.org/officeDocument/2006/relationships/hyperlink" Target="https://finance.gov.mk/wp-content/uploads/2025/02/Guidelines-on-the-method-of-preparing-macro-fiscal-projections.pdf" TargetMode="External"/><Relationship Id="rId42" Type="http://schemas.openxmlformats.org/officeDocument/2006/relationships/hyperlink" Target="https://finance.gov.mk/wp-content/uploads/2025/02/28e08ed95f77419c9ebc39c5faa197d0.pdf" TargetMode="External"/><Relationship Id="rId47" Type="http://schemas.openxmlformats.org/officeDocument/2006/relationships/hyperlink" Target="https://finance.gov.mk/wp-content/uploads/2025/02/923491f008b64121afff03fa71a2a266.pdf"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inance.gov.mk/wp-content/uploads/2025/02/Organizational-classification.pdf" TargetMode="External"/><Relationship Id="rId29" Type="http://schemas.openxmlformats.org/officeDocument/2006/relationships/hyperlink" Target="https://finance.gov.mk/wp-content/uploads/2025/02/Rulebook-on-assessing-fiscal-implications.pdf" TargetMode="External"/><Relationship Id="rId11" Type="http://schemas.openxmlformats.org/officeDocument/2006/relationships/hyperlink" Target="https://finance.gov.mk/wp-content/uploads/2025/02/REGISTER-OF-PUBLIC-ENTITIES.xlsx" TargetMode="External"/><Relationship Id="rId24" Type="http://schemas.openxmlformats.org/officeDocument/2006/relationships/hyperlink" Target="https://finance.gov.mk/wp-content/uploads/2025/02/Rulebook-on-Functional-Classification.pdf" TargetMode="External"/><Relationship Id="rId32" Type="http://schemas.openxmlformats.org/officeDocument/2006/relationships/hyperlink" Target="https://finance.gov.mk/wp-content/uploads/2025/02/Gender-responsive-budget-statement.pdf" TargetMode="External"/><Relationship Id="rId37" Type="http://schemas.openxmlformats.org/officeDocument/2006/relationships/hyperlink" Target="https://finance.gov.mk/wp-content/uploads/2025/03/2025-2029-Fiscal-Strategy-of-the-MK.pdf" TargetMode="External"/><Relationship Id="rId40" Type="http://schemas.openxmlformats.org/officeDocument/2006/relationships/hyperlink" Target="https://www.slvesnik.com.mk/Issues/74c71826579f4863a327830e2fb7ac36.pdf" TargetMode="External"/><Relationship Id="rId45" Type="http://schemas.openxmlformats.org/officeDocument/2006/relationships/hyperlink" Target="https://finance.gov.mk/wp-content/uploads/2025/02/46a578e94ee04f1680bde4a56e98b3da.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finance.gov.mk/wp-content/uploads/2025/02/FISCAL-POLICY-STATEMENT-FOR-THE-PERIOD-2024-2028.pdf" TargetMode="External"/><Relationship Id="rId19" Type="http://schemas.openxmlformats.org/officeDocument/2006/relationships/hyperlink" Target="https://finance.gov.mk/wp-content/uploads/2025/02/RULEBOOK-ON-ECONOMIC-CLASSIFICATION.pdf" TargetMode="External"/><Relationship Id="rId31" Type="http://schemas.openxmlformats.org/officeDocument/2006/relationships/hyperlink" Target="https://finance.gov.mk/wp-content/uploads/2025/02/Gender-responsive-budget-statement.pdf" TargetMode="External"/><Relationship Id="rId44" Type="http://schemas.openxmlformats.org/officeDocument/2006/relationships/hyperlink" Target="https://finance.gov.mk/wp-content/uploads/2025/02/46a578e94ee04f1680bde4a56e98b3da.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nance.gov.mk/wp-content/uploads/2025/02/FISCAL-POLICY-STATEMENT-FOR-THE-PERIOD-2024-2028.pdf" TargetMode="External"/><Relationship Id="rId14" Type="http://schemas.openxmlformats.org/officeDocument/2006/relationships/hyperlink" Target="https://finance.gov.mk/wp-content/uploads/2025/02/Rulebook-on-Organizational-Classification.pdf" TargetMode="External"/><Relationship Id="rId22" Type="http://schemas.openxmlformats.org/officeDocument/2006/relationships/hyperlink" Target="https://finance.gov.mk/wp-content/uploads/2025/02/Att-2-OECD-Class-Definitions-Functional-classification.pdf" TargetMode="External"/><Relationship Id="rId27" Type="http://schemas.openxmlformats.org/officeDocument/2006/relationships/hyperlink" Target="https://finance.gov.mk/wp-content/uploads/2025/02/Rulebook-on-Budget-Classification-by-Sources-of-Financing.pdf" TargetMode="External"/><Relationship Id="rId30" Type="http://schemas.openxmlformats.org/officeDocument/2006/relationships/hyperlink" Target="https://finance.gov.mk/wp-content/uploads/2025/02/Rulebook-on-assessing-fiscal-implications.pdf" TargetMode="External"/><Relationship Id="rId35" Type="http://schemas.openxmlformats.org/officeDocument/2006/relationships/hyperlink" Target="https://finance.gov.mk/wp-content/uploads/2025/02/Misdemeanor-payment-order.pdf" TargetMode="External"/><Relationship Id="rId43" Type="http://schemas.openxmlformats.org/officeDocument/2006/relationships/hyperlink" Target="https://finance.gov.mk/wp-content/uploads/2025/02/28e08ed95f77419c9ebc39c5faa197d0.pdf" TargetMode="External"/><Relationship Id="rId48" Type="http://schemas.openxmlformats.org/officeDocument/2006/relationships/header" Target="header1.xml"/><Relationship Id="rId8" Type="http://schemas.openxmlformats.org/officeDocument/2006/relationships/hyperlink" Target="https://www.slvesnik.com.mk/Issues/8c2e6621d184423b9e7393d838f63421.pdf"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finance.gov.mk/wp-content/uploads/2025/02/REGISTER-OF-PUBLIC-ENTITIES.xlsx" TargetMode="External"/><Relationship Id="rId17" Type="http://schemas.openxmlformats.org/officeDocument/2006/relationships/hyperlink" Target="https://finance.gov.mk/wp-content/uploads/2025/02/Organizational-classification.pdf" TargetMode="External"/><Relationship Id="rId25" Type="http://schemas.openxmlformats.org/officeDocument/2006/relationships/hyperlink" Target="https://finance.gov.mk/wp-content/uploads/2025/02/Program-Classification-Rulebook.pdf" TargetMode="External"/><Relationship Id="rId33" Type="http://schemas.openxmlformats.org/officeDocument/2006/relationships/hyperlink" Target="https://finance.gov.mk/wp-content/uploads/2025/02/Guidelines-on-the-method-of-preparing-macro-fiscal-projections.pdf" TargetMode="External"/><Relationship Id="rId38" Type="http://schemas.openxmlformats.org/officeDocument/2006/relationships/hyperlink" Target="https://finance.gov.mk/wp-content/uploads/2025/03/2025-2029-Fiscal-Strategy-of-the-MK.pdf" TargetMode="External"/><Relationship Id="rId46" Type="http://schemas.openxmlformats.org/officeDocument/2006/relationships/hyperlink" Target="https://finance.gov.mk/wp-content/uploads/2025/02/923491f008b64121afff03fa71a2a266.pdf" TargetMode="External"/><Relationship Id="rId20" Type="http://schemas.openxmlformats.org/officeDocument/2006/relationships/hyperlink" Target="https://finance.gov.mk/wp-content/uploads/2025/02/Economic-revenues.pdf" TargetMode="External"/><Relationship Id="rId41" Type="http://schemas.openxmlformats.org/officeDocument/2006/relationships/hyperlink" Target="https://www.slvesnik.com.mk/Issues/74c71826579f4863a327830e2fb7ac36.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inance.gov.mk/wp-content/uploads/2025/02/Rulebook-on-Organizational-Classification.pdf" TargetMode="External"/><Relationship Id="rId23" Type="http://schemas.openxmlformats.org/officeDocument/2006/relationships/hyperlink" Target="https://finance.gov.mk/wp-content/uploads/2025/02/Rulebook-on-Functional-Classification.pdf" TargetMode="External"/><Relationship Id="rId28" Type="http://schemas.openxmlformats.org/officeDocument/2006/relationships/hyperlink" Target="https://finance.gov.mk/wp-content/uploads/2025/02/Rulebook-on-Budget-Classification-by-Sources-of-Financing.pdf" TargetMode="External"/><Relationship Id="rId36" Type="http://schemas.openxmlformats.org/officeDocument/2006/relationships/hyperlink" Target="https://finance.gov.mk/wp-content/uploads/2025/02/Misdemeanor-payment-order.pdf" TargetMode="External"/><Relationship Id="rId4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efa.org/node/5117" TargetMode="External"/><Relationship Id="rId2" Type="http://schemas.openxmlformats.org/officeDocument/2006/relationships/hyperlink" Target="https://www.pefa.org/node/5117" TargetMode="External"/><Relationship Id="rId1" Type="http://schemas.openxmlformats.org/officeDocument/2006/relationships/hyperlink" Target="https://www.osce.Org/files/f/documents/5/e/576648.pdf" TargetMode="External"/><Relationship Id="rId6" Type="http://schemas.openxmlformats.org/officeDocument/2006/relationships/hyperlink" Target="https://www.sigmaweb.org/en/publications/public-administration-in-the-republic-of-north-macedonia-2024_071bad9d-en.html" TargetMode="External"/><Relationship Id="rId5" Type="http://schemas.openxmlformats.org/officeDocument/2006/relationships/hyperlink" Target="https://www.sigmaweb.org/en/publications/public-administration-in-the-republic-of-north-macedonia-2024_071bad9d-en.html" TargetMode="External"/><Relationship Id="rId4" Type="http://schemas.openxmlformats.org/officeDocument/2006/relationships/hyperlink" Target="https://www.sigmaweb.org/en/publications/public-administration-in-the-republic-of-north-macedonia-2024_071bad9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90679-2890-404E-8862-14B57742D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8276</Words>
  <Characters>47178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CRESPI Giulio (ENEST)</dc:creator>
  <cp:keywords/>
  <cp:lastModifiedBy>Naser Curi</cp:lastModifiedBy>
  <cp:revision>3</cp:revision>
  <dcterms:created xsi:type="dcterms:W3CDTF">2025-09-15T08:26:00Z</dcterms:created>
  <dcterms:modified xsi:type="dcterms:W3CDTF">2025-09-15T08:27:00Z</dcterms:modified>
</cp:coreProperties>
</file>