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C219" w14:textId="6063EF21" w:rsidR="006866F8" w:rsidRPr="007E748A" w:rsidRDefault="007E748A">
      <w:pPr>
        <w:pStyle w:val="Heading10"/>
        <w:keepNext/>
        <w:keepLines/>
        <w:rPr>
          <w:lang w:val="mk-MK"/>
        </w:rPr>
      </w:pPr>
      <w:r>
        <w:rPr>
          <w:rStyle w:val="Heading1"/>
          <w:b/>
          <w:bCs/>
          <w:lang w:val="mk-MK"/>
        </w:rPr>
        <w:t>МК</w:t>
      </w:r>
    </w:p>
    <w:p w14:paraId="4520F6E6" w14:textId="77777777" w:rsidR="006866F8" w:rsidRDefault="00B8240F">
      <w:pPr>
        <w:pStyle w:val="Heading20"/>
        <w:keepNext/>
        <w:keepLines/>
        <w:spacing w:after="140" w:line="259" w:lineRule="auto"/>
        <w:jc w:val="center"/>
      </w:pPr>
      <w:bookmarkStart w:id="0" w:name="bookmark2"/>
      <w:r>
        <w:rPr>
          <w:rStyle w:val="Heading2"/>
          <w:b/>
          <w:bCs/>
          <w:u w:val="single"/>
        </w:rPr>
        <w:t>АНЕКС</w:t>
      </w:r>
      <w:bookmarkEnd w:id="0"/>
    </w:p>
    <w:p w14:paraId="1CACA9C7" w14:textId="015EB0FE" w:rsidR="006866F8" w:rsidRDefault="00864877">
      <w:pPr>
        <w:pStyle w:val="BodyText"/>
        <w:spacing w:after="140"/>
        <w:jc w:val="center"/>
      </w:pPr>
      <w:r>
        <w:rPr>
          <w:rStyle w:val="BodyTextChar"/>
          <w:lang w:val="mk-MK"/>
        </w:rPr>
        <w:t>кон</w:t>
      </w:r>
      <w:r>
        <w:rPr>
          <w:rStyle w:val="BodyTextChar"/>
        </w:rPr>
        <w:t xml:space="preserve"> Одлуката за спроведување на Комисијата </w:t>
      </w:r>
      <w:r>
        <w:rPr>
          <w:rStyle w:val="BodyTextChar"/>
          <w:lang w:val="mk-MK"/>
        </w:rPr>
        <w:t>за</w:t>
      </w:r>
      <w:r>
        <w:rPr>
          <w:rStyle w:val="BodyTextChar"/>
        </w:rPr>
        <w:t xml:space="preserve"> одобрув</w:t>
      </w:r>
      <w:r>
        <w:rPr>
          <w:rStyle w:val="BodyTextChar"/>
          <w:lang w:val="mk-MK"/>
        </w:rPr>
        <w:t>ање на</w:t>
      </w:r>
      <w:r>
        <w:rPr>
          <w:rStyle w:val="BodyTextChar"/>
        </w:rPr>
        <w:t xml:space="preserve"> првото ослободување на средства</w:t>
      </w:r>
      <w:r>
        <w:rPr>
          <w:rStyle w:val="BodyTextChar"/>
          <w:lang w:val="mk-MK"/>
        </w:rPr>
        <w:t>та</w:t>
      </w:r>
      <w:r>
        <w:rPr>
          <w:rStyle w:val="BodyTextChar"/>
        </w:rPr>
        <w:t xml:space="preserve"> за Северна Македонија во рамките на </w:t>
      </w:r>
      <w:r w:rsidR="00B74EAD">
        <w:rPr>
          <w:rStyle w:val="BodyTextChar"/>
          <w:lang w:val="mk-MK"/>
        </w:rPr>
        <w:t>Инструментот</w:t>
      </w:r>
      <w:r>
        <w:rPr>
          <w:rStyle w:val="BodyTextChar"/>
        </w:rPr>
        <w:t xml:space="preserve"> за реформи и раст за Западен Балкан</w:t>
      </w:r>
    </w:p>
    <w:p w14:paraId="26F9F111" w14:textId="62574EAA" w:rsidR="006866F8" w:rsidRDefault="00B8240F">
      <w:pPr>
        <w:pStyle w:val="BodyText"/>
        <w:spacing w:after="600"/>
        <w:jc w:val="center"/>
      </w:pPr>
      <w:r>
        <w:rPr>
          <w:rStyle w:val="BodyTextChar"/>
          <w:b/>
          <w:bCs/>
        </w:rPr>
        <w:t xml:space="preserve">Процена на условите за плаќања </w:t>
      </w:r>
      <w:r w:rsidR="00864877">
        <w:rPr>
          <w:rStyle w:val="BodyTextChar"/>
          <w:b/>
          <w:bCs/>
        </w:rPr>
        <w:t>–</w:t>
      </w:r>
      <w:r>
        <w:rPr>
          <w:rStyle w:val="BodyTextChar"/>
          <w:b/>
          <w:bCs/>
        </w:rPr>
        <w:t xml:space="preserve"> Северна Македонија</w:t>
      </w:r>
    </w:p>
    <w:p w14:paraId="5DA1CE60" w14:textId="4A71ABD8" w:rsidR="006866F8" w:rsidRDefault="00B8240F">
      <w:pPr>
        <w:pStyle w:val="BodyText"/>
        <w:numPr>
          <w:ilvl w:val="0"/>
          <w:numId w:val="1"/>
        </w:numPr>
        <w:tabs>
          <w:tab w:val="left" w:pos="294"/>
        </w:tabs>
        <w:spacing w:after="140"/>
        <w:jc w:val="both"/>
      </w:pPr>
      <w:r>
        <w:rPr>
          <w:rStyle w:val="BodyTextChar"/>
          <w:b/>
          <w:bCs/>
        </w:rPr>
        <w:t>Процена на ЕК за предусловите за поддршка од Унијата</w:t>
      </w:r>
    </w:p>
    <w:p w14:paraId="2377115E" w14:textId="77777777" w:rsidR="006866F8" w:rsidRDefault="00B8240F">
      <w:pPr>
        <w:pStyle w:val="BodyText"/>
        <w:spacing w:after="140"/>
        <w:jc w:val="both"/>
      </w:pPr>
      <w:r>
        <w:rPr>
          <w:rStyle w:val="BodyTextChar"/>
          <w:b/>
          <w:bCs/>
          <w:i/>
          <w:iCs/>
        </w:rPr>
        <w:t>Ефективни демократски механизми и механизми за владеење на правото</w:t>
      </w:r>
    </w:p>
    <w:p w14:paraId="29E20A7B" w14:textId="6C0E5036" w:rsidR="006866F8" w:rsidRDefault="00B8240F">
      <w:pPr>
        <w:pStyle w:val="BodyText"/>
        <w:spacing w:after="140"/>
        <w:jc w:val="both"/>
      </w:pPr>
      <w:r>
        <w:rPr>
          <w:rStyle w:val="BodyTextChar"/>
        </w:rPr>
        <w:t xml:space="preserve">Северна Македонија има повеќепартиски парламентарен систем. Според наодите и заклучоците на ОДИХР на ОБСЕ, последните парламентарни и претседателски избори во 2024 година беа </w:t>
      </w:r>
      <w:r w:rsidR="00864877">
        <w:rPr>
          <w:rStyle w:val="BodyTextChar"/>
          <w:lang w:val="mk-MK"/>
        </w:rPr>
        <w:t>компетитивни</w:t>
      </w:r>
      <w:r>
        <w:rPr>
          <w:rStyle w:val="BodyTextChar"/>
        </w:rPr>
        <w:t xml:space="preserve"> и </w:t>
      </w:r>
      <w:r w:rsidR="00864877">
        <w:rPr>
          <w:rStyle w:val="BodyTextChar"/>
          <w:lang w:val="mk-MK"/>
        </w:rPr>
        <w:t>фундаменталните</w:t>
      </w:r>
      <w:r>
        <w:rPr>
          <w:rStyle w:val="BodyTextChar"/>
        </w:rPr>
        <w:t xml:space="preserve"> слободи беа почитувани, а законодавство</w:t>
      </w:r>
      <w:r w:rsidR="00864877">
        <w:rPr>
          <w:rStyle w:val="BodyTextChar"/>
          <w:lang w:val="mk-MK"/>
        </w:rPr>
        <w:t>то за избори</w:t>
      </w:r>
      <w:r>
        <w:rPr>
          <w:rStyle w:val="BodyTextChar"/>
        </w:rPr>
        <w:t xml:space="preserve"> обезбедува соодветна рамка за одржување демократски избори (</w:t>
      </w:r>
      <w:r w:rsidR="00D0130D">
        <w:rPr>
          <w:rStyle w:val="FootnoteReference"/>
        </w:rPr>
        <w:footnoteReference w:id="1"/>
      </w:r>
      <w:r>
        <w:rPr>
          <w:rStyle w:val="BodyTextChar"/>
        </w:rPr>
        <w:t>). Правилата за кампањ</w:t>
      </w:r>
      <w:r w:rsidR="00D0130D">
        <w:rPr>
          <w:rStyle w:val="BodyTextChar"/>
          <w:lang w:val="mk-MK"/>
        </w:rPr>
        <w:t>а</w:t>
      </w:r>
      <w:r>
        <w:rPr>
          <w:rStyle w:val="BodyTextChar"/>
        </w:rPr>
        <w:t xml:space="preserve">, пристапот до медиумите и распределбата на државното финансирање треба да бидат соодветно регулирани, а Изборниот законик заслужува ревизија за да се </w:t>
      </w:r>
      <w:r w:rsidR="00D0130D">
        <w:rPr>
          <w:rStyle w:val="BodyTextChar"/>
          <w:lang w:val="mk-MK"/>
        </w:rPr>
        <w:t>отстранат</w:t>
      </w:r>
      <w:r>
        <w:rPr>
          <w:rStyle w:val="BodyTextChar"/>
        </w:rPr>
        <w:t xml:space="preserve"> недоследностите, празнините и двосмисленостите што би можеле да ја загрозат правната сигурност. Северна Македонија треба да се справи и со преостанатите препораки на ОБСЕ/ОДИХР.</w:t>
      </w:r>
    </w:p>
    <w:p w14:paraId="5FB8E786" w14:textId="5AF4EDC5" w:rsidR="006866F8" w:rsidRDefault="00B8240F">
      <w:pPr>
        <w:pStyle w:val="BodyText"/>
        <w:spacing w:after="140"/>
        <w:jc w:val="both"/>
      </w:pPr>
      <w:r>
        <w:rPr>
          <w:rStyle w:val="BodyTextChar"/>
        </w:rPr>
        <w:t xml:space="preserve">Северна Македонија помина низ неколку бранови на судски реформи и во декември 2023 година </w:t>
      </w:r>
      <w:r w:rsidR="00D0130D">
        <w:rPr>
          <w:rStyle w:val="BodyTextChar"/>
          <w:lang w:val="mk-MK"/>
        </w:rPr>
        <w:t>донесе</w:t>
      </w:r>
      <w:r>
        <w:rPr>
          <w:rStyle w:val="BodyTextChar"/>
        </w:rPr>
        <w:t xml:space="preserve"> нова стратегија за правда со цел подобрување на независноста, ефикасноста и професионализмот </w:t>
      </w:r>
      <w:r w:rsidR="00D0130D">
        <w:rPr>
          <w:rStyle w:val="BodyTextChar"/>
          <w:lang w:val="mk-MK"/>
        </w:rPr>
        <w:t>во</w:t>
      </w:r>
      <w:r>
        <w:rPr>
          <w:rStyle w:val="BodyTextChar"/>
        </w:rPr>
        <w:t xml:space="preserve"> </w:t>
      </w:r>
      <w:r w:rsidR="00D0130D">
        <w:rPr>
          <w:rStyle w:val="BodyTextChar"/>
          <w:lang w:val="mk-MK"/>
        </w:rPr>
        <w:t>право</w:t>
      </w:r>
      <w:r>
        <w:rPr>
          <w:rStyle w:val="BodyTextChar"/>
        </w:rPr>
        <w:t xml:space="preserve">судството. Независноста и одговорноста </w:t>
      </w:r>
      <w:r w:rsidR="00D0130D">
        <w:rPr>
          <w:rStyle w:val="BodyTextChar"/>
          <w:lang w:val="mk-MK"/>
        </w:rPr>
        <w:t>во</w:t>
      </w:r>
      <w:r>
        <w:rPr>
          <w:rStyle w:val="BodyTextChar"/>
        </w:rPr>
        <w:t xml:space="preserve"> </w:t>
      </w:r>
      <w:r w:rsidR="00D0130D">
        <w:rPr>
          <w:rStyle w:val="BodyTextChar"/>
          <w:lang w:val="mk-MK"/>
        </w:rPr>
        <w:t>право</w:t>
      </w:r>
      <w:r w:rsidR="00D0130D">
        <w:rPr>
          <w:rStyle w:val="BodyTextChar"/>
        </w:rPr>
        <w:t xml:space="preserve">судството </w:t>
      </w:r>
      <w:r>
        <w:rPr>
          <w:rStyle w:val="BodyTextChar"/>
        </w:rPr>
        <w:t>треба да се подобрат. Надворешното и политичкото мешање остануваат сериозна загриженост. Потребни се понатамошни напори за справување со надворешното и политичкото мешање и за зголемување на транспарентноста и институционалните капацитети за да се спречи прекумерно влијание или заплашување. Зголемениот дефицит на човечки ресурси влијае на квалитетот и ефикасноста на правдата и треба да се реши.</w:t>
      </w:r>
    </w:p>
    <w:p w14:paraId="5396ED86" w14:textId="60CE50A2" w:rsidR="006866F8" w:rsidRDefault="00B8240F">
      <w:pPr>
        <w:pStyle w:val="BodyText"/>
        <w:spacing w:after="140"/>
        <w:jc w:val="both"/>
      </w:pPr>
      <w:r>
        <w:rPr>
          <w:rStyle w:val="BodyTextChar"/>
        </w:rPr>
        <w:t xml:space="preserve">Воспоставена е сеопфатна </w:t>
      </w:r>
      <w:r w:rsidR="00CC280F">
        <w:rPr>
          <w:rStyle w:val="BodyTextChar"/>
          <w:lang w:val="mk-MK"/>
        </w:rPr>
        <w:t>Н</w:t>
      </w:r>
      <w:r w:rsidR="00CC280F" w:rsidRPr="00CC280F">
        <w:rPr>
          <w:rStyle w:val="BodyTextChar"/>
        </w:rPr>
        <w:t>ационална стратегија за спречување на корупцијата и судирот на интереси</w:t>
      </w:r>
      <w:r>
        <w:rPr>
          <w:rStyle w:val="BodyTextChar"/>
        </w:rPr>
        <w:t>, чи</w:t>
      </w:r>
      <w:r w:rsidR="00CC280F">
        <w:rPr>
          <w:rStyle w:val="BodyTextChar"/>
          <w:lang w:val="mk-MK"/>
        </w:rPr>
        <w:t>е</w:t>
      </w:r>
      <w:r>
        <w:rPr>
          <w:rStyle w:val="BodyTextChar"/>
        </w:rPr>
        <w:t xml:space="preserve"> </w:t>
      </w:r>
      <w:r w:rsidR="00CC280F">
        <w:rPr>
          <w:rStyle w:val="BodyTextChar"/>
          <w:lang w:val="mk-MK"/>
        </w:rPr>
        <w:t>спроведување</w:t>
      </w:r>
      <w:r>
        <w:rPr>
          <w:rStyle w:val="BodyTextChar"/>
        </w:rPr>
        <w:t xml:space="preserve"> треба да се забрза. Значајни ризици од корупција сè уште постојат во различни сектори. Институционалната рамка за борба против корупцијата е воспоставена и е задоволителна во однос на превентивните мерки, иако е потребно подобрување на резултатите во борбата против корупцијата и аспектот на спроведување на законот. Измените и дополнувањата на Кривичниот законик во септември 2023 година ја ослабнаа </w:t>
      </w:r>
      <w:r w:rsidR="00CC280F">
        <w:rPr>
          <w:rStyle w:val="BodyTextChar"/>
          <w:lang w:val="mk-MK"/>
        </w:rPr>
        <w:t>правната</w:t>
      </w:r>
      <w:r>
        <w:rPr>
          <w:rStyle w:val="BodyTextChar"/>
        </w:rPr>
        <w:t xml:space="preserve"> рамка и негативно влијаеја врз гонењето на корупцијата, особено во </w:t>
      </w:r>
      <w:r w:rsidR="00CC280F">
        <w:rPr>
          <w:rStyle w:val="BodyTextChar"/>
          <w:lang w:val="mk-MK"/>
        </w:rPr>
        <w:t>предметите</w:t>
      </w:r>
      <w:r>
        <w:rPr>
          <w:rStyle w:val="BodyTextChar"/>
        </w:rPr>
        <w:t xml:space="preserve"> на корупција на високо ниво. Нова верзија на Кривичниот законик во согласност со </w:t>
      </w:r>
      <w:r w:rsidR="00CC280F">
        <w:rPr>
          <w:rStyle w:val="BodyTextChar"/>
          <w:i/>
          <w:iCs/>
          <w:lang w:val="mk-MK"/>
        </w:rPr>
        <w:t>правото</w:t>
      </w:r>
      <w:r>
        <w:rPr>
          <w:rStyle w:val="BodyTextChar"/>
          <w:i/>
          <w:iCs/>
        </w:rPr>
        <w:t xml:space="preserve"> </w:t>
      </w:r>
      <w:r w:rsidRPr="00CC280F">
        <w:rPr>
          <w:rStyle w:val="BodyTextChar"/>
        </w:rPr>
        <w:t>на ЕУ</w:t>
      </w:r>
      <w:r>
        <w:rPr>
          <w:rStyle w:val="BodyTextChar"/>
          <w:i/>
          <w:iCs/>
        </w:rPr>
        <w:t xml:space="preserve"> </w:t>
      </w:r>
      <w:r>
        <w:rPr>
          <w:rStyle w:val="BodyTextChar"/>
        </w:rPr>
        <w:t>и европските стандарди, под надзор на Министерството за правда, се предвидува да се донесе во текот на 2025 година.</w:t>
      </w:r>
    </w:p>
    <w:p w14:paraId="60231275" w14:textId="77777777" w:rsidR="006866F8" w:rsidRDefault="00B8240F">
      <w:pPr>
        <w:pStyle w:val="BodyText"/>
        <w:spacing w:after="140"/>
        <w:jc w:val="both"/>
      </w:pPr>
      <w:r>
        <w:rPr>
          <w:rStyle w:val="BodyTextChar"/>
          <w:b/>
          <w:bCs/>
          <w:i/>
          <w:iCs/>
        </w:rPr>
        <w:lastRenderedPageBreak/>
        <w:t>Почитување на сите обврски за човекови права</w:t>
      </w:r>
    </w:p>
    <w:p w14:paraId="47460956" w14:textId="3DDC59D1" w:rsidR="006866F8" w:rsidRDefault="00B8240F" w:rsidP="00CC280F">
      <w:pPr>
        <w:pStyle w:val="BodyText"/>
        <w:spacing w:after="600"/>
        <w:jc w:val="both"/>
      </w:pPr>
      <w:r>
        <w:rPr>
          <w:rStyle w:val="BodyTextChar"/>
        </w:rPr>
        <w:t xml:space="preserve">Правната рамка на Северна Македонија за заштита на </w:t>
      </w:r>
      <w:r w:rsidR="00620977">
        <w:rPr>
          <w:rStyle w:val="BodyTextChar"/>
          <w:lang w:val="mk-MK"/>
        </w:rPr>
        <w:t>фундаменталните</w:t>
      </w:r>
      <w:r w:rsidR="00620977">
        <w:rPr>
          <w:rStyle w:val="BodyTextChar"/>
        </w:rPr>
        <w:t xml:space="preserve"> </w:t>
      </w:r>
      <w:r>
        <w:rPr>
          <w:rStyle w:val="BodyTextChar"/>
        </w:rPr>
        <w:t xml:space="preserve">права е делумно усогласена со </w:t>
      </w:r>
      <w:r w:rsidR="00CC280F">
        <w:rPr>
          <w:rStyle w:val="BodyTextChar"/>
          <w:i/>
          <w:iCs/>
          <w:lang w:val="mk-MK"/>
        </w:rPr>
        <w:t>правото</w:t>
      </w:r>
      <w:r>
        <w:rPr>
          <w:rStyle w:val="BodyTextChar"/>
          <w:i/>
          <w:iCs/>
        </w:rPr>
        <w:t xml:space="preserve"> </w:t>
      </w:r>
      <w:r w:rsidRPr="00CC280F">
        <w:rPr>
          <w:rStyle w:val="BodyTextChar"/>
        </w:rPr>
        <w:t>на ЕУ</w:t>
      </w:r>
      <w:r>
        <w:rPr>
          <w:rStyle w:val="BodyTextChar"/>
          <w:i/>
          <w:iCs/>
        </w:rPr>
        <w:t xml:space="preserve"> </w:t>
      </w:r>
      <w:r>
        <w:rPr>
          <w:rStyle w:val="BodyTextChar"/>
        </w:rPr>
        <w:t>и европските стандарди. Земјата продолжува да ги исполнува своите општи</w:t>
      </w:r>
      <w:r w:rsidR="00CC280F">
        <w:rPr>
          <w:rStyle w:val="BodyTextChar"/>
          <w:lang w:val="mk-MK"/>
        </w:rPr>
        <w:t xml:space="preserve"> </w:t>
      </w:r>
      <w:r>
        <w:rPr>
          <w:rStyle w:val="BodyTextChar"/>
        </w:rPr>
        <w:t xml:space="preserve">обврски за </w:t>
      </w:r>
      <w:r w:rsidR="00CC280F">
        <w:rPr>
          <w:rStyle w:val="BodyTextChar"/>
          <w:lang w:val="mk-MK"/>
        </w:rPr>
        <w:t>фундаменталните</w:t>
      </w:r>
      <w:r>
        <w:rPr>
          <w:rStyle w:val="BodyTextChar"/>
        </w:rPr>
        <w:t xml:space="preserve"> права, иако законодавството и релевантните стратегии треба да се спроведуваат на систематски начин. Земјата ги ратификуваше повеќето меѓународни инструменти за човекови права. Треба да развие сеопфатен систем за следење и собирање податоци за да </w:t>
      </w:r>
      <w:r w:rsidR="007E748A">
        <w:rPr>
          <w:rStyle w:val="BodyTextChar"/>
          <w:lang w:val="mk-MK"/>
        </w:rPr>
        <w:t>се</w:t>
      </w:r>
      <w:r>
        <w:rPr>
          <w:rStyle w:val="BodyTextChar"/>
        </w:rPr>
        <w:t xml:space="preserve"> процени нивото на спроведување на законодавството, политиките и стратегиите за човекови права и целосно да </w:t>
      </w:r>
      <w:r w:rsidR="00620977">
        <w:rPr>
          <w:rStyle w:val="BodyTextChar"/>
          <w:lang w:val="mk-MK"/>
        </w:rPr>
        <w:t>го</w:t>
      </w:r>
      <w:r w:rsidR="00620977">
        <w:rPr>
          <w:rStyle w:val="BodyTextChar"/>
        </w:rPr>
        <w:t xml:space="preserve"> </w:t>
      </w:r>
      <w:r>
        <w:rPr>
          <w:rStyle w:val="BodyTextChar"/>
        </w:rPr>
        <w:t xml:space="preserve">искористи </w:t>
      </w:r>
      <w:r w:rsidR="007E748A">
        <w:rPr>
          <w:rStyle w:val="BodyTextChar"/>
          <w:lang w:val="mk-MK"/>
        </w:rPr>
        <w:t>својот</w:t>
      </w:r>
      <w:r>
        <w:rPr>
          <w:rStyle w:val="BodyTextChar"/>
        </w:rPr>
        <w:t xml:space="preserve"> статус на набљудувач во Агенцијата на Европската Унија за </w:t>
      </w:r>
      <w:r w:rsidR="007E748A">
        <w:rPr>
          <w:rStyle w:val="BodyTextChar"/>
          <w:lang w:val="mk-MK"/>
        </w:rPr>
        <w:t>фундаментални</w:t>
      </w:r>
      <w:r>
        <w:rPr>
          <w:rStyle w:val="BodyTextChar"/>
        </w:rPr>
        <w:t xml:space="preserve"> права (</w:t>
      </w:r>
      <w:r w:rsidR="007E748A">
        <w:rPr>
          <w:rStyle w:val="BodyTextChar"/>
          <w:lang w:val="mk-MK"/>
        </w:rPr>
        <w:t>АФП</w:t>
      </w:r>
      <w:r>
        <w:rPr>
          <w:rStyle w:val="BodyTextChar"/>
        </w:rPr>
        <w:t xml:space="preserve">). Иако целокупните услови во затворите остануваат сериозна загриженост, инфраструктурата во затворите е реновирана и неколку затворски објекти се подобрени. </w:t>
      </w:r>
      <w:r w:rsidR="007E748A">
        <w:rPr>
          <w:rStyle w:val="BodyTextChar"/>
          <w:lang w:val="mk-MK"/>
        </w:rPr>
        <w:t>Собранието</w:t>
      </w:r>
      <w:r>
        <w:rPr>
          <w:rStyle w:val="BodyTextChar"/>
        </w:rPr>
        <w:t xml:space="preserve"> треба да </w:t>
      </w:r>
      <w:r w:rsidR="007E748A">
        <w:rPr>
          <w:rStyle w:val="BodyTextChar"/>
          <w:lang w:val="mk-MK"/>
        </w:rPr>
        <w:t>донесе</w:t>
      </w:r>
      <w:r>
        <w:rPr>
          <w:rStyle w:val="BodyTextChar"/>
        </w:rPr>
        <w:t xml:space="preserve"> </w:t>
      </w:r>
      <w:r w:rsidR="007E748A">
        <w:rPr>
          <w:rStyle w:val="BodyTextChar"/>
          <w:lang w:val="mk-MK"/>
        </w:rPr>
        <w:t>измена и дополнување</w:t>
      </w:r>
      <w:r>
        <w:rPr>
          <w:rStyle w:val="BodyTextChar"/>
        </w:rPr>
        <w:t xml:space="preserve"> на Законот за </w:t>
      </w:r>
      <w:r w:rsidR="007E748A">
        <w:rPr>
          <w:rStyle w:val="BodyTextChar"/>
          <w:lang w:val="mk-MK"/>
        </w:rPr>
        <w:t>Н</w:t>
      </w:r>
      <w:r>
        <w:rPr>
          <w:rStyle w:val="BodyTextChar"/>
        </w:rPr>
        <w:t>ародниот правобранител со цел да го надгради својот статус на акредитација „Б“, врз основа на Париските принципи.</w:t>
      </w:r>
    </w:p>
    <w:p w14:paraId="64E106CD" w14:textId="77777777" w:rsidR="006866F8" w:rsidRDefault="00B8240F">
      <w:pPr>
        <w:pStyle w:val="BodyText"/>
        <w:spacing w:after="600"/>
        <w:jc w:val="both"/>
      </w:pPr>
      <w:r>
        <w:rPr>
          <w:rStyle w:val="BodyTextChar"/>
          <w:b/>
          <w:bCs/>
          <w:i/>
          <w:iCs/>
          <w:u w:val="single"/>
        </w:rPr>
        <w:t>Предусловите се потврдуваат како исполнети.</w:t>
      </w:r>
    </w:p>
    <w:p w14:paraId="27CEC928" w14:textId="3073B6A9" w:rsidR="006866F8" w:rsidRDefault="00B8240F">
      <w:pPr>
        <w:pStyle w:val="Heading20"/>
        <w:keepNext/>
        <w:keepLines/>
        <w:numPr>
          <w:ilvl w:val="0"/>
          <w:numId w:val="1"/>
        </w:numPr>
        <w:tabs>
          <w:tab w:val="left" w:pos="303"/>
        </w:tabs>
        <w:spacing w:line="259" w:lineRule="auto"/>
        <w:jc w:val="both"/>
      </w:pPr>
      <w:bookmarkStart w:id="1" w:name="bookmark4"/>
      <w:r>
        <w:rPr>
          <w:rStyle w:val="Heading2"/>
          <w:b/>
          <w:bCs/>
        </w:rPr>
        <w:t>Процена на ЕК за општите услови за плаќања</w:t>
      </w:r>
      <w:bookmarkEnd w:id="1"/>
    </w:p>
    <w:p w14:paraId="4307BF79" w14:textId="76CE073F" w:rsidR="006866F8" w:rsidRDefault="00182DB0" w:rsidP="00262A83">
      <w:pPr>
        <w:pStyle w:val="Heading20"/>
        <w:keepNext/>
        <w:keepLines/>
        <w:tabs>
          <w:tab w:val="left" w:pos="709"/>
          <w:tab w:val="left" w:pos="1134"/>
        </w:tabs>
        <w:spacing w:line="259" w:lineRule="auto"/>
        <w:jc w:val="both"/>
      </w:pPr>
      <w:r>
        <w:rPr>
          <w:rStyle w:val="Heading2"/>
          <w:b/>
          <w:bCs/>
          <w:lang w:val="mk-MK"/>
        </w:rPr>
        <w:t>а)</w:t>
      </w:r>
      <w:r>
        <w:rPr>
          <w:rStyle w:val="Heading2"/>
          <w:b/>
          <w:bCs/>
          <w:lang w:val="mk-MK"/>
        </w:rPr>
        <w:tab/>
      </w:r>
      <w:r>
        <w:rPr>
          <w:rStyle w:val="Heading2"/>
          <w:b/>
          <w:bCs/>
        </w:rPr>
        <w:t>Процена на макрофинансиската стабилност</w:t>
      </w:r>
    </w:p>
    <w:p w14:paraId="1B496ACA" w14:textId="7163DB3C" w:rsidR="006866F8" w:rsidRDefault="00B8240F">
      <w:pPr>
        <w:pStyle w:val="BodyText"/>
        <w:jc w:val="both"/>
      </w:pPr>
      <w:r>
        <w:rPr>
          <w:rStyle w:val="BodyTextChar"/>
        </w:rPr>
        <w:t xml:space="preserve">Растот на БДП се забрза во 2024 година, поттикнат од инвестициите и јавната потрошувачка, при што втората делумно одразува силен пораст на платите во јавниот сектор. Иако поддржан од зголемувањето на реалните приходи и олеснувањето на </w:t>
      </w:r>
      <w:r w:rsidR="00ED5559">
        <w:rPr>
          <w:rStyle w:val="BodyTextChar"/>
          <w:lang w:val="mk-MK"/>
        </w:rPr>
        <w:t>условите за заем</w:t>
      </w:r>
      <w:r>
        <w:rPr>
          <w:rStyle w:val="BodyTextChar"/>
        </w:rPr>
        <w:t xml:space="preserve">, растот на потрошувачката на домаќинствата остана </w:t>
      </w:r>
      <w:r w:rsidR="0038386D">
        <w:rPr>
          <w:rStyle w:val="BodyTextChar"/>
          <w:lang w:val="mk-MK"/>
        </w:rPr>
        <w:t>потиснат</w:t>
      </w:r>
      <w:r>
        <w:rPr>
          <w:rStyle w:val="BodyTextChar"/>
        </w:rPr>
        <w:t xml:space="preserve">. </w:t>
      </w:r>
      <w:r w:rsidR="00ED5559">
        <w:rPr>
          <w:rStyle w:val="BodyTextChar"/>
          <w:lang w:val="mk-MK"/>
        </w:rPr>
        <w:t>Ф</w:t>
      </w:r>
      <w:r w:rsidR="00ED5559" w:rsidRPr="00ED5559">
        <w:rPr>
          <w:rStyle w:val="BodyTextChar"/>
        </w:rPr>
        <w:t>ормирањето на бруто</w:t>
      </w:r>
      <w:r w:rsidR="00ED5559">
        <w:rPr>
          <w:rStyle w:val="BodyTextChar"/>
          <w:lang w:val="mk-MK"/>
        </w:rPr>
        <w:t>-</w:t>
      </w:r>
      <w:r w:rsidR="00ED5559" w:rsidRPr="00ED5559">
        <w:rPr>
          <w:rStyle w:val="BodyTextChar"/>
        </w:rPr>
        <w:t xml:space="preserve">капитал </w:t>
      </w:r>
      <w:r>
        <w:rPr>
          <w:rStyle w:val="BodyTextChar"/>
        </w:rPr>
        <w:t>се зголеми за 8,9</w:t>
      </w:r>
      <w:r w:rsidR="00ED5559">
        <w:rPr>
          <w:rStyle w:val="BodyTextChar"/>
          <w:lang w:val="mk-MK"/>
        </w:rPr>
        <w:t xml:space="preserve"> </w:t>
      </w:r>
      <w:r>
        <w:rPr>
          <w:rStyle w:val="BodyTextChar"/>
        </w:rPr>
        <w:t xml:space="preserve">% во 2024 година, по намалувањето во претходната година. Придонесот на надворешниот биланс кон растот стана негативен поради забавувањето на извозот, во голема мера одразувајќи ја слабоста во клучните извозни дестинации и сектори, особено автомобилската индустрија. Тековната сметка повторно се врати во дефицит во 2024 година, бидејќи трговскиот биланс на стока се влоши, а дознаките се намалија. </w:t>
      </w:r>
      <w:proofErr w:type="spellStart"/>
      <w:r>
        <w:rPr>
          <w:rStyle w:val="BodyTextChar"/>
        </w:rPr>
        <w:t>Доброкалибрираната</w:t>
      </w:r>
      <w:proofErr w:type="spellEnd"/>
      <w:r>
        <w:rPr>
          <w:rStyle w:val="BodyTextChar"/>
        </w:rPr>
        <w:t xml:space="preserve"> монетарна политика и намалувањето на притисоците врз странските цени го поддржаа забавувањето на основната инфлација во 2024 година, на 3,5</w:t>
      </w:r>
      <w:r w:rsidR="00ED5559">
        <w:rPr>
          <w:rStyle w:val="BodyTextChar"/>
          <w:lang w:val="mk-MK"/>
        </w:rPr>
        <w:t xml:space="preserve"> </w:t>
      </w:r>
      <w:r>
        <w:rPr>
          <w:rStyle w:val="BodyTextChar"/>
        </w:rPr>
        <w:t xml:space="preserve">% во просек. Сепак, основната инфлација се опоравува од септември 2024 година, поттикната од зголемувањето на цените на храната, и покрај привремените контроли на цените </w:t>
      </w:r>
      <w:r w:rsidR="00ED5559">
        <w:rPr>
          <w:rStyle w:val="BodyTextChar"/>
          <w:lang w:val="mk-MK"/>
        </w:rPr>
        <w:t>од</w:t>
      </w:r>
      <w:r>
        <w:rPr>
          <w:rStyle w:val="BodyTextChar"/>
        </w:rPr>
        <w:t xml:space="preserve"> </w:t>
      </w:r>
      <w:r w:rsidR="00ED5559">
        <w:rPr>
          <w:rStyle w:val="BodyTextChar"/>
          <w:lang w:val="mk-MK"/>
        </w:rPr>
        <w:t>В</w:t>
      </w:r>
      <w:r>
        <w:rPr>
          <w:rStyle w:val="BodyTextChar"/>
        </w:rPr>
        <w:t>ладата, кои ставија ограничувања на маржите на трговците на мало за основните прехранбени производи. Основната инфлација остана</w:t>
      </w:r>
      <w:r w:rsidR="0038386D">
        <w:rPr>
          <w:rStyle w:val="BodyTextChar"/>
          <w:lang w:val="mk-MK"/>
        </w:rPr>
        <w:t xml:space="preserve"> каде што</w:t>
      </w:r>
      <w:r>
        <w:rPr>
          <w:rStyle w:val="BodyTextChar"/>
        </w:rPr>
        <w:t xml:space="preserve"> секундарните ефекти од високите цени на енергијата и храната врз другите сектори </w:t>
      </w:r>
      <w:r w:rsidR="007E471C">
        <w:rPr>
          <w:rStyle w:val="BodyTextChar"/>
          <w:lang w:val="mk-MK"/>
        </w:rPr>
        <w:t>споро</w:t>
      </w:r>
      <w:r w:rsidR="00ED5559">
        <w:rPr>
          <w:rStyle w:val="BodyTextChar"/>
          <w:lang w:val="mk-MK"/>
        </w:rPr>
        <w:t xml:space="preserve"> </w:t>
      </w:r>
      <w:r>
        <w:rPr>
          <w:rStyle w:val="BodyTextChar"/>
        </w:rPr>
        <w:t xml:space="preserve">се </w:t>
      </w:r>
      <w:r w:rsidR="007E471C">
        <w:rPr>
          <w:rStyle w:val="BodyTextChar"/>
          <w:lang w:val="mk-MK"/>
        </w:rPr>
        <w:t>намалува</w:t>
      </w:r>
      <w:r w:rsidR="00A462D9">
        <w:rPr>
          <w:rStyle w:val="BodyTextChar"/>
          <w:lang w:val="mk-MK"/>
        </w:rPr>
        <w:t>ат</w:t>
      </w:r>
      <w:r>
        <w:rPr>
          <w:rStyle w:val="BodyTextChar"/>
        </w:rPr>
        <w:t>. Централната банка ја намали клучната каматна стапка во неколку чекори од септември 2024 година, од 6,30</w:t>
      </w:r>
      <w:r w:rsidR="007E471C">
        <w:rPr>
          <w:rStyle w:val="BodyTextChar"/>
          <w:lang w:val="en-US"/>
        </w:rPr>
        <w:t xml:space="preserve"> </w:t>
      </w:r>
      <w:r>
        <w:rPr>
          <w:rStyle w:val="BodyTextChar"/>
        </w:rPr>
        <w:t>% на 5,35</w:t>
      </w:r>
      <w:r w:rsidR="007E471C">
        <w:rPr>
          <w:rStyle w:val="BodyTextChar"/>
          <w:lang w:val="en-US"/>
        </w:rPr>
        <w:t xml:space="preserve"> </w:t>
      </w:r>
      <w:r>
        <w:rPr>
          <w:rStyle w:val="BodyTextChar"/>
        </w:rPr>
        <w:t>% во февруари 2025 година. На 4,4</w:t>
      </w:r>
      <w:r w:rsidR="007E471C">
        <w:rPr>
          <w:rStyle w:val="BodyTextChar"/>
          <w:lang w:val="en-US"/>
        </w:rPr>
        <w:t xml:space="preserve"> </w:t>
      </w:r>
      <w:r>
        <w:rPr>
          <w:rStyle w:val="BodyTextChar"/>
        </w:rPr>
        <w:t xml:space="preserve">% од БДП, </w:t>
      </w:r>
      <w:r w:rsidR="007E471C">
        <w:rPr>
          <w:rStyle w:val="BodyTextChar"/>
          <w:lang w:val="mk-MK"/>
        </w:rPr>
        <w:t xml:space="preserve">општиот </w:t>
      </w:r>
      <w:r>
        <w:rPr>
          <w:rStyle w:val="BodyTextChar"/>
        </w:rPr>
        <w:t>фискал</w:t>
      </w:r>
      <w:r w:rsidR="007E471C">
        <w:rPr>
          <w:rStyle w:val="BodyTextChar"/>
          <w:lang w:val="mk-MK"/>
        </w:rPr>
        <w:t>ен</w:t>
      </w:r>
      <w:r>
        <w:rPr>
          <w:rStyle w:val="BodyTextChar"/>
        </w:rPr>
        <w:t xml:space="preserve"> дефицит на </w:t>
      </w:r>
      <w:r w:rsidR="007E471C">
        <w:rPr>
          <w:rStyle w:val="BodyTextChar"/>
          <w:lang w:val="mk-MK"/>
        </w:rPr>
        <w:t>В</w:t>
      </w:r>
      <w:r>
        <w:rPr>
          <w:rStyle w:val="BodyTextChar"/>
        </w:rPr>
        <w:t>лада</w:t>
      </w:r>
      <w:r w:rsidR="007E471C">
        <w:rPr>
          <w:rStyle w:val="BodyTextChar"/>
          <w:lang w:val="mk-MK"/>
        </w:rPr>
        <w:t>та</w:t>
      </w:r>
      <w:r>
        <w:rPr>
          <w:rStyle w:val="BodyTextChar"/>
        </w:rPr>
        <w:t xml:space="preserve"> остана под ревидираната цел (4,7</w:t>
      </w:r>
      <w:r w:rsidR="007E471C">
        <w:rPr>
          <w:rStyle w:val="BodyTextChar"/>
          <w:lang w:val="en-US"/>
        </w:rPr>
        <w:t xml:space="preserve"> </w:t>
      </w:r>
      <w:r>
        <w:rPr>
          <w:rStyle w:val="BodyTextChar"/>
        </w:rPr>
        <w:t xml:space="preserve">%) во 2024 година, потпомогнат од недоволното спроведување на капиталните расходи, заостанатите долгови и продолженото враќање на ДДВ. Дефицитот веројатно постепено ќе се намалува оваа и следната година, но фискалната консолидација ќе остане бавна во целина, главно бидејќи </w:t>
      </w:r>
      <w:r w:rsidR="007E471C">
        <w:rPr>
          <w:rStyle w:val="BodyTextChar"/>
          <w:lang w:val="mk-MK"/>
        </w:rPr>
        <w:t>В</w:t>
      </w:r>
      <w:r>
        <w:rPr>
          <w:rStyle w:val="BodyTextChar"/>
        </w:rPr>
        <w:t>ладата треба да дефинира прецизни мерки за зголемување на приходите, додека задолжителните расходи се зголемуваат. Се предвидува дека капиталните расходи постепено ќе се зголемуваат од 3</w:t>
      </w:r>
      <w:r w:rsidR="009C01F7">
        <w:rPr>
          <w:rStyle w:val="BodyTextChar"/>
          <w:lang w:val="en-US"/>
        </w:rPr>
        <w:t xml:space="preserve"> </w:t>
      </w:r>
      <w:r>
        <w:rPr>
          <w:rStyle w:val="BodyTextChar"/>
        </w:rPr>
        <w:t>% од БДП во 2024 година на 5,7</w:t>
      </w:r>
      <w:r w:rsidR="009C01F7">
        <w:rPr>
          <w:rStyle w:val="BodyTextChar"/>
          <w:lang w:val="en-US"/>
        </w:rPr>
        <w:t xml:space="preserve"> </w:t>
      </w:r>
      <w:r>
        <w:rPr>
          <w:rStyle w:val="BodyTextChar"/>
        </w:rPr>
        <w:t xml:space="preserve">% во 2026 година. Земјата </w:t>
      </w:r>
      <w:r>
        <w:rPr>
          <w:rStyle w:val="BodyTextChar"/>
        </w:rPr>
        <w:lastRenderedPageBreak/>
        <w:t>има добра евиденција за сервисирање на својот долг. Потребите за финансирање се зголемени со претстојната отплата на уште една еврообврзница во 2026 година, во услови на зголемување на нивото на долг, како и на трошоците за суверено задолжување и расходите за камати во последните години.</w:t>
      </w:r>
    </w:p>
    <w:p w14:paraId="6A927516" w14:textId="4B3CF609" w:rsidR="006866F8" w:rsidRDefault="00B8240F">
      <w:pPr>
        <w:pStyle w:val="Heading20"/>
        <w:keepNext/>
        <w:keepLines/>
        <w:spacing w:after="380" w:line="259" w:lineRule="auto"/>
        <w:jc w:val="both"/>
      </w:pPr>
      <w:bookmarkStart w:id="2" w:name="bookmark7"/>
      <w:r>
        <w:rPr>
          <w:rStyle w:val="Heading2"/>
          <w:b/>
          <w:bCs/>
        </w:rPr>
        <w:t xml:space="preserve">Како заклучок, </w:t>
      </w:r>
      <w:r w:rsidR="009C01F7">
        <w:rPr>
          <w:rStyle w:val="Heading2"/>
          <w:b/>
          <w:bCs/>
          <w:lang w:val="mk-MK"/>
        </w:rPr>
        <w:t>органите</w:t>
      </w:r>
      <w:r>
        <w:rPr>
          <w:rStyle w:val="Heading2"/>
          <w:b/>
          <w:bCs/>
        </w:rPr>
        <w:t xml:space="preserve"> водат макроекономска политика ориентирана кон стабилност, а општиот услов е исполнет.</w:t>
      </w:r>
      <w:bookmarkEnd w:id="2"/>
    </w:p>
    <w:p w14:paraId="0FA2C58E" w14:textId="70EB02BA" w:rsidR="006866F8" w:rsidRDefault="00182DB0" w:rsidP="00262A83">
      <w:pPr>
        <w:pStyle w:val="Heading20"/>
        <w:keepNext/>
        <w:keepLines/>
        <w:tabs>
          <w:tab w:val="left" w:pos="342"/>
        </w:tabs>
        <w:spacing w:line="240" w:lineRule="auto"/>
        <w:jc w:val="center"/>
      </w:pPr>
      <w:bookmarkStart w:id="3" w:name="bookmark9"/>
      <w:r>
        <w:rPr>
          <w:rStyle w:val="Heading2"/>
          <w:b/>
          <w:bCs/>
          <w:lang w:val="mk-MK"/>
        </w:rPr>
        <w:t>б)</w:t>
      </w:r>
      <w:r>
        <w:rPr>
          <w:rStyle w:val="Heading2"/>
          <w:b/>
          <w:bCs/>
          <w:lang w:val="mk-MK"/>
        </w:rPr>
        <w:tab/>
      </w:r>
      <w:r>
        <w:rPr>
          <w:rStyle w:val="Heading2"/>
          <w:b/>
          <w:bCs/>
        </w:rPr>
        <w:t>Процена на исправноста на систем</w:t>
      </w:r>
      <w:r w:rsidR="009C01F7">
        <w:rPr>
          <w:rStyle w:val="Heading2"/>
          <w:b/>
          <w:bCs/>
          <w:lang w:val="mk-MK"/>
        </w:rPr>
        <w:t>(ите)</w:t>
      </w:r>
      <w:r>
        <w:rPr>
          <w:rStyle w:val="Heading2"/>
          <w:b/>
          <w:bCs/>
        </w:rPr>
        <w:t xml:space="preserve"> за управување со јавни финансии</w:t>
      </w:r>
      <w:bookmarkEnd w:id="3"/>
    </w:p>
    <w:p w14:paraId="72819606" w14:textId="1697445F" w:rsidR="006866F8" w:rsidRDefault="00B8240F">
      <w:pPr>
        <w:pStyle w:val="BodyText"/>
        <w:jc w:val="both"/>
      </w:pPr>
      <w:r>
        <w:rPr>
          <w:rStyle w:val="BodyTextChar"/>
        </w:rPr>
        <w:t xml:space="preserve">Реформата на управувањето со јавни финансии (УЈФ) е широко веродостојна и релевантна, </w:t>
      </w:r>
      <w:r w:rsidRPr="0038386D">
        <w:rPr>
          <w:rStyle w:val="BodyTextChar"/>
        </w:rPr>
        <w:t xml:space="preserve">иако сè уште се потребни подобрувања на системот. Стапката на спроведување на Програмата за реформа на УЈФ (УЈФ/РП) за 2022-2025 година е ниска поради доцнења во </w:t>
      </w:r>
      <w:r w:rsidR="009C01F7" w:rsidRPr="0038386D">
        <w:rPr>
          <w:rStyle w:val="BodyTextChar"/>
          <w:lang w:val="mk-MK"/>
        </w:rPr>
        <w:t>донесувањето</w:t>
      </w:r>
      <w:r w:rsidRPr="0038386D">
        <w:rPr>
          <w:rStyle w:val="BodyTextChar"/>
        </w:rPr>
        <w:t xml:space="preserve"> на клучните закони, слабото следење и недоволниот политички надзор. Во декември 2023 година, Министерството за финансии спроведе среднорочен преглед на УЈФ/РП за 2022-2025 година и </w:t>
      </w:r>
      <w:r w:rsidR="0038386D" w:rsidRPr="0038386D">
        <w:rPr>
          <w:rStyle w:val="BodyTextChar"/>
          <w:lang w:val="mk-MK"/>
        </w:rPr>
        <w:t>изготви</w:t>
      </w:r>
      <w:r w:rsidRPr="0038386D">
        <w:rPr>
          <w:rStyle w:val="BodyTextChar"/>
        </w:rPr>
        <w:t xml:space="preserve"> нова </w:t>
      </w:r>
      <w:r w:rsidR="009C01F7" w:rsidRPr="0038386D">
        <w:rPr>
          <w:rStyle w:val="BodyTextChar"/>
          <w:lang w:val="mk-MK"/>
        </w:rPr>
        <w:t>П</w:t>
      </w:r>
      <w:r w:rsidRPr="0038386D">
        <w:rPr>
          <w:rStyle w:val="BodyTextChar"/>
        </w:rPr>
        <w:t xml:space="preserve">рограма за </w:t>
      </w:r>
      <w:r w:rsidR="0038386D" w:rsidRPr="0038386D">
        <w:rPr>
          <w:rStyle w:val="BodyTextChar"/>
          <w:lang w:val="mk-MK"/>
        </w:rPr>
        <w:t>реформа на управувањето со јавни финансии</w:t>
      </w:r>
      <w:r w:rsidRPr="0038386D">
        <w:rPr>
          <w:rStyle w:val="BodyTextChar"/>
        </w:rPr>
        <w:t xml:space="preserve"> за 2024-2027 година. Сепак, ревидираната реформа не беше формално </w:t>
      </w:r>
      <w:r w:rsidR="0038386D" w:rsidRPr="0038386D">
        <w:rPr>
          <w:rStyle w:val="BodyTextChar"/>
          <w:lang w:val="mk-MK"/>
        </w:rPr>
        <w:t>донесена</w:t>
      </w:r>
      <w:r w:rsidRPr="0038386D">
        <w:rPr>
          <w:rStyle w:val="BodyTextChar"/>
        </w:rPr>
        <w:t xml:space="preserve"> од </w:t>
      </w:r>
      <w:r w:rsidR="0038386D" w:rsidRPr="0038386D">
        <w:rPr>
          <w:rStyle w:val="BodyTextChar"/>
          <w:lang w:val="mk-MK"/>
        </w:rPr>
        <w:t>В</w:t>
      </w:r>
      <w:r w:rsidRPr="0038386D">
        <w:rPr>
          <w:rStyle w:val="BodyTextChar"/>
        </w:rPr>
        <w:t xml:space="preserve">ладата поради избори. Програмата оттогаш е ревидирана и се очекува да биде </w:t>
      </w:r>
      <w:r w:rsidR="0038386D" w:rsidRPr="0038386D">
        <w:rPr>
          <w:rStyle w:val="BodyTextChar"/>
          <w:lang w:val="mk-MK"/>
        </w:rPr>
        <w:t>донесена</w:t>
      </w:r>
      <w:r w:rsidRPr="0038386D">
        <w:rPr>
          <w:rStyle w:val="BodyTextChar"/>
        </w:rPr>
        <w:t xml:space="preserve"> во првата половина на 2025 година, опфаќајќи го периодот 2025-2028 година.</w:t>
      </w:r>
    </w:p>
    <w:p w14:paraId="70656248" w14:textId="58D83151" w:rsidR="006866F8" w:rsidRDefault="00B8240F">
      <w:pPr>
        <w:pStyle w:val="BodyText"/>
        <w:jc w:val="both"/>
      </w:pPr>
      <w:r w:rsidRPr="00694F94">
        <w:rPr>
          <w:rStyle w:val="BodyTextChar"/>
        </w:rPr>
        <w:t xml:space="preserve">Клучните слабости во системот за управување со јавни финансии редовно се идентификуваат преку меѓународни </w:t>
      </w:r>
      <w:r w:rsidR="00694F94">
        <w:rPr>
          <w:rStyle w:val="BodyTextChar"/>
          <w:lang w:val="mk-MK"/>
        </w:rPr>
        <w:t>оцени</w:t>
      </w:r>
      <w:r w:rsidRPr="00694F94">
        <w:rPr>
          <w:rStyle w:val="BodyTextChar"/>
        </w:rPr>
        <w:t xml:space="preserve">, </w:t>
      </w:r>
      <w:r w:rsidR="00746B69">
        <w:rPr>
          <w:rStyle w:val="BodyTextChar"/>
          <w:lang w:val="mk-MK"/>
        </w:rPr>
        <w:t>вклучително и</w:t>
      </w:r>
      <w:r w:rsidRPr="00694F94">
        <w:rPr>
          <w:rStyle w:val="BodyTextChar"/>
        </w:rPr>
        <w:t xml:space="preserve"> </w:t>
      </w:r>
      <w:r w:rsidR="00694F94">
        <w:rPr>
          <w:rStyle w:val="BodyTextChar"/>
          <w:lang w:val="mk-MK"/>
        </w:rPr>
        <w:t>ПЕФА</w:t>
      </w:r>
      <w:r w:rsidRPr="00694F94">
        <w:rPr>
          <w:rStyle w:val="BodyTextChar"/>
        </w:rPr>
        <w:t xml:space="preserve">, </w:t>
      </w:r>
      <w:r w:rsidR="00694F94">
        <w:rPr>
          <w:rStyle w:val="BodyTextChar"/>
          <w:lang w:val="mk-MK"/>
        </w:rPr>
        <w:t>СИГМА</w:t>
      </w:r>
      <w:r w:rsidRPr="00694F94">
        <w:rPr>
          <w:rStyle w:val="BodyTextChar"/>
        </w:rPr>
        <w:t xml:space="preserve"> и извештаите за </w:t>
      </w:r>
      <w:r w:rsidR="00694F94">
        <w:rPr>
          <w:rStyle w:val="BodyTextChar"/>
          <w:lang w:val="mk-MK"/>
        </w:rPr>
        <w:t>оцена</w:t>
      </w:r>
      <w:r w:rsidRPr="00694F94">
        <w:rPr>
          <w:rStyle w:val="BodyTextChar"/>
        </w:rPr>
        <w:t xml:space="preserve"> на </w:t>
      </w:r>
      <w:r w:rsidR="00694F94">
        <w:rPr>
          <w:rStyle w:val="BodyTextChar"/>
          <w:lang w:val="mk-MK"/>
        </w:rPr>
        <w:t>земјата</w:t>
      </w:r>
      <w:r w:rsidRPr="00694F94">
        <w:rPr>
          <w:rStyle w:val="BodyTextChar"/>
        </w:rPr>
        <w:t xml:space="preserve"> од ЕУ. Најновата </w:t>
      </w:r>
      <w:r w:rsidR="00694F94">
        <w:rPr>
          <w:rStyle w:val="BodyTextChar"/>
          <w:lang w:val="mk-MK"/>
        </w:rPr>
        <w:t>оцена на</w:t>
      </w:r>
      <w:r w:rsidR="00694F94">
        <w:rPr>
          <w:rStyle w:val="BodyTextChar"/>
          <w:lang w:val="en-US"/>
        </w:rPr>
        <w:t xml:space="preserve"> </w:t>
      </w:r>
      <w:r w:rsidR="00694F94">
        <w:rPr>
          <w:rStyle w:val="BodyTextChar"/>
          <w:lang w:val="mk-MK"/>
        </w:rPr>
        <w:t>ПЕФА</w:t>
      </w:r>
      <w:r w:rsidRPr="00694F94">
        <w:rPr>
          <w:rStyle w:val="BodyTextChar"/>
        </w:rPr>
        <w:t xml:space="preserve"> беше спроведена во 2021 година, врз основа на податоци од фискалните години 2018, 2019 и 2020 година (</w:t>
      </w:r>
      <w:r w:rsidRPr="00262A83">
        <w:rPr>
          <w:rStyle w:val="BodyTextChar"/>
          <w:vertAlign w:val="superscript"/>
        </w:rPr>
        <w:footnoteReference w:id="2"/>
      </w:r>
      <w:r w:rsidRPr="00694F94">
        <w:rPr>
          <w:rStyle w:val="BodyTextChar"/>
        </w:rPr>
        <w:t xml:space="preserve">). Најновата </w:t>
      </w:r>
      <w:r w:rsidR="00694F94">
        <w:rPr>
          <w:rStyle w:val="BodyTextChar"/>
          <w:lang w:val="mk-MK"/>
        </w:rPr>
        <w:t>оцена на СИГМА</w:t>
      </w:r>
      <w:r w:rsidRPr="00694F94">
        <w:rPr>
          <w:rStyle w:val="BodyTextChar"/>
        </w:rPr>
        <w:t xml:space="preserve"> беше објавена во декември 2024 година (</w:t>
      </w:r>
      <w:r w:rsidRPr="00262A83">
        <w:rPr>
          <w:rStyle w:val="BodyTextChar"/>
          <w:vertAlign w:val="superscript"/>
        </w:rPr>
        <w:footnoteReference w:id="3"/>
      </w:r>
      <w:r w:rsidRPr="00694F94">
        <w:rPr>
          <w:rStyle w:val="BodyTextChar"/>
        </w:rPr>
        <w:t xml:space="preserve">). </w:t>
      </w:r>
      <w:r w:rsidR="00694F94" w:rsidRPr="0038386D">
        <w:rPr>
          <w:rStyle w:val="BodyTextChar"/>
        </w:rPr>
        <w:t>УЈФ/РП</w:t>
      </w:r>
      <w:r w:rsidR="00694F94" w:rsidRPr="00694F94">
        <w:rPr>
          <w:rStyle w:val="BodyTextChar"/>
        </w:rPr>
        <w:t xml:space="preserve"> </w:t>
      </w:r>
      <w:r w:rsidR="00694F94">
        <w:rPr>
          <w:rStyle w:val="BodyTextChar"/>
          <w:lang w:val="mk-MK"/>
        </w:rPr>
        <w:t xml:space="preserve">за </w:t>
      </w:r>
      <w:r w:rsidRPr="00694F94">
        <w:rPr>
          <w:rStyle w:val="BodyTextChar"/>
        </w:rPr>
        <w:t xml:space="preserve">2022-2025 </w:t>
      </w:r>
      <w:r w:rsidR="00694F94">
        <w:rPr>
          <w:rStyle w:val="BodyTextChar"/>
          <w:lang w:val="mk-MK"/>
        </w:rPr>
        <w:t xml:space="preserve">година </w:t>
      </w:r>
      <w:r w:rsidRPr="00694F94">
        <w:rPr>
          <w:rStyle w:val="BodyTextChar"/>
        </w:rPr>
        <w:t xml:space="preserve">е структурирана </w:t>
      </w:r>
      <w:r w:rsidR="00694F94">
        <w:rPr>
          <w:rStyle w:val="BodyTextChar"/>
          <w:lang w:val="mk-MK"/>
        </w:rPr>
        <w:t>од</w:t>
      </w:r>
      <w:r w:rsidRPr="00694F94">
        <w:rPr>
          <w:rStyle w:val="BodyTextChar"/>
        </w:rPr>
        <w:t xml:space="preserve"> осум столба, </w:t>
      </w:r>
      <w:r w:rsidR="00182DB0">
        <w:rPr>
          <w:rStyle w:val="BodyTextChar"/>
          <w:lang w:val="mk-MK"/>
        </w:rPr>
        <w:t>кои се однесуваат на</w:t>
      </w:r>
      <w:r w:rsidRPr="00694F94">
        <w:rPr>
          <w:rStyle w:val="BodyTextChar"/>
        </w:rPr>
        <w:t xml:space="preserve"> главните слабости идентификувани во овие </w:t>
      </w:r>
      <w:r w:rsidR="00694F94">
        <w:rPr>
          <w:rStyle w:val="BodyTextChar"/>
          <w:lang w:val="mk-MK"/>
        </w:rPr>
        <w:t>оцени</w:t>
      </w:r>
      <w:r w:rsidRPr="00694F94">
        <w:rPr>
          <w:rStyle w:val="BodyTextChar"/>
        </w:rPr>
        <w:t>. Институционалниот капацитет на Министерството за финансии останува ограничен, бидејќи се бори да привлече и задржи квалификуван персонал.</w:t>
      </w:r>
    </w:p>
    <w:p w14:paraId="7C7858F7" w14:textId="5738B634" w:rsidR="006866F8" w:rsidRDefault="00B8240F">
      <w:pPr>
        <w:pStyle w:val="BodyText"/>
        <w:jc w:val="both"/>
      </w:pPr>
      <w:r>
        <w:rPr>
          <w:rStyle w:val="BodyTextChar"/>
        </w:rPr>
        <w:t xml:space="preserve">Буџетскиот процес е добро воспоставен и организиран. Кредибилитетот на буџетот е подобрен, поддржан од операционализацијата на Фискалниот совет, подобрувањата на фискалната стратегија и напредокот во следењето на фискалните ризици. Сепак, сè уште постојат загрижености во врска со веродостојноста на макрофискалните проекции. Нов </w:t>
      </w:r>
      <w:r w:rsidR="00694F94">
        <w:rPr>
          <w:rStyle w:val="BodyTextChar"/>
          <w:lang w:val="mk-MK"/>
        </w:rPr>
        <w:t>Закон за буџетите</w:t>
      </w:r>
      <w:r>
        <w:rPr>
          <w:rStyle w:val="BodyTextChar"/>
        </w:rPr>
        <w:t xml:space="preserve"> (</w:t>
      </w:r>
      <w:r w:rsidR="00694F94">
        <w:rPr>
          <w:rStyle w:val="BodyTextChar"/>
          <w:lang w:val="mk-MK"/>
        </w:rPr>
        <w:t>ЗБ)</w:t>
      </w:r>
      <w:r>
        <w:rPr>
          <w:rStyle w:val="BodyTextChar"/>
        </w:rPr>
        <w:t xml:space="preserve"> беше </w:t>
      </w:r>
      <w:r w:rsidR="00694F94">
        <w:rPr>
          <w:rStyle w:val="BodyTextChar"/>
          <w:lang w:val="mk-MK"/>
        </w:rPr>
        <w:t>донесен</w:t>
      </w:r>
      <w:r>
        <w:rPr>
          <w:rStyle w:val="BodyTextChar"/>
        </w:rPr>
        <w:t xml:space="preserve"> </w:t>
      </w:r>
      <w:r w:rsidR="00F416B9">
        <w:rPr>
          <w:rStyle w:val="BodyTextChar"/>
        </w:rPr>
        <w:t>од</w:t>
      </w:r>
      <w:r>
        <w:rPr>
          <w:rStyle w:val="BodyTextChar"/>
        </w:rPr>
        <w:t xml:space="preserve"> </w:t>
      </w:r>
      <w:r w:rsidR="00694F94">
        <w:rPr>
          <w:rStyle w:val="BodyTextChar"/>
          <w:lang w:val="mk-MK"/>
        </w:rPr>
        <w:t>Собранието</w:t>
      </w:r>
      <w:r>
        <w:rPr>
          <w:rStyle w:val="BodyTextChar"/>
        </w:rPr>
        <w:t xml:space="preserve"> во септември 2022 година, но поврзаното законодавството </w:t>
      </w:r>
      <w:r w:rsidR="00694F94">
        <w:rPr>
          <w:rStyle w:val="BodyTextChar"/>
          <w:lang w:val="mk-MK"/>
        </w:rPr>
        <w:t xml:space="preserve">за спроведување </w:t>
      </w:r>
      <w:r>
        <w:rPr>
          <w:rStyle w:val="BodyTextChar"/>
        </w:rPr>
        <w:t>и воспоставувањето на Интегрираниот информациски систем за финансиско управување (</w:t>
      </w:r>
      <w:r w:rsidR="00D54ADD">
        <w:rPr>
          <w:rStyle w:val="BodyTextChar"/>
          <w:lang w:val="mk-MK"/>
        </w:rPr>
        <w:t>ИФМИС</w:t>
      </w:r>
      <w:r>
        <w:rPr>
          <w:rStyle w:val="BodyTextChar"/>
        </w:rPr>
        <w:t>) се значително одложени.</w:t>
      </w:r>
    </w:p>
    <w:p w14:paraId="2FFA02D4" w14:textId="62634262" w:rsidR="006866F8" w:rsidRDefault="00B8240F">
      <w:pPr>
        <w:pStyle w:val="BodyText"/>
        <w:jc w:val="both"/>
      </w:pPr>
      <w:r>
        <w:rPr>
          <w:rStyle w:val="BodyTextChar"/>
        </w:rPr>
        <w:t>Планирањето на јавните инвестиции останува слабо. Постигнат е одреден напредок во управувањето со јавните инвестиции (УЈИ), вклучително и основањето на нов</w:t>
      </w:r>
      <w:r w:rsidR="00D54ADD">
        <w:rPr>
          <w:rStyle w:val="BodyTextChar"/>
          <w:lang w:val="mk-MK"/>
        </w:rPr>
        <w:t>о</w:t>
      </w:r>
      <w:r>
        <w:rPr>
          <w:rStyle w:val="BodyTextChar"/>
        </w:rPr>
        <w:t xml:space="preserve"> Оддел</w:t>
      </w:r>
      <w:r w:rsidR="00D54ADD">
        <w:rPr>
          <w:rStyle w:val="BodyTextChar"/>
          <w:lang w:val="mk-MK"/>
        </w:rPr>
        <w:t>ение</w:t>
      </w:r>
      <w:r>
        <w:rPr>
          <w:rStyle w:val="BodyTextChar"/>
        </w:rPr>
        <w:t xml:space="preserve"> за УЈИ во рамките на Министерството за финансии. Уредбата за УЈИ, која е клучна за регулирање на целиот циклус на управување со инвестиции и исполнување на условеноста </w:t>
      </w:r>
      <w:r>
        <w:rPr>
          <w:rStyle w:val="BodyTextChar"/>
        </w:rPr>
        <w:lastRenderedPageBreak/>
        <w:t xml:space="preserve">од </w:t>
      </w:r>
      <w:r w:rsidR="00D54ADD">
        <w:rPr>
          <w:rStyle w:val="BodyTextChar"/>
          <w:lang w:val="mk-MK"/>
        </w:rPr>
        <w:t>Реформската а</w:t>
      </w:r>
      <w:r>
        <w:rPr>
          <w:rStyle w:val="BodyTextChar"/>
        </w:rPr>
        <w:t>генда, беше донесена во април по долго одложување.</w:t>
      </w:r>
    </w:p>
    <w:p w14:paraId="254B45AD" w14:textId="7932C263" w:rsidR="006866F8" w:rsidRDefault="00B8240F">
      <w:pPr>
        <w:pStyle w:val="BodyText"/>
        <w:jc w:val="both"/>
      </w:pPr>
      <w:r>
        <w:rPr>
          <w:rStyle w:val="BodyTextChar"/>
        </w:rPr>
        <w:t xml:space="preserve">Извршувањето на буџетот е добро структурирано. Владата управува со Единствена трезорска сметка со салдо </w:t>
      </w:r>
      <w:r w:rsidR="00D54ADD">
        <w:rPr>
          <w:rStyle w:val="BodyTextChar"/>
          <w:lang w:val="mk-MK"/>
        </w:rPr>
        <w:t xml:space="preserve">нула </w:t>
      </w:r>
      <w:r>
        <w:rPr>
          <w:rStyle w:val="BodyTextChar"/>
        </w:rPr>
        <w:t xml:space="preserve">на дневна основа. Контролите на расходите на ниво на обврски и следењето на </w:t>
      </w:r>
      <w:r w:rsidRPr="00C6407C">
        <w:rPr>
          <w:rStyle w:val="BodyTextChar"/>
        </w:rPr>
        <w:t>претпријатија</w:t>
      </w:r>
      <w:r>
        <w:rPr>
          <w:rStyle w:val="BodyTextChar"/>
        </w:rPr>
        <w:t xml:space="preserve"> </w:t>
      </w:r>
      <w:r w:rsidR="00C6407C">
        <w:rPr>
          <w:rStyle w:val="BodyTextChar"/>
          <w:lang w:val="mk-MK"/>
        </w:rPr>
        <w:t xml:space="preserve">во сопственост на државата </w:t>
      </w:r>
      <w:r>
        <w:rPr>
          <w:rStyle w:val="BodyTextChar"/>
        </w:rPr>
        <w:t>и општините треба да се зајакнат за да се спречат заостанати обврски.</w:t>
      </w:r>
    </w:p>
    <w:p w14:paraId="53BCBC56" w14:textId="76782787" w:rsidR="006866F8" w:rsidRDefault="00B8240F">
      <w:pPr>
        <w:pStyle w:val="BodyText"/>
        <w:jc w:val="both"/>
      </w:pPr>
      <w:r>
        <w:rPr>
          <w:rStyle w:val="BodyTextChar"/>
        </w:rPr>
        <w:t xml:space="preserve">Јавните внатрешни финансиски контроли (ЈВФК) остануваат слаби, и покрај одреден напредок по </w:t>
      </w:r>
      <w:r w:rsidR="00D54ADD">
        <w:rPr>
          <w:rStyle w:val="BodyTextChar"/>
          <w:lang w:val="mk-MK"/>
        </w:rPr>
        <w:t>донесувањето</w:t>
      </w:r>
      <w:r>
        <w:rPr>
          <w:rStyle w:val="BodyTextChar"/>
        </w:rPr>
        <w:t xml:space="preserve"> на Законот за ЈВФК во декември 2024 година, по четири години парламентарни </w:t>
      </w:r>
      <w:r w:rsidR="00D54ADD">
        <w:rPr>
          <w:rStyle w:val="BodyTextChar"/>
          <w:lang w:val="mk-MK"/>
        </w:rPr>
        <w:t>постапки</w:t>
      </w:r>
      <w:r>
        <w:rPr>
          <w:rStyle w:val="BodyTextChar"/>
        </w:rPr>
        <w:t xml:space="preserve"> </w:t>
      </w:r>
      <w:r w:rsidR="00D54ADD">
        <w:rPr>
          <w:rStyle w:val="BodyTextChar"/>
        </w:rPr>
        <w:t>–</w:t>
      </w:r>
      <w:r>
        <w:rPr>
          <w:rStyle w:val="BodyTextChar"/>
        </w:rPr>
        <w:t xml:space="preserve"> уште еден услов од </w:t>
      </w:r>
      <w:r w:rsidR="00D54ADD">
        <w:rPr>
          <w:rStyle w:val="BodyTextChar"/>
          <w:lang w:val="mk-MK"/>
        </w:rPr>
        <w:t>Реформската а</w:t>
      </w:r>
      <w:r>
        <w:rPr>
          <w:rStyle w:val="BodyTextChar"/>
        </w:rPr>
        <w:t>генда. Се очекува новиот закон да ги олесни основните реформи, вклучително и зајакнување на административниот капацитет, намалување на фрагментацијата на единиците за внатрешна ревизија и зајакнување на контролите за финансиско управување.</w:t>
      </w:r>
    </w:p>
    <w:p w14:paraId="0A921BD1" w14:textId="07525200" w:rsidR="006866F8" w:rsidRDefault="00B8240F">
      <w:pPr>
        <w:pStyle w:val="BodyText"/>
        <w:jc w:val="both"/>
      </w:pPr>
      <w:r>
        <w:rPr>
          <w:rStyle w:val="BodyTextChar"/>
        </w:rPr>
        <w:t xml:space="preserve">Законодавството за јавни набавки е во голема мера усогласено со </w:t>
      </w:r>
      <w:r w:rsidR="00D54ADD">
        <w:rPr>
          <w:rStyle w:val="BodyTextChar"/>
          <w:i/>
          <w:iCs/>
          <w:lang w:val="mk-MK"/>
        </w:rPr>
        <w:t>правото</w:t>
      </w:r>
      <w:r w:rsidRPr="00D54ADD">
        <w:rPr>
          <w:rStyle w:val="BodyTextChar"/>
        </w:rPr>
        <w:t xml:space="preserve"> на ЕУ</w:t>
      </w:r>
      <w:r>
        <w:rPr>
          <w:rStyle w:val="BodyTextChar"/>
        </w:rPr>
        <w:t xml:space="preserve">. И покрај оцената „А“ на Северна Македонија во последните </w:t>
      </w:r>
      <w:r w:rsidR="00D54ADD">
        <w:rPr>
          <w:rStyle w:val="BodyTextChar"/>
          <w:lang w:val="mk-MK"/>
        </w:rPr>
        <w:t>оцени на ПЕФА</w:t>
      </w:r>
      <w:r>
        <w:rPr>
          <w:rStyle w:val="BodyTextChar"/>
        </w:rPr>
        <w:t>, предизвиците во практичн</w:t>
      </w:r>
      <w:r w:rsidR="00D54ADD">
        <w:rPr>
          <w:rStyle w:val="BodyTextChar"/>
          <w:lang w:val="mk-MK"/>
        </w:rPr>
        <w:t>ото спроведување</w:t>
      </w:r>
      <w:r>
        <w:rPr>
          <w:rStyle w:val="BodyTextChar"/>
        </w:rPr>
        <w:t xml:space="preserve"> сè уште постојат, </w:t>
      </w:r>
      <w:r w:rsidR="00D54ADD">
        <w:rPr>
          <w:rStyle w:val="BodyTextChar"/>
          <w:lang w:val="mk-MK"/>
        </w:rPr>
        <w:t>вклучително и</w:t>
      </w:r>
      <w:r>
        <w:rPr>
          <w:rStyle w:val="BodyTextChar"/>
        </w:rPr>
        <w:t xml:space="preserve"> ниска конкуренција, изложеност на корупција и недоволно развиени јавно-приватни партнерства (ЈПП).</w:t>
      </w:r>
    </w:p>
    <w:p w14:paraId="2241DBF9" w14:textId="5A955A16" w:rsidR="006866F8" w:rsidRDefault="00F416B9">
      <w:pPr>
        <w:pStyle w:val="BodyText"/>
        <w:jc w:val="both"/>
      </w:pPr>
      <w:r>
        <w:rPr>
          <w:rStyle w:val="BodyTextChar"/>
          <w:lang w:val="mk-MK"/>
        </w:rPr>
        <w:t>Решавањето на</w:t>
      </w:r>
      <w:r>
        <w:rPr>
          <w:rStyle w:val="BodyTextChar"/>
        </w:rPr>
        <w:t xml:space="preserve"> овие прашања е од клучно значење за подобрување на транспарентноста и ефикасноста на набавките. Употребата на критериумите за економски најповолна понуда (</w:t>
      </w:r>
      <w:r>
        <w:rPr>
          <w:rStyle w:val="BodyTextChar"/>
          <w:lang w:val="mk-MK"/>
        </w:rPr>
        <w:t>ЕНП</w:t>
      </w:r>
      <w:r>
        <w:rPr>
          <w:rStyle w:val="BodyTextChar"/>
        </w:rPr>
        <w:t>) останува ретка, при што приближно 96</w:t>
      </w:r>
      <w:r>
        <w:rPr>
          <w:rStyle w:val="BodyTextChar"/>
          <w:lang w:val="mk-MK"/>
        </w:rPr>
        <w:t xml:space="preserve"> </w:t>
      </w:r>
      <w:r>
        <w:rPr>
          <w:rStyle w:val="BodyTextChar"/>
        </w:rPr>
        <w:t>% од понудите се доделуваат исклучиво врз основа на најниската цена.</w:t>
      </w:r>
    </w:p>
    <w:p w14:paraId="53A09807" w14:textId="5B99AA3B" w:rsidR="006866F8" w:rsidRDefault="00B8240F">
      <w:pPr>
        <w:pStyle w:val="BodyText"/>
        <w:jc w:val="both"/>
      </w:pPr>
      <w:r>
        <w:rPr>
          <w:rStyle w:val="BodyTextChar"/>
        </w:rPr>
        <w:t xml:space="preserve">Државниот завод за ревизија (ДЗР) се смета за оперативно независен, но неговиот официјален статус како независна институција сè уште не е признаен во Уставот. ДЗР целосно ја спроведе својата програма за ревизија за 2024 година. Сепак, неговиот институционален капацитет останува недоволен </w:t>
      </w:r>
      <w:r w:rsidR="00F416B9">
        <w:rPr>
          <w:rStyle w:val="BodyTextChar"/>
        </w:rPr>
        <w:t>–</w:t>
      </w:r>
      <w:r>
        <w:rPr>
          <w:rStyle w:val="BodyTextChar"/>
        </w:rPr>
        <w:t xml:space="preserve"> иако </w:t>
      </w:r>
      <w:r w:rsidR="001E2034">
        <w:rPr>
          <w:rStyle w:val="BodyTextChar"/>
          <w:lang w:val="mk-MK"/>
        </w:rPr>
        <w:t>Правилникот</w:t>
      </w:r>
      <w:r>
        <w:rPr>
          <w:rStyle w:val="BodyTextChar"/>
        </w:rPr>
        <w:t xml:space="preserve"> за систематизација </w:t>
      </w:r>
      <w:r w:rsidR="001E2034">
        <w:rPr>
          <w:rStyle w:val="BodyTextChar"/>
          <w:lang w:val="mk-MK"/>
        </w:rPr>
        <w:t xml:space="preserve">на работните места во ДЗР </w:t>
      </w:r>
      <w:r>
        <w:rPr>
          <w:rStyle w:val="BodyTextChar"/>
        </w:rPr>
        <w:t>одобрен во декември 2022 година предвидува 245 работни места, само 126 (51</w:t>
      </w:r>
      <w:r w:rsidR="00F416B9">
        <w:rPr>
          <w:rStyle w:val="BodyTextChar"/>
          <w:lang w:val="mk-MK"/>
        </w:rPr>
        <w:t xml:space="preserve"> </w:t>
      </w:r>
      <w:r>
        <w:rPr>
          <w:rStyle w:val="BodyTextChar"/>
        </w:rPr>
        <w:t xml:space="preserve">%) се моментално пополнети. </w:t>
      </w:r>
      <w:r w:rsidR="001E2034">
        <w:rPr>
          <w:rStyle w:val="BodyTextChar"/>
          <w:lang w:val="mk-MK"/>
        </w:rPr>
        <w:t>Собранискиот</w:t>
      </w:r>
      <w:r>
        <w:rPr>
          <w:rStyle w:val="BodyTextChar"/>
        </w:rPr>
        <w:t xml:space="preserve"> надзор врз ревизорските извештаи останува слаб, бидејќи не постои воспоставена практика за следење на поединечните наоди од ревизиите.</w:t>
      </w:r>
    </w:p>
    <w:p w14:paraId="52F523B3" w14:textId="15890707" w:rsidR="006866F8" w:rsidRDefault="00B8240F">
      <w:pPr>
        <w:pStyle w:val="BodyText"/>
        <w:spacing w:after="620"/>
        <w:jc w:val="both"/>
      </w:pPr>
      <w:r>
        <w:rPr>
          <w:rStyle w:val="BodyTextChar"/>
          <w:b/>
          <w:bCs/>
        </w:rPr>
        <w:t>Како заклучок, исправноста на системот за управување со јавни финансии (</w:t>
      </w:r>
      <w:r w:rsidR="001E2034">
        <w:rPr>
          <w:rStyle w:val="BodyTextChar"/>
          <w:b/>
          <w:bCs/>
          <w:lang w:val="mk-MK"/>
        </w:rPr>
        <w:t>вклучително</w:t>
      </w:r>
      <w:r>
        <w:rPr>
          <w:rStyle w:val="BodyTextChar"/>
          <w:b/>
          <w:bCs/>
        </w:rPr>
        <w:t xml:space="preserve"> и релевантната стратегија за реформи) е доволно потврдена, а општиот услов е исполнет.</w:t>
      </w:r>
    </w:p>
    <w:p w14:paraId="21677E18" w14:textId="1E2C83B6" w:rsidR="006866F8" w:rsidRPr="00262A83" w:rsidRDefault="00182DB0" w:rsidP="00262A83">
      <w:pPr>
        <w:pStyle w:val="Heading20"/>
        <w:keepNext/>
        <w:keepLines/>
        <w:tabs>
          <w:tab w:val="left" w:pos="709"/>
          <w:tab w:val="left" w:pos="1134"/>
        </w:tabs>
        <w:spacing w:line="259" w:lineRule="auto"/>
        <w:jc w:val="both"/>
        <w:rPr>
          <w:lang w:val="en-GB"/>
        </w:rPr>
      </w:pPr>
      <w:bookmarkStart w:id="4" w:name="bookmark11"/>
      <w:r>
        <w:rPr>
          <w:rStyle w:val="Heading2"/>
          <w:b/>
          <w:bCs/>
          <w:lang w:val="mk-MK"/>
        </w:rPr>
        <w:t>в)</w:t>
      </w:r>
      <w:r>
        <w:rPr>
          <w:rStyle w:val="Heading2"/>
          <w:b/>
          <w:bCs/>
          <w:lang w:val="mk-MK"/>
        </w:rPr>
        <w:tab/>
      </w:r>
      <w:r w:rsidRPr="00C6407C">
        <w:rPr>
          <w:rStyle w:val="Heading2"/>
          <w:b/>
          <w:bCs/>
        </w:rPr>
        <w:t>Процена на транспарентноста и надзорот на буџетот</w:t>
      </w:r>
      <w:bookmarkEnd w:id="4"/>
    </w:p>
    <w:p w14:paraId="1A5D200F" w14:textId="018D9EFE" w:rsidR="006866F8" w:rsidRDefault="00B8240F">
      <w:pPr>
        <w:pStyle w:val="BodyText"/>
        <w:jc w:val="both"/>
      </w:pPr>
      <w:proofErr w:type="spellStart"/>
      <w:r>
        <w:rPr>
          <w:rStyle w:val="BodyTextChar"/>
        </w:rPr>
        <w:t>Предло</w:t>
      </w:r>
      <w:r w:rsidR="00CC2CF6">
        <w:rPr>
          <w:rStyle w:val="BodyTextChar"/>
          <w:lang w:val="mk-MK"/>
        </w:rPr>
        <w:t>гот</w:t>
      </w:r>
      <w:proofErr w:type="spellEnd"/>
      <w:r w:rsidR="00CC2CF6">
        <w:rPr>
          <w:rStyle w:val="BodyTextChar"/>
          <w:lang w:val="mk-MK"/>
        </w:rPr>
        <w:t xml:space="preserve"> за извршување на </w:t>
      </w:r>
      <w:r>
        <w:rPr>
          <w:rStyle w:val="BodyTextChar"/>
        </w:rPr>
        <w:t xml:space="preserve">буџетот и конечниот одобрен буџет се објавуваат навремено на веб-страниците и на </w:t>
      </w:r>
      <w:r w:rsidR="00CC2CF6">
        <w:rPr>
          <w:rStyle w:val="BodyTextChar"/>
          <w:lang w:val="mk-MK"/>
        </w:rPr>
        <w:t>Собранието</w:t>
      </w:r>
      <w:r>
        <w:rPr>
          <w:rStyle w:val="BodyTextChar"/>
        </w:rPr>
        <w:t xml:space="preserve"> и на Министерството за финансии. Главните буџетски документи, </w:t>
      </w:r>
      <w:r w:rsidR="00CC2CF6">
        <w:rPr>
          <w:rStyle w:val="BodyTextChar"/>
          <w:lang w:val="mk-MK"/>
        </w:rPr>
        <w:t>вклучително и</w:t>
      </w:r>
      <w:r>
        <w:rPr>
          <w:rStyle w:val="BodyTextChar"/>
        </w:rPr>
        <w:t xml:space="preserve"> годишниот буџет, Фискалната стратегија, Стратегијата за управување со </w:t>
      </w:r>
      <w:r w:rsidR="00CC2CF6">
        <w:rPr>
          <w:rStyle w:val="BodyTextChar"/>
          <w:lang w:val="mk-MK"/>
        </w:rPr>
        <w:t xml:space="preserve">јавниот </w:t>
      </w:r>
      <w:r>
        <w:rPr>
          <w:rStyle w:val="BodyTextChar"/>
        </w:rPr>
        <w:t xml:space="preserve">долг и </w:t>
      </w:r>
      <w:r w:rsidR="00CC2CF6">
        <w:rPr>
          <w:rStyle w:val="BodyTextChar"/>
          <w:lang w:val="mk-MK"/>
        </w:rPr>
        <w:t>з</w:t>
      </w:r>
      <w:r>
        <w:rPr>
          <w:rStyle w:val="BodyTextChar"/>
        </w:rPr>
        <w:t xml:space="preserve">авршните сметки, се генерално достапни за јавноста. Сепак, објавувањето на неодамнешните Фискални стратегии се соочи со значителни доцнења </w:t>
      </w:r>
      <w:r w:rsidR="00CC2CF6">
        <w:rPr>
          <w:rStyle w:val="BodyTextChar"/>
        </w:rPr>
        <w:t>–</w:t>
      </w:r>
      <w:r>
        <w:rPr>
          <w:rStyle w:val="BodyTextChar"/>
        </w:rPr>
        <w:t xml:space="preserve"> оние за 2023-2027 година беа одложени поради енергетската криза, додека </w:t>
      </w:r>
      <w:r w:rsidR="00CC2CF6">
        <w:rPr>
          <w:rStyle w:val="BodyTextChar"/>
          <w:lang w:val="mk-MK"/>
        </w:rPr>
        <w:t>С</w:t>
      </w:r>
      <w:r>
        <w:rPr>
          <w:rStyle w:val="BodyTextChar"/>
        </w:rPr>
        <w:t xml:space="preserve">тратегијата </w:t>
      </w:r>
      <w:r w:rsidR="00B5140C">
        <w:rPr>
          <w:rStyle w:val="BodyTextChar"/>
          <w:lang w:val="mk-MK"/>
        </w:rPr>
        <w:t xml:space="preserve">за управување со јавен долг </w:t>
      </w:r>
      <w:r>
        <w:rPr>
          <w:rStyle w:val="BodyTextChar"/>
        </w:rPr>
        <w:t>за 2025-2029 година беше одложена поради избори.</w:t>
      </w:r>
    </w:p>
    <w:p w14:paraId="01A3A1EA" w14:textId="23379B05" w:rsidR="006866F8" w:rsidRDefault="00B8240F">
      <w:pPr>
        <w:pStyle w:val="BodyText"/>
        <w:jc w:val="both"/>
      </w:pPr>
      <w:r>
        <w:rPr>
          <w:rStyle w:val="BodyTextChar"/>
        </w:rPr>
        <w:t xml:space="preserve">Министерството за финансии продолжи со своите напори за подобрување на транспарентноста на буџетот преку објавување квартални податоци за приходите и расходите </w:t>
      </w:r>
      <w:r>
        <w:rPr>
          <w:rStyle w:val="BodyTextChar"/>
        </w:rPr>
        <w:lastRenderedPageBreak/>
        <w:t xml:space="preserve">на јавните институции, локалните самоуправи и </w:t>
      </w:r>
      <w:r w:rsidRPr="00C6407C">
        <w:rPr>
          <w:rStyle w:val="BodyTextChar"/>
        </w:rPr>
        <w:t>претпријатија</w:t>
      </w:r>
      <w:r w:rsidR="00C6407C">
        <w:rPr>
          <w:rStyle w:val="BodyTextChar"/>
          <w:lang w:val="mk-MK"/>
        </w:rPr>
        <w:t xml:space="preserve"> во сопственост на државата</w:t>
      </w:r>
      <w:r>
        <w:rPr>
          <w:rStyle w:val="BodyTextChar"/>
        </w:rPr>
        <w:t>. Сепак, сеопфатноста и достапноста на овие податоци би можеле да се подобрат.</w:t>
      </w:r>
    </w:p>
    <w:p w14:paraId="7D8745E7" w14:textId="5BC3DD7A" w:rsidR="006866F8" w:rsidRDefault="00B8240F">
      <w:pPr>
        <w:pStyle w:val="BodyText"/>
        <w:jc w:val="both"/>
      </w:pPr>
      <w:r>
        <w:rPr>
          <w:rStyle w:val="BodyTextChar"/>
        </w:rPr>
        <w:t>Во Анкетата за отворен буџет (</w:t>
      </w:r>
      <w:r w:rsidR="00B5140C">
        <w:rPr>
          <w:rStyle w:val="BodyTextChar"/>
          <w:lang w:val="en-US"/>
        </w:rPr>
        <w:t>O</w:t>
      </w:r>
      <w:r w:rsidR="00B5140C">
        <w:rPr>
          <w:rStyle w:val="BodyTextChar"/>
          <w:lang w:val="mk-MK"/>
        </w:rPr>
        <w:t>БС</w:t>
      </w:r>
      <w:r>
        <w:rPr>
          <w:rStyle w:val="BodyTextChar"/>
        </w:rPr>
        <w:t xml:space="preserve">) за 2023 година, Северна Македонија постигна 35 поени, што е мало намалување во однос на резултатот од 36 во 2021 година. Земјата ги прави јавно достапни пет од осумте клучни буџетски документи што ги следи </w:t>
      </w:r>
      <w:r w:rsidR="00B5140C">
        <w:rPr>
          <w:rStyle w:val="BodyTextChar"/>
          <w:lang w:val="en-US"/>
        </w:rPr>
        <w:t>O</w:t>
      </w:r>
      <w:r w:rsidR="00B5140C">
        <w:rPr>
          <w:rStyle w:val="BodyTextChar"/>
          <w:lang w:val="mk-MK"/>
        </w:rPr>
        <w:t>БС</w:t>
      </w:r>
      <w:r w:rsidR="00B5140C">
        <w:rPr>
          <w:rStyle w:val="BodyTextChar"/>
        </w:rPr>
        <w:t xml:space="preserve"> </w:t>
      </w:r>
      <w:r>
        <w:rPr>
          <w:rStyle w:val="BodyTextChar"/>
        </w:rPr>
        <w:t>во временска рамка во согласност со меѓународните стандарди. За да се подобри транспарентноста на буџетот, треба да се даде приоритет</w:t>
      </w:r>
      <w:r w:rsidR="00C6407C">
        <w:rPr>
          <w:rStyle w:val="BodyTextChar"/>
          <w:lang w:val="mk-MK"/>
        </w:rPr>
        <w:t xml:space="preserve"> на</w:t>
      </w:r>
      <w:r>
        <w:rPr>
          <w:rStyle w:val="BodyTextChar"/>
        </w:rPr>
        <w:t xml:space="preserve"> навременото објавување на Граѓанскиот буџет, Прегледот на буџетот на половина година и Фискалната стратегија.</w:t>
      </w:r>
    </w:p>
    <w:p w14:paraId="49919C17" w14:textId="1835F228" w:rsidR="006866F8" w:rsidRDefault="00B8240F">
      <w:pPr>
        <w:pStyle w:val="BodyText"/>
        <w:jc w:val="both"/>
      </w:pPr>
      <w:r>
        <w:rPr>
          <w:rStyle w:val="BodyTextChar"/>
        </w:rPr>
        <w:t xml:space="preserve">Според </w:t>
      </w:r>
      <w:r w:rsidR="00B5140C">
        <w:rPr>
          <w:rStyle w:val="BodyTextChar"/>
          <w:lang w:val="mk-MK"/>
        </w:rPr>
        <w:t>најновата</w:t>
      </w:r>
      <w:r>
        <w:rPr>
          <w:rStyle w:val="BodyTextChar"/>
        </w:rPr>
        <w:t xml:space="preserve"> </w:t>
      </w:r>
      <w:r w:rsidR="00B5140C">
        <w:rPr>
          <w:rStyle w:val="BodyTextChar"/>
          <w:lang w:val="en-US"/>
        </w:rPr>
        <w:t>O</w:t>
      </w:r>
      <w:r w:rsidR="00B5140C">
        <w:rPr>
          <w:rStyle w:val="BodyTextChar"/>
          <w:lang w:val="mk-MK"/>
        </w:rPr>
        <w:t>БС</w:t>
      </w:r>
      <w:r>
        <w:rPr>
          <w:rStyle w:val="BodyTextChar"/>
        </w:rPr>
        <w:t xml:space="preserve">, постои само ограничен надзор во текот на целиот буџетски циклус. Владата треба да обезбеди предлог-буџетот да биде доставен до </w:t>
      </w:r>
      <w:r w:rsidR="00B5140C">
        <w:rPr>
          <w:rStyle w:val="BodyTextChar"/>
          <w:lang w:val="mk-MK"/>
        </w:rPr>
        <w:t>Собранието</w:t>
      </w:r>
      <w:r>
        <w:rPr>
          <w:rStyle w:val="BodyTextChar"/>
        </w:rPr>
        <w:t xml:space="preserve"> најмалку два месеци пред почетокот на фискалната година, овозможувајќи длабински дебати за буџетската политика пред </w:t>
      </w:r>
      <w:r w:rsidR="00B86AC2">
        <w:rPr>
          <w:rStyle w:val="BodyTextChar"/>
          <w:lang w:val="mk-MK"/>
        </w:rPr>
        <w:t>донесувањето</w:t>
      </w:r>
      <w:r>
        <w:rPr>
          <w:rStyle w:val="BodyTextChar"/>
        </w:rPr>
        <w:t xml:space="preserve">. Можностите за учество на јавноста во буџетскиот процес остануваат ограничени. Министерството за финансии треба дополнително да го промовира вклучувањето на јавноста во сите фази од подготовката, извршувањето и известувањето </w:t>
      </w:r>
      <w:r w:rsidR="00B86AC2">
        <w:rPr>
          <w:rStyle w:val="BodyTextChar"/>
          <w:lang w:val="mk-MK"/>
        </w:rPr>
        <w:t>за</w:t>
      </w:r>
      <w:r>
        <w:rPr>
          <w:rStyle w:val="BodyTextChar"/>
        </w:rPr>
        <w:t xml:space="preserve"> буџетот.</w:t>
      </w:r>
    </w:p>
    <w:p w14:paraId="721DF665" w14:textId="547D2464" w:rsidR="006866F8" w:rsidRDefault="00B8240F">
      <w:pPr>
        <w:pStyle w:val="BodyText"/>
        <w:spacing w:after="520"/>
        <w:jc w:val="both"/>
      </w:pPr>
      <w:r>
        <w:rPr>
          <w:rStyle w:val="BodyTextChar"/>
        </w:rPr>
        <w:t xml:space="preserve">Ревизијата на завршните сметки на </w:t>
      </w:r>
      <w:r w:rsidR="00B86AC2">
        <w:rPr>
          <w:rStyle w:val="BodyTextChar"/>
          <w:lang w:val="mk-MK"/>
        </w:rPr>
        <w:t>В</w:t>
      </w:r>
      <w:r>
        <w:rPr>
          <w:rStyle w:val="BodyTextChar"/>
        </w:rPr>
        <w:t xml:space="preserve">ладата </w:t>
      </w:r>
      <w:r w:rsidR="00F416B9">
        <w:rPr>
          <w:rStyle w:val="BodyTextChar"/>
        </w:rPr>
        <w:t>од</w:t>
      </w:r>
      <w:r>
        <w:rPr>
          <w:rStyle w:val="BodyTextChar"/>
        </w:rPr>
        <w:t xml:space="preserve"> Државниот завод за ревизија (ДЗР) </w:t>
      </w:r>
      <w:r w:rsidR="00B86AC2">
        <w:rPr>
          <w:rStyle w:val="BodyTextChar"/>
          <w:lang w:val="mk-MK"/>
        </w:rPr>
        <w:t>моментално</w:t>
      </w:r>
      <w:r>
        <w:rPr>
          <w:rStyle w:val="BodyTextChar"/>
        </w:rPr>
        <w:t xml:space="preserve"> е ограничена на прашања поврзани со усогласеноста. </w:t>
      </w:r>
      <w:r w:rsidR="00B86AC2">
        <w:rPr>
          <w:rStyle w:val="BodyTextChar"/>
          <w:lang w:val="mk-MK"/>
        </w:rPr>
        <w:t>Тој с</w:t>
      </w:r>
      <w:r>
        <w:rPr>
          <w:rStyle w:val="BodyTextChar"/>
        </w:rPr>
        <w:t xml:space="preserve">è уште не дава ревизорско мислење за точноста и праведноста врз основа на методологијата на финансиска ревизија. Сепак, ваквите мислења ќе бидат потребни откако ќе </w:t>
      </w:r>
      <w:r w:rsidR="00B86AC2">
        <w:rPr>
          <w:rStyle w:val="BodyTextChar"/>
          <w:lang w:val="mk-MK"/>
        </w:rPr>
        <w:t>влезе</w:t>
      </w:r>
      <w:r>
        <w:rPr>
          <w:rStyle w:val="BodyTextChar"/>
        </w:rPr>
        <w:t xml:space="preserve"> во сила новиот </w:t>
      </w:r>
      <w:r w:rsidR="00B86AC2">
        <w:rPr>
          <w:rStyle w:val="BodyTextChar"/>
          <w:lang w:val="mk-MK"/>
        </w:rPr>
        <w:t>Закон за буџетите</w:t>
      </w:r>
      <w:r>
        <w:rPr>
          <w:rStyle w:val="BodyTextChar"/>
        </w:rPr>
        <w:t xml:space="preserve"> (</w:t>
      </w:r>
      <w:r w:rsidR="00B86AC2">
        <w:rPr>
          <w:rStyle w:val="BodyTextChar"/>
          <w:lang w:val="mk-MK"/>
        </w:rPr>
        <w:t>З</w:t>
      </w:r>
      <w:r>
        <w:rPr>
          <w:rStyle w:val="BodyTextChar"/>
        </w:rPr>
        <w:t>Б).</w:t>
      </w:r>
    </w:p>
    <w:p w14:paraId="604D68E7" w14:textId="77777777" w:rsidR="006866F8" w:rsidRDefault="00B8240F">
      <w:pPr>
        <w:pStyle w:val="BodyText"/>
        <w:spacing w:after="620"/>
        <w:jc w:val="both"/>
      </w:pPr>
      <w:r>
        <w:rPr>
          <w:rStyle w:val="BodyTextChar"/>
          <w:b/>
          <w:bCs/>
        </w:rPr>
        <w:t>Како заклучок, транспарентноста и надзорот над буџетот се доволно веродостојни и општиот услов е исполнет.</w:t>
      </w:r>
    </w:p>
    <w:p w14:paraId="14BE5F75" w14:textId="77777777" w:rsidR="006866F8" w:rsidRDefault="00B8240F">
      <w:pPr>
        <w:pStyle w:val="BodyText"/>
        <w:spacing w:after="1060"/>
        <w:jc w:val="both"/>
      </w:pPr>
      <w:r>
        <w:rPr>
          <w:rStyle w:val="BodyTextChar"/>
          <w:b/>
          <w:bCs/>
          <w:i/>
          <w:iCs/>
          <w:u w:val="single"/>
        </w:rPr>
        <w:t>Општите услови се потврдуваат како исполнети.</w:t>
      </w:r>
    </w:p>
    <w:p w14:paraId="6660C772" w14:textId="2E7B2642" w:rsidR="006866F8" w:rsidRDefault="00B8240F">
      <w:pPr>
        <w:pStyle w:val="Heading20"/>
        <w:keepNext/>
        <w:keepLines/>
        <w:numPr>
          <w:ilvl w:val="0"/>
          <w:numId w:val="1"/>
        </w:numPr>
        <w:tabs>
          <w:tab w:val="left" w:pos="329"/>
        </w:tabs>
        <w:spacing w:after="120"/>
        <w:jc w:val="both"/>
      </w:pPr>
      <w:bookmarkStart w:id="5" w:name="bookmark13"/>
      <w:r>
        <w:rPr>
          <w:rStyle w:val="Heading2"/>
          <w:b/>
          <w:bCs/>
        </w:rPr>
        <w:t xml:space="preserve">Преглед </w:t>
      </w:r>
      <w:r w:rsidR="00F416B9">
        <w:rPr>
          <w:rStyle w:val="Heading2"/>
          <w:b/>
          <w:bCs/>
        </w:rPr>
        <w:t>од</w:t>
      </w:r>
      <w:r>
        <w:rPr>
          <w:rStyle w:val="Heading2"/>
          <w:b/>
          <w:bCs/>
        </w:rPr>
        <w:t xml:space="preserve"> ЕК за постигнувањето на чекорите во </w:t>
      </w:r>
      <w:r w:rsidR="00B86AC2">
        <w:rPr>
          <w:rStyle w:val="Heading2"/>
          <w:b/>
          <w:bCs/>
          <w:lang w:val="mk-MK"/>
        </w:rPr>
        <w:t>Р</w:t>
      </w:r>
      <w:r>
        <w:rPr>
          <w:rStyle w:val="Heading2"/>
          <w:b/>
          <w:bCs/>
        </w:rPr>
        <w:t>еформските агенди</w:t>
      </w:r>
      <w:bookmarkEnd w:id="5"/>
    </w:p>
    <w:p w14:paraId="29D0463E" w14:textId="1D36753D" w:rsidR="006866F8" w:rsidRDefault="00B8240F">
      <w:pPr>
        <w:pStyle w:val="BodyText"/>
        <w:spacing w:after="620" w:line="276" w:lineRule="auto"/>
        <w:jc w:val="both"/>
      </w:pPr>
      <w:r>
        <w:rPr>
          <w:rStyle w:val="BodyTextChar"/>
        </w:rPr>
        <w:t xml:space="preserve">Комисијата ги разгледа информациите доставени од корисникот и нема индикации дека спроведувањето на чекорите е во спротивност со општите </w:t>
      </w:r>
      <w:r w:rsidR="00B86AC2">
        <w:rPr>
          <w:rStyle w:val="BodyTextChar"/>
          <w:lang w:val="mk-MK"/>
        </w:rPr>
        <w:t>начела</w:t>
      </w:r>
      <w:r>
        <w:rPr>
          <w:rStyle w:val="BodyTextChar"/>
        </w:rPr>
        <w:t xml:space="preserve"> наведени во член 4 и 11(4) од Регулативата (ЕУ) 2024/1449 и член 3 од </w:t>
      </w:r>
      <w:r w:rsidR="00B86AC2">
        <w:rPr>
          <w:rStyle w:val="BodyTextChar"/>
          <w:lang w:val="mk-MK"/>
        </w:rPr>
        <w:t>Спогодбата</w:t>
      </w:r>
      <w:r>
        <w:rPr>
          <w:rStyle w:val="BodyTextChar"/>
        </w:rPr>
        <w:t xml:space="preserve"> за инструмент, или </w:t>
      </w:r>
      <w:r w:rsidR="00B86AC2">
        <w:rPr>
          <w:rStyle w:val="BodyTextChar"/>
          <w:lang w:val="mk-MK"/>
        </w:rPr>
        <w:t>начелото</w:t>
      </w:r>
      <w:r>
        <w:rPr>
          <w:rStyle w:val="BodyTextChar"/>
        </w:rPr>
        <w:t xml:space="preserve"> „Не </w:t>
      </w:r>
      <w:r w:rsidR="001E749F">
        <w:rPr>
          <w:rStyle w:val="BodyTextChar"/>
          <w:lang w:val="mk-MK"/>
        </w:rPr>
        <w:t>прави</w:t>
      </w:r>
      <w:r w:rsidR="00B86AC2">
        <w:rPr>
          <w:rStyle w:val="BodyTextChar"/>
          <w:lang w:val="mk-MK"/>
        </w:rPr>
        <w:t xml:space="preserve"> </w:t>
      </w:r>
      <w:r>
        <w:rPr>
          <w:rStyle w:val="BodyTextChar"/>
        </w:rPr>
        <w:t>значителна штета“ (</w:t>
      </w:r>
      <w:r w:rsidR="001E749F">
        <w:rPr>
          <w:rStyle w:val="BodyTextChar"/>
          <w:lang w:val="mk-MK"/>
        </w:rPr>
        <w:t>НПЗШ</w:t>
      </w:r>
      <w:r>
        <w:rPr>
          <w:rStyle w:val="BodyTextChar"/>
        </w:rPr>
        <w:t>).</w:t>
      </w:r>
    </w:p>
    <w:p w14:paraId="36238C98" w14:textId="77777777" w:rsidR="006866F8" w:rsidRDefault="00B8240F">
      <w:pPr>
        <w:pStyle w:val="Tablecaption0"/>
      </w:pPr>
      <w:r>
        <w:rPr>
          <w:rStyle w:val="Tablecaption"/>
          <w:b/>
          <w:bCs/>
        </w:rPr>
        <w:t>1.1.1. Зајакнување на јавната внатрешна финансиска контрола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7810"/>
      </w:tblGrid>
      <w:tr w:rsidR="006866F8" w14:paraId="2FEA9FCE" w14:textId="77777777">
        <w:trPr>
          <w:trHeight w:hRule="exact" w:val="682"/>
          <w:jc w:val="center"/>
        </w:trPr>
        <w:tc>
          <w:tcPr>
            <w:tcW w:w="1704" w:type="dxa"/>
            <w:tcBorders>
              <w:top w:val="single" w:sz="4" w:space="0" w:color="auto"/>
              <w:left w:val="single" w:sz="4" w:space="0" w:color="auto"/>
            </w:tcBorders>
            <w:shd w:val="clear" w:color="auto" w:fill="E8E8E8"/>
            <w:vAlign w:val="center"/>
          </w:tcPr>
          <w:p w14:paraId="0CD5756B" w14:textId="77777777" w:rsidR="006866F8" w:rsidRDefault="00B8240F">
            <w:pPr>
              <w:pStyle w:val="Other0"/>
            </w:pPr>
            <w:r>
              <w:rPr>
                <w:rStyle w:val="Other"/>
                <w:b/>
                <w:bCs/>
              </w:rPr>
              <w:t>Чекорот што се разгледува</w:t>
            </w:r>
          </w:p>
        </w:tc>
        <w:tc>
          <w:tcPr>
            <w:tcW w:w="7810" w:type="dxa"/>
            <w:tcBorders>
              <w:top w:val="single" w:sz="4" w:space="0" w:color="auto"/>
              <w:left w:val="single" w:sz="4" w:space="0" w:color="auto"/>
              <w:right w:val="single" w:sz="4" w:space="0" w:color="auto"/>
            </w:tcBorders>
          </w:tcPr>
          <w:p w14:paraId="7406474F" w14:textId="2E190228" w:rsidR="006866F8" w:rsidRDefault="00B8240F">
            <w:pPr>
              <w:pStyle w:val="Other0"/>
              <w:spacing w:before="80"/>
            </w:pPr>
            <w:r>
              <w:rPr>
                <w:rStyle w:val="Other"/>
                <w:i/>
                <w:iCs/>
              </w:rPr>
              <w:t>Законот за јавн</w:t>
            </w:r>
            <w:r w:rsidR="001E749F">
              <w:rPr>
                <w:rStyle w:val="Other"/>
                <w:i/>
                <w:iCs/>
                <w:lang w:val="mk-MK"/>
              </w:rPr>
              <w:t>а</w:t>
            </w:r>
            <w:r>
              <w:rPr>
                <w:rStyle w:val="Other"/>
                <w:i/>
                <w:iCs/>
              </w:rPr>
              <w:t xml:space="preserve"> внатрешн</w:t>
            </w:r>
            <w:r w:rsidR="001E749F">
              <w:rPr>
                <w:rStyle w:val="Other"/>
                <w:i/>
                <w:iCs/>
                <w:lang w:val="mk-MK"/>
              </w:rPr>
              <w:t>а</w:t>
            </w:r>
            <w:r>
              <w:rPr>
                <w:rStyle w:val="Other"/>
                <w:i/>
                <w:iCs/>
              </w:rPr>
              <w:t xml:space="preserve"> финансиск</w:t>
            </w:r>
            <w:r w:rsidR="001E749F">
              <w:rPr>
                <w:rStyle w:val="Other"/>
                <w:i/>
                <w:iCs/>
                <w:lang w:val="mk-MK"/>
              </w:rPr>
              <w:t>а</w:t>
            </w:r>
            <w:r>
              <w:rPr>
                <w:rStyle w:val="Other"/>
                <w:i/>
                <w:iCs/>
              </w:rPr>
              <w:t xml:space="preserve"> контрол</w:t>
            </w:r>
            <w:r w:rsidR="001E749F">
              <w:rPr>
                <w:rStyle w:val="Other"/>
                <w:i/>
                <w:iCs/>
                <w:lang w:val="mk-MK"/>
              </w:rPr>
              <w:t>а</w:t>
            </w:r>
            <w:r>
              <w:rPr>
                <w:rStyle w:val="Other"/>
                <w:i/>
                <w:iCs/>
              </w:rPr>
              <w:t xml:space="preserve"> (ЈВФК) е </w:t>
            </w:r>
            <w:r w:rsidR="001E749F">
              <w:rPr>
                <w:rStyle w:val="Other"/>
                <w:i/>
                <w:iCs/>
                <w:lang w:val="mk-MK"/>
              </w:rPr>
              <w:t>донесен</w:t>
            </w:r>
            <w:r>
              <w:rPr>
                <w:rStyle w:val="Other"/>
                <w:i/>
                <w:iCs/>
              </w:rPr>
              <w:t xml:space="preserve"> </w:t>
            </w:r>
            <w:r w:rsidR="00F416B9">
              <w:rPr>
                <w:rStyle w:val="Other"/>
                <w:i/>
                <w:iCs/>
              </w:rPr>
              <w:t>од</w:t>
            </w:r>
            <w:r>
              <w:rPr>
                <w:rStyle w:val="Other"/>
                <w:i/>
                <w:iCs/>
              </w:rPr>
              <w:t xml:space="preserve"> </w:t>
            </w:r>
            <w:r w:rsidR="00801DDA">
              <w:rPr>
                <w:rStyle w:val="Other"/>
                <w:i/>
                <w:iCs/>
                <w:lang w:val="mk-MK"/>
              </w:rPr>
              <w:t>Собранието</w:t>
            </w:r>
            <w:r>
              <w:rPr>
                <w:rStyle w:val="Other"/>
                <w:i/>
                <w:iCs/>
              </w:rPr>
              <w:t>.</w:t>
            </w:r>
          </w:p>
        </w:tc>
      </w:tr>
      <w:tr w:rsidR="006866F8" w14:paraId="6B918153" w14:textId="77777777" w:rsidTr="00262A83">
        <w:trPr>
          <w:trHeight w:hRule="exact" w:val="577"/>
          <w:jc w:val="center"/>
        </w:trPr>
        <w:tc>
          <w:tcPr>
            <w:tcW w:w="1704" w:type="dxa"/>
            <w:tcBorders>
              <w:top w:val="single" w:sz="4" w:space="0" w:color="auto"/>
              <w:left w:val="single" w:sz="4" w:space="0" w:color="auto"/>
            </w:tcBorders>
            <w:shd w:val="clear" w:color="auto" w:fill="E8E8E8"/>
            <w:vAlign w:val="center"/>
          </w:tcPr>
          <w:p w14:paraId="57017049" w14:textId="482A4464" w:rsidR="006866F8" w:rsidRPr="008A2364" w:rsidRDefault="00B8240F">
            <w:pPr>
              <w:pStyle w:val="Other0"/>
              <w:rPr>
                <w:lang w:val="mk-MK"/>
              </w:rPr>
            </w:pPr>
            <w:r>
              <w:rPr>
                <w:rStyle w:val="Other"/>
                <w:b/>
                <w:bCs/>
              </w:rPr>
              <w:t xml:space="preserve">Основна </w:t>
            </w:r>
            <w:r w:rsidR="008A2364">
              <w:rPr>
                <w:rStyle w:val="Other"/>
                <w:b/>
                <w:bCs/>
                <w:lang w:val="mk-MK"/>
              </w:rPr>
              <w:t>состојба</w:t>
            </w:r>
          </w:p>
        </w:tc>
        <w:tc>
          <w:tcPr>
            <w:tcW w:w="7810" w:type="dxa"/>
            <w:tcBorders>
              <w:top w:val="single" w:sz="4" w:space="0" w:color="auto"/>
              <w:left w:val="single" w:sz="4" w:space="0" w:color="auto"/>
              <w:right w:val="single" w:sz="4" w:space="0" w:color="auto"/>
            </w:tcBorders>
            <w:vAlign w:val="center"/>
          </w:tcPr>
          <w:p w14:paraId="6D3D812D" w14:textId="56F7A19D" w:rsidR="006866F8" w:rsidRDefault="00B8240F">
            <w:pPr>
              <w:pStyle w:val="Other0"/>
            </w:pPr>
            <w:r>
              <w:rPr>
                <w:rStyle w:val="Other"/>
              </w:rPr>
              <w:t xml:space="preserve">0 (2024). (Законот не е </w:t>
            </w:r>
            <w:r w:rsidR="001E749F">
              <w:rPr>
                <w:rStyle w:val="Other"/>
                <w:lang w:val="mk-MK"/>
              </w:rPr>
              <w:t>донесен</w:t>
            </w:r>
            <w:r>
              <w:rPr>
                <w:rStyle w:val="Other"/>
              </w:rPr>
              <w:t>)</w:t>
            </w:r>
          </w:p>
        </w:tc>
      </w:tr>
      <w:tr w:rsidR="006866F8" w14:paraId="6EB61025" w14:textId="77777777">
        <w:trPr>
          <w:trHeight w:hRule="exact" w:val="754"/>
          <w:jc w:val="center"/>
        </w:trPr>
        <w:tc>
          <w:tcPr>
            <w:tcW w:w="1704" w:type="dxa"/>
            <w:tcBorders>
              <w:top w:val="single" w:sz="4" w:space="0" w:color="auto"/>
              <w:left w:val="single" w:sz="4" w:space="0" w:color="auto"/>
            </w:tcBorders>
            <w:shd w:val="clear" w:color="auto" w:fill="E8E8E8"/>
            <w:vAlign w:val="center"/>
          </w:tcPr>
          <w:p w14:paraId="481B2F3C" w14:textId="7D1330A2" w:rsidR="006866F8" w:rsidRDefault="00B8240F">
            <w:pPr>
              <w:pStyle w:val="Other0"/>
            </w:pPr>
            <w:r>
              <w:rPr>
                <w:rStyle w:val="Other"/>
                <w:b/>
                <w:bCs/>
              </w:rPr>
              <w:lastRenderedPageBreak/>
              <w:t xml:space="preserve">Краен </w:t>
            </w:r>
            <w:r w:rsidR="00DD3234">
              <w:rPr>
                <w:rStyle w:val="Other"/>
                <w:b/>
                <w:bCs/>
              </w:rPr>
              <w:t>рок на чекорот</w:t>
            </w:r>
          </w:p>
        </w:tc>
        <w:tc>
          <w:tcPr>
            <w:tcW w:w="7810" w:type="dxa"/>
            <w:tcBorders>
              <w:top w:val="single" w:sz="4" w:space="0" w:color="auto"/>
              <w:left w:val="single" w:sz="4" w:space="0" w:color="auto"/>
              <w:right w:val="single" w:sz="4" w:space="0" w:color="auto"/>
            </w:tcBorders>
          </w:tcPr>
          <w:p w14:paraId="55EFE1CB" w14:textId="77777777" w:rsidR="006866F8" w:rsidRPr="00801DDA" w:rsidRDefault="00B8240F">
            <w:pPr>
              <w:pStyle w:val="Other0"/>
              <w:spacing w:before="80"/>
              <w:rPr>
                <w:lang w:val="en-US"/>
              </w:rPr>
            </w:pPr>
            <w:r>
              <w:rPr>
                <w:rStyle w:val="Other"/>
              </w:rPr>
              <w:t>Декември 2024 година</w:t>
            </w:r>
          </w:p>
        </w:tc>
      </w:tr>
      <w:tr w:rsidR="006866F8" w14:paraId="305A0D1A" w14:textId="77777777">
        <w:trPr>
          <w:trHeight w:hRule="exact" w:val="1181"/>
          <w:jc w:val="center"/>
        </w:trPr>
        <w:tc>
          <w:tcPr>
            <w:tcW w:w="1704" w:type="dxa"/>
            <w:tcBorders>
              <w:top w:val="single" w:sz="4" w:space="0" w:color="auto"/>
              <w:left w:val="single" w:sz="4" w:space="0" w:color="auto"/>
            </w:tcBorders>
            <w:shd w:val="clear" w:color="auto" w:fill="E8E8E8"/>
            <w:vAlign w:val="center"/>
          </w:tcPr>
          <w:p w14:paraId="59964EC1" w14:textId="46A3712F" w:rsidR="006866F8" w:rsidRDefault="00B8240F">
            <w:pPr>
              <w:pStyle w:val="Other0"/>
            </w:pPr>
            <w:r>
              <w:rPr>
                <w:rStyle w:val="Other"/>
                <w:b/>
                <w:bCs/>
              </w:rPr>
              <w:t xml:space="preserve">Заклучок од прегледот на чекорот </w:t>
            </w:r>
            <w:r w:rsidR="00F416B9">
              <w:rPr>
                <w:rStyle w:val="Other"/>
                <w:b/>
                <w:bCs/>
              </w:rPr>
              <w:t>од</w:t>
            </w:r>
            <w:r>
              <w:rPr>
                <w:rStyle w:val="Other"/>
                <w:b/>
                <w:bCs/>
              </w:rPr>
              <w:t xml:space="preserve"> корисникот</w:t>
            </w:r>
          </w:p>
        </w:tc>
        <w:tc>
          <w:tcPr>
            <w:tcW w:w="7810" w:type="dxa"/>
            <w:tcBorders>
              <w:top w:val="single" w:sz="4" w:space="0" w:color="auto"/>
              <w:left w:val="single" w:sz="4" w:space="0" w:color="auto"/>
              <w:right w:val="single" w:sz="4" w:space="0" w:color="auto"/>
            </w:tcBorders>
          </w:tcPr>
          <w:p w14:paraId="765830EE" w14:textId="77777777" w:rsidR="006866F8" w:rsidRDefault="00B8240F">
            <w:pPr>
              <w:pStyle w:val="Other0"/>
              <w:spacing w:before="80"/>
            </w:pPr>
            <w:r>
              <w:rPr>
                <w:rStyle w:val="Other"/>
              </w:rPr>
              <w:t>Корисникот го смета овој чекор за целосно постигнат.</w:t>
            </w:r>
          </w:p>
        </w:tc>
      </w:tr>
      <w:tr w:rsidR="006866F8" w14:paraId="4BBED41B" w14:textId="77777777">
        <w:trPr>
          <w:trHeight w:hRule="exact" w:val="1162"/>
          <w:jc w:val="center"/>
        </w:trPr>
        <w:tc>
          <w:tcPr>
            <w:tcW w:w="1704" w:type="dxa"/>
            <w:vMerge w:val="restart"/>
            <w:tcBorders>
              <w:top w:val="single" w:sz="4" w:space="0" w:color="auto"/>
              <w:left w:val="single" w:sz="4" w:space="0" w:color="auto"/>
            </w:tcBorders>
            <w:shd w:val="clear" w:color="auto" w:fill="E8E8E8"/>
          </w:tcPr>
          <w:p w14:paraId="09B574FE" w14:textId="74FFD674" w:rsidR="006866F8" w:rsidRDefault="00B8240F">
            <w:pPr>
              <w:pStyle w:val="Other0"/>
              <w:spacing w:before="80"/>
            </w:pPr>
            <w:r>
              <w:rPr>
                <w:rStyle w:val="Other"/>
                <w:b/>
                <w:bCs/>
              </w:rPr>
              <w:t>Процена на резултатите од Комисијата</w:t>
            </w:r>
          </w:p>
        </w:tc>
        <w:tc>
          <w:tcPr>
            <w:tcW w:w="7810" w:type="dxa"/>
            <w:tcBorders>
              <w:top w:val="single" w:sz="4" w:space="0" w:color="auto"/>
              <w:left w:val="single" w:sz="4" w:space="0" w:color="auto"/>
              <w:right w:val="single" w:sz="4" w:space="0" w:color="auto"/>
            </w:tcBorders>
            <w:vAlign w:val="bottom"/>
          </w:tcPr>
          <w:p w14:paraId="1155DFE3" w14:textId="164288AF" w:rsidR="006866F8" w:rsidRDefault="00B8240F">
            <w:pPr>
              <w:pStyle w:val="Other0"/>
              <w:spacing w:after="60"/>
              <w:jc w:val="both"/>
            </w:pPr>
            <w:r>
              <w:rPr>
                <w:rStyle w:val="Other"/>
              </w:rPr>
              <w:t xml:space="preserve">Новиот Закон за јавна внатрешна финансиска контрола беше </w:t>
            </w:r>
            <w:r w:rsidR="001E749F">
              <w:rPr>
                <w:rStyle w:val="Other"/>
                <w:lang w:val="mk-MK"/>
              </w:rPr>
              <w:t>донесен</w:t>
            </w:r>
            <w:r>
              <w:rPr>
                <w:rStyle w:val="Other"/>
              </w:rPr>
              <w:t xml:space="preserve"> од Собранието на 12 декември 2024 година, а беше објавен на 17 декември 2024 година во Службен</w:t>
            </w:r>
            <w:r w:rsidR="001E749F">
              <w:rPr>
                <w:rStyle w:val="Other"/>
                <w:lang w:val="mk-MK"/>
              </w:rPr>
              <w:t>иот</w:t>
            </w:r>
            <w:r>
              <w:rPr>
                <w:rStyle w:val="Other"/>
              </w:rPr>
              <w:t xml:space="preserve"> весник на Република Северна Македонија бр. 255:</w:t>
            </w:r>
          </w:p>
          <w:p w14:paraId="267AB001" w14:textId="77777777" w:rsidR="006866F8" w:rsidRDefault="006866F8">
            <w:pPr>
              <w:pStyle w:val="Other0"/>
              <w:jc w:val="both"/>
            </w:pPr>
            <w:hyperlink r:id="rId8" w:history="1">
              <w:r>
                <w:rPr>
                  <w:rStyle w:val="Other"/>
                  <w:i/>
                  <w:iCs/>
                  <w:color w:val="467886"/>
                </w:rPr>
                <w:t>https://www.slvesnik.com.mk/Issues/8c2e6621d184423b9e7393d838f63421.pdf</w:t>
              </w:r>
            </w:hyperlink>
          </w:p>
        </w:tc>
      </w:tr>
      <w:tr w:rsidR="006866F8" w14:paraId="12A310BB" w14:textId="77777777">
        <w:trPr>
          <w:trHeight w:hRule="exact" w:val="941"/>
          <w:jc w:val="center"/>
        </w:trPr>
        <w:tc>
          <w:tcPr>
            <w:tcW w:w="1704" w:type="dxa"/>
            <w:vMerge/>
            <w:tcBorders>
              <w:left w:val="single" w:sz="4" w:space="0" w:color="auto"/>
            </w:tcBorders>
            <w:shd w:val="clear" w:color="auto" w:fill="E8E8E8"/>
          </w:tcPr>
          <w:p w14:paraId="72DBDD0F" w14:textId="77777777" w:rsidR="006866F8" w:rsidRDefault="006866F8"/>
        </w:tc>
        <w:tc>
          <w:tcPr>
            <w:tcW w:w="7810" w:type="dxa"/>
            <w:tcBorders>
              <w:top w:val="single" w:sz="4" w:space="0" w:color="auto"/>
              <w:left w:val="single" w:sz="4" w:space="0" w:color="auto"/>
              <w:right w:val="single" w:sz="4" w:space="0" w:color="auto"/>
            </w:tcBorders>
            <w:vAlign w:val="center"/>
          </w:tcPr>
          <w:p w14:paraId="77BC6CB3" w14:textId="4E947238" w:rsidR="006866F8" w:rsidRDefault="00B8240F">
            <w:pPr>
              <w:pStyle w:val="Other0"/>
              <w:jc w:val="both"/>
            </w:pPr>
            <w:r>
              <w:rPr>
                <w:rStyle w:val="Other"/>
              </w:rPr>
              <w:t xml:space="preserve">Централната единица за хармонизација подготви </w:t>
            </w:r>
            <w:r w:rsidR="001E749F">
              <w:rPr>
                <w:rStyle w:val="Other"/>
                <w:lang w:val="mk-MK"/>
              </w:rPr>
              <w:t>Акциски</w:t>
            </w:r>
            <w:r>
              <w:rPr>
                <w:rStyle w:val="Other"/>
              </w:rPr>
              <w:t xml:space="preserve"> план за спроведување на Законот. Според овој план, донесувањето на сите подзаконски акти што произлегуваат од овој закон ќе се спроведе во следните 18 месеци.</w:t>
            </w:r>
          </w:p>
        </w:tc>
      </w:tr>
      <w:tr w:rsidR="006866F8" w14:paraId="613B53FE" w14:textId="77777777" w:rsidTr="001E749F">
        <w:trPr>
          <w:trHeight w:hRule="exact" w:val="2497"/>
          <w:jc w:val="center"/>
        </w:trPr>
        <w:tc>
          <w:tcPr>
            <w:tcW w:w="1704" w:type="dxa"/>
            <w:tcBorders>
              <w:top w:val="single" w:sz="4" w:space="0" w:color="auto"/>
              <w:left w:val="single" w:sz="4" w:space="0" w:color="auto"/>
              <w:bottom w:val="single" w:sz="4" w:space="0" w:color="auto"/>
            </w:tcBorders>
            <w:shd w:val="clear" w:color="auto" w:fill="E8E8E8"/>
          </w:tcPr>
          <w:p w14:paraId="14C59999" w14:textId="77777777" w:rsidR="006866F8" w:rsidRDefault="00B8240F">
            <w:pPr>
              <w:pStyle w:val="Other0"/>
              <w:spacing w:before="80"/>
            </w:pPr>
            <w:r>
              <w:rPr>
                <w:rStyle w:val="Other"/>
                <w:b/>
                <w:bCs/>
              </w:rPr>
              <w:t>Извршени проверки и докази користени при верификација на чекорот и поврзани наоди</w:t>
            </w:r>
          </w:p>
        </w:tc>
        <w:tc>
          <w:tcPr>
            <w:tcW w:w="7810" w:type="dxa"/>
            <w:tcBorders>
              <w:top w:val="single" w:sz="4" w:space="0" w:color="auto"/>
              <w:left w:val="single" w:sz="4" w:space="0" w:color="auto"/>
              <w:bottom w:val="single" w:sz="4" w:space="0" w:color="auto"/>
              <w:right w:val="single" w:sz="4" w:space="0" w:color="auto"/>
            </w:tcBorders>
            <w:vAlign w:val="bottom"/>
          </w:tcPr>
          <w:p w14:paraId="7BA236E1" w14:textId="68FAAA7B" w:rsidR="006866F8" w:rsidRDefault="00D62D6D">
            <w:pPr>
              <w:pStyle w:val="Other0"/>
              <w:spacing w:after="60"/>
              <w:jc w:val="both"/>
            </w:pPr>
            <w:r>
              <w:rPr>
                <w:rStyle w:val="Other"/>
                <w:lang w:val="mk-MK"/>
              </w:rPr>
              <w:t>Состаноци од далечина за п</w:t>
            </w:r>
            <w:r>
              <w:rPr>
                <w:rStyle w:val="Other"/>
              </w:rPr>
              <w:t>реглед/</w:t>
            </w:r>
            <w:r>
              <w:rPr>
                <w:rStyle w:val="Other"/>
                <w:lang w:val="mk-MK"/>
              </w:rPr>
              <w:t>следење</w:t>
            </w:r>
            <w:r>
              <w:rPr>
                <w:rStyle w:val="Other"/>
              </w:rPr>
              <w:t xml:space="preserve"> со Владата.</w:t>
            </w:r>
          </w:p>
          <w:p w14:paraId="19204DB4" w14:textId="705FE974" w:rsidR="006866F8" w:rsidRDefault="00B8240F">
            <w:pPr>
              <w:pStyle w:val="Other0"/>
              <w:spacing w:after="60"/>
              <w:jc w:val="both"/>
            </w:pPr>
            <w:r>
              <w:rPr>
                <w:rStyle w:val="Other"/>
              </w:rPr>
              <w:t xml:space="preserve">Нацрт-законот за јавна внатрешна финансиска контрола (ЈВФК) беше </w:t>
            </w:r>
            <w:r w:rsidR="005A248F">
              <w:rPr>
                <w:rStyle w:val="Other"/>
                <w:lang w:val="mk-MK"/>
              </w:rPr>
              <w:t>изготвен</w:t>
            </w:r>
            <w:r>
              <w:rPr>
                <w:rStyle w:val="Other"/>
              </w:rPr>
              <w:t xml:space="preserve"> со поддршка на твининг-проект финансиран од ЕУ во 2021 година и беше опширно дискутиран со ЕУ. Законот е сеопфатен и воспоставува солидна </w:t>
            </w:r>
            <w:r w:rsidR="005A248F">
              <w:rPr>
                <w:rStyle w:val="Other"/>
                <w:lang w:val="mk-MK"/>
              </w:rPr>
              <w:t>законодавна</w:t>
            </w:r>
            <w:r>
              <w:rPr>
                <w:rStyle w:val="Other"/>
              </w:rPr>
              <w:t xml:space="preserve"> рамка за спроведување на клучни реформи во внатрешната ревизија, контрола на финансиското управување и менаџерската одговорност.</w:t>
            </w:r>
          </w:p>
          <w:p w14:paraId="07519E87" w14:textId="5DECFF7E" w:rsidR="006866F8" w:rsidRDefault="00B8240F">
            <w:pPr>
              <w:pStyle w:val="Other0"/>
              <w:spacing w:after="60"/>
              <w:jc w:val="both"/>
            </w:pPr>
            <w:r>
              <w:rPr>
                <w:rStyle w:val="Other"/>
              </w:rPr>
              <w:t xml:space="preserve">Законот за јавна внатрешна финансиска контрола остана во собраниска </w:t>
            </w:r>
            <w:r w:rsidR="005A248F">
              <w:rPr>
                <w:rStyle w:val="Other"/>
                <w:lang w:val="mk-MK"/>
              </w:rPr>
              <w:t>постапка</w:t>
            </w:r>
            <w:r>
              <w:rPr>
                <w:rStyle w:val="Other"/>
              </w:rPr>
              <w:t xml:space="preserve"> четири години пред неговото </w:t>
            </w:r>
            <w:r w:rsidR="005A248F">
              <w:rPr>
                <w:rStyle w:val="Other"/>
                <w:lang w:val="mk-MK"/>
              </w:rPr>
              <w:t>донесување</w:t>
            </w:r>
            <w:r>
              <w:rPr>
                <w:rStyle w:val="Other"/>
              </w:rPr>
              <w:t xml:space="preserve">. Пред повторно да го поднесе </w:t>
            </w:r>
            <w:r w:rsidR="005A248F">
              <w:rPr>
                <w:rStyle w:val="Other"/>
                <w:lang w:val="mk-MK"/>
              </w:rPr>
              <w:t>З</w:t>
            </w:r>
            <w:r>
              <w:rPr>
                <w:rStyle w:val="Other"/>
              </w:rPr>
              <w:t xml:space="preserve">аконот во </w:t>
            </w:r>
            <w:r w:rsidR="005A248F">
              <w:rPr>
                <w:rStyle w:val="Other"/>
                <w:lang w:val="mk-MK"/>
              </w:rPr>
              <w:t>Собранието</w:t>
            </w:r>
            <w:r>
              <w:rPr>
                <w:rStyle w:val="Other"/>
              </w:rPr>
              <w:t xml:space="preserve">, </w:t>
            </w:r>
            <w:r w:rsidR="001E749F">
              <w:rPr>
                <w:rStyle w:val="Other"/>
                <w:lang w:val="mk-MK"/>
              </w:rPr>
              <w:t>В</w:t>
            </w:r>
            <w:r>
              <w:rPr>
                <w:rStyle w:val="Other"/>
              </w:rPr>
              <w:t>ладата го ревидираше нацртот. ЕУ</w:t>
            </w:r>
          </w:p>
        </w:tc>
      </w:tr>
      <w:tr w:rsidR="00262A83" w:rsidRPr="0065011E" w14:paraId="7277DDFA" w14:textId="77777777" w:rsidTr="002A21B4">
        <w:trPr>
          <w:trHeight w:hRule="exact" w:val="1641"/>
          <w:jc w:val="center"/>
        </w:trPr>
        <w:tc>
          <w:tcPr>
            <w:tcW w:w="1704" w:type="dxa"/>
            <w:tcBorders>
              <w:top w:val="single" w:sz="4" w:space="0" w:color="auto"/>
              <w:left w:val="single" w:sz="4" w:space="0" w:color="auto"/>
            </w:tcBorders>
            <w:shd w:val="clear" w:color="auto" w:fill="E8E8E8"/>
          </w:tcPr>
          <w:p w14:paraId="4FA27B52" w14:textId="2D1BBE8F" w:rsidR="00262A83" w:rsidRPr="0065011E" w:rsidRDefault="00B8240F" w:rsidP="00CF22B1">
            <w:pPr>
              <w:rPr>
                <w:sz w:val="10"/>
                <w:szCs w:val="10"/>
              </w:rPr>
            </w:pPr>
            <w:r>
              <w:br w:type="page"/>
            </w:r>
          </w:p>
        </w:tc>
        <w:tc>
          <w:tcPr>
            <w:tcW w:w="7810" w:type="dxa"/>
            <w:tcBorders>
              <w:top w:val="single" w:sz="4" w:space="0" w:color="auto"/>
              <w:left w:val="single" w:sz="4" w:space="0" w:color="auto"/>
              <w:right w:val="single" w:sz="4" w:space="0" w:color="auto"/>
            </w:tcBorders>
            <w:vAlign w:val="center"/>
          </w:tcPr>
          <w:p w14:paraId="2761EAC2" w14:textId="1D02BEB9" w:rsidR="00262A83" w:rsidRPr="0065011E" w:rsidRDefault="00262A83" w:rsidP="00CF22B1">
            <w:pPr>
              <w:pStyle w:val="Other0"/>
              <w:jc w:val="both"/>
            </w:pPr>
            <w:r w:rsidRPr="0065011E">
              <w:rPr>
                <w:rStyle w:val="Other"/>
              </w:rPr>
              <w:t>Делегацијата (ДЕУ) го следеше процесот за да се осигури дека не се воведени суштински измени. Ажурирањата беа ограничени на ревидирање на техничките дефиниции за да се усогласи нацртот со Законот за буџетите и најновите стандарди за внатрешна ревизија.</w:t>
            </w:r>
          </w:p>
        </w:tc>
      </w:tr>
      <w:tr w:rsidR="00262A83" w:rsidRPr="0065011E" w14:paraId="2E7ADF0E" w14:textId="77777777" w:rsidTr="002A21B4">
        <w:trPr>
          <w:trHeight w:hRule="exact" w:val="857"/>
          <w:jc w:val="center"/>
        </w:trPr>
        <w:tc>
          <w:tcPr>
            <w:tcW w:w="1704" w:type="dxa"/>
            <w:tcBorders>
              <w:top w:val="single" w:sz="4" w:space="0" w:color="auto"/>
              <w:left w:val="single" w:sz="4" w:space="0" w:color="auto"/>
            </w:tcBorders>
            <w:shd w:val="clear" w:color="auto" w:fill="E8E8E8"/>
          </w:tcPr>
          <w:p w14:paraId="7B8BC74A" w14:textId="77777777" w:rsidR="00262A83" w:rsidRPr="0065011E" w:rsidRDefault="00262A83" w:rsidP="00CF22B1">
            <w:pPr>
              <w:pStyle w:val="Other0"/>
              <w:spacing w:before="80"/>
            </w:pPr>
            <w:r w:rsidRPr="0065011E">
              <w:rPr>
                <w:rStyle w:val="Other"/>
                <w:b/>
              </w:rPr>
              <w:t>Двојно финансирање</w:t>
            </w:r>
          </w:p>
        </w:tc>
        <w:tc>
          <w:tcPr>
            <w:tcW w:w="7810" w:type="dxa"/>
            <w:tcBorders>
              <w:top w:val="single" w:sz="4" w:space="0" w:color="auto"/>
              <w:left w:val="single" w:sz="4" w:space="0" w:color="auto"/>
              <w:right w:val="single" w:sz="4" w:space="0" w:color="auto"/>
            </w:tcBorders>
            <w:vAlign w:val="center"/>
          </w:tcPr>
          <w:p w14:paraId="3C694B4F" w14:textId="77777777" w:rsidR="00262A83" w:rsidRPr="0065011E" w:rsidRDefault="00262A83" w:rsidP="00CF22B1">
            <w:pPr>
              <w:pStyle w:val="Other0"/>
              <w:jc w:val="both"/>
            </w:pPr>
            <w:r w:rsidRPr="0065011E">
              <w:rPr>
                <w:rStyle w:val="Other"/>
              </w:rPr>
              <w:t>Не беа пријавени придонеси од трети страни како поддршка на постигнувањето на овој чекор.</w:t>
            </w:r>
          </w:p>
        </w:tc>
      </w:tr>
      <w:tr w:rsidR="00262A83" w:rsidRPr="0065011E" w14:paraId="5AE0CCAF" w14:textId="77777777" w:rsidTr="00CF22B1">
        <w:trPr>
          <w:trHeight w:hRule="exact" w:val="1445"/>
          <w:jc w:val="center"/>
        </w:trPr>
        <w:tc>
          <w:tcPr>
            <w:tcW w:w="1704" w:type="dxa"/>
            <w:tcBorders>
              <w:top w:val="single" w:sz="4" w:space="0" w:color="auto"/>
              <w:left w:val="single" w:sz="4" w:space="0" w:color="auto"/>
              <w:bottom w:val="single" w:sz="4" w:space="0" w:color="auto"/>
            </w:tcBorders>
            <w:shd w:val="clear" w:color="auto" w:fill="E8E8E8"/>
            <w:vAlign w:val="center"/>
          </w:tcPr>
          <w:p w14:paraId="3ACBEF42" w14:textId="77777777" w:rsidR="00262A83" w:rsidRPr="0065011E" w:rsidRDefault="00262A83" w:rsidP="00CF22B1">
            <w:pPr>
              <w:pStyle w:val="Other0"/>
            </w:pPr>
            <w:r w:rsidRPr="0065011E">
              <w:rPr>
                <w:rStyle w:val="Other"/>
                <w:b/>
              </w:rPr>
              <w:t>Јасен заклучок за постигнувањето на чекорот</w:t>
            </w:r>
          </w:p>
        </w:tc>
        <w:tc>
          <w:tcPr>
            <w:tcW w:w="7810" w:type="dxa"/>
            <w:tcBorders>
              <w:top w:val="single" w:sz="4" w:space="0" w:color="auto"/>
              <w:left w:val="single" w:sz="4" w:space="0" w:color="auto"/>
              <w:bottom w:val="single" w:sz="4" w:space="0" w:color="auto"/>
              <w:right w:val="single" w:sz="4" w:space="0" w:color="auto"/>
            </w:tcBorders>
          </w:tcPr>
          <w:p w14:paraId="3CA68248" w14:textId="77777777" w:rsidR="00262A83" w:rsidRPr="0065011E" w:rsidRDefault="00262A83" w:rsidP="00CF22B1">
            <w:pPr>
              <w:pStyle w:val="Other0"/>
              <w:spacing w:before="80"/>
              <w:jc w:val="both"/>
            </w:pPr>
            <w:r w:rsidRPr="0065011E">
              <w:rPr>
                <w:rStyle w:val="Other"/>
                <w:b/>
              </w:rPr>
              <w:t>Целосно постигнат</w:t>
            </w:r>
          </w:p>
        </w:tc>
      </w:tr>
    </w:tbl>
    <w:p w14:paraId="7D194F2E" w14:textId="77777777" w:rsidR="00262A83" w:rsidRPr="0065011E" w:rsidRDefault="00262A83" w:rsidP="00AE7433">
      <w:pPr>
        <w:spacing w:after="459" w:line="1" w:lineRule="exact"/>
      </w:pPr>
    </w:p>
    <w:p w14:paraId="4EFF9058" w14:textId="1518E031" w:rsidR="00262A83" w:rsidRPr="005674DA" w:rsidRDefault="00262A83" w:rsidP="00AE7433">
      <w:pPr>
        <w:pStyle w:val="Heading20"/>
        <w:keepNext/>
        <w:keepLines/>
        <w:spacing w:after="140"/>
        <w:rPr>
          <w:b w:val="0"/>
          <w:bCs w:val="0"/>
        </w:rPr>
      </w:pPr>
      <w:bookmarkStart w:id="6" w:name="bookmark15"/>
      <w:r w:rsidRPr="005674DA">
        <w:rPr>
          <w:rStyle w:val="Heading2"/>
          <w:b/>
          <w:bCs/>
        </w:rPr>
        <w:lastRenderedPageBreak/>
        <w:t>1.1.3. Целосно спроведување на Законот за буџетите за 2022 година, вклучително и предвидените реформски мерки во управувањето со јавни инвестиции</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rsidRPr="0065011E" w14:paraId="4D293279" w14:textId="77777777" w:rsidTr="002A21B4">
        <w:trPr>
          <w:trHeight w:hRule="exact" w:val="1999"/>
          <w:jc w:val="center"/>
        </w:trPr>
        <w:tc>
          <w:tcPr>
            <w:tcW w:w="1714" w:type="dxa"/>
            <w:tcBorders>
              <w:top w:val="single" w:sz="4" w:space="0" w:color="auto"/>
              <w:left w:val="single" w:sz="4" w:space="0" w:color="auto"/>
            </w:tcBorders>
            <w:shd w:val="clear" w:color="auto" w:fill="E8E8E8"/>
          </w:tcPr>
          <w:p w14:paraId="3D516AE4" w14:textId="77777777" w:rsidR="00262A83" w:rsidRPr="0065011E" w:rsidRDefault="00262A83" w:rsidP="00CF22B1">
            <w:pPr>
              <w:pStyle w:val="Other0"/>
              <w:spacing w:before="100"/>
            </w:pPr>
            <w:r w:rsidRPr="0065011E">
              <w:rPr>
                <w:rStyle w:val="Other"/>
                <w:b/>
              </w:rPr>
              <w:t>Чекор што се разгледува</w:t>
            </w:r>
          </w:p>
        </w:tc>
        <w:tc>
          <w:tcPr>
            <w:tcW w:w="7805" w:type="dxa"/>
            <w:tcBorders>
              <w:top w:val="single" w:sz="4" w:space="0" w:color="auto"/>
              <w:left w:val="single" w:sz="4" w:space="0" w:color="auto"/>
              <w:right w:val="single" w:sz="4" w:space="0" w:color="auto"/>
            </w:tcBorders>
            <w:vAlign w:val="center"/>
          </w:tcPr>
          <w:p w14:paraId="777E8E62" w14:textId="3C6E8892" w:rsidR="00262A83" w:rsidRPr="0065011E" w:rsidRDefault="00262A83" w:rsidP="00CF22B1">
            <w:pPr>
              <w:pStyle w:val="Other0"/>
              <w:jc w:val="both"/>
            </w:pPr>
            <w:r w:rsidRPr="0065011E">
              <w:rPr>
                <w:rStyle w:val="Other"/>
                <w:i/>
              </w:rPr>
              <w:t>Донесување на најмалку 17 подзаконски акти предвидени во Законот за буџетите (ЗБ), вклучително и воспоставување на регистар на јавни субјекти (член 4), ревизија на буџетската класификација (член 5) и намалување на бројот на примарни („матични“) буџетски корисници за најмалку 40 % во административната класификација и Уредбата за управување со јавни инвестиции (член 20).</w:t>
            </w:r>
          </w:p>
        </w:tc>
      </w:tr>
      <w:tr w:rsidR="00262A83" w:rsidRPr="0065011E" w14:paraId="62AC1E33" w14:textId="77777777" w:rsidTr="002A21B4">
        <w:trPr>
          <w:trHeight w:hRule="exact" w:val="851"/>
          <w:jc w:val="center"/>
        </w:trPr>
        <w:tc>
          <w:tcPr>
            <w:tcW w:w="1714" w:type="dxa"/>
            <w:tcBorders>
              <w:top w:val="single" w:sz="4" w:space="0" w:color="auto"/>
              <w:left w:val="single" w:sz="4" w:space="0" w:color="auto"/>
            </w:tcBorders>
            <w:shd w:val="clear" w:color="auto" w:fill="E8E8E8"/>
          </w:tcPr>
          <w:p w14:paraId="408222F3" w14:textId="5527B5C0" w:rsidR="00262A83" w:rsidRPr="0065011E" w:rsidRDefault="00262A83" w:rsidP="00CF22B1">
            <w:pPr>
              <w:pStyle w:val="Other0"/>
              <w:spacing w:before="80"/>
            </w:pPr>
            <w:r w:rsidRPr="0065011E">
              <w:rPr>
                <w:rStyle w:val="Other"/>
                <w:b/>
              </w:rPr>
              <w:t>Основна состојба</w:t>
            </w:r>
          </w:p>
        </w:tc>
        <w:tc>
          <w:tcPr>
            <w:tcW w:w="7805" w:type="dxa"/>
            <w:tcBorders>
              <w:top w:val="single" w:sz="4" w:space="0" w:color="auto"/>
              <w:left w:val="single" w:sz="4" w:space="0" w:color="auto"/>
              <w:right w:val="single" w:sz="4" w:space="0" w:color="auto"/>
            </w:tcBorders>
            <w:vAlign w:val="center"/>
          </w:tcPr>
          <w:p w14:paraId="5B8399B2" w14:textId="37CEBD0B" w:rsidR="00262A83" w:rsidRPr="0065011E" w:rsidRDefault="00262A83" w:rsidP="00CF22B1">
            <w:pPr>
              <w:pStyle w:val="Other0"/>
              <w:jc w:val="both"/>
            </w:pPr>
            <w:r w:rsidRPr="0065011E">
              <w:rPr>
                <w:rStyle w:val="Other"/>
              </w:rPr>
              <w:t>0 (2024 година). (ЗБ беше донесен во септември 2022 година, но не се донесени подзаконски акти што го обезбедуваат неговото спроведување)</w:t>
            </w:r>
          </w:p>
        </w:tc>
      </w:tr>
      <w:tr w:rsidR="00262A83" w:rsidRPr="0065011E" w14:paraId="6714D46B" w14:textId="77777777" w:rsidTr="00CF22B1">
        <w:trPr>
          <w:trHeight w:hRule="exact" w:val="682"/>
          <w:jc w:val="center"/>
        </w:trPr>
        <w:tc>
          <w:tcPr>
            <w:tcW w:w="1714" w:type="dxa"/>
            <w:tcBorders>
              <w:top w:val="single" w:sz="4" w:space="0" w:color="auto"/>
              <w:left w:val="single" w:sz="4" w:space="0" w:color="auto"/>
            </w:tcBorders>
            <w:shd w:val="clear" w:color="auto" w:fill="E8E8E8"/>
            <w:vAlign w:val="center"/>
          </w:tcPr>
          <w:p w14:paraId="000F70E2" w14:textId="70E0C765" w:rsidR="00262A83" w:rsidRPr="0065011E" w:rsidRDefault="00262A83" w:rsidP="00CF22B1">
            <w:pPr>
              <w:pStyle w:val="Other0"/>
            </w:pPr>
            <w:r w:rsidRPr="0065011E">
              <w:rPr>
                <w:rStyle w:val="Other"/>
                <w:b/>
              </w:rPr>
              <w:t>Краен рок на чекорот</w:t>
            </w:r>
          </w:p>
        </w:tc>
        <w:tc>
          <w:tcPr>
            <w:tcW w:w="7805" w:type="dxa"/>
            <w:tcBorders>
              <w:top w:val="single" w:sz="4" w:space="0" w:color="auto"/>
              <w:left w:val="single" w:sz="4" w:space="0" w:color="auto"/>
              <w:right w:val="single" w:sz="4" w:space="0" w:color="auto"/>
            </w:tcBorders>
          </w:tcPr>
          <w:p w14:paraId="6B6A4638" w14:textId="77777777" w:rsidR="00262A83" w:rsidRPr="0065011E" w:rsidRDefault="00262A83" w:rsidP="00CF22B1">
            <w:pPr>
              <w:pStyle w:val="Other0"/>
              <w:spacing w:before="80"/>
              <w:jc w:val="both"/>
            </w:pPr>
            <w:r w:rsidRPr="0065011E">
              <w:rPr>
                <w:rStyle w:val="Other"/>
              </w:rPr>
              <w:t>Декември 2024 година</w:t>
            </w:r>
          </w:p>
        </w:tc>
      </w:tr>
      <w:tr w:rsidR="00262A83" w:rsidRPr="0065011E" w14:paraId="4C86A949" w14:textId="77777777" w:rsidTr="00CF22B1">
        <w:trPr>
          <w:trHeight w:hRule="exact" w:val="1186"/>
          <w:jc w:val="center"/>
        </w:trPr>
        <w:tc>
          <w:tcPr>
            <w:tcW w:w="1714" w:type="dxa"/>
            <w:tcBorders>
              <w:top w:val="single" w:sz="4" w:space="0" w:color="auto"/>
              <w:left w:val="single" w:sz="4" w:space="0" w:color="auto"/>
            </w:tcBorders>
            <w:shd w:val="clear" w:color="auto" w:fill="E8E8E8"/>
            <w:vAlign w:val="center"/>
          </w:tcPr>
          <w:p w14:paraId="25260116" w14:textId="242E5F51" w:rsidR="00262A83" w:rsidRPr="0065011E" w:rsidRDefault="00262A83" w:rsidP="00CF22B1">
            <w:pPr>
              <w:pStyle w:val="Other0"/>
            </w:pPr>
            <w:r w:rsidRPr="0065011E">
              <w:rPr>
                <w:rStyle w:val="Other"/>
                <w:b/>
              </w:rPr>
              <w:t>Заклучок од прегледот на чекорот од корисникот</w:t>
            </w:r>
          </w:p>
        </w:tc>
        <w:tc>
          <w:tcPr>
            <w:tcW w:w="7805" w:type="dxa"/>
            <w:tcBorders>
              <w:top w:val="single" w:sz="4" w:space="0" w:color="auto"/>
              <w:left w:val="single" w:sz="4" w:space="0" w:color="auto"/>
              <w:right w:val="single" w:sz="4" w:space="0" w:color="auto"/>
            </w:tcBorders>
          </w:tcPr>
          <w:p w14:paraId="3E047844" w14:textId="77777777" w:rsidR="00262A83" w:rsidRPr="0065011E" w:rsidRDefault="00262A83" w:rsidP="00CF22B1">
            <w:pPr>
              <w:pStyle w:val="Other0"/>
              <w:spacing w:before="80"/>
            </w:pPr>
            <w:r w:rsidRPr="0065011E">
              <w:rPr>
                <w:rStyle w:val="Other"/>
              </w:rPr>
              <w:t>Корисникот го смета овој чекор за делумно постигнат.</w:t>
            </w:r>
          </w:p>
        </w:tc>
      </w:tr>
      <w:tr w:rsidR="00262A83" w:rsidRPr="0065011E" w14:paraId="586F1733" w14:textId="77777777" w:rsidTr="00CF22B1">
        <w:trPr>
          <w:trHeight w:hRule="exact" w:val="4450"/>
          <w:jc w:val="center"/>
        </w:trPr>
        <w:tc>
          <w:tcPr>
            <w:tcW w:w="1714" w:type="dxa"/>
            <w:tcBorders>
              <w:top w:val="single" w:sz="4" w:space="0" w:color="auto"/>
              <w:left w:val="single" w:sz="4" w:space="0" w:color="auto"/>
              <w:bottom w:val="single" w:sz="4" w:space="0" w:color="auto"/>
            </w:tcBorders>
            <w:shd w:val="clear" w:color="auto" w:fill="E8E8E8"/>
          </w:tcPr>
          <w:p w14:paraId="65193487" w14:textId="37741E6E" w:rsidR="00262A83" w:rsidRPr="0065011E" w:rsidRDefault="00262A83" w:rsidP="00CF22B1">
            <w:pPr>
              <w:pStyle w:val="Other0"/>
              <w:spacing w:before="80"/>
            </w:pPr>
            <w:r w:rsidRPr="0065011E">
              <w:rPr>
                <w:rStyle w:val="Other"/>
                <w:b/>
              </w:rPr>
              <w:t>Процена на резултатите од Комисијата</w:t>
            </w:r>
          </w:p>
        </w:tc>
        <w:tc>
          <w:tcPr>
            <w:tcW w:w="7805" w:type="dxa"/>
            <w:tcBorders>
              <w:top w:val="single" w:sz="4" w:space="0" w:color="auto"/>
              <w:left w:val="single" w:sz="4" w:space="0" w:color="auto"/>
              <w:bottom w:val="single" w:sz="4" w:space="0" w:color="auto"/>
              <w:right w:val="single" w:sz="4" w:space="0" w:color="auto"/>
            </w:tcBorders>
            <w:vAlign w:val="center"/>
          </w:tcPr>
          <w:p w14:paraId="1301052C" w14:textId="77777777" w:rsidR="00262A83" w:rsidRPr="0065011E" w:rsidRDefault="00262A83" w:rsidP="00CF22B1">
            <w:pPr>
              <w:pStyle w:val="Other0"/>
              <w:spacing w:after="60"/>
            </w:pPr>
            <w:r w:rsidRPr="0065011E">
              <w:rPr>
                <w:rStyle w:val="Other"/>
              </w:rPr>
              <w:t>Во извештајниот период беа објавени следните подзаконски акти:</w:t>
            </w:r>
          </w:p>
          <w:p w14:paraId="29303291" w14:textId="77777777" w:rsidR="00262A83" w:rsidRPr="0065011E" w:rsidRDefault="00262A83" w:rsidP="00262A83">
            <w:pPr>
              <w:pStyle w:val="Other0"/>
              <w:numPr>
                <w:ilvl w:val="0"/>
                <w:numId w:val="3"/>
              </w:numPr>
              <w:tabs>
                <w:tab w:val="left" w:pos="336"/>
              </w:tabs>
              <w:spacing w:after="60"/>
            </w:pPr>
            <w:r w:rsidRPr="0065011E">
              <w:rPr>
                <w:rStyle w:val="Other"/>
              </w:rPr>
              <w:t>Изјава за фискална политика:</w:t>
            </w:r>
          </w:p>
          <w:p w14:paraId="3910A663" w14:textId="77777777" w:rsidR="00262A83" w:rsidRPr="0065011E" w:rsidRDefault="00262A83" w:rsidP="00CF22B1">
            <w:pPr>
              <w:pStyle w:val="Other0"/>
              <w:spacing w:after="60"/>
            </w:pPr>
            <w:hyperlink r:id="rId9" w:history="1">
              <w:r w:rsidRPr="0065011E">
                <w:rPr>
                  <w:rStyle w:val="Other"/>
                  <w:i/>
                  <w:color w:val="467886"/>
                </w:rPr>
                <w:t>https://finance.gov.mk/wp-content/uploads/2025/02/FISCAL-POLICY-STATEMENT-</w:t>
              </w:r>
            </w:hyperlink>
            <w:r w:rsidRPr="0065011E">
              <w:rPr>
                <w:rStyle w:val="Other"/>
                <w:i/>
                <w:color w:val="467886"/>
              </w:rPr>
              <w:t xml:space="preserve"> </w:t>
            </w:r>
            <w:hyperlink r:id="rId10" w:history="1">
              <w:r w:rsidRPr="0065011E">
                <w:rPr>
                  <w:rStyle w:val="Other"/>
                  <w:i/>
                  <w:color w:val="467886"/>
                  <w:u w:val="single"/>
                </w:rPr>
                <w:t>FOR-THE-PERIOD-2024-2028.pdf</w:t>
              </w:r>
            </w:hyperlink>
          </w:p>
          <w:p w14:paraId="4ECC0944" w14:textId="77777777" w:rsidR="00262A83" w:rsidRPr="0065011E" w:rsidRDefault="00262A83" w:rsidP="00262A83">
            <w:pPr>
              <w:pStyle w:val="Other0"/>
              <w:numPr>
                <w:ilvl w:val="0"/>
                <w:numId w:val="3"/>
              </w:numPr>
              <w:tabs>
                <w:tab w:val="left" w:pos="336"/>
              </w:tabs>
              <w:spacing w:after="60"/>
            </w:pPr>
            <w:r w:rsidRPr="0065011E">
              <w:rPr>
                <w:rStyle w:val="Other"/>
              </w:rPr>
              <w:t>Регистар на јавни субјекти:</w:t>
            </w:r>
          </w:p>
          <w:p w14:paraId="048C65BA" w14:textId="77777777" w:rsidR="00262A83" w:rsidRPr="0065011E" w:rsidRDefault="00262A83" w:rsidP="00CF22B1">
            <w:pPr>
              <w:pStyle w:val="Other0"/>
            </w:pPr>
            <w:hyperlink r:id="rId11" w:history="1">
              <w:r w:rsidRPr="0065011E">
                <w:rPr>
                  <w:rStyle w:val="Other"/>
                  <w:i/>
                  <w:color w:val="467886"/>
                  <w:u w:val="single"/>
                </w:rPr>
                <w:t>https://fmance.gov.mk/wp-content/uploads/2025/02/REGISTER-OF-PUBLIC-</w:t>
              </w:r>
            </w:hyperlink>
          </w:p>
          <w:p w14:paraId="192732E4" w14:textId="77777777" w:rsidR="00262A83" w:rsidRPr="0065011E" w:rsidRDefault="00262A83" w:rsidP="00CF22B1">
            <w:pPr>
              <w:pStyle w:val="Other0"/>
              <w:spacing w:after="60"/>
            </w:pPr>
            <w:hyperlink r:id="rId12" w:history="1">
              <w:r w:rsidRPr="0065011E">
                <w:rPr>
                  <w:rStyle w:val="Other"/>
                  <w:i/>
                  <w:color w:val="467886"/>
                  <w:u w:val="single"/>
                </w:rPr>
                <w:t>ENTITIES.xlsx</w:t>
              </w:r>
            </w:hyperlink>
          </w:p>
          <w:p w14:paraId="0FD80FA6" w14:textId="77777777" w:rsidR="00262A83" w:rsidRPr="0065011E" w:rsidRDefault="00262A83" w:rsidP="00CF22B1">
            <w:pPr>
              <w:pStyle w:val="Other0"/>
              <w:spacing w:after="60"/>
            </w:pPr>
            <w:hyperlink r:id="rId13" w:history="1">
              <w:r w:rsidRPr="0065011E">
                <w:rPr>
                  <w:rStyle w:val="Other"/>
                  <w:i/>
                  <w:color w:val="467886"/>
                  <w:u w:val="single"/>
                </w:rPr>
                <w:t>https://fmance.gov.mk/wp-content/uploads/2025/02/RULEBOOK.pdf</w:t>
              </w:r>
            </w:hyperlink>
          </w:p>
          <w:p w14:paraId="6EDD1D55" w14:textId="77777777" w:rsidR="00262A83" w:rsidRPr="0065011E" w:rsidRDefault="00262A83" w:rsidP="00262A83">
            <w:pPr>
              <w:pStyle w:val="Other0"/>
              <w:numPr>
                <w:ilvl w:val="0"/>
                <w:numId w:val="3"/>
              </w:numPr>
              <w:tabs>
                <w:tab w:val="left" w:pos="336"/>
              </w:tabs>
              <w:spacing w:after="60"/>
            </w:pPr>
            <w:r w:rsidRPr="0065011E">
              <w:rPr>
                <w:rStyle w:val="Other"/>
              </w:rPr>
              <w:t>Организациска класификација:</w:t>
            </w:r>
          </w:p>
          <w:p w14:paraId="33BB3167" w14:textId="77777777" w:rsidR="00262A83" w:rsidRPr="0065011E" w:rsidRDefault="00262A83" w:rsidP="00CF22B1">
            <w:pPr>
              <w:pStyle w:val="Other0"/>
            </w:pPr>
            <w:hyperlink r:id="rId14" w:history="1">
              <w:r w:rsidRPr="0065011E">
                <w:rPr>
                  <w:rStyle w:val="Other"/>
                  <w:i/>
                  <w:color w:val="467886"/>
                  <w:u w:val="single"/>
                </w:rPr>
                <w:t>https://fmance.gov.mk/wp-content/uploads/2025/02/Rulebook-on-Organizational-</w:t>
              </w:r>
            </w:hyperlink>
          </w:p>
          <w:p w14:paraId="2F630912" w14:textId="77777777" w:rsidR="00262A83" w:rsidRPr="0065011E" w:rsidRDefault="00262A83" w:rsidP="00CF22B1">
            <w:pPr>
              <w:pStyle w:val="Other0"/>
              <w:spacing w:after="60"/>
            </w:pPr>
            <w:hyperlink r:id="rId15" w:history="1">
              <w:r w:rsidRPr="0065011E">
                <w:rPr>
                  <w:rStyle w:val="Other"/>
                  <w:i/>
                  <w:color w:val="467886"/>
                  <w:u w:val="single"/>
                </w:rPr>
                <w:t>Classification.pdf</w:t>
              </w:r>
            </w:hyperlink>
          </w:p>
          <w:p w14:paraId="055FCA6A" w14:textId="77777777" w:rsidR="00262A83" w:rsidRPr="0065011E" w:rsidRDefault="00262A83" w:rsidP="00CF22B1">
            <w:pPr>
              <w:pStyle w:val="Other0"/>
              <w:spacing w:after="60"/>
            </w:pPr>
            <w:hyperlink r:id="rId16" w:history="1">
              <w:r w:rsidRPr="0065011E">
                <w:rPr>
                  <w:rStyle w:val="Other"/>
                  <w:i/>
                  <w:color w:val="467886"/>
                  <w:u w:val="single"/>
                </w:rPr>
                <w:t>https://fmance.gov.mk/wp-content/uploads/2025/02/Organizational-</w:t>
              </w:r>
            </w:hyperlink>
            <w:r w:rsidRPr="0065011E">
              <w:rPr>
                <w:rStyle w:val="Other"/>
                <w:i/>
                <w:color w:val="467886"/>
                <w:u w:val="single"/>
              </w:rPr>
              <w:t xml:space="preserve"> </w:t>
            </w:r>
            <w:hyperlink r:id="rId17" w:history="1">
              <w:r w:rsidRPr="0065011E">
                <w:rPr>
                  <w:rStyle w:val="Other"/>
                  <w:i/>
                  <w:color w:val="467886"/>
                  <w:u w:val="single"/>
                </w:rPr>
                <w:t>classification.pdf</w:t>
              </w:r>
            </w:hyperlink>
          </w:p>
          <w:p w14:paraId="46E4F3F0" w14:textId="77777777" w:rsidR="00262A83" w:rsidRPr="0065011E" w:rsidRDefault="00262A83" w:rsidP="00262A83">
            <w:pPr>
              <w:pStyle w:val="Other0"/>
              <w:numPr>
                <w:ilvl w:val="0"/>
                <w:numId w:val="3"/>
              </w:numPr>
              <w:tabs>
                <w:tab w:val="left" w:pos="336"/>
              </w:tabs>
              <w:spacing w:after="60"/>
            </w:pPr>
            <w:r w:rsidRPr="0065011E">
              <w:rPr>
                <w:rStyle w:val="Other"/>
              </w:rPr>
              <w:t>Економска класификација:</w:t>
            </w:r>
          </w:p>
        </w:tc>
      </w:tr>
    </w:tbl>
    <w:p w14:paraId="38D9F7A3" w14:textId="77777777" w:rsidR="00262A83" w:rsidRPr="0065011E" w:rsidRDefault="00262A83" w:rsidP="00AE7433">
      <w:pPr>
        <w:spacing w:line="1" w:lineRule="exact"/>
      </w:pPr>
      <w:r w:rsidRPr="0065011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rsidRPr="0065011E" w14:paraId="69287C5A" w14:textId="77777777" w:rsidTr="00CF22B1">
        <w:trPr>
          <w:trHeight w:hRule="exact" w:val="245"/>
          <w:jc w:val="center"/>
        </w:trPr>
        <w:tc>
          <w:tcPr>
            <w:tcW w:w="1714" w:type="dxa"/>
            <w:vMerge w:val="restart"/>
            <w:tcBorders>
              <w:top w:val="single" w:sz="4" w:space="0" w:color="auto"/>
              <w:left w:val="single" w:sz="4" w:space="0" w:color="auto"/>
            </w:tcBorders>
            <w:shd w:val="clear" w:color="auto" w:fill="E8E8E8"/>
          </w:tcPr>
          <w:p w14:paraId="1CFE0893" w14:textId="77777777" w:rsidR="00262A83" w:rsidRPr="0065011E" w:rsidRDefault="00262A83" w:rsidP="00CF22B1">
            <w:pPr>
              <w:rPr>
                <w:sz w:val="10"/>
                <w:szCs w:val="10"/>
              </w:rPr>
            </w:pPr>
          </w:p>
        </w:tc>
        <w:tc>
          <w:tcPr>
            <w:tcW w:w="7805" w:type="dxa"/>
            <w:tcBorders>
              <w:top w:val="single" w:sz="4" w:space="0" w:color="auto"/>
              <w:left w:val="single" w:sz="4" w:space="0" w:color="auto"/>
              <w:right w:val="single" w:sz="4" w:space="0" w:color="auto"/>
            </w:tcBorders>
            <w:vAlign w:val="bottom"/>
          </w:tcPr>
          <w:p w14:paraId="589BB981" w14:textId="77777777" w:rsidR="00262A83" w:rsidRPr="0065011E" w:rsidRDefault="00262A83" w:rsidP="00CF22B1">
            <w:pPr>
              <w:pStyle w:val="Other0"/>
              <w:jc w:val="both"/>
            </w:pPr>
            <w:hyperlink r:id="rId18" w:history="1">
              <w:r w:rsidRPr="0065011E">
                <w:rPr>
                  <w:rStyle w:val="Other"/>
                  <w:i/>
                  <w:color w:val="467886"/>
                </w:rPr>
                <w:t>https://finance.gov.mk/wp-content/uploads/2025/02/RULEBOOK-ON-ECONOMIC-</w:t>
              </w:r>
            </w:hyperlink>
          </w:p>
        </w:tc>
      </w:tr>
      <w:tr w:rsidR="00262A83" w:rsidRPr="0065011E" w14:paraId="6F9FE90C" w14:textId="77777777" w:rsidTr="00CF22B1">
        <w:trPr>
          <w:trHeight w:hRule="exact" w:val="590"/>
          <w:jc w:val="center"/>
        </w:trPr>
        <w:tc>
          <w:tcPr>
            <w:tcW w:w="1714" w:type="dxa"/>
            <w:vMerge/>
            <w:tcBorders>
              <w:left w:val="single" w:sz="4" w:space="0" w:color="auto"/>
            </w:tcBorders>
            <w:shd w:val="clear" w:color="auto" w:fill="E8E8E8"/>
          </w:tcPr>
          <w:p w14:paraId="51377783"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57F0CF3B" w14:textId="77777777" w:rsidR="00262A83" w:rsidRPr="0065011E" w:rsidRDefault="00262A83" w:rsidP="00CF22B1">
            <w:pPr>
              <w:pStyle w:val="Other0"/>
              <w:spacing w:after="60"/>
              <w:jc w:val="both"/>
            </w:pPr>
            <w:hyperlink r:id="rId19" w:history="1">
              <w:r w:rsidRPr="0065011E">
                <w:rPr>
                  <w:rStyle w:val="Other"/>
                  <w:i/>
                  <w:color w:val="467886"/>
                  <w:u w:val="single"/>
                </w:rPr>
                <w:t>CLASSIFICATION.pdf</w:t>
              </w:r>
            </w:hyperlink>
          </w:p>
          <w:p w14:paraId="4C4AE0D3" w14:textId="77777777" w:rsidR="00262A83" w:rsidRPr="0065011E" w:rsidRDefault="00262A83" w:rsidP="00CF22B1">
            <w:pPr>
              <w:pStyle w:val="Other0"/>
              <w:jc w:val="both"/>
            </w:pPr>
            <w:hyperlink r:id="rId20" w:history="1">
              <w:r w:rsidRPr="0065011E">
                <w:rPr>
                  <w:rStyle w:val="Other"/>
                  <w:i/>
                  <w:color w:val="467886"/>
                </w:rPr>
                <w:t>https://finance.gov.mk/wp-content/uploads/2025/02/Economic-revenues.pdf</w:t>
              </w:r>
            </w:hyperlink>
          </w:p>
        </w:tc>
      </w:tr>
      <w:tr w:rsidR="00262A83" w:rsidRPr="0065011E" w14:paraId="162D02BF" w14:textId="77777777" w:rsidTr="00CF22B1">
        <w:trPr>
          <w:trHeight w:hRule="exact" w:val="331"/>
          <w:jc w:val="center"/>
        </w:trPr>
        <w:tc>
          <w:tcPr>
            <w:tcW w:w="1714" w:type="dxa"/>
            <w:vMerge/>
            <w:tcBorders>
              <w:left w:val="single" w:sz="4" w:space="0" w:color="auto"/>
            </w:tcBorders>
            <w:shd w:val="clear" w:color="auto" w:fill="E8E8E8"/>
          </w:tcPr>
          <w:p w14:paraId="64BC6EDD"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2BF5F7B7" w14:textId="77777777" w:rsidR="00262A83" w:rsidRPr="0065011E" w:rsidRDefault="00262A83" w:rsidP="00CF22B1">
            <w:pPr>
              <w:pStyle w:val="Other0"/>
              <w:jc w:val="both"/>
            </w:pPr>
            <w:hyperlink r:id="rId21" w:history="1">
              <w:r w:rsidRPr="0065011E">
                <w:rPr>
                  <w:rStyle w:val="Other"/>
                  <w:i/>
                  <w:color w:val="467886"/>
                </w:rPr>
                <w:t>https://finance. gov.mk/</w:t>
              </w:r>
              <w:proofErr w:type="spellStart"/>
              <w:r w:rsidRPr="0065011E">
                <w:rPr>
                  <w:rStyle w:val="Other"/>
                  <w:i/>
                  <w:color w:val="467886"/>
                </w:rPr>
                <w:t>wp-content</w:t>
              </w:r>
              <w:proofErr w:type="spellEnd"/>
              <w:r w:rsidRPr="0065011E">
                <w:rPr>
                  <w:rStyle w:val="Other"/>
                  <w:i/>
                  <w:color w:val="467886"/>
                </w:rPr>
                <w:t>/</w:t>
              </w:r>
              <w:proofErr w:type="spellStart"/>
              <w:r w:rsidRPr="0065011E">
                <w:rPr>
                  <w:rStyle w:val="Other"/>
                  <w:i/>
                  <w:color w:val="467886"/>
                </w:rPr>
                <w:t>uploads</w:t>
              </w:r>
              <w:proofErr w:type="spellEnd"/>
              <w:r w:rsidRPr="0065011E">
                <w:rPr>
                  <w:rStyle w:val="Other"/>
                  <w:i/>
                  <w:color w:val="467886"/>
                </w:rPr>
                <w:t>/2025/02/Economic-expenditure.pdf</w:t>
              </w:r>
            </w:hyperlink>
          </w:p>
        </w:tc>
      </w:tr>
      <w:tr w:rsidR="00262A83" w:rsidRPr="0065011E" w14:paraId="09515D25" w14:textId="77777777" w:rsidTr="00CF22B1">
        <w:trPr>
          <w:trHeight w:hRule="exact" w:val="998"/>
          <w:jc w:val="center"/>
        </w:trPr>
        <w:tc>
          <w:tcPr>
            <w:tcW w:w="1714" w:type="dxa"/>
            <w:vMerge/>
            <w:tcBorders>
              <w:left w:val="single" w:sz="4" w:space="0" w:color="auto"/>
            </w:tcBorders>
            <w:shd w:val="clear" w:color="auto" w:fill="E8E8E8"/>
          </w:tcPr>
          <w:p w14:paraId="57CF1601"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3E8BFC2E" w14:textId="77777777" w:rsidR="00262A83" w:rsidRPr="0065011E" w:rsidRDefault="00262A83" w:rsidP="00CF22B1">
            <w:pPr>
              <w:pStyle w:val="Other0"/>
              <w:spacing w:after="60"/>
              <w:jc w:val="both"/>
            </w:pPr>
            <w:r w:rsidRPr="0065011E">
              <w:rPr>
                <w:rStyle w:val="Other"/>
              </w:rPr>
              <w:t>5. Функционална класификација:</w:t>
            </w:r>
          </w:p>
          <w:p w14:paraId="1B56460F" w14:textId="77777777" w:rsidR="00262A83" w:rsidRPr="0065011E" w:rsidRDefault="00262A83" w:rsidP="00CF22B1">
            <w:pPr>
              <w:pStyle w:val="Other0"/>
              <w:spacing w:after="60"/>
              <w:jc w:val="both"/>
            </w:pPr>
            <w:hyperlink r:id="rId22" w:history="1">
              <w:r w:rsidRPr="0065011E">
                <w:rPr>
                  <w:rStyle w:val="Other"/>
                  <w:i/>
                  <w:color w:val="467886"/>
                  <w:u w:val="single"/>
                </w:rPr>
                <w:t>Att-2-OECD-Class-Definitions-Functional-classification.pdf</w:t>
              </w:r>
            </w:hyperlink>
          </w:p>
          <w:p w14:paraId="57CA5CA7" w14:textId="77777777" w:rsidR="00262A83" w:rsidRPr="0065011E" w:rsidRDefault="00262A83" w:rsidP="00CF22B1">
            <w:pPr>
              <w:pStyle w:val="Other0"/>
              <w:spacing w:after="60"/>
              <w:jc w:val="both"/>
            </w:pPr>
            <w:hyperlink r:id="rId23" w:history="1">
              <w:r w:rsidRPr="0065011E">
                <w:rPr>
                  <w:rStyle w:val="Other"/>
                  <w:i/>
                  <w:color w:val="467886"/>
                </w:rPr>
                <w:t>https://finance.gov.mk/wp-content/uploads/2025/02/Rulebook-on-Functional-</w:t>
              </w:r>
            </w:hyperlink>
          </w:p>
        </w:tc>
      </w:tr>
      <w:tr w:rsidR="00262A83" w:rsidRPr="0065011E" w14:paraId="7CDF0653" w14:textId="77777777" w:rsidTr="00CF22B1">
        <w:trPr>
          <w:trHeight w:hRule="exact" w:val="917"/>
          <w:jc w:val="center"/>
        </w:trPr>
        <w:tc>
          <w:tcPr>
            <w:tcW w:w="1714" w:type="dxa"/>
            <w:vMerge/>
            <w:tcBorders>
              <w:left w:val="single" w:sz="4" w:space="0" w:color="auto"/>
            </w:tcBorders>
            <w:shd w:val="clear" w:color="auto" w:fill="E8E8E8"/>
          </w:tcPr>
          <w:p w14:paraId="116F0C31"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6C336CAB" w14:textId="77777777" w:rsidR="00262A83" w:rsidRPr="0065011E" w:rsidRDefault="00262A83" w:rsidP="00CF22B1">
            <w:pPr>
              <w:pStyle w:val="Other0"/>
              <w:spacing w:after="60"/>
              <w:jc w:val="both"/>
            </w:pPr>
            <w:hyperlink r:id="rId24" w:history="1">
              <w:r w:rsidRPr="0065011E">
                <w:rPr>
                  <w:rStyle w:val="Other"/>
                  <w:i/>
                  <w:color w:val="467886"/>
                  <w:u w:val="single"/>
                </w:rPr>
                <w:t>Classiflcation.pdf</w:t>
              </w:r>
            </w:hyperlink>
          </w:p>
          <w:p w14:paraId="0BDCD728" w14:textId="77777777" w:rsidR="00262A83" w:rsidRPr="0065011E" w:rsidRDefault="00262A83" w:rsidP="00CF22B1">
            <w:pPr>
              <w:pStyle w:val="Other0"/>
              <w:spacing w:after="60"/>
              <w:jc w:val="both"/>
            </w:pPr>
            <w:r w:rsidRPr="0065011E">
              <w:rPr>
                <w:rStyle w:val="Other"/>
              </w:rPr>
              <w:t>6. Класификација на програмата:</w:t>
            </w:r>
          </w:p>
          <w:p w14:paraId="3236D6E6" w14:textId="77777777" w:rsidR="00262A83" w:rsidRPr="0065011E" w:rsidRDefault="00262A83" w:rsidP="00CF22B1">
            <w:pPr>
              <w:pStyle w:val="Other0"/>
              <w:spacing w:after="60"/>
              <w:jc w:val="both"/>
            </w:pPr>
            <w:hyperlink r:id="rId25" w:history="1">
              <w:r w:rsidRPr="0065011E">
                <w:rPr>
                  <w:rStyle w:val="Other"/>
                  <w:i/>
                  <w:color w:val="467886"/>
                </w:rPr>
                <w:t>https://finance.gov.mk/wp-content/uploads/2025/02/Program-Classification-</w:t>
              </w:r>
            </w:hyperlink>
          </w:p>
        </w:tc>
      </w:tr>
      <w:tr w:rsidR="00262A83" w:rsidRPr="0065011E" w14:paraId="2DC81209" w14:textId="77777777" w:rsidTr="00CF22B1">
        <w:trPr>
          <w:trHeight w:hRule="exact" w:val="922"/>
          <w:jc w:val="center"/>
        </w:trPr>
        <w:tc>
          <w:tcPr>
            <w:tcW w:w="1714" w:type="dxa"/>
            <w:vMerge/>
            <w:tcBorders>
              <w:left w:val="single" w:sz="4" w:space="0" w:color="auto"/>
            </w:tcBorders>
            <w:shd w:val="clear" w:color="auto" w:fill="E8E8E8"/>
          </w:tcPr>
          <w:p w14:paraId="13029704"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6568277A" w14:textId="77777777" w:rsidR="00262A83" w:rsidRPr="0065011E" w:rsidRDefault="00262A83" w:rsidP="00CF22B1">
            <w:pPr>
              <w:pStyle w:val="Other0"/>
              <w:spacing w:after="60"/>
              <w:jc w:val="both"/>
            </w:pPr>
            <w:hyperlink r:id="rId26" w:history="1">
              <w:r w:rsidRPr="0065011E">
                <w:rPr>
                  <w:rStyle w:val="Other"/>
                  <w:i/>
                  <w:color w:val="467886"/>
                  <w:u w:val="single"/>
                </w:rPr>
                <w:t>Rulebook.pdf</w:t>
              </w:r>
            </w:hyperlink>
          </w:p>
          <w:p w14:paraId="67BF67E8" w14:textId="77777777" w:rsidR="00262A83" w:rsidRPr="0065011E" w:rsidRDefault="00262A83" w:rsidP="00CF22B1">
            <w:pPr>
              <w:pStyle w:val="Other0"/>
              <w:spacing w:after="60"/>
              <w:jc w:val="both"/>
            </w:pPr>
            <w:r w:rsidRPr="0065011E">
              <w:rPr>
                <w:rStyle w:val="Other"/>
              </w:rPr>
              <w:t>7. Класификација според извори на финансирање:</w:t>
            </w:r>
          </w:p>
          <w:p w14:paraId="35022166" w14:textId="77777777" w:rsidR="00262A83" w:rsidRPr="0065011E" w:rsidRDefault="00262A83" w:rsidP="00CF22B1">
            <w:pPr>
              <w:pStyle w:val="Other0"/>
              <w:spacing w:after="60"/>
              <w:jc w:val="both"/>
            </w:pPr>
            <w:hyperlink r:id="rId27" w:history="1">
              <w:r w:rsidRPr="0065011E">
                <w:rPr>
                  <w:rStyle w:val="Other"/>
                  <w:i/>
                  <w:color w:val="467886"/>
                </w:rPr>
                <w:t>https://finance.gov.mk/wp-content/uploads/2025/02/Rulebook-on-Budget-</w:t>
              </w:r>
            </w:hyperlink>
          </w:p>
        </w:tc>
      </w:tr>
      <w:tr w:rsidR="00262A83" w:rsidRPr="0065011E" w14:paraId="37CD4E51" w14:textId="77777777" w:rsidTr="00CF22B1">
        <w:trPr>
          <w:trHeight w:hRule="exact" w:val="1171"/>
          <w:jc w:val="center"/>
        </w:trPr>
        <w:tc>
          <w:tcPr>
            <w:tcW w:w="1714" w:type="dxa"/>
            <w:vMerge/>
            <w:tcBorders>
              <w:left w:val="single" w:sz="4" w:space="0" w:color="auto"/>
            </w:tcBorders>
            <w:shd w:val="clear" w:color="auto" w:fill="E8E8E8"/>
          </w:tcPr>
          <w:p w14:paraId="6F689DC9"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1B7A22E8" w14:textId="77777777" w:rsidR="00262A83" w:rsidRPr="0065011E" w:rsidRDefault="00262A83" w:rsidP="00CF22B1">
            <w:pPr>
              <w:pStyle w:val="Other0"/>
              <w:spacing w:after="60"/>
              <w:jc w:val="both"/>
            </w:pPr>
            <w:hyperlink r:id="rId28" w:history="1">
              <w:r w:rsidRPr="0065011E">
                <w:rPr>
                  <w:rStyle w:val="Other"/>
                  <w:i/>
                  <w:color w:val="467886"/>
                </w:rPr>
                <w:t>Classification-by-Sources-of-Financing.pdf</w:t>
              </w:r>
            </w:hyperlink>
          </w:p>
          <w:p w14:paraId="3799CD90" w14:textId="45FE1407" w:rsidR="00262A83" w:rsidRPr="0065011E" w:rsidRDefault="00262A83" w:rsidP="00CF22B1">
            <w:pPr>
              <w:pStyle w:val="Other0"/>
              <w:spacing w:after="60"/>
              <w:ind w:left="440" w:hanging="440"/>
              <w:jc w:val="both"/>
            </w:pPr>
            <w:r w:rsidRPr="0065011E">
              <w:rPr>
                <w:rStyle w:val="Other"/>
              </w:rPr>
              <w:t>8. Правилник за формата и содржината на образецот за проценка на среднорочни фискални импликации:</w:t>
            </w:r>
          </w:p>
          <w:p w14:paraId="226FD865" w14:textId="77777777" w:rsidR="00262A83" w:rsidRPr="0065011E" w:rsidRDefault="00262A83" w:rsidP="00CF22B1">
            <w:pPr>
              <w:pStyle w:val="Other0"/>
              <w:spacing w:after="60"/>
              <w:jc w:val="both"/>
            </w:pPr>
            <w:hyperlink r:id="rId29" w:history="1">
              <w:r w:rsidRPr="0065011E">
                <w:rPr>
                  <w:rStyle w:val="Other"/>
                  <w:i/>
                  <w:color w:val="467886"/>
                </w:rPr>
                <w:t>https://finance.gov.mk/wp-content/uploads/2025/02/Rulebook-on-assessing-fiscal-</w:t>
              </w:r>
            </w:hyperlink>
          </w:p>
        </w:tc>
      </w:tr>
      <w:tr w:rsidR="00262A83" w:rsidRPr="0065011E" w14:paraId="68DB6CA0" w14:textId="77777777" w:rsidTr="00CF22B1">
        <w:trPr>
          <w:trHeight w:hRule="exact" w:val="917"/>
          <w:jc w:val="center"/>
        </w:trPr>
        <w:tc>
          <w:tcPr>
            <w:tcW w:w="1714" w:type="dxa"/>
            <w:vMerge/>
            <w:tcBorders>
              <w:left w:val="single" w:sz="4" w:space="0" w:color="auto"/>
            </w:tcBorders>
            <w:shd w:val="clear" w:color="auto" w:fill="E8E8E8"/>
          </w:tcPr>
          <w:p w14:paraId="5A425908"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3E5E7F6B" w14:textId="77777777" w:rsidR="00262A83" w:rsidRPr="0065011E" w:rsidRDefault="00262A83" w:rsidP="00CF22B1">
            <w:pPr>
              <w:pStyle w:val="Other0"/>
              <w:spacing w:after="60"/>
              <w:jc w:val="both"/>
            </w:pPr>
            <w:hyperlink r:id="rId30" w:history="1">
              <w:r w:rsidRPr="0065011E">
                <w:rPr>
                  <w:rStyle w:val="Other"/>
                  <w:i/>
                  <w:color w:val="467886"/>
                  <w:u w:val="single"/>
                </w:rPr>
                <w:t>implications.pdf</w:t>
              </w:r>
            </w:hyperlink>
          </w:p>
          <w:p w14:paraId="4A4AFAD8" w14:textId="77777777" w:rsidR="00262A83" w:rsidRPr="0065011E" w:rsidRDefault="00262A83" w:rsidP="00CF22B1">
            <w:pPr>
              <w:pStyle w:val="Other0"/>
              <w:spacing w:after="60"/>
              <w:jc w:val="both"/>
            </w:pPr>
            <w:r w:rsidRPr="0065011E">
              <w:rPr>
                <w:rStyle w:val="Other"/>
              </w:rPr>
              <w:t>9. Правилник за форматот и содржината на родово одговорната буџетска изјава:</w:t>
            </w:r>
          </w:p>
          <w:p w14:paraId="39861B8B" w14:textId="77777777" w:rsidR="00262A83" w:rsidRPr="0065011E" w:rsidRDefault="00262A83" w:rsidP="00CF22B1">
            <w:pPr>
              <w:pStyle w:val="Other0"/>
              <w:spacing w:after="60"/>
              <w:jc w:val="both"/>
            </w:pPr>
            <w:hyperlink r:id="rId31" w:history="1">
              <w:r w:rsidRPr="0065011E">
                <w:rPr>
                  <w:rStyle w:val="Other"/>
                  <w:i/>
                  <w:color w:val="467886"/>
                </w:rPr>
                <w:t>https://finance.gov.mk/wp-content/uploads/2025/02/Gender-responsive-budget-</w:t>
              </w:r>
            </w:hyperlink>
          </w:p>
        </w:tc>
      </w:tr>
      <w:tr w:rsidR="00262A83" w:rsidRPr="0065011E" w14:paraId="15F9DD7D" w14:textId="77777777" w:rsidTr="00CF22B1">
        <w:trPr>
          <w:trHeight w:hRule="exact" w:val="1426"/>
          <w:jc w:val="center"/>
        </w:trPr>
        <w:tc>
          <w:tcPr>
            <w:tcW w:w="1714" w:type="dxa"/>
            <w:vMerge/>
            <w:tcBorders>
              <w:left w:val="single" w:sz="4" w:space="0" w:color="auto"/>
            </w:tcBorders>
            <w:shd w:val="clear" w:color="auto" w:fill="E8E8E8"/>
          </w:tcPr>
          <w:p w14:paraId="44E31AC1"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578635C7" w14:textId="77777777" w:rsidR="00262A83" w:rsidRPr="0065011E" w:rsidRDefault="00262A83" w:rsidP="00CF22B1">
            <w:pPr>
              <w:pStyle w:val="Other0"/>
              <w:spacing w:after="60"/>
              <w:jc w:val="both"/>
            </w:pPr>
            <w:hyperlink r:id="rId32" w:history="1">
              <w:r w:rsidRPr="0065011E">
                <w:rPr>
                  <w:rStyle w:val="Other"/>
                  <w:i/>
                  <w:color w:val="467886"/>
                  <w:u w:val="single"/>
                </w:rPr>
                <w:t>statement.pdf</w:t>
              </w:r>
            </w:hyperlink>
          </w:p>
          <w:p w14:paraId="52CA0110" w14:textId="7CAA0042" w:rsidR="00262A83" w:rsidRPr="0065011E" w:rsidRDefault="00262A83" w:rsidP="00CF22B1">
            <w:pPr>
              <w:pStyle w:val="Other0"/>
              <w:spacing w:after="60"/>
              <w:ind w:left="440" w:hanging="440"/>
              <w:jc w:val="both"/>
            </w:pPr>
            <w:r w:rsidRPr="0065011E">
              <w:rPr>
                <w:rStyle w:val="Other"/>
              </w:rPr>
              <w:t>10. Упатство за начинот на подготовка на макроекономските и фискалните проекции и процесот на координација меѓу организациските единици и институциите поврзани во макроекономското и фискалното планирање:</w:t>
            </w:r>
          </w:p>
          <w:p w14:paraId="2A97A0A0" w14:textId="77777777" w:rsidR="00262A83" w:rsidRPr="0065011E" w:rsidRDefault="00262A83" w:rsidP="00CF22B1">
            <w:pPr>
              <w:pStyle w:val="Other0"/>
              <w:spacing w:after="60"/>
              <w:jc w:val="both"/>
            </w:pPr>
            <w:hyperlink r:id="rId33" w:history="1">
              <w:r w:rsidRPr="0065011E">
                <w:rPr>
                  <w:rStyle w:val="Other"/>
                  <w:i/>
                  <w:color w:val="467886"/>
                </w:rPr>
                <w:t>https://finance.gov.mk/wp-content/uploads/2025/02/Guidelines-on-the-method-of-</w:t>
              </w:r>
            </w:hyperlink>
          </w:p>
        </w:tc>
      </w:tr>
      <w:tr w:rsidR="00262A83" w:rsidRPr="0065011E" w14:paraId="75F7CCBD" w14:textId="77777777" w:rsidTr="00CF22B1">
        <w:trPr>
          <w:trHeight w:hRule="exact" w:val="922"/>
          <w:jc w:val="center"/>
        </w:trPr>
        <w:tc>
          <w:tcPr>
            <w:tcW w:w="1714" w:type="dxa"/>
            <w:vMerge/>
            <w:tcBorders>
              <w:left w:val="single" w:sz="4" w:space="0" w:color="auto"/>
            </w:tcBorders>
            <w:shd w:val="clear" w:color="auto" w:fill="E8E8E8"/>
          </w:tcPr>
          <w:p w14:paraId="2DB2C334"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3DF75D9C" w14:textId="77777777" w:rsidR="00262A83" w:rsidRPr="0065011E" w:rsidRDefault="00262A83" w:rsidP="00CF22B1">
            <w:pPr>
              <w:pStyle w:val="Other0"/>
              <w:spacing w:after="60"/>
              <w:jc w:val="both"/>
            </w:pPr>
            <w:hyperlink r:id="rId34" w:history="1">
              <w:r w:rsidRPr="0065011E">
                <w:rPr>
                  <w:rStyle w:val="Other"/>
                  <w:i/>
                  <w:color w:val="467886"/>
                  <w:u w:val="single"/>
                </w:rPr>
                <w:t>preparing-macro-fiscal-projections.pdf</w:t>
              </w:r>
            </w:hyperlink>
          </w:p>
          <w:p w14:paraId="55CEFA98" w14:textId="77777777" w:rsidR="00262A83" w:rsidRPr="0065011E" w:rsidRDefault="00262A83" w:rsidP="00CF22B1">
            <w:pPr>
              <w:pStyle w:val="Other0"/>
              <w:spacing w:after="60"/>
              <w:jc w:val="both"/>
            </w:pPr>
            <w:r w:rsidRPr="0065011E">
              <w:rPr>
                <w:rStyle w:val="Other"/>
              </w:rPr>
              <w:t>11. Форма и содржина на прекршочниот платен налог:</w:t>
            </w:r>
          </w:p>
          <w:p w14:paraId="007079A8" w14:textId="77777777" w:rsidR="00262A83" w:rsidRPr="0065011E" w:rsidRDefault="00262A83" w:rsidP="00CF22B1">
            <w:pPr>
              <w:pStyle w:val="Other0"/>
              <w:spacing w:after="60"/>
              <w:jc w:val="both"/>
            </w:pPr>
            <w:hyperlink r:id="rId35" w:history="1">
              <w:r w:rsidRPr="0065011E">
                <w:rPr>
                  <w:rStyle w:val="Other"/>
                  <w:i/>
                  <w:color w:val="467886"/>
                </w:rPr>
                <w:t>https://finance.gov.mk/wp-content/uploads/2025/02/Misdemeanor-pavment-</w:t>
              </w:r>
            </w:hyperlink>
          </w:p>
        </w:tc>
      </w:tr>
      <w:tr w:rsidR="00262A83" w:rsidRPr="0065011E" w14:paraId="1D6C11BC" w14:textId="77777777" w:rsidTr="00CF22B1">
        <w:trPr>
          <w:trHeight w:hRule="exact" w:val="922"/>
          <w:jc w:val="center"/>
        </w:trPr>
        <w:tc>
          <w:tcPr>
            <w:tcW w:w="1714" w:type="dxa"/>
            <w:vMerge/>
            <w:tcBorders>
              <w:left w:val="single" w:sz="4" w:space="0" w:color="auto"/>
            </w:tcBorders>
            <w:shd w:val="clear" w:color="auto" w:fill="E8E8E8"/>
          </w:tcPr>
          <w:p w14:paraId="3E765D08"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5DDBD059" w14:textId="77777777" w:rsidR="00262A83" w:rsidRPr="0065011E" w:rsidRDefault="00262A83" w:rsidP="00CF22B1">
            <w:pPr>
              <w:pStyle w:val="Other0"/>
              <w:spacing w:after="60"/>
              <w:jc w:val="both"/>
            </w:pPr>
            <w:hyperlink r:id="rId36" w:history="1">
              <w:r w:rsidRPr="0065011E">
                <w:rPr>
                  <w:rStyle w:val="Other"/>
                  <w:i/>
                  <w:color w:val="467886"/>
                  <w:u w:val="single"/>
                </w:rPr>
                <w:t>order.pdf</w:t>
              </w:r>
            </w:hyperlink>
          </w:p>
          <w:p w14:paraId="54D4DB5E" w14:textId="77777777" w:rsidR="00262A83" w:rsidRPr="0065011E" w:rsidRDefault="00262A83" w:rsidP="00CF22B1">
            <w:pPr>
              <w:pStyle w:val="Other0"/>
              <w:spacing w:after="60"/>
              <w:jc w:val="both"/>
            </w:pPr>
            <w:r w:rsidRPr="0065011E">
              <w:rPr>
                <w:rStyle w:val="Other"/>
              </w:rPr>
              <w:t>12. Фискална стратегија:</w:t>
            </w:r>
          </w:p>
          <w:p w14:paraId="04F09AB7" w14:textId="77777777" w:rsidR="00262A83" w:rsidRPr="0065011E" w:rsidRDefault="00262A83" w:rsidP="00CF22B1">
            <w:pPr>
              <w:pStyle w:val="Other0"/>
              <w:spacing w:after="60"/>
              <w:jc w:val="both"/>
            </w:pPr>
            <w:hyperlink r:id="rId37" w:history="1">
              <w:r w:rsidRPr="0065011E">
                <w:rPr>
                  <w:rStyle w:val="Other"/>
                  <w:i/>
                  <w:color w:val="467886"/>
                </w:rPr>
                <w:t>https://finance.gov.mk/wp-content/uploads/2025/03/2025-2029-Fiscal-Strategy-of-</w:t>
              </w:r>
            </w:hyperlink>
          </w:p>
        </w:tc>
      </w:tr>
      <w:tr w:rsidR="00262A83" w:rsidRPr="0065011E" w14:paraId="07EBB81B" w14:textId="77777777" w:rsidTr="00CF22B1">
        <w:trPr>
          <w:trHeight w:hRule="exact" w:val="2184"/>
          <w:jc w:val="center"/>
        </w:trPr>
        <w:tc>
          <w:tcPr>
            <w:tcW w:w="1714" w:type="dxa"/>
            <w:vMerge/>
            <w:tcBorders>
              <w:left w:val="single" w:sz="4" w:space="0" w:color="auto"/>
            </w:tcBorders>
            <w:shd w:val="clear" w:color="auto" w:fill="E8E8E8"/>
          </w:tcPr>
          <w:p w14:paraId="55F11610" w14:textId="77777777" w:rsidR="00262A83" w:rsidRPr="0065011E" w:rsidRDefault="00262A83" w:rsidP="00CF22B1"/>
        </w:tc>
        <w:tc>
          <w:tcPr>
            <w:tcW w:w="7805" w:type="dxa"/>
            <w:tcBorders>
              <w:top w:val="single" w:sz="4" w:space="0" w:color="auto"/>
              <w:left w:val="single" w:sz="4" w:space="0" w:color="auto"/>
              <w:right w:val="single" w:sz="4" w:space="0" w:color="auto"/>
            </w:tcBorders>
            <w:vAlign w:val="bottom"/>
          </w:tcPr>
          <w:p w14:paraId="1CE84991" w14:textId="77777777" w:rsidR="00262A83" w:rsidRPr="0065011E" w:rsidRDefault="00262A83" w:rsidP="00CF22B1">
            <w:pPr>
              <w:pStyle w:val="Other0"/>
              <w:spacing w:after="60"/>
              <w:jc w:val="both"/>
            </w:pPr>
            <w:hyperlink r:id="rId38" w:history="1">
              <w:r w:rsidRPr="0065011E">
                <w:rPr>
                  <w:rStyle w:val="Other"/>
                  <w:i/>
                  <w:color w:val="467886"/>
                  <w:u w:val="single"/>
                </w:rPr>
                <w:t>the-MK.pdf</w:t>
              </w:r>
            </w:hyperlink>
          </w:p>
          <w:p w14:paraId="165B0CC8" w14:textId="551E5E2B" w:rsidR="00262A83" w:rsidRPr="0065011E" w:rsidRDefault="00262A83" w:rsidP="00CF22B1">
            <w:pPr>
              <w:pStyle w:val="Other0"/>
              <w:spacing w:after="60"/>
              <w:ind w:left="440" w:hanging="440"/>
              <w:jc w:val="both"/>
            </w:pPr>
            <w:r w:rsidRPr="0065011E">
              <w:rPr>
                <w:rStyle w:val="Other"/>
              </w:rPr>
              <w:t>13. Правилник за начинот и роковите за доставување на информации кои се обезбедуваат од општините, другите буџетски корисници и другите јавни субјекти кои управуваат со финансиските средства на државата или општините, правните лица во кои државата или општините има директно или индиректно вложување во капитал и други правни лица, за потребите на Регистарот на акции, удели и учество во капитал во правни лица на државата и на општините (4767, стр. 12):</w:t>
            </w:r>
          </w:p>
          <w:p w14:paraId="3E06049C" w14:textId="77777777" w:rsidR="00262A83" w:rsidRPr="0065011E" w:rsidRDefault="00262A83" w:rsidP="00CF22B1">
            <w:pPr>
              <w:pStyle w:val="Other0"/>
              <w:spacing w:after="60"/>
              <w:jc w:val="both"/>
            </w:pPr>
            <w:hyperlink r:id="rId39" w:history="1">
              <w:r w:rsidRPr="0065011E">
                <w:rPr>
                  <w:rStyle w:val="Other"/>
                  <w:i/>
                  <w:color w:val="467886"/>
                </w:rPr>
                <w:t>https://www.slvesnik.com.mk/Issues/74c71826579f4863a327830e2fb7ac36.pdf</w:t>
              </w:r>
            </w:hyperlink>
          </w:p>
        </w:tc>
      </w:tr>
      <w:tr w:rsidR="00262A83" w:rsidRPr="0065011E" w14:paraId="15430BD4" w14:textId="77777777" w:rsidTr="00CF22B1">
        <w:trPr>
          <w:trHeight w:hRule="exact" w:val="1037"/>
          <w:jc w:val="center"/>
        </w:trPr>
        <w:tc>
          <w:tcPr>
            <w:tcW w:w="1714" w:type="dxa"/>
            <w:vMerge/>
            <w:tcBorders>
              <w:left w:val="single" w:sz="4" w:space="0" w:color="auto"/>
              <w:bottom w:val="single" w:sz="4" w:space="0" w:color="auto"/>
            </w:tcBorders>
            <w:shd w:val="clear" w:color="auto" w:fill="E8E8E8"/>
          </w:tcPr>
          <w:p w14:paraId="790298B4" w14:textId="77777777" w:rsidR="00262A83" w:rsidRPr="0065011E" w:rsidRDefault="00262A83" w:rsidP="00CF22B1"/>
        </w:tc>
        <w:tc>
          <w:tcPr>
            <w:tcW w:w="7805" w:type="dxa"/>
            <w:tcBorders>
              <w:top w:val="single" w:sz="4" w:space="0" w:color="auto"/>
              <w:left w:val="single" w:sz="4" w:space="0" w:color="auto"/>
              <w:bottom w:val="single" w:sz="4" w:space="0" w:color="auto"/>
              <w:right w:val="single" w:sz="4" w:space="0" w:color="auto"/>
            </w:tcBorders>
            <w:vAlign w:val="center"/>
          </w:tcPr>
          <w:p w14:paraId="73A93ABB" w14:textId="4CD78EA9" w:rsidR="00262A83" w:rsidRPr="0065011E" w:rsidRDefault="00262A83" w:rsidP="00CF22B1">
            <w:pPr>
              <w:pStyle w:val="Other0"/>
              <w:spacing w:after="80"/>
              <w:ind w:left="440" w:hanging="440"/>
              <w:jc w:val="both"/>
            </w:pPr>
            <w:r w:rsidRPr="0065011E">
              <w:rPr>
                <w:rStyle w:val="Other"/>
              </w:rPr>
              <w:t>14. Правилник за начинот на отворање на девизни сметки на буџетските корисници (4768, стр. 12):</w:t>
            </w:r>
          </w:p>
          <w:p w14:paraId="3E3F1630" w14:textId="77777777" w:rsidR="00262A83" w:rsidRPr="0065011E" w:rsidRDefault="00262A83" w:rsidP="00CF22B1">
            <w:pPr>
              <w:pStyle w:val="Other0"/>
              <w:jc w:val="both"/>
            </w:pPr>
            <w:hyperlink r:id="rId40" w:history="1">
              <w:r w:rsidRPr="0065011E">
                <w:rPr>
                  <w:rStyle w:val="Other"/>
                  <w:i/>
                  <w:color w:val="467886"/>
                  <w:u w:val="single"/>
                </w:rPr>
                <w:t>https://www.slvesnik.com.mk/Issues/74c71826579f4863a327830e2fb7ac36.pdf</w:t>
              </w:r>
            </w:hyperlink>
          </w:p>
        </w:tc>
      </w:tr>
    </w:tbl>
    <w:p w14:paraId="48297611" w14:textId="77777777" w:rsidR="00262A83" w:rsidRPr="0065011E" w:rsidRDefault="00262A83" w:rsidP="00AE7433">
      <w:pPr>
        <w:spacing w:line="1" w:lineRule="exact"/>
      </w:pPr>
      <w:r w:rsidRPr="0065011E">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rsidRPr="0065011E" w14:paraId="4B66BAE5" w14:textId="77777777" w:rsidTr="002A21B4">
        <w:trPr>
          <w:trHeight w:hRule="exact" w:val="12975"/>
          <w:jc w:val="center"/>
        </w:trPr>
        <w:tc>
          <w:tcPr>
            <w:tcW w:w="1714" w:type="dxa"/>
            <w:tcBorders>
              <w:top w:val="single" w:sz="4" w:space="0" w:color="auto"/>
              <w:left w:val="single" w:sz="4" w:space="0" w:color="auto"/>
            </w:tcBorders>
            <w:shd w:val="clear" w:color="auto" w:fill="E8E8E8"/>
          </w:tcPr>
          <w:p w14:paraId="79A350E6" w14:textId="77777777" w:rsidR="00262A83" w:rsidRPr="0065011E" w:rsidRDefault="00262A83" w:rsidP="00CF22B1">
            <w:pPr>
              <w:rPr>
                <w:sz w:val="10"/>
                <w:szCs w:val="10"/>
              </w:rPr>
            </w:pPr>
          </w:p>
        </w:tc>
        <w:tc>
          <w:tcPr>
            <w:tcW w:w="7805" w:type="dxa"/>
            <w:tcBorders>
              <w:top w:val="single" w:sz="4" w:space="0" w:color="auto"/>
              <w:left w:val="single" w:sz="4" w:space="0" w:color="auto"/>
              <w:right w:val="single" w:sz="4" w:space="0" w:color="auto"/>
            </w:tcBorders>
            <w:vAlign w:val="center"/>
          </w:tcPr>
          <w:p w14:paraId="096388E2" w14:textId="56D480DC" w:rsidR="00262A83" w:rsidRPr="0065011E" w:rsidRDefault="00262A83" w:rsidP="00262A83">
            <w:pPr>
              <w:pStyle w:val="Other0"/>
              <w:numPr>
                <w:ilvl w:val="0"/>
                <w:numId w:val="4"/>
              </w:numPr>
              <w:tabs>
                <w:tab w:val="left" w:pos="336"/>
              </w:tabs>
              <w:spacing w:after="80"/>
              <w:ind w:left="440" w:hanging="440"/>
              <w:jc w:val="both"/>
            </w:pPr>
            <w:r w:rsidRPr="0065011E">
              <w:rPr>
                <w:rStyle w:val="Other"/>
              </w:rPr>
              <w:t>Правилник за начинот на издавање на одобрение за предлози за склучување на договори за финансиски лизинг на буџетските корисници на Буџетот на државата или на општините (4769, стр. 13):</w:t>
            </w:r>
          </w:p>
          <w:p w14:paraId="4A870D5C" w14:textId="77777777" w:rsidR="00262A83" w:rsidRPr="0065011E" w:rsidRDefault="00262A83" w:rsidP="00CF22B1">
            <w:pPr>
              <w:pStyle w:val="Other0"/>
              <w:spacing w:after="80"/>
            </w:pPr>
            <w:hyperlink r:id="rId41" w:history="1">
              <w:r w:rsidRPr="0065011E">
                <w:rPr>
                  <w:rStyle w:val="Other"/>
                  <w:i/>
                  <w:color w:val="467886"/>
                  <w:u w:val="single"/>
                </w:rPr>
                <w:t>https://www.slvesnik.com.mk/Issues/74c71826579f4863a327830e2fb7ac36.pdf</w:t>
              </w:r>
            </w:hyperlink>
          </w:p>
          <w:p w14:paraId="3A18524C" w14:textId="77777777" w:rsidR="00262A83" w:rsidRPr="0065011E" w:rsidRDefault="00262A83" w:rsidP="00262A83">
            <w:pPr>
              <w:pStyle w:val="Other0"/>
              <w:numPr>
                <w:ilvl w:val="0"/>
                <w:numId w:val="4"/>
              </w:numPr>
              <w:tabs>
                <w:tab w:val="left" w:pos="336"/>
              </w:tabs>
              <w:spacing w:after="80"/>
            </w:pPr>
            <w:r w:rsidRPr="0065011E">
              <w:rPr>
                <w:rStyle w:val="Other"/>
              </w:rPr>
              <w:t>Упатство за начинот на планирање на ликвидноста на буџетот:</w:t>
            </w:r>
          </w:p>
          <w:p w14:paraId="5219F936" w14:textId="77777777" w:rsidR="00262A83" w:rsidRPr="0065011E" w:rsidRDefault="00262A83" w:rsidP="00CF22B1">
            <w:pPr>
              <w:pStyle w:val="Other0"/>
            </w:pPr>
            <w:hyperlink r:id="rId42" w:history="1">
              <w:r w:rsidRPr="0065011E">
                <w:rPr>
                  <w:rStyle w:val="Other"/>
                  <w:i/>
                  <w:color w:val="467886"/>
                  <w:u w:val="single"/>
                </w:rPr>
                <w:t>https://finance.gov.mk/wp-</w:t>
              </w:r>
            </w:hyperlink>
          </w:p>
          <w:p w14:paraId="497A7105" w14:textId="77777777" w:rsidR="00262A83" w:rsidRPr="0065011E" w:rsidRDefault="00262A83" w:rsidP="00CF22B1">
            <w:pPr>
              <w:pStyle w:val="Other0"/>
              <w:spacing w:after="80"/>
            </w:pPr>
            <w:hyperlink r:id="rId43" w:history="1">
              <w:proofErr w:type="spellStart"/>
              <w:r w:rsidRPr="0065011E">
                <w:rPr>
                  <w:rStyle w:val="Other"/>
                  <w:i/>
                  <w:color w:val="467886"/>
                  <w:u w:val="single"/>
                </w:rPr>
                <w:t>content</w:t>
              </w:r>
              <w:proofErr w:type="spellEnd"/>
              <w:r w:rsidRPr="0065011E">
                <w:rPr>
                  <w:rStyle w:val="Other"/>
                  <w:i/>
                  <w:color w:val="467886"/>
                  <w:u w:val="single"/>
                </w:rPr>
                <w:t>/</w:t>
              </w:r>
              <w:proofErr w:type="spellStart"/>
              <w:r w:rsidRPr="0065011E">
                <w:rPr>
                  <w:rStyle w:val="Other"/>
                  <w:i/>
                  <w:color w:val="467886"/>
                  <w:u w:val="single"/>
                </w:rPr>
                <w:t>uploads</w:t>
              </w:r>
              <w:proofErr w:type="spellEnd"/>
              <w:r w:rsidRPr="0065011E">
                <w:rPr>
                  <w:rStyle w:val="Other"/>
                  <w:i/>
                  <w:color w:val="467886"/>
                  <w:u w:val="single"/>
                </w:rPr>
                <w:t>/2025/02/28e08ed95f77419c9ebc39c5faa197d0.pdf</w:t>
              </w:r>
            </w:hyperlink>
          </w:p>
          <w:p w14:paraId="794EB5F0" w14:textId="57ABF1D2" w:rsidR="00262A83" w:rsidRPr="0065011E" w:rsidRDefault="00262A83" w:rsidP="00262A83">
            <w:pPr>
              <w:pStyle w:val="Other0"/>
              <w:numPr>
                <w:ilvl w:val="0"/>
                <w:numId w:val="4"/>
              </w:numPr>
              <w:tabs>
                <w:tab w:val="left" w:pos="336"/>
              </w:tabs>
              <w:spacing w:after="80"/>
            </w:pPr>
            <w:r w:rsidRPr="0065011E">
              <w:rPr>
                <w:rStyle w:val="Other"/>
              </w:rPr>
              <w:t xml:space="preserve">Упатство за начинот на управување со ликвидноста на Единствена </w:t>
            </w:r>
            <w:proofErr w:type="spellStart"/>
            <w:r w:rsidRPr="0065011E">
              <w:rPr>
                <w:rStyle w:val="Other"/>
              </w:rPr>
              <w:t>трезорска</w:t>
            </w:r>
            <w:proofErr w:type="spellEnd"/>
            <w:r w:rsidRPr="0065011E">
              <w:rPr>
                <w:rStyle w:val="Other"/>
              </w:rPr>
              <w:t xml:space="preserve"> сметка:</w:t>
            </w:r>
          </w:p>
          <w:p w14:paraId="5BA6B252" w14:textId="77777777" w:rsidR="00262A83" w:rsidRPr="0065011E" w:rsidRDefault="00262A83" w:rsidP="00CF22B1">
            <w:pPr>
              <w:pStyle w:val="Other0"/>
            </w:pPr>
            <w:hyperlink r:id="rId44" w:history="1">
              <w:r w:rsidRPr="0065011E">
                <w:rPr>
                  <w:rStyle w:val="Other"/>
                  <w:i/>
                  <w:color w:val="467886"/>
                  <w:u w:val="single"/>
                </w:rPr>
                <w:t>https://finance. gov.mk/</w:t>
              </w:r>
              <w:proofErr w:type="spellStart"/>
              <w:r w:rsidRPr="0065011E">
                <w:rPr>
                  <w:rStyle w:val="Other"/>
                  <w:i/>
                  <w:color w:val="467886"/>
                  <w:u w:val="single"/>
                </w:rPr>
                <w:t>wp</w:t>
              </w:r>
              <w:proofErr w:type="spellEnd"/>
              <w:r w:rsidRPr="0065011E">
                <w:rPr>
                  <w:rStyle w:val="Other"/>
                  <w:i/>
                  <w:color w:val="467886"/>
                  <w:u w:val="single"/>
                </w:rPr>
                <w:t>-</w:t>
              </w:r>
            </w:hyperlink>
          </w:p>
          <w:p w14:paraId="2513D0A1" w14:textId="77777777" w:rsidR="00262A83" w:rsidRPr="0065011E" w:rsidRDefault="00262A83" w:rsidP="00CF22B1">
            <w:pPr>
              <w:pStyle w:val="Other0"/>
              <w:spacing w:after="80"/>
              <w:jc w:val="both"/>
            </w:pPr>
            <w:hyperlink r:id="rId45" w:history="1">
              <w:proofErr w:type="spellStart"/>
              <w:r w:rsidRPr="0065011E">
                <w:rPr>
                  <w:rStyle w:val="Other"/>
                  <w:i/>
                  <w:color w:val="467886"/>
                </w:rPr>
                <w:t>content</w:t>
              </w:r>
              <w:proofErr w:type="spellEnd"/>
              <w:r w:rsidRPr="0065011E">
                <w:rPr>
                  <w:rStyle w:val="Other"/>
                  <w:i/>
                  <w:color w:val="467886"/>
                </w:rPr>
                <w:t>/</w:t>
              </w:r>
              <w:proofErr w:type="spellStart"/>
              <w:r w:rsidRPr="0065011E">
                <w:rPr>
                  <w:rStyle w:val="Other"/>
                  <w:i/>
                  <w:color w:val="467886"/>
                </w:rPr>
                <w:t>uploads</w:t>
              </w:r>
              <w:proofErr w:type="spellEnd"/>
              <w:r w:rsidRPr="0065011E">
                <w:rPr>
                  <w:rStyle w:val="Other"/>
                  <w:i/>
                  <w:color w:val="467886"/>
                </w:rPr>
                <w:t>/2025/02/46a578e94ee04f168Qbde4a56e98b3da.pdf</w:t>
              </w:r>
            </w:hyperlink>
          </w:p>
          <w:p w14:paraId="043765FE" w14:textId="651A2DCF" w:rsidR="00262A83" w:rsidRPr="0065011E" w:rsidRDefault="00262A83" w:rsidP="00262A83">
            <w:pPr>
              <w:pStyle w:val="Other0"/>
              <w:numPr>
                <w:ilvl w:val="0"/>
                <w:numId w:val="4"/>
              </w:numPr>
              <w:tabs>
                <w:tab w:val="left" w:pos="336"/>
              </w:tabs>
              <w:spacing w:after="80"/>
              <w:ind w:left="440" w:hanging="440"/>
              <w:jc w:val="both"/>
            </w:pPr>
            <w:r w:rsidRPr="0065011E">
              <w:rPr>
                <w:rStyle w:val="Other"/>
              </w:rPr>
              <w:t>Правилник за начинот за преземање обврски во буџетот за тековната година и во буџетите за следните години и начинот на расположливост на правата за трошење во буџетот пред почетокот на процесот на јавната набавка:</w:t>
            </w:r>
          </w:p>
          <w:p w14:paraId="5C5068E9" w14:textId="77777777" w:rsidR="00262A83" w:rsidRPr="0065011E" w:rsidRDefault="00262A83" w:rsidP="00CF22B1">
            <w:pPr>
              <w:pStyle w:val="Other0"/>
              <w:jc w:val="both"/>
            </w:pPr>
            <w:hyperlink r:id="rId46" w:history="1">
              <w:r w:rsidRPr="0065011E">
                <w:rPr>
                  <w:rStyle w:val="Other"/>
                  <w:i/>
                  <w:color w:val="467886"/>
                  <w:u w:val="single"/>
                </w:rPr>
                <w:t>https://finance. gov.mk/</w:t>
              </w:r>
              <w:proofErr w:type="spellStart"/>
              <w:r w:rsidRPr="0065011E">
                <w:rPr>
                  <w:rStyle w:val="Other"/>
                  <w:i/>
                  <w:color w:val="467886"/>
                  <w:u w:val="single"/>
                </w:rPr>
                <w:t>wp</w:t>
              </w:r>
              <w:proofErr w:type="spellEnd"/>
              <w:r w:rsidRPr="0065011E">
                <w:rPr>
                  <w:rStyle w:val="Other"/>
                  <w:i/>
                  <w:color w:val="467886"/>
                  <w:u w:val="single"/>
                </w:rPr>
                <w:t>-</w:t>
              </w:r>
            </w:hyperlink>
          </w:p>
          <w:p w14:paraId="13D58FDC" w14:textId="77777777" w:rsidR="00262A83" w:rsidRPr="0065011E" w:rsidRDefault="00262A83" w:rsidP="00CF22B1">
            <w:pPr>
              <w:pStyle w:val="Other0"/>
              <w:spacing w:after="400"/>
              <w:jc w:val="both"/>
            </w:pPr>
            <w:hyperlink r:id="rId47" w:history="1">
              <w:proofErr w:type="spellStart"/>
              <w:r w:rsidRPr="0065011E">
                <w:rPr>
                  <w:rStyle w:val="Other"/>
                  <w:i/>
                  <w:color w:val="467886"/>
                  <w:u w:val="single"/>
                </w:rPr>
                <w:t>content</w:t>
              </w:r>
              <w:proofErr w:type="spellEnd"/>
              <w:r w:rsidRPr="0065011E">
                <w:rPr>
                  <w:rStyle w:val="Other"/>
                  <w:i/>
                  <w:color w:val="467886"/>
                  <w:u w:val="single"/>
                </w:rPr>
                <w:t>/</w:t>
              </w:r>
              <w:proofErr w:type="spellStart"/>
              <w:r w:rsidRPr="0065011E">
                <w:rPr>
                  <w:rStyle w:val="Other"/>
                  <w:i/>
                  <w:color w:val="467886"/>
                  <w:u w:val="single"/>
                </w:rPr>
                <w:t>uploads</w:t>
              </w:r>
              <w:proofErr w:type="spellEnd"/>
              <w:r w:rsidRPr="0065011E">
                <w:rPr>
                  <w:rStyle w:val="Other"/>
                  <w:i/>
                  <w:color w:val="467886"/>
                  <w:u w:val="single"/>
                </w:rPr>
                <w:t>/2025/02/923491 f008b64121afff03fa71a2a266.pdf</w:t>
              </w:r>
            </w:hyperlink>
            <w:r w:rsidRPr="0065011E">
              <w:rPr>
                <w:rStyle w:val="Other"/>
                <w:i/>
                <w:color w:val="467886"/>
              </w:rPr>
              <w:t xml:space="preserve"> </w:t>
            </w:r>
            <w:r w:rsidRPr="0065011E">
              <w:rPr>
                <w:rStyle w:val="Other"/>
                <w:i/>
              </w:rPr>
              <w:t>-</w:t>
            </w:r>
          </w:p>
          <w:p w14:paraId="02FC9CE7" w14:textId="77777777" w:rsidR="00262A83" w:rsidRPr="0065011E" w:rsidRDefault="00262A83" w:rsidP="00CF22B1">
            <w:pPr>
              <w:pStyle w:val="Other0"/>
              <w:spacing w:after="80"/>
              <w:jc w:val="both"/>
            </w:pPr>
            <w:r w:rsidRPr="0065011E">
              <w:rPr>
                <w:rStyle w:val="Other"/>
                <w:b/>
              </w:rPr>
              <w:t xml:space="preserve">Нацрт-уредбата за управување со јавни инвестиции (член 20) не беше донесена пред крајниот рок поради потребата од понатамошни </w:t>
            </w:r>
            <w:proofErr w:type="spellStart"/>
            <w:r w:rsidRPr="0065011E">
              <w:rPr>
                <w:rStyle w:val="Other"/>
                <w:b/>
              </w:rPr>
              <w:t>меѓувладини</w:t>
            </w:r>
            <w:proofErr w:type="spellEnd"/>
            <w:r w:rsidRPr="0065011E">
              <w:rPr>
                <w:rStyle w:val="Other"/>
                <w:b/>
              </w:rPr>
              <w:t xml:space="preserve"> консултации.</w:t>
            </w:r>
          </w:p>
          <w:p w14:paraId="301C0350" w14:textId="11788CFB" w:rsidR="00262A83" w:rsidRPr="0065011E" w:rsidRDefault="00262A83" w:rsidP="00CF22B1">
            <w:pPr>
              <w:pStyle w:val="Other0"/>
              <w:spacing w:after="80"/>
              <w:jc w:val="both"/>
            </w:pPr>
            <w:r w:rsidRPr="0065011E">
              <w:rPr>
                <w:rStyle w:val="Other"/>
              </w:rPr>
              <w:t>И покрај значителниот напредок, спроведувањето на Законот за буџетите (ЗБ) останува нецелосно. Иако е донесен минималниот потребен број подзаконски акти и е воспоставен Регистарот на јавни субјекти, Владата мора да ги заврши следните активности во грејс-периодот за да се смета за целосно постигнат овој чекор:</w:t>
            </w:r>
          </w:p>
          <w:p w14:paraId="54F7D68A" w14:textId="58C5270A" w:rsidR="00262A83" w:rsidRPr="0065011E" w:rsidRDefault="00262A83" w:rsidP="00262A83">
            <w:pPr>
              <w:pStyle w:val="Other0"/>
              <w:numPr>
                <w:ilvl w:val="0"/>
                <w:numId w:val="5"/>
              </w:numPr>
              <w:tabs>
                <w:tab w:val="left" w:pos="706"/>
                <w:tab w:val="left" w:pos="710"/>
              </w:tabs>
              <w:spacing w:line="276" w:lineRule="auto"/>
              <w:ind w:firstLine="720"/>
              <w:jc w:val="both"/>
            </w:pPr>
            <w:r w:rsidRPr="0065011E">
              <w:rPr>
                <w:rStyle w:val="Other"/>
                <w:b/>
              </w:rPr>
              <w:t xml:space="preserve">Донесување на Уредбата за управување со јавни инвестиции </w:t>
            </w:r>
            <w:r w:rsidRPr="0065011E">
              <w:rPr>
                <w:rStyle w:val="Other"/>
              </w:rPr>
              <w:t>(не е донесена заклучно со 14 март, со поднесување на барањето за ослободување на средствата)</w:t>
            </w:r>
            <w:r w:rsidRPr="00262A83">
              <w:rPr>
                <w:rStyle w:val="Other"/>
                <w:bCs/>
              </w:rPr>
              <w:t>.</w:t>
            </w:r>
          </w:p>
          <w:p w14:paraId="4B5543BD" w14:textId="40FE9726" w:rsidR="00262A83" w:rsidRPr="0065011E" w:rsidRDefault="00262A83" w:rsidP="00262A83">
            <w:pPr>
              <w:pStyle w:val="Other0"/>
              <w:numPr>
                <w:ilvl w:val="0"/>
                <w:numId w:val="5"/>
              </w:numPr>
              <w:tabs>
                <w:tab w:val="left" w:pos="710"/>
                <w:tab w:val="left" w:pos="715"/>
              </w:tabs>
              <w:spacing w:after="80" w:line="276" w:lineRule="auto"/>
              <w:ind w:left="720"/>
              <w:jc w:val="both"/>
            </w:pPr>
            <w:r w:rsidRPr="0065011E">
              <w:rPr>
                <w:rStyle w:val="Other"/>
                <w:b/>
              </w:rPr>
              <w:t>Завршување на ревизијата на организациската класификација</w:t>
            </w:r>
            <w:r w:rsidRPr="0065011E">
              <w:rPr>
                <w:rStyle w:val="Other"/>
              </w:rPr>
              <w:t>, осигурувајќи дека се идентификувани буџетските корисници од втора линија во рамките на секој примарен („матичен“) буџетски корисник. Донесениот подзаконски акт моментално ги вклучува само матичните буџетски корисници.</w:t>
            </w:r>
          </w:p>
          <w:p w14:paraId="21148B5E" w14:textId="609577DD" w:rsidR="00262A83" w:rsidRPr="0065011E" w:rsidRDefault="00262A83" w:rsidP="00262A83">
            <w:pPr>
              <w:pStyle w:val="Other0"/>
              <w:numPr>
                <w:ilvl w:val="0"/>
                <w:numId w:val="5"/>
              </w:numPr>
              <w:tabs>
                <w:tab w:val="left" w:pos="710"/>
                <w:tab w:val="left" w:pos="710"/>
              </w:tabs>
              <w:spacing w:after="80" w:line="276" w:lineRule="auto"/>
              <w:ind w:left="720" w:firstLine="360"/>
              <w:jc w:val="both"/>
            </w:pPr>
            <w:r w:rsidRPr="0065011E">
              <w:rPr>
                <w:rStyle w:val="Other"/>
                <w:b/>
              </w:rPr>
              <w:t xml:space="preserve">Развивање на програмската буџетска класификација </w:t>
            </w:r>
            <w:r w:rsidRPr="0065011E">
              <w:rPr>
                <w:rStyle w:val="Other"/>
              </w:rPr>
              <w:t>Донесениот правилник дава само општ опис на програмската буџетска класификација без фактичка ревизија на програмската буџетска структура.</w:t>
            </w:r>
          </w:p>
          <w:p w14:paraId="2C336998" w14:textId="18E9F5A7" w:rsidR="00262A83" w:rsidRPr="0065011E" w:rsidRDefault="00262A83" w:rsidP="00CF22B1">
            <w:pPr>
              <w:pStyle w:val="Other0"/>
              <w:spacing w:after="80"/>
              <w:jc w:val="both"/>
            </w:pPr>
            <w:r w:rsidRPr="0065011E">
              <w:rPr>
                <w:rStyle w:val="Other"/>
              </w:rPr>
              <w:t>Важно е да се напомене дека влегувањето во сила на неколку подзаконски акти, вклучително и ревидираната буџетска класификација, е закажано за јануари 2026 година, во согласност со последното изменување и дополнување на Законот за буџетите во декември 2025 година. Владата ги презема сите потребни мерки за да го исполни овој рок и да избегне понатамошни продолжувања на фактичкото спроведување на подзаконскиот акт.</w:t>
            </w:r>
          </w:p>
        </w:tc>
      </w:tr>
      <w:tr w:rsidR="00262A83" w:rsidRPr="0065011E" w14:paraId="6EA163D4" w14:textId="77777777" w:rsidTr="002A21B4">
        <w:trPr>
          <w:trHeight w:hRule="exact" w:val="2775"/>
          <w:jc w:val="center"/>
        </w:trPr>
        <w:tc>
          <w:tcPr>
            <w:tcW w:w="1714" w:type="dxa"/>
            <w:tcBorders>
              <w:top w:val="single" w:sz="4" w:space="0" w:color="auto"/>
              <w:left w:val="single" w:sz="4" w:space="0" w:color="auto"/>
            </w:tcBorders>
            <w:shd w:val="clear" w:color="auto" w:fill="E8E8E8"/>
            <w:vAlign w:val="center"/>
          </w:tcPr>
          <w:p w14:paraId="3F1CB264" w14:textId="77777777" w:rsidR="00262A83" w:rsidRPr="0065011E" w:rsidRDefault="00262A83" w:rsidP="00CF22B1">
            <w:pPr>
              <w:pStyle w:val="Other0"/>
            </w:pPr>
            <w:r w:rsidRPr="0065011E">
              <w:rPr>
                <w:rStyle w:val="Other"/>
                <w:b/>
              </w:rPr>
              <w:lastRenderedPageBreak/>
              <w:t>Извршени проверки и докази користени при потврдување на чекорот и поврзани наоди</w:t>
            </w:r>
          </w:p>
        </w:tc>
        <w:tc>
          <w:tcPr>
            <w:tcW w:w="7805" w:type="dxa"/>
            <w:tcBorders>
              <w:top w:val="single" w:sz="4" w:space="0" w:color="auto"/>
              <w:left w:val="single" w:sz="4" w:space="0" w:color="auto"/>
              <w:right w:val="single" w:sz="4" w:space="0" w:color="auto"/>
            </w:tcBorders>
            <w:vAlign w:val="center"/>
          </w:tcPr>
          <w:p w14:paraId="4AF47FF1" w14:textId="52864331" w:rsidR="00262A83" w:rsidRPr="0065011E" w:rsidRDefault="00262A83" w:rsidP="00CF22B1">
            <w:pPr>
              <w:pStyle w:val="Other0"/>
              <w:spacing w:after="60"/>
              <w:jc w:val="both"/>
            </w:pPr>
            <w:r w:rsidRPr="0065011E">
              <w:rPr>
                <w:rStyle w:val="Other"/>
              </w:rPr>
              <w:t>Состаноци од далечина за преглед/следење.</w:t>
            </w:r>
          </w:p>
          <w:p w14:paraId="20DD23AF" w14:textId="11F2822D" w:rsidR="00262A83" w:rsidRPr="0065011E" w:rsidRDefault="00262A83" w:rsidP="00CF22B1">
            <w:pPr>
              <w:pStyle w:val="Other0"/>
              <w:spacing w:after="60"/>
              <w:jc w:val="both"/>
            </w:pPr>
            <w:r w:rsidRPr="0065011E">
              <w:rPr>
                <w:rStyle w:val="Other"/>
              </w:rPr>
              <w:t>Европската комисија ја анализираше содржината на донесените подзаконски акти и внимателно ја следеше ревизијата на буџетските класификации, како и формулирањето на Уредбата за управување со јавни инвестиции. Овој процес е спроведен во соработка со неколку меѓународни финансиски институции и Министерството за финансии на САД.</w:t>
            </w:r>
          </w:p>
          <w:p w14:paraId="5EAEAFF6" w14:textId="77777777" w:rsidR="00262A83" w:rsidRPr="0065011E" w:rsidRDefault="00262A83" w:rsidP="00CF22B1">
            <w:pPr>
              <w:pStyle w:val="Other0"/>
              <w:spacing w:after="60"/>
              <w:jc w:val="both"/>
            </w:pPr>
            <w:r w:rsidRPr="0065011E">
              <w:rPr>
                <w:rStyle w:val="Other"/>
              </w:rPr>
              <w:t>За време на повеќекратните состаноци за следење со Владата, ЕУ изрази загриженост во врска со комплетноста на ревизијата на буџетските класификации.</w:t>
            </w:r>
          </w:p>
        </w:tc>
      </w:tr>
      <w:tr w:rsidR="00262A83" w:rsidRPr="0065011E" w14:paraId="0EEF3BFC" w14:textId="77777777" w:rsidTr="00CF22B1">
        <w:trPr>
          <w:trHeight w:hRule="exact" w:val="691"/>
          <w:jc w:val="center"/>
        </w:trPr>
        <w:tc>
          <w:tcPr>
            <w:tcW w:w="1714" w:type="dxa"/>
            <w:tcBorders>
              <w:top w:val="single" w:sz="4" w:space="0" w:color="auto"/>
              <w:left w:val="single" w:sz="4" w:space="0" w:color="auto"/>
              <w:bottom w:val="single" w:sz="4" w:space="0" w:color="auto"/>
            </w:tcBorders>
            <w:shd w:val="clear" w:color="auto" w:fill="E8E8E8"/>
          </w:tcPr>
          <w:p w14:paraId="407FB8B2" w14:textId="77777777" w:rsidR="00262A83" w:rsidRPr="0065011E" w:rsidRDefault="00262A83" w:rsidP="00CF22B1">
            <w:pPr>
              <w:pStyle w:val="Other0"/>
              <w:spacing w:before="80"/>
            </w:pPr>
            <w:r w:rsidRPr="0065011E">
              <w:rPr>
                <w:rStyle w:val="Other"/>
                <w:b/>
              </w:rPr>
              <w:t>Двојно финансирање</w:t>
            </w:r>
          </w:p>
        </w:tc>
        <w:tc>
          <w:tcPr>
            <w:tcW w:w="7805" w:type="dxa"/>
            <w:tcBorders>
              <w:top w:val="single" w:sz="4" w:space="0" w:color="auto"/>
              <w:left w:val="single" w:sz="4" w:space="0" w:color="auto"/>
              <w:bottom w:val="single" w:sz="4" w:space="0" w:color="auto"/>
              <w:right w:val="single" w:sz="4" w:space="0" w:color="auto"/>
            </w:tcBorders>
            <w:vAlign w:val="center"/>
          </w:tcPr>
          <w:p w14:paraId="7EDD6817" w14:textId="77777777" w:rsidR="00262A83" w:rsidRPr="0065011E" w:rsidRDefault="00262A83" w:rsidP="00CF22B1">
            <w:pPr>
              <w:pStyle w:val="Other0"/>
              <w:jc w:val="both"/>
            </w:pPr>
            <w:r w:rsidRPr="0065011E">
              <w:rPr>
                <w:rStyle w:val="Other"/>
              </w:rPr>
              <w:t>Не беа пријавени придонеси од трети страни како поддршка на постигнувањето на овој чекор.</w:t>
            </w:r>
          </w:p>
        </w:tc>
      </w:tr>
    </w:tbl>
    <w:p w14:paraId="58D5B5D0" w14:textId="0CF291C5" w:rsidR="00262A83" w:rsidRPr="0065011E" w:rsidRDefault="00262A83" w:rsidP="00AE743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rsidRPr="0065011E" w14:paraId="68E0D559" w14:textId="77777777" w:rsidTr="00CF22B1">
        <w:trPr>
          <w:trHeight w:hRule="exact" w:val="1459"/>
          <w:jc w:val="center"/>
        </w:trPr>
        <w:tc>
          <w:tcPr>
            <w:tcW w:w="1714" w:type="dxa"/>
            <w:tcBorders>
              <w:top w:val="single" w:sz="4" w:space="0" w:color="auto"/>
              <w:left w:val="single" w:sz="4" w:space="0" w:color="auto"/>
              <w:bottom w:val="single" w:sz="4" w:space="0" w:color="auto"/>
            </w:tcBorders>
            <w:shd w:val="clear" w:color="auto" w:fill="E8E8E8"/>
            <w:vAlign w:val="center"/>
          </w:tcPr>
          <w:p w14:paraId="19ACE008" w14:textId="77777777" w:rsidR="00262A83" w:rsidRPr="0065011E" w:rsidRDefault="00262A83" w:rsidP="00CF22B1">
            <w:pPr>
              <w:pStyle w:val="Other0"/>
            </w:pPr>
            <w:r w:rsidRPr="0065011E">
              <w:rPr>
                <w:rStyle w:val="Other"/>
                <w:b/>
              </w:rPr>
              <w:t>Јасен заклучок за постигнувањето на чекорот</w:t>
            </w:r>
          </w:p>
        </w:tc>
        <w:tc>
          <w:tcPr>
            <w:tcW w:w="7805" w:type="dxa"/>
            <w:tcBorders>
              <w:top w:val="single" w:sz="4" w:space="0" w:color="auto"/>
              <w:left w:val="single" w:sz="4" w:space="0" w:color="auto"/>
              <w:bottom w:val="single" w:sz="4" w:space="0" w:color="auto"/>
              <w:right w:val="single" w:sz="4" w:space="0" w:color="auto"/>
            </w:tcBorders>
          </w:tcPr>
          <w:p w14:paraId="181B42DD" w14:textId="3A7785BA" w:rsidR="00262A83" w:rsidRPr="0065011E" w:rsidRDefault="00262A83" w:rsidP="00CF22B1">
            <w:pPr>
              <w:pStyle w:val="Other0"/>
              <w:spacing w:before="80"/>
              <w:jc w:val="both"/>
            </w:pPr>
            <w:r w:rsidRPr="0065011E">
              <w:rPr>
                <w:rStyle w:val="Other"/>
                <w:b/>
              </w:rPr>
              <w:t xml:space="preserve">Не е постигнат. </w:t>
            </w:r>
            <w:r w:rsidRPr="0065011E">
              <w:rPr>
                <w:rStyle w:val="Other"/>
              </w:rPr>
              <w:t>„Грејс-периодот“ трае до 31 декември 2026 година.</w:t>
            </w:r>
          </w:p>
        </w:tc>
      </w:tr>
    </w:tbl>
    <w:p w14:paraId="1465B8F6" w14:textId="77777777" w:rsidR="00262A83" w:rsidRPr="0065011E" w:rsidRDefault="00262A83" w:rsidP="00AE7433">
      <w:pPr>
        <w:spacing w:after="459" w:line="1" w:lineRule="exact"/>
      </w:pPr>
    </w:p>
    <w:p w14:paraId="1D7571FD" w14:textId="77777777" w:rsidR="00262A83" w:rsidRPr="005674DA" w:rsidRDefault="00262A83" w:rsidP="00AE7433">
      <w:pPr>
        <w:pStyle w:val="Heading20"/>
        <w:keepNext/>
        <w:keepLines/>
        <w:rPr>
          <w:b w:val="0"/>
          <w:bCs w:val="0"/>
        </w:rPr>
      </w:pPr>
      <w:bookmarkStart w:id="7" w:name="bookmark17"/>
      <w:r w:rsidRPr="005674DA">
        <w:rPr>
          <w:rStyle w:val="Heading2"/>
          <w:b/>
          <w:bCs/>
        </w:rPr>
        <w:t>2.1.2.1. Спроведување на политиките и мерките за климата и енергијата како што е предвидено во Националниот план за енергија и клима (НПЕК)</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rsidRPr="0065011E" w14:paraId="3FC7408F" w14:textId="77777777" w:rsidTr="002A21B4">
        <w:trPr>
          <w:trHeight w:hRule="exact" w:val="1098"/>
          <w:jc w:val="center"/>
        </w:trPr>
        <w:tc>
          <w:tcPr>
            <w:tcW w:w="1714" w:type="dxa"/>
            <w:tcBorders>
              <w:top w:val="single" w:sz="4" w:space="0" w:color="auto"/>
              <w:left w:val="single" w:sz="4" w:space="0" w:color="auto"/>
            </w:tcBorders>
            <w:shd w:val="clear" w:color="auto" w:fill="E8E8E8"/>
            <w:vAlign w:val="center"/>
          </w:tcPr>
          <w:p w14:paraId="3DA2A85D" w14:textId="77777777" w:rsidR="00262A83" w:rsidRPr="0065011E" w:rsidRDefault="00262A83" w:rsidP="00CF22B1">
            <w:pPr>
              <w:pStyle w:val="Other0"/>
            </w:pPr>
            <w:r w:rsidRPr="0065011E">
              <w:rPr>
                <w:rStyle w:val="Other"/>
                <w:b/>
              </w:rPr>
              <w:t>Чекор што се разгледува</w:t>
            </w:r>
          </w:p>
        </w:tc>
        <w:tc>
          <w:tcPr>
            <w:tcW w:w="7805" w:type="dxa"/>
            <w:tcBorders>
              <w:top w:val="single" w:sz="4" w:space="0" w:color="auto"/>
              <w:left w:val="single" w:sz="4" w:space="0" w:color="auto"/>
              <w:right w:val="single" w:sz="4" w:space="0" w:color="auto"/>
            </w:tcBorders>
            <w:vAlign w:val="center"/>
          </w:tcPr>
          <w:p w14:paraId="2421CD21" w14:textId="77777777" w:rsidR="00262A83" w:rsidRPr="0065011E" w:rsidRDefault="00262A83" w:rsidP="00CF22B1">
            <w:pPr>
              <w:pStyle w:val="Other0"/>
              <w:jc w:val="both"/>
            </w:pPr>
            <w:r w:rsidRPr="0065011E">
              <w:rPr>
                <w:rStyle w:val="Other"/>
                <w:i/>
              </w:rPr>
              <w:t>Управувачките структури предвидени во Патоказот за праведна транзиција (ППТ) се оперативни и го одобрија годишниот план за спроведување за 2025 година.</w:t>
            </w:r>
          </w:p>
        </w:tc>
      </w:tr>
      <w:tr w:rsidR="00262A83" w:rsidRPr="0065011E" w14:paraId="37DA8C00" w14:textId="77777777" w:rsidTr="002A21B4">
        <w:trPr>
          <w:trHeight w:hRule="exact" w:val="3396"/>
          <w:jc w:val="center"/>
        </w:trPr>
        <w:tc>
          <w:tcPr>
            <w:tcW w:w="1714" w:type="dxa"/>
            <w:tcBorders>
              <w:top w:val="single" w:sz="4" w:space="0" w:color="auto"/>
              <w:left w:val="single" w:sz="4" w:space="0" w:color="auto"/>
            </w:tcBorders>
            <w:shd w:val="clear" w:color="auto" w:fill="E8E8E8"/>
          </w:tcPr>
          <w:p w14:paraId="5A04720F" w14:textId="47B0A41B" w:rsidR="00262A83" w:rsidRPr="0065011E" w:rsidRDefault="00262A83" w:rsidP="00CF22B1">
            <w:pPr>
              <w:pStyle w:val="Other0"/>
              <w:spacing w:before="80"/>
            </w:pPr>
            <w:r w:rsidRPr="0065011E">
              <w:rPr>
                <w:rStyle w:val="Other"/>
                <w:b/>
              </w:rPr>
              <w:t>Основна состојба</w:t>
            </w:r>
          </w:p>
        </w:tc>
        <w:tc>
          <w:tcPr>
            <w:tcW w:w="7805" w:type="dxa"/>
            <w:tcBorders>
              <w:top w:val="single" w:sz="4" w:space="0" w:color="auto"/>
              <w:left w:val="single" w:sz="4" w:space="0" w:color="auto"/>
              <w:right w:val="single" w:sz="4" w:space="0" w:color="auto"/>
            </w:tcBorders>
            <w:vAlign w:val="center"/>
          </w:tcPr>
          <w:p w14:paraId="7798878E" w14:textId="418918A3" w:rsidR="00262A83" w:rsidRPr="0065011E" w:rsidRDefault="00262A83" w:rsidP="00CF22B1">
            <w:pPr>
              <w:pStyle w:val="Other0"/>
              <w:spacing w:after="60"/>
              <w:jc w:val="both"/>
            </w:pPr>
            <w:r w:rsidRPr="0065011E">
              <w:rPr>
                <w:rStyle w:val="Other"/>
              </w:rPr>
              <w:t>Тековна управувачка структура на ППТ(2024)</w:t>
            </w:r>
          </w:p>
          <w:p w14:paraId="3195582F" w14:textId="43B67155" w:rsidR="00262A83" w:rsidRPr="0065011E" w:rsidRDefault="00262A83" w:rsidP="00CF22B1">
            <w:pPr>
              <w:pStyle w:val="Other0"/>
              <w:spacing w:after="100"/>
              <w:jc w:val="both"/>
            </w:pPr>
            <w:r w:rsidRPr="0065011E">
              <w:rPr>
                <w:rStyle w:val="Other"/>
              </w:rPr>
              <w:t>Според ППТ (стр. 58-60), управувачката структура вклучува:</w:t>
            </w:r>
          </w:p>
          <w:p w14:paraId="4964D7D1" w14:textId="77777777" w:rsidR="00262A83" w:rsidRPr="0065011E" w:rsidRDefault="00262A83" w:rsidP="00262A83">
            <w:pPr>
              <w:pStyle w:val="Other0"/>
              <w:numPr>
                <w:ilvl w:val="0"/>
                <w:numId w:val="6"/>
              </w:numPr>
              <w:tabs>
                <w:tab w:val="left" w:pos="710"/>
                <w:tab w:val="left" w:pos="715"/>
              </w:tabs>
              <w:spacing w:after="60" w:line="286" w:lineRule="auto"/>
              <w:ind w:firstLine="360"/>
              <w:jc w:val="both"/>
            </w:pPr>
            <w:r w:rsidRPr="0065011E">
              <w:rPr>
                <w:rStyle w:val="Other"/>
              </w:rPr>
              <w:t>Совет за праведна транзиција</w:t>
            </w:r>
          </w:p>
          <w:p w14:paraId="3CB85779" w14:textId="77777777" w:rsidR="00262A83" w:rsidRPr="0065011E" w:rsidRDefault="00262A83" w:rsidP="00262A83">
            <w:pPr>
              <w:pStyle w:val="Other0"/>
              <w:numPr>
                <w:ilvl w:val="0"/>
                <w:numId w:val="6"/>
              </w:numPr>
              <w:tabs>
                <w:tab w:val="left" w:pos="715"/>
              </w:tabs>
              <w:spacing w:after="60" w:line="286" w:lineRule="auto"/>
              <w:ind w:firstLine="360"/>
              <w:jc w:val="both"/>
            </w:pPr>
            <w:r w:rsidRPr="0065011E">
              <w:rPr>
                <w:rStyle w:val="Other"/>
              </w:rPr>
              <w:t>Национален координатор за праведна транзиција во Министерството за економија</w:t>
            </w:r>
          </w:p>
          <w:p w14:paraId="0700A20A" w14:textId="77777777" w:rsidR="00262A83" w:rsidRPr="0065011E" w:rsidRDefault="00262A83" w:rsidP="00262A83">
            <w:pPr>
              <w:pStyle w:val="Other0"/>
              <w:numPr>
                <w:ilvl w:val="0"/>
                <w:numId w:val="6"/>
              </w:numPr>
              <w:tabs>
                <w:tab w:val="left" w:pos="715"/>
                <w:tab w:val="left" w:pos="715"/>
              </w:tabs>
              <w:spacing w:after="60" w:line="286" w:lineRule="auto"/>
              <w:ind w:firstLine="360"/>
              <w:jc w:val="both"/>
            </w:pPr>
            <w:r w:rsidRPr="0065011E">
              <w:rPr>
                <w:rStyle w:val="Other"/>
              </w:rPr>
              <w:t>Секретаријат за праведна транзиција во Министерството за економија</w:t>
            </w:r>
          </w:p>
          <w:p w14:paraId="3E550E62" w14:textId="77777777" w:rsidR="00262A83" w:rsidRPr="0065011E" w:rsidRDefault="00262A83" w:rsidP="00262A83">
            <w:pPr>
              <w:pStyle w:val="Other0"/>
              <w:numPr>
                <w:ilvl w:val="0"/>
                <w:numId w:val="6"/>
              </w:numPr>
              <w:tabs>
                <w:tab w:val="left" w:pos="715"/>
              </w:tabs>
              <w:spacing w:after="60" w:line="264" w:lineRule="auto"/>
              <w:ind w:left="700" w:hanging="340"/>
              <w:jc w:val="both"/>
            </w:pPr>
            <w:r w:rsidRPr="0065011E">
              <w:rPr>
                <w:rStyle w:val="Other"/>
              </w:rPr>
              <w:t>Работни групи, соодветно задолжени за преквалификација и обука, економска транзиција и енергетска транзиција</w:t>
            </w:r>
          </w:p>
          <w:p w14:paraId="60159AA5" w14:textId="77777777" w:rsidR="00262A83" w:rsidRPr="0065011E" w:rsidRDefault="00262A83" w:rsidP="00262A83">
            <w:pPr>
              <w:pStyle w:val="Other0"/>
              <w:numPr>
                <w:ilvl w:val="0"/>
                <w:numId w:val="6"/>
              </w:numPr>
              <w:tabs>
                <w:tab w:val="left" w:pos="706"/>
                <w:tab w:val="left" w:pos="715"/>
              </w:tabs>
              <w:spacing w:after="60" w:line="286" w:lineRule="auto"/>
              <w:ind w:firstLine="360"/>
            </w:pPr>
            <w:r w:rsidRPr="0065011E">
              <w:rPr>
                <w:rStyle w:val="Other"/>
              </w:rPr>
              <w:t>Регионални форуми за праведна транзиција</w:t>
            </w:r>
          </w:p>
        </w:tc>
      </w:tr>
      <w:tr w:rsidR="00262A83" w:rsidRPr="0065011E" w14:paraId="5B8C1956" w14:textId="77777777" w:rsidTr="00CF22B1">
        <w:trPr>
          <w:trHeight w:hRule="exact" w:val="682"/>
          <w:jc w:val="center"/>
        </w:trPr>
        <w:tc>
          <w:tcPr>
            <w:tcW w:w="1714" w:type="dxa"/>
            <w:tcBorders>
              <w:top w:val="single" w:sz="4" w:space="0" w:color="auto"/>
              <w:left w:val="single" w:sz="4" w:space="0" w:color="auto"/>
            </w:tcBorders>
            <w:shd w:val="clear" w:color="auto" w:fill="E8E8E8"/>
            <w:vAlign w:val="center"/>
          </w:tcPr>
          <w:p w14:paraId="5639B098" w14:textId="6AC8C22E" w:rsidR="00262A83" w:rsidRPr="0065011E" w:rsidRDefault="00262A83" w:rsidP="00CF22B1">
            <w:pPr>
              <w:pStyle w:val="Other0"/>
            </w:pPr>
            <w:r w:rsidRPr="0065011E">
              <w:rPr>
                <w:rStyle w:val="Other"/>
                <w:b/>
              </w:rPr>
              <w:t>Краен рок на чекорот</w:t>
            </w:r>
          </w:p>
        </w:tc>
        <w:tc>
          <w:tcPr>
            <w:tcW w:w="7805" w:type="dxa"/>
            <w:tcBorders>
              <w:top w:val="single" w:sz="4" w:space="0" w:color="auto"/>
              <w:left w:val="single" w:sz="4" w:space="0" w:color="auto"/>
              <w:right w:val="single" w:sz="4" w:space="0" w:color="auto"/>
            </w:tcBorders>
          </w:tcPr>
          <w:p w14:paraId="7E3893D4" w14:textId="77777777" w:rsidR="00262A83" w:rsidRPr="0065011E" w:rsidRDefault="00262A83" w:rsidP="00CF22B1">
            <w:pPr>
              <w:pStyle w:val="Other0"/>
              <w:spacing w:before="80"/>
            </w:pPr>
            <w:r w:rsidRPr="0065011E">
              <w:rPr>
                <w:rStyle w:val="Other"/>
              </w:rPr>
              <w:t>Декември 2024 година</w:t>
            </w:r>
          </w:p>
        </w:tc>
      </w:tr>
      <w:tr w:rsidR="00262A83" w:rsidRPr="0065011E" w14:paraId="63C54F7C" w14:textId="77777777" w:rsidTr="00CF22B1">
        <w:trPr>
          <w:trHeight w:hRule="exact" w:val="1186"/>
          <w:jc w:val="center"/>
        </w:trPr>
        <w:tc>
          <w:tcPr>
            <w:tcW w:w="1714" w:type="dxa"/>
            <w:tcBorders>
              <w:top w:val="single" w:sz="4" w:space="0" w:color="auto"/>
              <w:left w:val="single" w:sz="4" w:space="0" w:color="auto"/>
            </w:tcBorders>
            <w:shd w:val="clear" w:color="auto" w:fill="E8E8E8"/>
            <w:vAlign w:val="center"/>
          </w:tcPr>
          <w:p w14:paraId="28B4D2AF" w14:textId="068751FE" w:rsidR="00262A83" w:rsidRPr="0065011E" w:rsidRDefault="00262A83" w:rsidP="00CF22B1">
            <w:pPr>
              <w:pStyle w:val="Other0"/>
            </w:pPr>
            <w:r w:rsidRPr="0065011E">
              <w:rPr>
                <w:rStyle w:val="Other"/>
                <w:b/>
              </w:rPr>
              <w:t>Заклучок од прегледот на чекорот од корисникот</w:t>
            </w:r>
          </w:p>
        </w:tc>
        <w:tc>
          <w:tcPr>
            <w:tcW w:w="7805" w:type="dxa"/>
            <w:tcBorders>
              <w:top w:val="single" w:sz="4" w:space="0" w:color="auto"/>
              <w:left w:val="single" w:sz="4" w:space="0" w:color="auto"/>
              <w:right w:val="single" w:sz="4" w:space="0" w:color="auto"/>
            </w:tcBorders>
          </w:tcPr>
          <w:p w14:paraId="2E478F8E" w14:textId="77777777" w:rsidR="00262A83" w:rsidRDefault="00262A83" w:rsidP="00CF22B1">
            <w:pPr>
              <w:pStyle w:val="Other0"/>
              <w:spacing w:before="80"/>
              <w:rPr>
                <w:rStyle w:val="Other"/>
              </w:rPr>
            </w:pPr>
            <w:r w:rsidRPr="0065011E">
              <w:rPr>
                <w:rStyle w:val="Other"/>
              </w:rPr>
              <w:t>Корисникот го смета овој чекор за целосно постигнат.</w:t>
            </w:r>
          </w:p>
          <w:p w14:paraId="60FAE47D" w14:textId="77777777" w:rsidR="005674DA" w:rsidRPr="005674DA" w:rsidRDefault="005674DA" w:rsidP="005674DA"/>
          <w:p w14:paraId="209FB231" w14:textId="77777777" w:rsidR="005674DA" w:rsidRPr="005674DA" w:rsidRDefault="005674DA" w:rsidP="005674DA"/>
          <w:p w14:paraId="3FDEF329" w14:textId="77777777" w:rsidR="005674DA" w:rsidRPr="005674DA" w:rsidRDefault="005674DA" w:rsidP="005674DA"/>
          <w:p w14:paraId="4D45C557" w14:textId="77777777" w:rsidR="005674DA" w:rsidRPr="005674DA" w:rsidRDefault="005674DA" w:rsidP="005674DA"/>
          <w:p w14:paraId="77BA4531" w14:textId="77777777" w:rsidR="005674DA" w:rsidRPr="005674DA" w:rsidRDefault="005674DA" w:rsidP="005674DA"/>
          <w:p w14:paraId="74E65D62" w14:textId="77777777" w:rsidR="005674DA" w:rsidRPr="005674DA" w:rsidRDefault="005674DA" w:rsidP="005674DA"/>
          <w:p w14:paraId="3C034044" w14:textId="77777777" w:rsidR="005674DA" w:rsidRPr="005674DA" w:rsidRDefault="005674DA" w:rsidP="005674DA"/>
        </w:tc>
      </w:tr>
      <w:tr w:rsidR="00262A83" w:rsidRPr="0065011E" w14:paraId="3D974B84" w14:textId="77777777" w:rsidTr="002A21B4">
        <w:trPr>
          <w:trHeight w:hRule="exact" w:val="5327"/>
          <w:jc w:val="center"/>
        </w:trPr>
        <w:tc>
          <w:tcPr>
            <w:tcW w:w="1714" w:type="dxa"/>
            <w:tcBorders>
              <w:top w:val="single" w:sz="4" w:space="0" w:color="auto"/>
              <w:left w:val="single" w:sz="4" w:space="0" w:color="auto"/>
              <w:bottom w:val="single" w:sz="4" w:space="0" w:color="auto"/>
            </w:tcBorders>
            <w:shd w:val="clear" w:color="auto" w:fill="E8E8E8"/>
          </w:tcPr>
          <w:p w14:paraId="23873FA2" w14:textId="207DDC98" w:rsidR="00262A83" w:rsidRPr="0065011E" w:rsidRDefault="00262A83" w:rsidP="00CF22B1">
            <w:pPr>
              <w:pStyle w:val="Other0"/>
              <w:spacing w:before="80"/>
            </w:pPr>
            <w:r w:rsidRPr="0065011E">
              <w:rPr>
                <w:rStyle w:val="Other"/>
                <w:b/>
              </w:rPr>
              <w:lastRenderedPageBreak/>
              <w:t>Процена на резултатите од Комисијата</w:t>
            </w:r>
          </w:p>
        </w:tc>
        <w:tc>
          <w:tcPr>
            <w:tcW w:w="7805" w:type="dxa"/>
            <w:tcBorders>
              <w:top w:val="single" w:sz="4" w:space="0" w:color="auto"/>
              <w:left w:val="single" w:sz="4" w:space="0" w:color="auto"/>
              <w:bottom w:val="single" w:sz="4" w:space="0" w:color="auto"/>
              <w:right w:val="single" w:sz="4" w:space="0" w:color="auto"/>
            </w:tcBorders>
            <w:vAlign w:val="bottom"/>
          </w:tcPr>
          <w:p w14:paraId="16A0FFCC" w14:textId="48F06914" w:rsidR="00262A83" w:rsidRPr="0065011E" w:rsidRDefault="00262A83" w:rsidP="00CF22B1">
            <w:pPr>
              <w:pStyle w:val="Other0"/>
              <w:spacing w:after="60"/>
              <w:jc w:val="both"/>
            </w:pPr>
            <w:r w:rsidRPr="0065011E">
              <w:rPr>
                <w:rStyle w:val="Other"/>
              </w:rPr>
              <w:t>Северна Македонија веќе формираше работни групи во контекст на Патоказот за праведна транзиција, а тие одржаа состаноци во ноември и декември 2024 година, како и во февруари 2025 година, за да го изготват Годишниот план за спроведување за 2025 година. Планот првично беше одобрен од новоформираниот Совет за праведна транзиција во декември 2024 година, потоа ревидиран во февруари и повторно одобрен во февруари 2025 година. Пријавените активности на управувачката структура се ограничени на подготовка на Годишниот план за спроведување за 2025 година (ГПСПТ), без дадени информации во врска со спроведувањето на планираните активности.</w:t>
            </w:r>
          </w:p>
          <w:p w14:paraId="3981F5B3" w14:textId="0EE0DEAD" w:rsidR="00262A83" w:rsidRPr="0065011E" w:rsidRDefault="00262A83" w:rsidP="00CF22B1">
            <w:pPr>
              <w:pStyle w:val="Other0"/>
              <w:spacing w:after="60"/>
              <w:jc w:val="both"/>
            </w:pPr>
            <w:r w:rsidRPr="0065011E">
              <w:rPr>
                <w:rStyle w:val="Other"/>
              </w:rPr>
              <w:t xml:space="preserve">Годишниот план за спроведување наведува некои акциски точки, временски рокови и некои </w:t>
            </w:r>
            <w:proofErr w:type="spellStart"/>
            <w:r w:rsidRPr="0065011E">
              <w:rPr>
                <w:rStyle w:val="Other"/>
              </w:rPr>
              <w:t>распределби</w:t>
            </w:r>
            <w:proofErr w:type="spellEnd"/>
            <w:r w:rsidRPr="0065011E">
              <w:rPr>
                <w:rStyle w:val="Other"/>
              </w:rPr>
              <w:t xml:space="preserve"> на средства, главно добиени од ЕУ/донатори/МФИ, но не директно од националниот буџет. Опишан е планиран систем за следење и известување за спроведување на ГПСПТ, но нема докази дека е применет во периодот од јануари до март 2025 година.</w:t>
            </w:r>
          </w:p>
          <w:p w14:paraId="49BB9D88" w14:textId="0B092EE6" w:rsidR="00262A83" w:rsidRPr="0065011E" w:rsidRDefault="00262A83" w:rsidP="00CF22B1">
            <w:pPr>
              <w:pStyle w:val="Other0"/>
              <w:spacing w:after="60"/>
              <w:jc w:val="both"/>
            </w:pPr>
            <w:r w:rsidRPr="0065011E">
              <w:rPr>
                <w:rStyle w:val="Other"/>
              </w:rPr>
              <w:t>И покрај тоа што номинално постои управувачка структура за состаноци и наменски работни групи, како и одобрен Годишен план за спроведувањето за 2025 година, постојат значителни недостатоци што го попречуваат вистинското операционализирање на овие напори и нивното претворање во реални исходи и опипливи резултати. Во овој поглед, планот бара значително подобрување и повеќе консултации со засегнатите страни</w:t>
            </w:r>
          </w:p>
        </w:tc>
      </w:tr>
    </w:tbl>
    <w:p w14:paraId="4DAAC4BC" w14:textId="10D4BDF8" w:rsidR="00262A83" w:rsidRPr="0065011E" w:rsidRDefault="00262A83" w:rsidP="002A21B4">
      <w:pPr>
        <w:pStyle w:val="BodyText"/>
        <w:pBdr>
          <w:top w:val="single" w:sz="4" w:space="0" w:color="auto"/>
          <w:left w:val="single" w:sz="4" w:space="0" w:color="auto"/>
          <w:bottom w:val="single" w:sz="4" w:space="24" w:color="auto"/>
          <w:right w:val="single" w:sz="4" w:space="0" w:color="auto"/>
        </w:pBdr>
        <w:spacing w:after="400" w:line="240" w:lineRule="auto"/>
        <w:ind w:left="1800"/>
        <w:jc w:val="both"/>
      </w:pPr>
      <w:r w:rsidRPr="0065011E">
        <w:rPr>
          <w:rStyle w:val="BodyTextChar"/>
        </w:rPr>
        <w:t>со цел да стане оперативен документ, насочен кон активностите што треба да ги преземат државните институции во предвидениот временски рок (2025 година). Управувачките структури треба да покажат повеќе докази дека редовно се состануваат и го следат спроведувањето и дека функционираат според планираниот механизам за следење. Треба да се обезбедат докази дека одредени активности започнале пред поднесувањето на планот за процена на Европската комисија, како и докази за напредокот од почетокот на 2025 година, како и за спроведувањето на механизмите за следење.</w:t>
      </w:r>
    </w:p>
    <w:p w14:paraId="2B4A2CA7" w14:textId="77777777" w:rsidR="00262A83" w:rsidRPr="0065011E" w:rsidRDefault="00262A83" w:rsidP="002A21B4">
      <w:pPr>
        <w:pStyle w:val="BodyText"/>
        <w:pBdr>
          <w:top w:val="single" w:sz="4" w:space="0" w:color="auto"/>
          <w:left w:val="single" w:sz="4" w:space="0" w:color="auto"/>
          <w:bottom w:val="single" w:sz="4" w:space="24" w:color="auto"/>
          <w:right w:val="single" w:sz="4" w:space="0" w:color="auto"/>
        </w:pBdr>
        <w:spacing w:after="60" w:line="240" w:lineRule="auto"/>
        <w:ind w:left="1800"/>
        <w:jc w:val="both"/>
      </w:pPr>
      <w:r w:rsidRPr="0065011E">
        <w:rPr>
          <w:rStyle w:val="BodyTextChar"/>
          <w:i/>
        </w:rPr>
        <w:t>Општи коментари</w:t>
      </w:r>
    </w:p>
    <w:p w14:paraId="579FB9AA" w14:textId="77777777" w:rsidR="00262A83" w:rsidRPr="0065011E" w:rsidRDefault="00262A83" w:rsidP="002A21B4">
      <w:pPr>
        <w:pStyle w:val="BodyText"/>
        <w:pBdr>
          <w:top w:val="single" w:sz="4" w:space="0" w:color="auto"/>
          <w:left w:val="single" w:sz="4" w:space="0" w:color="auto"/>
          <w:bottom w:val="single" w:sz="4" w:space="24" w:color="auto"/>
          <w:right w:val="single" w:sz="4" w:space="0" w:color="auto"/>
        </w:pBdr>
        <w:spacing w:after="60" w:line="240" w:lineRule="auto"/>
        <w:ind w:left="1800"/>
        <w:jc w:val="both"/>
      </w:pPr>
      <w:r w:rsidRPr="0065011E">
        <w:rPr>
          <w:rStyle w:val="BodyTextChar"/>
        </w:rPr>
        <w:t>Доставените документи вклучуваат доказ за формално основање на Советот за праведна транзиција и трите работни групи. Исто така, постојат записници од состаноците и преписка што покажуваат дека имало комуникација помеѓу различните засегнати страни релевантни за процесот на праведна транзиција. Сепак, бројот на одржани состаноци е прилично мал, а нивните резултати се чини дека се прилично ограничени. Помеѓу јули 2024 и февруари 2025 година, се чини дека се одржале само два состанока на Советот за праведна транзиција и три состаноци на работните групи. Исто така, постојат ограничени докази за активно учество на локалните засегнати страни од Битола и Кичево. Во согласност со планирањето според механизмот за следење, се очекува зачестеноста на состаноците да се зголеми.</w:t>
      </w:r>
    </w:p>
    <w:p w14:paraId="25A29509" w14:textId="7A941283" w:rsidR="00262A83" w:rsidRPr="0065011E" w:rsidRDefault="00262A83" w:rsidP="002A21B4">
      <w:pPr>
        <w:pStyle w:val="BodyText"/>
        <w:pBdr>
          <w:top w:val="single" w:sz="4" w:space="0" w:color="auto"/>
          <w:left w:val="single" w:sz="4" w:space="0" w:color="auto"/>
          <w:bottom w:val="single" w:sz="4" w:space="24" w:color="auto"/>
          <w:right w:val="single" w:sz="4" w:space="0" w:color="auto"/>
        </w:pBdr>
        <w:spacing w:after="60" w:line="240" w:lineRule="auto"/>
        <w:ind w:left="1800"/>
        <w:jc w:val="both"/>
      </w:pPr>
      <w:r w:rsidRPr="0065011E">
        <w:rPr>
          <w:rStyle w:val="BodyTextChar"/>
        </w:rPr>
        <w:t>Иако механизмот за следење предвидува месечни извештаи за напредокот, не се поднесени никакви извештаи (дури ни за јануари или февруари 2025 година). Во овој контекст, се чини дека управувачката структура е воспоставена, но сè уште не го постигнала статусот на целосна операционализација.</w:t>
      </w:r>
    </w:p>
    <w:p w14:paraId="693C51C9" w14:textId="4CE32F81" w:rsidR="00262A83" w:rsidRPr="0065011E" w:rsidRDefault="00262A83" w:rsidP="002A21B4">
      <w:pPr>
        <w:pStyle w:val="BodyText"/>
        <w:pBdr>
          <w:top w:val="single" w:sz="4" w:space="0" w:color="auto"/>
          <w:left w:val="single" w:sz="4" w:space="0" w:color="auto"/>
          <w:bottom w:val="single" w:sz="4" w:space="24" w:color="auto"/>
          <w:right w:val="single" w:sz="4" w:space="0" w:color="auto"/>
        </w:pBdr>
        <w:spacing w:after="60" w:line="240" w:lineRule="auto"/>
        <w:ind w:left="1800"/>
        <w:jc w:val="both"/>
      </w:pPr>
      <w:r w:rsidRPr="0065011E">
        <w:rPr>
          <w:rStyle w:val="BodyTextChar"/>
        </w:rPr>
        <w:lastRenderedPageBreak/>
        <w:t xml:space="preserve">Опсегот на Советот за праведна транзиција, како што е дефиниран со новата одлука на Владата, ги надминува рамките на опсегот на Советот за праведна транзиција дефиниран во јуни 2023 година. Во своите нови задачи, тој го надгледува и спроведувањето на целата компонента од Реформската агенда, како и Инвестициската платформа за праведна енергетска транзиција. Во овој контекст, важно е да се задржи праведната транзиција како специфичен процес, со свои чинители и предизвици, кој ги надминува рамките на енергетската транзиција и ги зема предвид </w:t>
      </w:r>
      <w:proofErr w:type="spellStart"/>
      <w:r w:rsidRPr="0065011E">
        <w:rPr>
          <w:rStyle w:val="BodyTextChar"/>
        </w:rPr>
        <w:t>социо</w:t>
      </w:r>
      <w:proofErr w:type="spellEnd"/>
      <w:r w:rsidRPr="0065011E">
        <w:rPr>
          <w:rStyle w:val="BodyTextChar"/>
        </w:rPr>
        <w:t xml:space="preserve">-еколошките последици од </w:t>
      </w:r>
      <w:proofErr w:type="spellStart"/>
      <w:r w:rsidRPr="0065011E">
        <w:rPr>
          <w:rStyle w:val="BodyTextChar"/>
        </w:rPr>
        <w:t>декарбонизацијата</w:t>
      </w:r>
      <w:proofErr w:type="spellEnd"/>
      <w:r w:rsidRPr="0065011E">
        <w:rPr>
          <w:rStyle w:val="BodyTextChar"/>
        </w:rPr>
        <w:t xml:space="preserve"> во погодените области, вклучително и механизмите за нејзино спроведување и известување.</w:t>
      </w:r>
    </w:p>
    <w:p w14:paraId="4A1A6BDA" w14:textId="11542F24" w:rsidR="00262A83" w:rsidRPr="0065011E" w:rsidRDefault="00262A83" w:rsidP="002A21B4">
      <w:pPr>
        <w:pStyle w:val="BodyText"/>
        <w:pBdr>
          <w:top w:val="single" w:sz="4" w:space="0" w:color="auto"/>
          <w:left w:val="single" w:sz="4" w:space="0" w:color="auto"/>
          <w:bottom w:val="single" w:sz="4" w:space="24" w:color="auto"/>
          <w:right w:val="single" w:sz="4" w:space="0" w:color="auto"/>
        </w:pBdr>
        <w:spacing w:after="60" w:line="240" w:lineRule="auto"/>
        <w:ind w:left="1800"/>
        <w:jc w:val="both"/>
      </w:pPr>
      <w:r w:rsidRPr="0065011E">
        <w:rPr>
          <w:rStyle w:val="BodyTextChar"/>
        </w:rPr>
        <w:t>Во однос на ГПСПТ за 2025 година, постои формална одлука за одобрување на планот. Сепак, на документот му недостасуваат главните елементи за да може да се спроведе и да биде акциски. ГПСПТ се фокусира на прилично општи описи и цели на интервенциите, наместо на детализирање на акциските точки со специфични временски рамки и распределба на средства во рамките на целниот период (2025 година). Тој ги вклучува сите активности предвидени во Реформската агенда – компонента за енергија/декарбонизација, како и неколку минати, сегашни и идни проекти финансирани од ИПА, ИРЗБ и ЕБОР – со опсег надвор од областите за правична транзиција и временски рамки по 2025 година, без да наведува кои активности се предвидува да се случат конкретно во 2025 година, идеално во кој месец или барем квартал. ГПСПТ во неговата сегашна форма не е оперативен документ за планирање и следење на напредокот во однос на целите што треба да се постигнат во 2025 година во рамките на процесот на правична транзиција. Исто така, тој би бил од ограничена употреба како насоки за институциите за тоа што се очекува да се направи и до кога. Исто така, не е јасно кои средства ќе бидат доделени на процесот на праведна транзиција, бидејќи буџетот во многу случаи не е прецизиран, а кога е вклучен националниот буџет, не се споменува дали е обезбеден.</w:t>
      </w:r>
    </w:p>
    <w:p w14:paraId="72A8703F" w14:textId="379B13A7" w:rsidR="00262A83" w:rsidRPr="005674DA" w:rsidRDefault="00262A83" w:rsidP="002A21B4">
      <w:pPr>
        <w:pStyle w:val="BodyText"/>
        <w:pBdr>
          <w:top w:val="single" w:sz="4" w:space="0" w:color="auto"/>
          <w:left w:val="single" w:sz="4" w:space="0" w:color="auto"/>
          <w:bottom w:val="single" w:sz="4" w:space="24" w:color="auto"/>
          <w:right w:val="single" w:sz="4" w:space="0" w:color="auto"/>
        </w:pBdr>
        <w:spacing w:after="580" w:line="240" w:lineRule="auto"/>
        <w:ind w:left="1800"/>
        <w:jc w:val="both"/>
        <w:rPr>
          <w:lang w:val="en-US"/>
        </w:rPr>
      </w:pPr>
      <w:r w:rsidRPr="0065011E">
        <w:rPr>
          <w:rStyle w:val="BodyTextChar"/>
        </w:rPr>
        <w:t>Конечно, спроведувањето на системот за следење и известување треба да се следи во следните месеци, а како доказ за тоа треба да се обезбеди релевантна документација за</w:t>
      </w:r>
      <w:r w:rsidR="005674DA">
        <w:rPr>
          <w:rStyle w:val="BodyTextChar"/>
          <w:lang w:val="en-US"/>
        </w:rPr>
        <w:t xml:space="preserve"> </w:t>
      </w:r>
      <w:r w:rsidR="005674DA" w:rsidRPr="0065011E">
        <w:rPr>
          <w:rStyle w:val="Other"/>
        </w:rPr>
        <w:t xml:space="preserve">проценување на постигнувањето на овој чекор, имено месечните и </w:t>
      </w:r>
      <w:proofErr w:type="spellStart"/>
      <w:r w:rsidR="005674DA" w:rsidRPr="0065011E">
        <w:rPr>
          <w:rStyle w:val="Other"/>
        </w:rPr>
        <w:t>кварталните</w:t>
      </w:r>
      <w:proofErr w:type="spellEnd"/>
      <w:r w:rsidR="005674DA" w:rsidRPr="0065011E">
        <w:rPr>
          <w:rStyle w:val="Other"/>
        </w:rPr>
        <w:t xml:space="preserve"> извештаи, кои го опфаќаат целиот период од јануари 2025 година.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rsidRPr="0065011E" w14:paraId="7CDC8681" w14:textId="77777777" w:rsidTr="002A21B4">
        <w:trPr>
          <w:trHeight w:hRule="exact" w:val="2727"/>
          <w:jc w:val="center"/>
        </w:trPr>
        <w:tc>
          <w:tcPr>
            <w:tcW w:w="1714" w:type="dxa"/>
            <w:tcBorders>
              <w:top w:val="single" w:sz="4" w:space="0" w:color="auto"/>
              <w:left w:val="single" w:sz="4" w:space="0" w:color="auto"/>
            </w:tcBorders>
            <w:shd w:val="clear" w:color="auto" w:fill="E8E8E8"/>
          </w:tcPr>
          <w:p w14:paraId="103E174B" w14:textId="77777777" w:rsidR="00262A83" w:rsidRPr="0065011E" w:rsidRDefault="00262A83" w:rsidP="00CF22B1">
            <w:pPr>
              <w:pStyle w:val="Other0"/>
              <w:spacing w:before="80"/>
            </w:pPr>
            <w:r w:rsidRPr="0065011E">
              <w:rPr>
                <w:rStyle w:val="Other"/>
                <w:b/>
              </w:rPr>
              <w:t>Извршени проверки и докази користени при потврдување на чекорот и поврзани наоди</w:t>
            </w:r>
          </w:p>
        </w:tc>
        <w:tc>
          <w:tcPr>
            <w:tcW w:w="7805" w:type="dxa"/>
            <w:tcBorders>
              <w:top w:val="single" w:sz="4" w:space="0" w:color="auto"/>
              <w:left w:val="single" w:sz="4" w:space="0" w:color="auto"/>
              <w:right w:val="single" w:sz="4" w:space="0" w:color="auto"/>
            </w:tcBorders>
            <w:vAlign w:val="center"/>
          </w:tcPr>
          <w:p w14:paraId="39104DAC" w14:textId="1F1BBBDD" w:rsidR="00262A83" w:rsidRPr="0065011E" w:rsidRDefault="00262A83" w:rsidP="00CF22B1">
            <w:pPr>
              <w:pStyle w:val="Other0"/>
              <w:spacing w:after="60"/>
              <w:jc w:val="both"/>
            </w:pPr>
            <w:r w:rsidRPr="0065011E">
              <w:rPr>
                <w:rStyle w:val="Other"/>
              </w:rPr>
              <w:t>Процената се врши преку анализа на барањата и целите на реформската мерка.</w:t>
            </w:r>
          </w:p>
          <w:p w14:paraId="418094E2" w14:textId="4A06FC04" w:rsidR="00262A83" w:rsidRPr="0065011E" w:rsidRDefault="00262A83" w:rsidP="00CF22B1">
            <w:pPr>
              <w:pStyle w:val="Other0"/>
              <w:jc w:val="both"/>
            </w:pPr>
            <w:r w:rsidRPr="0065011E">
              <w:rPr>
                <w:rStyle w:val="Other"/>
              </w:rPr>
              <w:t xml:space="preserve">Постојана размена на мислења и политички дијалог со Министерството за енергетика, рударство и минерални суровини вклучително и состанок во средината на јануари 2025 година за да се донесат неформални коментари за ГПСПТ 2025 одобрен во декември 2024 година. Значајни коментари не беа земени предвид, на пример: планот да се направи </w:t>
            </w:r>
            <w:proofErr w:type="spellStart"/>
            <w:r w:rsidRPr="0065011E">
              <w:rPr>
                <w:rStyle w:val="Other"/>
              </w:rPr>
              <w:t>пооперативен</w:t>
            </w:r>
            <w:proofErr w:type="spellEnd"/>
            <w:r w:rsidRPr="0065011E">
              <w:rPr>
                <w:rStyle w:val="Other"/>
              </w:rPr>
              <w:t xml:space="preserve"> и фокусиран на активностите што треба да се постигнат само во текот на 2025 година, да се земат предвид само активностите поврзани со транзицијата, но не и сите пошироки чекори од Реформската агенда за зелена енергија, тој да биде поспецифичен во однос на обврските од националниот буџет и да се предвидат резултати по квартал.</w:t>
            </w:r>
          </w:p>
        </w:tc>
      </w:tr>
      <w:tr w:rsidR="00262A83" w:rsidRPr="0065011E" w14:paraId="4BFDFBC4" w14:textId="77777777" w:rsidTr="00CF22B1">
        <w:trPr>
          <w:trHeight w:hRule="exact" w:val="682"/>
          <w:jc w:val="center"/>
        </w:trPr>
        <w:tc>
          <w:tcPr>
            <w:tcW w:w="1714" w:type="dxa"/>
            <w:tcBorders>
              <w:top w:val="single" w:sz="4" w:space="0" w:color="auto"/>
              <w:left w:val="single" w:sz="4" w:space="0" w:color="auto"/>
            </w:tcBorders>
            <w:shd w:val="clear" w:color="auto" w:fill="E8E8E8"/>
          </w:tcPr>
          <w:p w14:paraId="3320EBFD" w14:textId="77777777" w:rsidR="00262A83" w:rsidRPr="0065011E" w:rsidRDefault="00262A83" w:rsidP="00CF22B1">
            <w:pPr>
              <w:pStyle w:val="Other0"/>
              <w:spacing w:before="80"/>
            </w:pPr>
            <w:r w:rsidRPr="0065011E">
              <w:rPr>
                <w:rStyle w:val="Other"/>
                <w:b/>
              </w:rPr>
              <w:lastRenderedPageBreak/>
              <w:t>Двојно финансирање</w:t>
            </w:r>
          </w:p>
        </w:tc>
        <w:tc>
          <w:tcPr>
            <w:tcW w:w="7805" w:type="dxa"/>
            <w:tcBorders>
              <w:top w:val="single" w:sz="4" w:space="0" w:color="auto"/>
              <w:left w:val="single" w:sz="4" w:space="0" w:color="auto"/>
              <w:right w:val="single" w:sz="4" w:space="0" w:color="auto"/>
            </w:tcBorders>
            <w:vAlign w:val="center"/>
          </w:tcPr>
          <w:p w14:paraId="110A1CC2" w14:textId="77777777" w:rsidR="00262A83" w:rsidRPr="0065011E" w:rsidRDefault="00262A83" w:rsidP="00CF22B1">
            <w:pPr>
              <w:pStyle w:val="Other0"/>
              <w:jc w:val="both"/>
            </w:pPr>
            <w:r w:rsidRPr="0065011E">
              <w:rPr>
                <w:rStyle w:val="Other"/>
              </w:rPr>
              <w:t>Не беа пријавени придонеси од трети страни како поддршка на постигнувањето на овој чекор.</w:t>
            </w:r>
          </w:p>
        </w:tc>
      </w:tr>
      <w:tr w:rsidR="00262A83" w:rsidRPr="0065011E" w14:paraId="43529FEE" w14:textId="77777777" w:rsidTr="00CF22B1">
        <w:trPr>
          <w:trHeight w:hRule="exact" w:val="1450"/>
          <w:jc w:val="center"/>
        </w:trPr>
        <w:tc>
          <w:tcPr>
            <w:tcW w:w="1714" w:type="dxa"/>
            <w:tcBorders>
              <w:top w:val="single" w:sz="4" w:space="0" w:color="auto"/>
              <w:left w:val="single" w:sz="4" w:space="0" w:color="auto"/>
              <w:bottom w:val="single" w:sz="4" w:space="0" w:color="auto"/>
            </w:tcBorders>
            <w:shd w:val="clear" w:color="auto" w:fill="E8E8E8"/>
            <w:vAlign w:val="center"/>
          </w:tcPr>
          <w:p w14:paraId="69B07E5E" w14:textId="77777777" w:rsidR="00262A83" w:rsidRPr="0065011E" w:rsidRDefault="00262A83" w:rsidP="00CF22B1">
            <w:pPr>
              <w:pStyle w:val="Other0"/>
            </w:pPr>
            <w:r w:rsidRPr="0065011E">
              <w:rPr>
                <w:rStyle w:val="Other"/>
                <w:b/>
              </w:rPr>
              <w:t>Јасен заклучок за постигнувањето на чекорот</w:t>
            </w:r>
          </w:p>
        </w:tc>
        <w:tc>
          <w:tcPr>
            <w:tcW w:w="7805" w:type="dxa"/>
            <w:tcBorders>
              <w:top w:val="single" w:sz="4" w:space="0" w:color="auto"/>
              <w:left w:val="single" w:sz="4" w:space="0" w:color="auto"/>
              <w:bottom w:val="single" w:sz="4" w:space="0" w:color="auto"/>
              <w:right w:val="single" w:sz="4" w:space="0" w:color="auto"/>
            </w:tcBorders>
          </w:tcPr>
          <w:p w14:paraId="32ECD921" w14:textId="3B72C1E8" w:rsidR="00262A83" w:rsidRPr="0065011E" w:rsidRDefault="00262A83" w:rsidP="00CF22B1">
            <w:pPr>
              <w:pStyle w:val="Other0"/>
              <w:spacing w:before="80"/>
              <w:jc w:val="both"/>
            </w:pPr>
            <w:r w:rsidRPr="0065011E">
              <w:rPr>
                <w:rStyle w:val="Other"/>
                <w:b/>
              </w:rPr>
              <w:t xml:space="preserve">Не е постигнат. </w:t>
            </w:r>
            <w:r w:rsidRPr="0065011E">
              <w:rPr>
                <w:rStyle w:val="Other"/>
              </w:rPr>
              <w:t>„Грејс-периодот“ трае до 31 декември 2026 година</w:t>
            </w:r>
            <w:r>
              <w:rPr>
                <w:rStyle w:val="Other"/>
              </w:rPr>
              <w:t>.</w:t>
            </w:r>
          </w:p>
        </w:tc>
      </w:tr>
    </w:tbl>
    <w:p w14:paraId="3FCC5600" w14:textId="77777777" w:rsidR="00262A83" w:rsidRDefault="00262A83">
      <w:pPr>
        <w:pStyle w:val="Heading20"/>
        <w:keepNext/>
        <w:keepLines/>
        <w:spacing w:after="140"/>
      </w:pPr>
      <w:bookmarkStart w:id="8" w:name="bookmark19"/>
      <w:r>
        <w:rPr>
          <w:rStyle w:val="Heading2"/>
          <w:b/>
        </w:rPr>
        <w:t>4.1.5. Реформа на управувањето со претпријатија во сопственост на државата со фокус на железниците и поштенските услуги</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14:paraId="415DA3BC" w14:textId="77777777">
        <w:trPr>
          <w:trHeight w:hRule="exact" w:val="691"/>
          <w:jc w:val="center"/>
        </w:trPr>
        <w:tc>
          <w:tcPr>
            <w:tcW w:w="1714" w:type="dxa"/>
            <w:tcBorders>
              <w:top w:val="single" w:sz="4" w:space="0" w:color="auto"/>
              <w:left w:val="single" w:sz="4" w:space="0" w:color="auto"/>
            </w:tcBorders>
            <w:shd w:val="clear" w:color="auto" w:fill="E8E8E8"/>
            <w:vAlign w:val="center"/>
          </w:tcPr>
          <w:p w14:paraId="1D0C1EA9" w14:textId="2D8BE8E1" w:rsidR="00262A83" w:rsidRDefault="00262A83" w:rsidP="004E34CB">
            <w:pPr>
              <w:pStyle w:val="Other0"/>
            </w:pPr>
            <w:r>
              <w:rPr>
                <w:rStyle w:val="Other"/>
                <w:b/>
              </w:rPr>
              <w:t>Чекор што се разгледува</w:t>
            </w:r>
          </w:p>
        </w:tc>
        <w:tc>
          <w:tcPr>
            <w:tcW w:w="7805" w:type="dxa"/>
            <w:tcBorders>
              <w:top w:val="single" w:sz="4" w:space="0" w:color="auto"/>
              <w:left w:val="single" w:sz="4" w:space="0" w:color="auto"/>
              <w:right w:val="single" w:sz="4" w:space="0" w:color="auto"/>
            </w:tcBorders>
            <w:vAlign w:val="center"/>
          </w:tcPr>
          <w:p w14:paraId="7500F901" w14:textId="77777777" w:rsidR="00262A83" w:rsidRDefault="00262A83">
            <w:pPr>
              <w:pStyle w:val="Other0"/>
              <w:jc w:val="both"/>
            </w:pPr>
            <w:r>
              <w:rPr>
                <w:rStyle w:val="Other"/>
                <w:i/>
              </w:rPr>
              <w:t>Измена на корпоративното право за воведување нови правила за назначување на независни членови на одборот на друштва во сопственост на државата (ДСД).</w:t>
            </w:r>
          </w:p>
        </w:tc>
      </w:tr>
      <w:tr w:rsidR="00262A83" w14:paraId="2A8BB389" w14:textId="77777777" w:rsidTr="00594D0E">
        <w:trPr>
          <w:trHeight w:hRule="exact" w:val="632"/>
          <w:jc w:val="center"/>
        </w:trPr>
        <w:tc>
          <w:tcPr>
            <w:tcW w:w="1714" w:type="dxa"/>
            <w:tcBorders>
              <w:top w:val="single" w:sz="4" w:space="0" w:color="auto"/>
              <w:left w:val="single" w:sz="4" w:space="0" w:color="auto"/>
            </w:tcBorders>
            <w:shd w:val="clear" w:color="auto" w:fill="E8E8E8"/>
            <w:vAlign w:val="center"/>
          </w:tcPr>
          <w:p w14:paraId="405F2D40" w14:textId="77777777" w:rsidR="00262A83" w:rsidRDefault="00262A83">
            <w:pPr>
              <w:pStyle w:val="Other0"/>
            </w:pPr>
            <w:r>
              <w:rPr>
                <w:rStyle w:val="Other"/>
                <w:b/>
              </w:rPr>
              <w:t>Основна состојба</w:t>
            </w:r>
          </w:p>
        </w:tc>
        <w:tc>
          <w:tcPr>
            <w:tcW w:w="7805" w:type="dxa"/>
            <w:tcBorders>
              <w:top w:val="single" w:sz="4" w:space="0" w:color="auto"/>
              <w:left w:val="single" w:sz="4" w:space="0" w:color="auto"/>
              <w:right w:val="single" w:sz="4" w:space="0" w:color="auto"/>
            </w:tcBorders>
            <w:vAlign w:val="center"/>
          </w:tcPr>
          <w:p w14:paraId="1E57D4CE" w14:textId="77777777" w:rsidR="00262A83" w:rsidRDefault="00262A83">
            <w:pPr>
              <w:pStyle w:val="Other0"/>
              <w:jc w:val="both"/>
            </w:pPr>
            <w:r>
              <w:rPr>
                <w:rStyle w:val="Other"/>
              </w:rPr>
              <w:t>0 (2024) (Законот не е изменет)</w:t>
            </w:r>
          </w:p>
        </w:tc>
      </w:tr>
      <w:tr w:rsidR="00262A83" w14:paraId="6287DA3D" w14:textId="77777777">
        <w:trPr>
          <w:trHeight w:hRule="exact" w:val="763"/>
          <w:jc w:val="center"/>
        </w:trPr>
        <w:tc>
          <w:tcPr>
            <w:tcW w:w="1714" w:type="dxa"/>
            <w:tcBorders>
              <w:top w:val="single" w:sz="4" w:space="0" w:color="auto"/>
              <w:left w:val="single" w:sz="4" w:space="0" w:color="auto"/>
            </w:tcBorders>
            <w:shd w:val="clear" w:color="auto" w:fill="E8E8E8"/>
            <w:vAlign w:val="center"/>
          </w:tcPr>
          <w:p w14:paraId="4C735A4C" w14:textId="77777777" w:rsidR="00262A83" w:rsidRDefault="00262A83">
            <w:pPr>
              <w:pStyle w:val="Other0"/>
            </w:pPr>
            <w:r>
              <w:rPr>
                <w:rStyle w:val="Other"/>
                <w:b/>
              </w:rPr>
              <w:t>Краен рок на чекорот</w:t>
            </w:r>
          </w:p>
        </w:tc>
        <w:tc>
          <w:tcPr>
            <w:tcW w:w="7805" w:type="dxa"/>
            <w:tcBorders>
              <w:top w:val="single" w:sz="4" w:space="0" w:color="auto"/>
              <w:left w:val="single" w:sz="4" w:space="0" w:color="auto"/>
              <w:right w:val="single" w:sz="4" w:space="0" w:color="auto"/>
            </w:tcBorders>
          </w:tcPr>
          <w:p w14:paraId="005BF30D" w14:textId="77777777" w:rsidR="00262A83" w:rsidRDefault="00262A83">
            <w:pPr>
              <w:pStyle w:val="Other0"/>
              <w:spacing w:before="80"/>
              <w:jc w:val="both"/>
            </w:pPr>
            <w:r>
              <w:rPr>
                <w:rStyle w:val="Other"/>
              </w:rPr>
              <w:t>декември 2024 година</w:t>
            </w:r>
          </w:p>
        </w:tc>
      </w:tr>
      <w:tr w:rsidR="00262A83" w14:paraId="18EA5978" w14:textId="77777777" w:rsidTr="00594D0E">
        <w:trPr>
          <w:trHeight w:hRule="exact" w:val="1361"/>
          <w:jc w:val="center"/>
        </w:trPr>
        <w:tc>
          <w:tcPr>
            <w:tcW w:w="1714" w:type="dxa"/>
            <w:tcBorders>
              <w:top w:val="single" w:sz="4" w:space="0" w:color="auto"/>
              <w:left w:val="single" w:sz="4" w:space="0" w:color="auto"/>
            </w:tcBorders>
            <w:shd w:val="clear" w:color="auto" w:fill="E8E8E8"/>
            <w:vAlign w:val="center"/>
          </w:tcPr>
          <w:p w14:paraId="10CC4FEC" w14:textId="77777777" w:rsidR="00262A83" w:rsidRDefault="00262A83">
            <w:pPr>
              <w:pStyle w:val="Other0"/>
            </w:pPr>
            <w:r>
              <w:rPr>
                <w:rStyle w:val="Other"/>
                <w:b/>
              </w:rPr>
              <w:t>Заклучок од прегледот на чекорот од страна на корисникот</w:t>
            </w:r>
          </w:p>
        </w:tc>
        <w:tc>
          <w:tcPr>
            <w:tcW w:w="7805" w:type="dxa"/>
            <w:tcBorders>
              <w:top w:val="single" w:sz="4" w:space="0" w:color="auto"/>
              <w:left w:val="single" w:sz="4" w:space="0" w:color="auto"/>
              <w:right w:val="single" w:sz="4" w:space="0" w:color="auto"/>
            </w:tcBorders>
          </w:tcPr>
          <w:p w14:paraId="0922D8F8" w14:textId="77777777" w:rsidR="00262A83" w:rsidRDefault="00262A83">
            <w:pPr>
              <w:pStyle w:val="Other0"/>
              <w:spacing w:before="80"/>
              <w:jc w:val="both"/>
            </w:pPr>
            <w:r>
              <w:rPr>
                <w:rStyle w:val="Other"/>
              </w:rPr>
              <w:t>Корисникот го смета овој чекор за целосно постигнат.</w:t>
            </w:r>
          </w:p>
        </w:tc>
      </w:tr>
      <w:tr w:rsidR="00262A83" w14:paraId="3EE2A580" w14:textId="77777777">
        <w:trPr>
          <w:trHeight w:hRule="exact" w:val="2702"/>
          <w:jc w:val="center"/>
        </w:trPr>
        <w:tc>
          <w:tcPr>
            <w:tcW w:w="1714" w:type="dxa"/>
            <w:tcBorders>
              <w:top w:val="single" w:sz="4" w:space="0" w:color="auto"/>
              <w:left w:val="single" w:sz="4" w:space="0" w:color="auto"/>
              <w:bottom w:val="single" w:sz="4" w:space="0" w:color="auto"/>
            </w:tcBorders>
            <w:shd w:val="clear" w:color="auto" w:fill="E8E8E8"/>
          </w:tcPr>
          <w:p w14:paraId="71770CFC" w14:textId="77777777" w:rsidR="00262A83" w:rsidRDefault="00262A83">
            <w:pPr>
              <w:pStyle w:val="Other0"/>
              <w:spacing w:before="80"/>
            </w:pPr>
            <w:r>
              <w:rPr>
                <w:rStyle w:val="Other"/>
                <w:b/>
              </w:rPr>
              <w:t>Процена на резултатите од страна на Комисијата</w:t>
            </w:r>
          </w:p>
        </w:tc>
        <w:tc>
          <w:tcPr>
            <w:tcW w:w="7805" w:type="dxa"/>
            <w:tcBorders>
              <w:top w:val="single" w:sz="4" w:space="0" w:color="auto"/>
              <w:left w:val="single" w:sz="4" w:space="0" w:color="auto"/>
              <w:bottom w:val="single" w:sz="4" w:space="0" w:color="auto"/>
              <w:right w:val="single" w:sz="4" w:space="0" w:color="auto"/>
            </w:tcBorders>
            <w:vAlign w:val="center"/>
          </w:tcPr>
          <w:p w14:paraId="7F3A08D1" w14:textId="77777777" w:rsidR="00262A83" w:rsidRDefault="00262A83">
            <w:pPr>
              <w:pStyle w:val="Other0"/>
              <w:spacing w:after="60"/>
              <w:jc w:val="both"/>
            </w:pPr>
            <w:r>
              <w:rPr>
                <w:rStyle w:val="Other"/>
              </w:rPr>
              <w:t>Измените на Законот за трговски друштва беа донесени од Собранието на 27 декември 2024 година и објавени во Службениот весник на 3 јануари 2025 година (Сл.  весник бр.  274/2024). Измените влегуваат во сила на 24 март 2025 година.</w:t>
            </w:r>
          </w:p>
          <w:p w14:paraId="70714211" w14:textId="77777777" w:rsidR="00262A83" w:rsidRDefault="00262A83">
            <w:pPr>
              <w:pStyle w:val="Other0"/>
              <w:spacing w:after="60"/>
              <w:jc w:val="both"/>
            </w:pPr>
            <w:r>
              <w:rPr>
                <w:rStyle w:val="Other"/>
              </w:rPr>
              <w:t>Измените предвидуваат:</w:t>
            </w:r>
          </w:p>
          <w:p w14:paraId="44008807" w14:textId="2567AD77" w:rsidR="00262A83" w:rsidRDefault="00262A83">
            <w:pPr>
              <w:pStyle w:val="Other0"/>
              <w:spacing w:after="60"/>
              <w:ind w:left="720" w:hanging="360"/>
              <w:jc w:val="both"/>
            </w:pPr>
            <w:r>
              <w:rPr>
                <w:rStyle w:val="Other"/>
              </w:rPr>
              <w:t xml:space="preserve">а) </w:t>
            </w:r>
            <w:r>
              <w:rPr>
                <w:rStyle w:val="Other"/>
                <w:u w:val="single"/>
              </w:rPr>
              <w:t>Со член 247</w:t>
            </w:r>
            <w:r>
              <w:rPr>
                <w:rStyle w:val="Other"/>
              </w:rPr>
              <w:t xml:space="preserve"> се регулира максималниот и минималниот број на членови во Надзорниот одбор на друштва во сопственост на државата (ДСД).</w:t>
            </w:r>
          </w:p>
          <w:p w14:paraId="636F4623" w14:textId="77777777" w:rsidR="00262A83" w:rsidRDefault="00262A83">
            <w:pPr>
              <w:pStyle w:val="Other0"/>
              <w:numPr>
                <w:ilvl w:val="0"/>
                <w:numId w:val="7"/>
              </w:numPr>
              <w:tabs>
                <w:tab w:val="left" w:pos="1459"/>
              </w:tabs>
              <w:spacing w:after="60"/>
              <w:ind w:left="1080"/>
              <w:jc w:val="both"/>
            </w:pPr>
            <w:r>
              <w:rPr>
                <w:rStyle w:val="Other"/>
                <w:b/>
                <w:bCs/>
                <w:i/>
              </w:rPr>
              <w:t>Надзорниот одбор</w:t>
            </w:r>
            <w:r>
              <w:rPr>
                <w:rStyle w:val="Other"/>
                <w:i/>
              </w:rPr>
              <w:t xml:space="preserve"> во друштво со доминантна или во целосна сопственост на државата, класифицирано како среден трговец или голем трговец, треба да има </w:t>
            </w:r>
            <w:r>
              <w:rPr>
                <w:rStyle w:val="Other"/>
                <w:b/>
                <w:bCs/>
                <w:i/>
              </w:rPr>
              <w:t>најмалку три, а најмногу пет члена</w:t>
            </w:r>
            <w:r>
              <w:rPr>
                <w:rStyle w:val="Other"/>
                <w:i/>
              </w:rPr>
              <w:t>.</w:t>
            </w:r>
          </w:p>
        </w:tc>
      </w:tr>
    </w:tbl>
    <w:p w14:paraId="6AE0301D" w14:textId="77777777" w:rsidR="00262A83" w:rsidRDefault="00262A83">
      <w:pPr>
        <w:pStyle w:val="Bodytext20"/>
        <w:numPr>
          <w:ilvl w:val="0"/>
          <w:numId w:val="8"/>
        </w:numPr>
        <w:tabs>
          <w:tab w:val="left" w:pos="3180"/>
        </w:tabs>
        <w:ind w:left="2800"/>
        <w:jc w:val="both"/>
      </w:pPr>
      <w:r>
        <w:rPr>
          <w:rStyle w:val="Bodytext2"/>
          <w:i/>
        </w:rPr>
        <w:t xml:space="preserve">Надзорниот одбор во друштво со доминантна или во целосна сопственост на државата, класифицирано како </w:t>
      </w:r>
      <w:proofErr w:type="spellStart"/>
      <w:r>
        <w:rPr>
          <w:rStyle w:val="Bodytext2"/>
          <w:i/>
        </w:rPr>
        <w:t>микротрговец</w:t>
      </w:r>
      <w:proofErr w:type="spellEnd"/>
      <w:r>
        <w:rPr>
          <w:rStyle w:val="Bodytext2"/>
          <w:i/>
        </w:rPr>
        <w:t xml:space="preserve"> или мал трговец, </w:t>
      </w:r>
      <w:r>
        <w:rPr>
          <w:rStyle w:val="Bodytext2"/>
          <w:b/>
          <w:bCs/>
          <w:i/>
        </w:rPr>
        <w:t>треба да има три члена</w:t>
      </w:r>
      <w:r>
        <w:rPr>
          <w:rStyle w:val="Bodytext2"/>
          <w:i/>
        </w:rPr>
        <w:t>.</w:t>
      </w:r>
    </w:p>
    <w:p w14:paraId="35A2BE06" w14:textId="6C18AA0D" w:rsidR="00262A83" w:rsidRDefault="00262A83" w:rsidP="00594D0E">
      <w:pPr>
        <w:pStyle w:val="Bodytext20"/>
        <w:tabs>
          <w:tab w:val="left" w:pos="2440"/>
        </w:tabs>
        <w:ind w:left="2410" w:hanging="283"/>
        <w:jc w:val="both"/>
      </w:pPr>
      <w:r w:rsidRPr="00594D0E">
        <w:rPr>
          <w:rStyle w:val="Bodytext2"/>
        </w:rPr>
        <w:t>б)</w:t>
      </w:r>
      <w:r w:rsidRPr="00594D0E">
        <w:rPr>
          <w:rStyle w:val="Bodytext2"/>
        </w:rPr>
        <w:tab/>
      </w:r>
      <w:r>
        <w:rPr>
          <w:rStyle w:val="Bodytext2"/>
          <w:u w:val="single"/>
        </w:rPr>
        <w:t>Со член 367</w:t>
      </w:r>
      <w:r>
        <w:rPr>
          <w:rStyle w:val="Bodytext2"/>
        </w:rPr>
        <w:t xml:space="preserve"> се регулира бројот на извршни, </w:t>
      </w:r>
      <w:proofErr w:type="spellStart"/>
      <w:r>
        <w:rPr>
          <w:rStyle w:val="Bodytext2"/>
        </w:rPr>
        <w:t>неизвршни</w:t>
      </w:r>
      <w:proofErr w:type="spellEnd"/>
      <w:r>
        <w:rPr>
          <w:rStyle w:val="Bodytext2"/>
        </w:rPr>
        <w:t xml:space="preserve"> и независни членови во Одборот на директори.</w:t>
      </w:r>
    </w:p>
    <w:p w14:paraId="3F60BED3" w14:textId="77777777" w:rsidR="00262A83" w:rsidRDefault="00262A83">
      <w:pPr>
        <w:pStyle w:val="Bodytext20"/>
        <w:numPr>
          <w:ilvl w:val="0"/>
          <w:numId w:val="10"/>
        </w:numPr>
        <w:tabs>
          <w:tab w:val="left" w:pos="3180"/>
        </w:tabs>
        <w:ind w:left="2800"/>
        <w:jc w:val="both"/>
      </w:pPr>
      <w:r>
        <w:rPr>
          <w:rStyle w:val="Bodytext2"/>
          <w:i/>
        </w:rPr>
        <w:t xml:space="preserve">Одборот на директори во друштво со доминантна или во целосна сопственост на државата, класифицирано како среден или голем трговец, </w:t>
      </w:r>
      <w:r>
        <w:rPr>
          <w:rStyle w:val="Bodytext2"/>
          <w:b/>
          <w:bCs/>
          <w:i/>
        </w:rPr>
        <w:t>треба да има најмалку три, а најмногу седум члена, од кои двајца треба да бидат независни членови</w:t>
      </w:r>
      <w:r>
        <w:rPr>
          <w:rStyle w:val="Bodytext2"/>
          <w:i/>
        </w:rPr>
        <w:t>.</w:t>
      </w:r>
    </w:p>
    <w:p w14:paraId="7D858BE6" w14:textId="77777777" w:rsidR="00262A83" w:rsidRDefault="00262A83">
      <w:pPr>
        <w:pStyle w:val="Bodytext20"/>
        <w:numPr>
          <w:ilvl w:val="0"/>
          <w:numId w:val="10"/>
        </w:numPr>
        <w:tabs>
          <w:tab w:val="left" w:pos="3180"/>
        </w:tabs>
        <w:ind w:left="2800"/>
        <w:jc w:val="both"/>
      </w:pPr>
      <w:r>
        <w:rPr>
          <w:rStyle w:val="Bodytext2"/>
          <w:i/>
        </w:rPr>
        <w:t xml:space="preserve">Одборот на директори во друштво со доминантна или во целосна сопственост на државата, класифицирано како микро или мал трговец, </w:t>
      </w:r>
      <w:r>
        <w:rPr>
          <w:rStyle w:val="Bodytext2"/>
          <w:b/>
          <w:bCs/>
          <w:i/>
        </w:rPr>
        <w:t>треба да има најмалку три, а најмногу пет члена, од кои еден треба да биде независен член</w:t>
      </w:r>
      <w:r>
        <w:rPr>
          <w:rStyle w:val="Bodytext2"/>
          <w:i/>
        </w:rPr>
        <w:t>.</w:t>
      </w:r>
    </w:p>
    <w:p w14:paraId="0755024D" w14:textId="5990EF56" w:rsidR="00262A83" w:rsidRDefault="00262A83" w:rsidP="00594D0E">
      <w:pPr>
        <w:pStyle w:val="Bodytext20"/>
        <w:tabs>
          <w:tab w:val="left" w:pos="2440"/>
        </w:tabs>
        <w:ind w:left="2410" w:hanging="283"/>
        <w:jc w:val="both"/>
      </w:pPr>
      <w:r w:rsidRPr="00594D0E">
        <w:rPr>
          <w:rStyle w:val="Bodytext2"/>
        </w:rPr>
        <w:t>в)</w:t>
      </w:r>
      <w:r w:rsidRPr="00594D0E">
        <w:rPr>
          <w:rStyle w:val="Bodytext2"/>
        </w:rPr>
        <w:tab/>
      </w:r>
      <w:r>
        <w:rPr>
          <w:rStyle w:val="Bodytext2"/>
          <w:u w:val="single"/>
        </w:rPr>
        <w:t>Со член 367</w:t>
      </w:r>
      <w:r>
        <w:rPr>
          <w:rStyle w:val="Bodytext2"/>
        </w:rPr>
        <w:t xml:space="preserve"> се прошируваат критериумите што треба да ги исполнат независните </w:t>
      </w:r>
      <w:proofErr w:type="spellStart"/>
      <w:r>
        <w:rPr>
          <w:rStyle w:val="Bodytext2"/>
        </w:rPr>
        <w:t>неизвршни</w:t>
      </w:r>
      <w:proofErr w:type="spellEnd"/>
      <w:r>
        <w:rPr>
          <w:rStyle w:val="Bodytext2"/>
        </w:rPr>
        <w:t xml:space="preserve"> членови на Одборот на директори. Сепак, барањата се речиси идентични со барањата за сите членови на Одборот, освен една </w:t>
      </w:r>
      <w:r>
        <w:rPr>
          <w:rStyle w:val="Bodytext2"/>
        </w:rPr>
        <w:lastRenderedPageBreak/>
        <w:t>година работно искуство повеќе, односно вкупно 4 години работно искуство.</w:t>
      </w:r>
    </w:p>
    <w:p w14:paraId="6345EE4E" w14:textId="77777777" w:rsidR="00262A83" w:rsidRDefault="00262A83">
      <w:pPr>
        <w:pStyle w:val="Bodytext20"/>
        <w:numPr>
          <w:ilvl w:val="0"/>
          <w:numId w:val="11"/>
        </w:numPr>
        <w:tabs>
          <w:tab w:val="left" w:pos="3180"/>
        </w:tabs>
        <w:ind w:left="2800"/>
        <w:jc w:val="both"/>
      </w:pPr>
      <w:r>
        <w:rPr>
          <w:rStyle w:val="Bodytext2"/>
          <w:i/>
        </w:rPr>
        <w:t xml:space="preserve">Независен неизвршен член на Одборот на директори на друштво со доминантна или во целосна сопственост на државата може да биде избран ако ги исполнува </w:t>
      </w:r>
      <w:r>
        <w:rPr>
          <w:rStyle w:val="Bodytext2"/>
          <w:b/>
          <w:bCs/>
          <w:i/>
        </w:rPr>
        <w:t>следниве услови</w:t>
      </w:r>
      <w:r>
        <w:rPr>
          <w:rStyle w:val="Bodytext2"/>
          <w:i/>
        </w:rPr>
        <w:t>:</w:t>
      </w:r>
    </w:p>
    <w:p w14:paraId="0CD4183B" w14:textId="77777777" w:rsidR="00262A83" w:rsidRDefault="00262A83">
      <w:pPr>
        <w:pStyle w:val="Bodytext20"/>
        <w:numPr>
          <w:ilvl w:val="0"/>
          <w:numId w:val="12"/>
        </w:numPr>
        <w:tabs>
          <w:tab w:val="left" w:pos="3454"/>
        </w:tabs>
        <w:ind w:left="3160"/>
        <w:jc w:val="both"/>
      </w:pPr>
      <w:r>
        <w:rPr>
          <w:rStyle w:val="Bodytext2"/>
          <w:i/>
        </w:rPr>
        <w:t>тој/таа да е државјанин на Република Северна Македонија;</w:t>
      </w:r>
    </w:p>
    <w:p w14:paraId="3FB24682" w14:textId="77777777" w:rsidR="00262A83" w:rsidRDefault="00262A83">
      <w:pPr>
        <w:pStyle w:val="Bodytext20"/>
        <w:numPr>
          <w:ilvl w:val="0"/>
          <w:numId w:val="12"/>
        </w:numPr>
        <w:tabs>
          <w:tab w:val="left" w:pos="3463"/>
        </w:tabs>
        <w:ind w:left="3160"/>
        <w:jc w:val="both"/>
      </w:pPr>
      <w:r>
        <w:rPr>
          <w:rStyle w:val="Bodytext2"/>
          <w:i/>
        </w:rPr>
        <w:t>тој/таа да има стекнато најмалку 240 ЕКТС кредити или да има завршено VII/1 ниво на образование;</w:t>
      </w:r>
    </w:p>
    <w:p w14:paraId="3547B01C" w14:textId="77777777" w:rsidR="00262A83" w:rsidRDefault="00262A83">
      <w:pPr>
        <w:pStyle w:val="Bodytext20"/>
        <w:numPr>
          <w:ilvl w:val="0"/>
          <w:numId w:val="12"/>
        </w:numPr>
        <w:tabs>
          <w:tab w:val="left" w:pos="3473"/>
        </w:tabs>
        <w:ind w:left="3160"/>
        <w:jc w:val="both"/>
      </w:pPr>
      <w:r>
        <w:rPr>
          <w:rStyle w:val="Bodytext2"/>
          <w:i/>
        </w:rPr>
        <w:t xml:space="preserve">во моментот на назначување, тој/таа </w:t>
      </w:r>
      <w:r>
        <w:rPr>
          <w:rStyle w:val="Bodytext2"/>
          <w:b/>
          <w:bCs/>
          <w:i/>
        </w:rPr>
        <w:t>да не е осуден/а со правосилна судска пресуда на парична казна или прекршочна санкција</w:t>
      </w:r>
      <w:r>
        <w:rPr>
          <w:rStyle w:val="Bodytext2"/>
          <w:i/>
        </w:rPr>
        <w:t xml:space="preserve"> забрана за вршење професија, дејност или должност;</w:t>
      </w:r>
    </w:p>
    <w:p w14:paraId="1A3BF592" w14:textId="77777777" w:rsidR="00262A83" w:rsidRDefault="00262A83">
      <w:pPr>
        <w:pStyle w:val="Bodytext20"/>
        <w:numPr>
          <w:ilvl w:val="0"/>
          <w:numId w:val="12"/>
        </w:numPr>
        <w:tabs>
          <w:tab w:val="left" w:pos="3458"/>
        </w:tabs>
        <w:ind w:left="3160"/>
        <w:jc w:val="both"/>
      </w:pPr>
      <w:r>
        <w:rPr>
          <w:rStyle w:val="Bodytext2"/>
          <w:i/>
        </w:rPr>
        <w:t xml:space="preserve">тој/таа да има </w:t>
      </w:r>
      <w:r>
        <w:rPr>
          <w:rStyle w:val="Bodytext2"/>
          <w:b/>
          <w:bCs/>
          <w:i/>
        </w:rPr>
        <w:t>најмалку четири години работно искуство</w:t>
      </w:r>
      <w:r>
        <w:rPr>
          <w:rStyle w:val="Bodytext2"/>
          <w:i/>
        </w:rPr>
        <w:t>.</w:t>
      </w:r>
    </w:p>
    <w:p w14:paraId="09489BE3" w14:textId="77777777" w:rsidR="00262A83" w:rsidRDefault="00262A83">
      <w:pPr>
        <w:pStyle w:val="Bodytext20"/>
        <w:numPr>
          <w:ilvl w:val="0"/>
          <w:numId w:val="11"/>
        </w:numPr>
        <w:tabs>
          <w:tab w:val="left" w:pos="3170"/>
        </w:tabs>
        <w:ind w:left="2800"/>
        <w:jc w:val="both"/>
      </w:pPr>
      <w:r>
        <w:rPr>
          <w:rStyle w:val="Bodytext2"/>
          <w:i/>
        </w:rPr>
        <w:t>Во друштво со доминантна или во целосна сопственост на државата, треба да има:</w:t>
      </w:r>
    </w:p>
    <w:p w14:paraId="41910FA2" w14:textId="77777777" w:rsidR="00262A83" w:rsidRDefault="00262A83">
      <w:pPr>
        <w:pStyle w:val="Bodytext20"/>
        <w:numPr>
          <w:ilvl w:val="0"/>
          <w:numId w:val="13"/>
        </w:numPr>
        <w:tabs>
          <w:tab w:val="left" w:pos="3012"/>
        </w:tabs>
        <w:ind w:left="2800"/>
        <w:jc w:val="both"/>
      </w:pPr>
      <w:r>
        <w:rPr>
          <w:rStyle w:val="Bodytext2"/>
          <w:b/>
          <w:bCs/>
          <w:i/>
        </w:rPr>
        <w:t>најмалку еден независен член со работно искуство во областа на финансиското работење или со работно искуство во областа на правните работи</w:t>
      </w:r>
      <w:r>
        <w:rPr>
          <w:rStyle w:val="Bodytext2"/>
          <w:i/>
        </w:rPr>
        <w:t>, ако станува збор за друштво класифицирано како микро или мал трговец или</w:t>
      </w:r>
    </w:p>
    <w:p w14:paraId="75118E38" w14:textId="77777777" w:rsidR="00262A83" w:rsidRDefault="00262A83">
      <w:pPr>
        <w:pStyle w:val="Bodytext20"/>
        <w:numPr>
          <w:ilvl w:val="0"/>
          <w:numId w:val="13"/>
        </w:numPr>
        <w:tabs>
          <w:tab w:val="left" w:pos="3012"/>
        </w:tabs>
        <w:ind w:left="2800"/>
        <w:jc w:val="both"/>
      </w:pPr>
      <w:r>
        <w:rPr>
          <w:rStyle w:val="Bodytext2"/>
          <w:b/>
          <w:bCs/>
          <w:i/>
        </w:rPr>
        <w:t>најмалку еден независен член со работно искуство во областа на финансиското работење и еден независен член со работно искуство во областа на правните работи</w:t>
      </w:r>
      <w:r>
        <w:rPr>
          <w:rStyle w:val="Bodytext2"/>
          <w:i/>
        </w:rPr>
        <w:t>, ако станува збор за друштво класифицирано како среден трговец или голем трговец.</w:t>
      </w:r>
    </w:p>
    <w:p w14:paraId="3D89E86A" w14:textId="5E8874C3" w:rsidR="00262A83" w:rsidRDefault="00262A83" w:rsidP="00594D0E">
      <w:pPr>
        <w:pStyle w:val="Bodytext20"/>
        <w:tabs>
          <w:tab w:val="left" w:pos="2440"/>
        </w:tabs>
        <w:ind w:left="2410" w:hanging="283"/>
        <w:jc w:val="both"/>
      </w:pPr>
      <w:r w:rsidRPr="00594D0E">
        <w:rPr>
          <w:rStyle w:val="Bodytext2"/>
        </w:rPr>
        <w:t>г)</w:t>
      </w:r>
      <w:r w:rsidRPr="00594D0E">
        <w:rPr>
          <w:rStyle w:val="Bodytext2"/>
        </w:rPr>
        <w:tab/>
      </w:r>
      <w:r>
        <w:rPr>
          <w:rStyle w:val="Bodytext2"/>
          <w:u w:val="single"/>
        </w:rPr>
        <w:t>Со член 365</w:t>
      </w:r>
      <w:r>
        <w:rPr>
          <w:rStyle w:val="Bodytext2"/>
        </w:rPr>
        <w:t xml:space="preserve"> се воведува еднаква компензација на членовите на Надзорниот одбор, во сите друштва со ограничена одговорност основани во согласност со Законот за трговски друштва.</w:t>
      </w:r>
    </w:p>
    <w:p w14:paraId="6EA5FDE7" w14:textId="77777777" w:rsidR="00262A83" w:rsidRDefault="00262A83">
      <w:pPr>
        <w:pStyle w:val="Bodytext20"/>
        <w:numPr>
          <w:ilvl w:val="0"/>
          <w:numId w:val="14"/>
        </w:numPr>
        <w:tabs>
          <w:tab w:val="left" w:pos="3190"/>
        </w:tabs>
        <w:ind w:left="2800"/>
        <w:jc w:val="both"/>
      </w:pPr>
      <w:proofErr w:type="spellStart"/>
      <w:r>
        <w:rPr>
          <w:rStyle w:val="Bodytext2"/>
          <w:i/>
        </w:rPr>
        <w:t>Неизвршните</w:t>
      </w:r>
      <w:proofErr w:type="spellEnd"/>
      <w:r>
        <w:rPr>
          <w:rStyle w:val="Bodytext2"/>
          <w:i/>
        </w:rPr>
        <w:t xml:space="preserve"> членови на Одборот на директори, односно членовите на Надзорниот одбор на акционерско друштво со доминантна или во целосна сопственост на државата, односно членовите на надзорниот одбор во друштво со ограничена одговорност со доминантна или во целосна сопственост на државата, имаат право на надомест само во форма на месечен паушален износ во износ од </w:t>
      </w:r>
      <w:r>
        <w:rPr>
          <w:rStyle w:val="Bodytext2"/>
          <w:b/>
          <w:bCs/>
          <w:i/>
        </w:rPr>
        <w:t>една четвртина од просечната нето плата исплатена во Република Северна Македонија за претходната година</w:t>
      </w:r>
      <w:r>
        <w:rPr>
          <w:rStyle w:val="Bodytext2"/>
          <w:i/>
        </w:rPr>
        <w:t>.</w:t>
      </w:r>
    </w:p>
    <w:p w14:paraId="21DD31F6" w14:textId="77777777" w:rsidR="005674DA" w:rsidRDefault="00262A83" w:rsidP="005674DA">
      <w:pPr>
        <w:pStyle w:val="Other0"/>
        <w:spacing w:after="60"/>
        <w:ind w:left="2127"/>
        <w:jc w:val="both"/>
      </w:pPr>
      <w:r>
        <w:rPr>
          <w:rStyle w:val="Bodytext2"/>
        </w:rPr>
        <w:t>Севкупно, измените воведуваат општи критериуми за назначување на независни членови. Тие, исто така, го регулираат составот на Надзорните одбори и Одборите на директори на ДСД и воведуваат нови правила за образованието и работното искуство</w:t>
      </w:r>
      <w:r w:rsidR="005674DA">
        <w:rPr>
          <w:rStyle w:val="Bodytext2"/>
          <w:lang w:val="en-US"/>
        </w:rPr>
        <w:t xml:space="preserve"> </w:t>
      </w:r>
      <w:r w:rsidR="005674DA">
        <w:rPr>
          <w:rStyle w:val="Other"/>
        </w:rPr>
        <w:t>потребни за назначување за членови на Одборот. Покрај тоа, измените воведуваат еднаква компензација за членовите на Надзорниот одбор.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14:paraId="7A945B66" w14:textId="77777777" w:rsidTr="00594D0E">
        <w:trPr>
          <w:trHeight w:hRule="exact" w:val="12059"/>
          <w:jc w:val="center"/>
        </w:trPr>
        <w:tc>
          <w:tcPr>
            <w:tcW w:w="1714" w:type="dxa"/>
            <w:tcBorders>
              <w:top w:val="single" w:sz="4" w:space="0" w:color="auto"/>
              <w:left w:val="single" w:sz="4" w:space="0" w:color="auto"/>
            </w:tcBorders>
            <w:shd w:val="clear" w:color="auto" w:fill="E8E8E8"/>
          </w:tcPr>
          <w:p w14:paraId="5888E7F9" w14:textId="77777777" w:rsidR="00262A83" w:rsidRDefault="00262A83">
            <w:pPr>
              <w:rPr>
                <w:sz w:val="10"/>
                <w:szCs w:val="10"/>
              </w:rPr>
            </w:pPr>
          </w:p>
        </w:tc>
        <w:tc>
          <w:tcPr>
            <w:tcW w:w="7805" w:type="dxa"/>
            <w:tcBorders>
              <w:top w:val="single" w:sz="4" w:space="0" w:color="auto"/>
              <w:left w:val="single" w:sz="4" w:space="0" w:color="auto"/>
              <w:right w:val="single" w:sz="4" w:space="0" w:color="auto"/>
            </w:tcBorders>
            <w:vAlign w:val="center"/>
          </w:tcPr>
          <w:p w14:paraId="61A94756" w14:textId="77777777" w:rsidR="00262A83" w:rsidRDefault="00262A83">
            <w:pPr>
              <w:pStyle w:val="Other0"/>
              <w:spacing w:after="60"/>
              <w:jc w:val="both"/>
            </w:pPr>
            <w:r w:rsidRPr="00B653BE">
              <w:rPr>
                <w:rStyle w:val="Other"/>
              </w:rPr>
              <w:t>Измените</w:t>
            </w:r>
            <w:r>
              <w:rPr>
                <w:rStyle w:val="Other"/>
              </w:rPr>
              <w:t xml:space="preserve"> влегуваат во сила од </w:t>
            </w:r>
            <w:r>
              <w:rPr>
                <w:rStyle w:val="Other"/>
                <w:b/>
                <w:bCs/>
              </w:rPr>
              <w:t>март 2025 година</w:t>
            </w:r>
            <w:r>
              <w:rPr>
                <w:rStyle w:val="Other"/>
              </w:rPr>
              <w:t>. Сепак, измените нема да важат за членовите на Одборот кои моментално се на функција до завршувањето на нивните мандати. Членовите на Одборот на ДСД беа (во голема мера, ако не и сите) назначени во есен 2024 година, кога новата Влада ја презеде функцијата. Ова би значело дека измените нема да влијаат на никаков начин (вклучително и надоместокот) врз членовите на Одборот на ДСД кои моментално се на функција до есента 2028 година. Ова значи дека вистинското влијание на терен се очекува дури во третиот квартал од 2028 година.</w:t>
            </w:r>
          </w:p>
          <w:p w14:paraId="362287DB" w14:textId="026C4553" w:rsidR="00262A83" w:rsidRDefault="00262A83">
            <w:pPr>
              <w:pStyle w:val="Other0"/>
              <w:spacing w:after="60"/>
              <w:jc w:val="both"/>
            </w:pPr>
            <w:r>
              <w:rPr>
                <w:rStyle w:val="Other"/>
              </w:rPr>
              <w:t>Со измените се утврдува назначувањето на независни членови во одборите на ДСД и се воведуваат нови критериуми за образование и работно искуство. Се очекуваат понатамошни подобрувања на критериумите во однос на последователните чекори во рамките на реформската област „Реформа на управувањето со претпријатија во сопственост на државата со фокус на железниците и поштенските услуги“, кои се однесуваат на корпоративното управување во ДСД и ја поставуваат основата за усогласување со начелата на ОЕЦД во оваа област (т.е. Насоките на ОЕЦД за корпоративно управување со претпријатија во сопственост на државата). Органите имаат за цел да ја ангажираат техничката помош од ЕУ за завршување на следниот чекор за Стратегијата за државна сопственост и нов Закон за претпријатија во сопственост на државата (до декември 2025 година). Другиот следен чекор има за цел да воспостави систем за поврзување на надоместоците на независните членови на одборот со финансиските перформанси и ефикасноста на ДСД (до јуни 2026 година).</w:t>
            </w:r>
          </w:p>
          <w:p w14:paraId="65C2BFB0" w14:textId="77777777" w:rsidR="00262A83" w:rsidRDefault="00262A83">
            <w:pPr>
              <w:pStyle w:val="Other0"/>
              <w:spacing w:after="60"/>
              <w:jc w:val="both"/>
            </w:pPr>
            <w:r>
              <w:rPr>
                <w:rStyle w:val="Other"/>
              </w:rPr>
              <w:t>Дополнително, постапката за назначување на членови на Одбор на директори или Надзорниот одбор во ДСД не е регулирана ниту пропишана, ниту постапката за проценка/евалуација на работењето на членовите (и критериумите за разрешување). Одборите на ДСД треба, под надзор на претседателот, редовно да вршат добро структурирана евалуација за да ги проценат своите перформанси и ефикасност и да проценат дали колективно поседуваат соодветна комбинација на искуство и компетенции, вклучително и во однос на полот. Овие аспекти треба да се разгледаат со оглед на чекорите што треба да се завршат до декември 2026 година, што бара „100 % од новите членови на одборите на друштва во сопственост на државата и ПСД да бидат предмет на отворени, независни процеси и процеси засновани на заслуги. 100 % од постојните членови на одборите се предмет на повторна процена“.</w:t>
            </w:r>
          </w:p>
          <w:p w14:paraId="7B40A8B0" w14:textId="644628BB" w:rsidR="00262A83" w:rsidRDefault="00262A83" w:rsidP="004B2C86">
            <w:pPr>
              <w:pStyle w:val="Other0"/>
              <w:spacing w:after="60"/>
              <w:jc w:val="both"/>
            </w:pPr>
            <w:r>
              <w:rPr>
                <w:rStyle w:val="Other"/>
              </w:rPr>
              <w:t>Притоа, Северна Македонија треба да обезбеди вклучување одредби со кои одборите на ДСД ќе имаат потребни овластувања, компетенции и објективност за да ги извршуваат своите функции на стратешко водство, надзор на управувањето со ризици и следење на управувањето. Тие треба да дејствуваат со интегритет и да го промовираат, како и да бидат одговорни за своите постапки. Во оваа насока, составот на Одборите на ДСД треба да овозможи вршење објективна и независна процена. Сите членови на одборот, вклучително и сите јавни службеници, треба да бидат номинирани или назначени врз основа на квалификации релевантни за секторот на дејност и деловниот профил на претпријатието. Исто така, треба да постои сеопфатна постапка за назначување, оценување и разрешување.</w:t>
            </w:r>
          </w:p>
        </w:tc>
      </w:tr>
      <w:tr w:rsidR="00262A83" w14:paraId="6AA78573" w14:textId="77777777">
        <w:trPr>
          <w:trHeight w:hRule="exact" w:val="2208"/>
          <w:jc w:val="center"/>
        </w:trPr>
        <w:tc>
          <w:tcPr>
            <w:tcW w:w="1714" w:type="dxa"/>
            <w:tcBorders>
              <w:top w:val="single" w:sz="4" w:space="0" w:color="auto"/>
              <w:left w:val="single" w:sz="4" w:space="0" w:color="auto"/>
              <w:bottom w:val="single" w:sz="4" w:space="0" w:color="auto"/>
            </w:tcBorders>
            <w:shd w:val="clear" w:color="auto" w:fill="E8E8E8"/>
            <w:vAlign w:val="center"/>
          </w:tcPr>
          <w:p w14:paraId="288354D0" w14:textId="77777777" w:rsidR="00262A83" w:rsidRDefault="00262A83">
            <w:pPr>
              <w:pStyle w:val="Other0"/>
            </w:pPr>
            <w:r>
              <w:rPr>
                <w:rStyle w:val="Other"/>
                <w:b/>
              </w:rPr>
              <w:lastRenderedPageBreak/>
              <w:t>Извршени проверки и докази што се користат при верификација на чекорот и поврзани наоди</w:t>
            </w:r>
          </w:p>
        </w:tc>
        <w:tc>
          <w:tcPr>
            <w:tcW w:w="7805" w:type="dxa"/>
            <w:tcBorders>
              <w:top w:val="single" w:sz="4" w:space="0" w:color="auto"/>
              <w:left w:val="single" w:sz="4" w:space="0" w:color="auto"/>
              <w:bottom w:val="single" w:sz="4" w:space="0" w:color="auto"/>
              <w:right w:val="single" w:sz="4" w:space="0" w:color="auto"/>
            </w:tcBorders>
          </w:tcPr>
          <w:p w14:paraId="515973AC" w14:textId="77777777" w:rsidR="00262A83" w:rsidRDefault="00262A83">
            <w:pPr>
              <w:pStyle w:val="Other0"/>
              <w:spacing w:before="80" w:after="60"/>
              <w:jc w:val="both"/>
            </w:pPr>
            <w:r>
              <w:rPr>
                <w:rStyle w:val="Other"/>
              </w:rPr>
              <w:t>Процената се врши преку анализа на барањата и целите на реформската мерка.</w:t>
            </w:r>
          </w:p>
          <w:p w14:paraId="6FB76B97" w14:textId="45A0D1BA" w:rsidR="00262A83" w:rsidRDefault="00262A83" w:rsidP="00D96499">
            <w:pPr>
              <w:pStyle w:val="Other0"/>
              <w:jc w:val="both"/>
            </w:pPr>
            <w:r>
              <w:rPr>
                <w:rStyle w:val="Other"/>
              </w:rPr>
              <w:t xml:space="preserve">При прегледот на измените, како упатување беа земени предвид и „Упатствата на ОЕЦД за корпоративно управување со претпријатија во сопственост на државата“ </w:t>
            </w:r>
            <w:hyperlink r:id="rId48" w:history="1">
              <w:r>
                <w:rPr>
                  <w:rStyle w:val="Other"/>
                  <w:u w:val="single"/>
                </w:rPr>
                <w:t>(</w:t>
              </w:r>
              <w:proofErr w:type="spellStart"/>
              <w:r>
                <w:rPr>
                  <w:rStyle w:val="Other"/>
                  <w:i/>
                  <w:color w:val="467886"/>
                  <w:u w:val="single"/>
                </w:rPr>
                <w:t>link</w:t>
              </w:r>
              <w:proofErr w:type="spellEnd"/>
              <w:r>
                <w:rPr>
                  <w:rStyle w:val="Other"/>
                </w:rPr>
                <w:t>)</w:t>
              </w:r>
            </w:hyperlink>
            <w:r>
              <w:rPr>
                <w:rStyle w:val="Other"/>
              </w:rPr>
              <w:t>. За време на дискусиите со органите, овие упатства беа препорачани како најдобра меѓународна пракса што треба да се земе предвид.</w:t>
            </w:r>
          </w:p>
        </w:tc>
      </w:tr>
      <w:tr w:rsidR="00262A83" w14:paraId="590E2F86" w14:textId="77777777">
        <w:trPr>
          <w:trHeight w:hRule="exact" w:val="691"/>
          <w:jc w:val="center"/>
        </w:trPr>
        <w:tc>
          <w:tcPr>
            <w:tcW w:w="1714" w:type="dxa"/>
            <w:tcBorders>
              <w:top w:val="single" w:sz="4" w:space="0" w:color="auto"/>
              <w:left w:val="single" w:sz="4" w:space="0" w:color="auto"/>
            </w:tcBorders>
            <w:shd w:val="clear" w:color="auto" w:fill="E8E8E8"/>
          </w:tcPr>
          <w:p w14:paraId="63986C62" w14:textId="77777777" w:rsidR="00262A83" w:rsidRDefault="00262A83">
            <w:pPr>
              <w:pStyle w:val="Other0"/>
              <w:spacing w:before="100"/>
            </w:pPr>
            <w:r>
              <w:rPr>
                <w:rStyle w:val="Other"/>
                <w:b/>
              </w:rPr>
              <w:t>Двојно финансирање</w:t>
            </w:r>
          </w:p>
        </w:tc>
        <w:tc>
          <w:tcPr>
            <w:tcW w:w="7805" w:type="dxa"/>
            <w:tcBorders>
              <w:top w:val="single" w:sz="4" w:space="0" w:color="auto"/>
              <w:left w:val="single" w:sz="4" w:space="0" w:color="auto"/>
              <w:right w:val="single" w:sz="4" w:space="0" w:color="auto"/>
            </w:tcBorders>
            <w:vAlign w:val="center"/>
          </w:tcPr>
          <w:p w14:paraId="6982C6B6" w14:textId="77777777" w:rsidR="00262A83" w:rsidRDefault="00262A83">
            <w:pPr>
              <w:pStyle w:val="Other0"/>
              <w:jc w:val="both"/>
            </w:pPr>
            <w:r>
              <w:rPr>
                <w:rStyle w:val="Other"/>
              </w:rPr>
              <w:t>Не се пријавени придонеси од трети страни како поддршка на постигнувањето на овој чекор.</w:t>
            </w:r>
          </w:p>
        </w:tc>
      </w:tr>
      <w:tr w:rsidR="00262A83" w14:paraId="50D64439" w14:textId="77777777">
        <w:trPr>
          <w:trHeight w:hRule="exact" w:val="1450"/>
          <w:jc w:val="center"/>
        </w:trPr>
        <w:tc>
          <w:tcPr>
            <w:tcW w:w="1714" w:type="dxa"/>
            <w:tcBorders>
              <w:top w:val="single" w:sz="4" w:space="0" w:color="auto"/>
              <w:left w:val="single" w:sz="4" w:space="0" w:color="auto"/>
              <w:bottom w:val="single" w:sz="4" w:space="0" w:color="auto"/>
            </w:tcBorders>
            <w:shd w:val="clear" w:color="auto" w:fill="E8E8E8"/>
            <w:vAlign w:val="center"/>
          </w:tcPr>
          <w:p w14:paraId="104207BE" w14:textId="77777777" w:rsidR="00262A83" w:rsidRDefault="00262A83">
            <w:pPr>
              <w:pStyle w:val="Other0"/>
            </w:pPr>
            <w:r>
              <w:rPr>
                <w:rStyle w:val="Other"/>
                <w:b/>
              </w:rPr>
              <w:t>Јасен заклучок за постигнувањето на чекорот</w:t>
            </w:r>
          </w:p>
        </w:tc>
        <w:tc>
          <w:tcPr>
            <w:tcW w:w="7805" w:type="dxa"/>
            <w:tcBorders>
              <w:top w:val="single" w:sz="4" w:space="0" w:color="auto"/>
              <w:left w:val="single" w:sz="4" w:space="0" w:color="auto"/>
              <w:bottom w:val="single" w:sz="4" w:space="0" w:color="auto"/>
              <w:right w:val="single" w:sz="4" w:space="0" w:color="auto"/>
            </w:tcBorders>
          </w:tcPr>
          <w:p w14:paraId="502FB241" w14:textId="77777777" w:rsidR="00262A83" w:rsidRDefault="00262A83">
            <w:pPr>
              <w:pStyle w:val="Other0"/>
              <w:spacing w:before="80"/>
              <w:jc w:val="both"/>
            </w:pPr>
            <w:r>
              <w:rPr>
                <w:rStyle w:val="Other"/>
                <w:b/>
              </w:rPr>
              <w:t>Целосно постигнато</w:t>
            </w:r>
          </w:p>
        </w:tc>
      </w:tr>
    </w:tbl>
    <w:p w14:paraId="47042C07" w14:textId="77777777" w:rsidR="00262A83" w:rsidRDefault="00262A83">
      <w:pPr>
        <w:spacing w:after="459" w:line="1" w:lineRule="exact"/>
      </w:pPr>
    </w:p>
    <w:p w14:paraId="0619E2E9" w14:textId="77777777" w:rsidR="00262A83" w:rsidRDefault="00262A83">
      <w:pPr>
        <w:pStyle w:val="Heading20"/>
        <w:keepNext/>
        <w:keepLines/>
        <w:numPr>
          <w:ilvl w:val="2"/>
          <w:numId w:val="15"/>
        </w:numPr>
        <w:tabs>
          <w:tab w:val="left" w:pos="686"/>
        </w:tabs>
        <w:jc w:val="both"/>
      </w:pPr>
      <w:bookmarkStart w:id="9" w:name="bookmark21"/>
      <w:r>
        <w:rPr>
          <w:rStyle w:val="Heading2"/>
          <w:b/>
        </w:rPr>
        <w:t>Подобрување на судскиот интегритет преку ревидирање на процесите на регрутирање, селекција, назначување, оценување, унапредување, преместување и разрешување на судии и обвинители</w:t>
      </w:r>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14:paraId="736768EE" w14:textId="77777777">
        <w:trPr>
          <w:trHeight w:hRule="exact" w:val="941"/>
          <w:jc w:val="center"/>
        </w:trPr>
        <w:tc>
          <w:tcPr>
            <w:tcW w:w="1714" w:type="dxa"/>
            <w:tcBorders>
              <w:top w:val="single" w:sz="4" w:space="0" w:color="auto"/>
              <w:left w:val="single" w:sz="4" w:space="0" w:color="auto"/>
            </w:tcBorders>
            <w:shd w:val="clear" w:color="auto" w:fill="E8E8E8"/>
          </w:tcPr>
          <w:p w14:paraId="2A22BA5F" w14:textId="77777777" w:rsidR="00262A83" w:rsidRDefault="00262A83">
            <w:pPr>
              <w:pStyle w:val="Other0"/>
              <w:spacing w:before="100"/>
            </w:pPr>
            <w:r>
              <w:rPr>
                <w:rStyle w:val="Other"/>
                <w:b/>
              </w:rPr>
              <w:t>Чекорот што се разгледува</w:t>
            </w:r>
          </w:p>
        </w:tc>
        <w:tc>
          <w:tcPr>
            <w:tcW w:w="7805" w:type="dxa"/>
            <w:tcBorders>
              <w:top w:val="single" w:sz="4" w:space="0" w:color="auto"/>
              <w:left w:val="single" w:sz="4" w:space="0" w:color="auto"/>
              <w:right w:val="single" w:sz="4" w:space="0" w:color="auto"/>
            </w:tcBorders>
            <w:vAlign w:val="center"/>
          </w:tcPr>
          <w:p w14:paraId="11548B0F" w14:textId="77777777" w:rsidR="00262A83" w:rsidRDefault="00262A83">
            <w:pPr>
              <w:pStyle w:val="Other0"/>
              <w:jc w:val="both"/>
            </w:pPr>
            <w:r>
              <w:rPr>
                <w:rStyle w:val="Other"/>
                <w:i/>
              </w:rPr>
              <w:t>Слободните позиции за судии и обвинители се пополнуваат редовно врз основа на проекциите на Судскиот совет/Советот на јавни обвинители по спроведувањето на стратегиите за управување со човечки ресурси во судовите/ОЈО.</w:t>
            </w:r>
          </w:p>
        </w:tc>
      </w:tr>
      <w:tr w:rsidR="00262A83" w14:paraId="23E68BB1" w14:textId="77777777">
        <w:trPr>
          <w:trHeight w:hRule="exact" w:val="1776"/>
          <w:jc w:val="center"/>
        </w:trPr>
        <w:tc>
          <w:tcPr>
            <w:tcW w:w="1714" w:type="dxa"/>
            <w:tcBorders>
              <w:top w:val="single" w:sz="4" w:space="0" w:color="auto"/>
              <w:left w:val="single" w:sz="4" w:space="0" w:color="auto"/>
            </w:tcBorders>
            <w:shd w:val="clear" w:color="auto" w:fill="E8E8E8"/>
          </w:tcPr>
          <w:p w14:paraId="61317249" w14:textId="77777777" w:rsidR="00262A83" w:rsidRDefault="00262A83">
            <w:pPr>
              <w:pStyle w:val="Other0"/>
              <w:spacing w:before="80"/>
            </w:pPr>
            <w:r>
              <w:rPr>
                <w:rStyle w:val="Other"/>
                <w:b/>
              </w:rPr>
              <w:t>Основна состојба</w:t>
            </w:r>
          </w:p>
        </w:tc>
        <w:tc>
          <w:tcPr>
            <w:tcW w:w="7805" w:type="dxa"/>
            <w:tcBorders>
              <w:top w:val="single" w:sz="4" w:space="0" w:color="auto"/>
              <w:left w:val="single" w:sz="4" w:space="0" w:color="auto"/>
              <w:right w:val="single" w:sz="4" w:space="0" w:color="auto"/>
            </w:tcBorders>
            <w:vAlign w:val="center"/>
          </w:tcPr>
          <w:p w14:paraId="40FA563A" w14:textId="77777777" w:rsidR="00262A83" w:rsidRDefault="00262A83">
            <w:pPr>
              <w:pStyle w:val="Other0"/>
              <w:spacing w:after="60"/>
              <w:jc w:val="both"/>
            </w:pPr>
            <w:r>
              <w:rPr>
                <w:rStyle w:val="Other"/>
              </w:rPr>
              <w:t>Основна состојба (2024 година): вкупно има 261 слободно место за судии во сите судови (од кои 162 се слободни места за судии во основните судови) и 88 слободни места за обвинители (вкупно 349 судии и обвинители).</w:t>
            </w:r>
          </w:p>
          <w:p w14:paraId="5ECAC4A3" w14:textId="77777777" w:rsidR="00262A83" w:rsidRDefault="00262A83">
            <w:pPr>
              <w:pStyle w:val="Other0"/>
              <w:jc w:val="both"/>
            </w:pPr>
            <w:r>
              <w:rPr>
                <w:rStyle w:val="Other"/>
              </w:rPr>
              <w:t>На сите нивоа работат 334 судии и 178 обвинители. Основна состојба за процена на чекорот во декември 2026 година ќе бидат резултатите од процената во декември 2024 година.</w:t>
            </w:r>
          </w:p>
        </w:tc>
      </w:tr>
      <w:tr w:rsidR="00262A83" w14:paraId="0A881FE4" w14:textId="77777777">
        <w:trPr>
          <w:trHeight w:hRule="exact" w:val="758"/>
          <w:jc w:val="center"/>
        </w:trPr>
        <w:tc>
          <w:tcPr>
            <w:tcW w:w="1714" w:type="dxa"/>
            <w:tcBorders>
              <w:top w:val="single" w:sz="4" w:space="0" w:color="auto"/>
              <w:left w:val="single" w:sz="4" w:space="0" w:color="auto"/>
            </w:tcBorders>
            <w:shd w:val="clear" w:color="auto" w:fill="E8E8E8"/>
            <w:vAlign w:val="center"/>
          </w:tcPr>
          <w:p w14:paraId="5E89BD0C" w14:textId="77777777" w:rsidR="00262A83" w:rsidRDefault="00262A83">
            <w:pPr>
              <w:pStyle w:val="Other0"/>
            </w:pPr>
            <w:r>
              <w:rPr>
                <w:rStyle w:val="Other"/>
                <w:b/>
              </w:rPr>
              <w:t>Краен рок на чекорот</w:t>
            </w:r>
          </w:p>
        </w:tc>
        <w:tc>
          <w:tcPr>
            <w:tcW w:w="7805" w:type="dxa"/>
            <w:tcBorders>
              <w:top w:val="single" w:sz="4" w:space="0" w:color="auto"/>
              <w:left w:val="single" w:sz="4" w:space="0" w:color="auto"/>
              <w:right w:val="single" w:sz="4" w:space="0" w:color="auto"/>
            </w:tcBorders>
          </w:tcPr>
          <w:p w14:paraId="65265497" w14:textId="77777777" w:rsidR="00262A83" w:rsidRDefault="00262A83">
            <w:pPr>
              <w:pStyle w:val="Other0"/>
              <w:spacing w:before="80"/>
              <w:jc w:val="both"/>
            </w:pPr>
            <w:r>
              <w:rPr>
                <w:rStyle w:val="Other"/>
              </w:rPr>
              <w:t>декември 2024 година</w:t>
            </w:r>
          </w:p>
        </w:tc>
      </w:tr>
      <w:tr w:rsidR="00262A83" w14:paraId="43950EE7" w14:textId="77777777" w:rsidTr="00594D0E">
        <w:trPr>
          <w:trHeight w:hRule="exact" w:val="1473"/>
          <w:jc w:val="center"/>
        </w:trPr>
        <w:tc>
          <w:tcPr>
            <w:tcW w:w="1714" w:type="dxa"/>
            <w:tcBorders>
              <w:top w:val="single" w:sz="4" w:space="0" w:color="auto"/>
              <w:left w:val="single" w:sz="4" w:space="0" w:color="auto"/>
            </w:tcBorders>
            <w:shd w:val="clear" w:color="auto" w:fill="E8E8E8"/>
            <w:vAlign w:val="center"/>
          </w:tcPr>
          <w:p w14:paraId="233C2B0C" w14:textId="77777777" w:rsidR="00262A83" w:rsidRDefault="00262A83">
            <w:pPr>
              <w:pStyle w:val="Other0"/>
            </w:pPr>
            <w:r>
              <w:rPr>
                <w:rStyle w:val="Other"/>
                <w:b/>
              </w:rPr>
              <w:t>Заклучок од прегледот на чекорот од страна на корисникот</w:t>
            </w:r>
          </w:p>
        </w:tc>
        <w:tc>
          <w:tcPr>
            <w:tcW w:w="7805" w:type="dxa"/>
            <w:tcBorders>
              <w:top w:val="single" w:sz="4" w:space="0" w:color="auto"/>
              <w:left w:val="single" w:sz="4" w:space="0" w:color="auto"/>
              <w:right w:val="single" w:sz="4" w:space="0" w:color="auto"/>
            </w:tcBorders>
          </w:tcPr>
          <w:p w14:paraId="564C2E32" w14:textId="77777777" w:rsidR="00262A83" w:rsidRDefault="00262A83">
            <w:pPr>
              <w:pStyle w:val="Other0"/>
              <w:spacing w:before="80"/>
              <w:jc w:val="both"/>
            </w:pPr>
            <w:r>
              <w:rPr>
                <w:rStyle w:val="Other"/>
              </w:rPr>
              <w:t>Корисникот го смета овој чекор за целосно постигнат.</w:t>
            </w:r>
          </w:p>
        </w:tc>
      </w:tr>
      <w:tr w:rsidR="00262A83" w14:paraId="7C52D70E" w14:textId="77777777" w:rsidTr="007C40BB">
        <w:trPr>
          <w:trHeight w:hRule="exact" w:val="6106"/>
          <w:jc w:val="center"/>
        </w:trPr>
        <w:tc>
          <w:tcPr>
            <w:tcW w:w="1714" w:type="dxa"/>
            <w:tcBorders>
              <w:top w:val="single" w:sz="4" w:space="0" w:color="auto"/>
              <w:left w:val="single" w:sz="4" w:space="0" w:color="auto"/>
              <w:bottom w:val="single" w:sz="4" w:space="0" w:color="auto"/>
            </w:tcBorders>
            <w:shd w:val="clear" w:color="auto" w:fill="E8E8E8"/>
          </w:tcPr>
          <w:p w14:paraId="48698C7C" w14:textId="77777777" w:rsidR="00262A83" w:rsidRDefault="00262A83">
            <w:pPr>
              <w:pStyle w:val="Other0"/>
              <w:spacing w:before="80"/>
            </w:pPr>
            <w:r>
              <w:rPr>
                <w:rStyle w:val="Other"/>
                <w:b/>
              </w:rPr>
              <w:lastRenderedPageBreak/>
              <w:t>Процена на резултатите од страна на Комисијата</w:t>
            </w:r>
          </w:p>
        </w:tc>
        <w:tc>
          <w:tcPr>
            <w:tcW w:w="7805" w:type="dxa"/>
            <w:tcBorders>
              <w:top w:val="single" w:sz="4" w:space="0" w:color="auto"/>
              <w:left w:val="single" w:sz="4" w:space="0" w:color="auto"/>
              <w:bottom w:val="single" w:sz="4" w:space="0" w:color="auto"/>
              <w:right w:val="single" w:sz="4" w:space="0" w:color="auto"/>
            </w:tcBorders>
            <w:vAlign w:val="bottom"/>
          </w:tcPr>
          <w:p w14:paraId="143F3F5A" w14:textId="77777777" w:rsidR="00262A83" w:rsidRDefault="00262A83">
            <w:pPr>
              <w:pStyle w:val="Other0"/>
              <w:spacing w:after="80"/>
              <w:jc w:val="both"/>
            </w:pPr>
            <w:r>
              <w:rPr>
                <w:rStyle w:val="Other"/>
              </w:rPr>
              <w:t xml:space="preserve">Петгодишната проекција и годишната одлука за бројот на слободни места за судии од страна на СС и СЈО не се претставени како директен извор на верификација и елементот на континуитет е тешко да се открие. Сепак, Северна Македонија известува дека, според петгодишните проекции на извештајот на Судскиот совет и Советот на јавни обвинители, ќе има </w:t>
            </w:r>
            <w:r>
              <w:rPr>
                <w:rStyle w:val="Other"/>
                <w:u w:val="single"/>
              </w:rPr>
              <w:t>112 слободни места за судии и 32 места за јавни обвинители</w:t>
            </w:r>
            <w:r>
              <w:rPr>
                <w:rStyle w:val="Other"/>
              </w:rPr>
              <w:t>, врз основа на пензионирање на возраст од 64 години на крајот од 2029 година. Проекциите се следниве:</w:t>
            </w:r>
          </w:p>
          <w:p w14:paraId="596E0C0D" w14:textId="77777777" w:rsidR="00262A83" w:rsidRDefault="00262A83">
            <w:pPr>
              <w:pStyle w:val="Other0"/>
              <w:numPr>
                <w:ilvl w:val="0"/>
                <w:numId w:val="16"/>
              </w:numPr>
              <w:tabs>
                <w:tab w:val="left" w:pos="672"/>
                <w:tab w:val="left" w:pos="710"/>
              </w:tabs>
              <w:spacing w:after="80" w:line="276" w:lineRule="auto"/>
              <w:ind w:firstLine="360"/>
              <w:jc w:val="both"/>
            </w:pPr>
            <w:r>
              <w:rPr>
                <w:rStyle w:val="Other"/>
              </w:rPr>
              <w:t>2025 година: 25 судии и 7 јавни обвинители,</w:t>
            </w:r>
          </w:p>
          <w:p w14:paraId="6DD13CF1" w14:textId="77777777" w:rsidR="00262A83" w:rsidRDefault="00262A83">
            <w:pPr>
              <w:pStyle w:val="Other0"/>
              <w:numPr>
                <w:ilvl w:val="0"/>
                <w:numId w:val="16"/>
              </w:numPr>
              <w:tabs>
                <w:tab w:val="left" w:pos="672"/>
                <w:tab w:val="left" w:pos="710"/>
              </w:tabs>
              <w:spacing w:after="80" w:line="276" w:lineRule="auto"/>
              <w:ind w:firstLine="360"/>
              <w:jc w:val="both"/>
            </w:pPr>
            <w:r>
              <w:rPr>
                <w:rStyle w:val="Other"/>
              </w:rPr>
              <w:t>2026 година: 19 судии и 3 јавни обвинители,</w:t>
            </w:r>
          </w:p>
          <w:p w14:paraId="0F1BCAD0" w14:textId="77777777" w:rsidR="00262A83" w:rsidRDefault="00262A83">
            <w:pPr>
              <w:pStyle w:val="Other0"/>
              <w:numPr>
                <w:ilvl w:val="0"/>
                <w:numId w:val="16"/>
              </w:numPr>
              <w:tabs>
                <w:tab w:val="left" w:pos="706"/>
                <w:tab w:val="left" w:pos="710"/>
              </w:tabs>
              <w:spacing w:after="80" w:line="276" w:lineRule="auto"/>
              <w:ind w:firstLine="360"/>
              <w:jc w:val="both"/>
            </w:pPr>
            <w:r>
              <w:rPr>
                <w:rStyle w:val="Other"/>
              </w:rPr>
              <w:t>2027 година: 26 судии и 7 јавни обвинители,</w:t>
            </w:r>
          </w:p>
          <w:p w14:paraId="38403859" w14:textId="77777777" w:rsidR="00262A83" w:rsidRDefault="00262A83">
            <w:pPr>
              <w:pStyle w:val="Other0"/>
              <w:numPr>
                <w:ilvl w:val="0"/>
                <w:numId w:val="16"/>
              </w:numPr>
              <w:tabs>
                <w:tab w:val="left" w:pos="706"/>
                <w:tab w:val="left" w:pos="710"/>
              </w:tabs>
              <w:spacing w:after="80" w:line="276" w:lineRule="auto"/>
              <w:ind w:firstLine="360"/>
              <w:jc w:val="both"/>
            </w:pPr>
            <w:r>
              <w:rPr>
                <w:rStyle w:val="Other"/>
              </w:rPr>
              <w:t>2028 година: 23 судии и 10 јавни обвинители,</w:t>
            </w:r>
          </w:p>
          <w:p w14:paraId="12BE7D4F" w14:textId="77777777" w:rsidR="00262A83" w:rsidRDefault="00262A83">
            <w:pPr>
              <w:pStyle w:val="Other0"/>
              <w:numPr>
                <w:ilvl w:val="0"/>
                <w:numId w:val="16"/>
              </w:numPr>
              <w:tabs>
                <w:tab w:val="left" w:pos="706"/>
                <w:tab w:val="left" w:pos="710"/>
              </w:tabs>
              <w:spacing w:after="380" w:line="276" w:lineRule="auto"/>
              <w:ind w:firstLine="360"/>
              <w:jc w:val="both"/>
            </w:pPr>
            <w:r>
              <w:rPr>
                <w:rStyle w:val="Other"/>
              </w:rPr>
              <w:t>2029 година: 19 судии и 5 јавни обвинители.</w:t>
            </w:r>
          </w:p>
          <w:p w14:paraId="30DA0469" w14:textId="77777777" w:rsidR="00262A83" w:rsidRDefault="00262A83">
            <w:pPr>
              <w:pStyle w:val="Other0"/>
              <w:spacing w:after="80"/>
              <w:jc w:val="both"/>
            </w:pPr>
            <w:r>
              <w:rPr>
                <w:rStyle w:val="Other"/>
                <w:b/>
                <w:u w:val="single"/>
              </w:rPr>
              <w:t>Избор на судии и јавни обвинители</w:t>
            </w:r>
          </w:p>
          <w:p w14:paraId="36E7F947" w14:textId="77777777" w:rsidR="00262A83" w:rsidRDefault="00262A83">
            <w:pPr>
              <w:pStyle w:val="Other0"/>
              <w:spacing w:after="80"/>
              <w:jc w:val="both"/>
            </w:pPr>
            <w:r>
              <w:rPr>
                <w:rStyle w:val="Other"/>
              </w:rPr>
              <w:t xml:space="preserve">На 10 февруари 2025 година, Судскиот совет (СС) и Советот на јавни обвинители (СЈО) објавија оглас за </w:t>
            </w:r>
            <w:r>
              <w:rPr>
                <w:rStyle w:val="Other"/>
                <w:b/>
                <w:bCs/>
              </w:rPr>
              <w:t>50 судии</w:t>
            </w:r>
            <w:r>
              <w:rPr>
                <w:rStyle w:val="Other"/>
              </w:rPr>
              <w:t xml:space="preserve"> и </w:t>
            </w:r>
            <w:r>
              <w:rPr>
                <w:rStyle w:val="Other"/>
                <w:b/>
                <w:bCs/>
              </w:rPr>
              <w:t>47 јавни обвинители од 8-та</w:t>
            </w:r>
          </w:p>
        </w:tc>
      </w:tr>
    </w:tbl>
    <w:p w14:paraId="1111321E" w14:textId="77777777" w:rsidR="00262A83" w:rsidRDefault="00262A83">
      <w:pPr>
        <w:pStyle w:val="Tablecaption0"/>
        <w:ind w:left="4574"/>
        <w:rPr>
          <w:sz w:val="20"/>
          <w:szCs w:val="20"/>
        </w:rPr>
      </w:pPr>
      <w:r>
        <w:rPr>
          <w:rStyle w:val="Tablecaption"/>
          <w:i/>
          <w:color w:val="808080"/>
          <w:sz w:val="20"/>
        </w:rPr>
        <w:t>14</w:t>
      </w:r>
    </w:p>
    <w:p w14:paraId="5BBC7074" w14:textId="77777777" w:rsidR="00262A83" w:rsidRDefault="00262A83">
      <w:pPr>
        <w:pStyle w:val="Bodytext20"/>
        <w:ind w:left="1780"/>
        <w:jc w:val="both"/>
      </w:pPr>
      <w:r>
        <w:rPr>
          <w:rStyle w:val="Bodytext2"/>
          <w:b/>
          <w:bCs/>
        </w:rPr>
        <w:t>генерација</w:t>
      </w:r>
      <w:r>
        <w:rPr>
          <w:rStyle w:val="Bodytext2"/>
        </w:rPr>
        <w:t xml:space="preserve"> кандидати од Академијата на судии и јавни обвинители (АСЈО). Овие бројки одговараат на проекциите испратени од Советите до АСЈО во 2020 година, пред приемот на кандидатите.</w:t>
      </w:r>
    </w:p>
    <w:p w14:paraId="6732FDE3" w14:textId="77777777" w:rsidR="00262A83" w:rsidRDefault="00262A83">
      <w:pPr>
        <w:pStyle w:val="Bodytext20"/>
        <w:ind w:left="1780"/>
        <w:jc w:val="both"/>
      </w:pPr>
      <w:r>
        <w:rPr>
          <w:rStyle w:val="Bodytext2"/>
        </w:rPr>
        <w:t xml:space="preserve">На </w:t>
      </w:r>
      <w:r>
        <w:rPr>
          <w:rStyle w:val="Bodytext2"/>
          <w:b/>
          <w:bCs/>
        </w:rPr>
        <w:t>10 март 2025 година</w:t>
      </w:r>
      <w:r>
        <w:rPr>
          <w:rStyle w:val="Bodytext2"/>
        </w:rPr>
        <w:t xml:space="preserve">, СС на јавна седница избра </w:t>
      </w:r>
      <w:r>
        <w:rPr>
          <w:rStyle w:val="Bodytext2"/>
          <w:b/>
          <w:bCs/>
        </w:rPr>
        <w:t>49 кандидати</w:t>
      </w:r>
      <w:r>
        <w:rPr>
          <w:rStyle w:val="Bodytext2"/>
        </w:rPr>
        <w:t xml:space="preserve"> во 19 основни судови низ целата земја. Поради начелото на гласање со двојно мнозинство, неколку високо рангирани кандидати за граѓанските и кривичните судови во Скопје не беа избрани, бидејќи приоритет им беше даден на пониско рангираните кандидати од малцинските заедници во земјата.</w:t>
      </w:r>
    </w:p>
    <w:p w14:paraId="2A42CEF3" w14:textId="77777777" w:rsidR="00262A83" w:rsidRDefault="00262A83">
      <w:pPr>
        <w:pStyle w:val="Bodytext20"/>
        <w:ind w:left="1780"/>
        <w:jc w:val="both"/>
      </w:pPr>
      <w:r>
        <w:rPr>
          <w:rStyle w:val="Bodytext2"/>
        </w:rPr>
        <w:t xml:space="preserve">На </w:t>
      </w:r>
      <w:r>
        <w:rPr>
          <w:rStyle w:val="Bodytext2"/>
          <w:b/>
          <w:bCs/>
        </w:rPr>
        <w:t>7 март 2025 година</w:t>
      </w:r>
      <w:r>
        <w:rPr>
          <w:rStyle w:val="Bodytext2"/>
        </w:rPr>
        <w:t xml:space="preserve">, СЈО на јавна седница избра </w:t>
      </w:r>
      <w:r>
        <w:rPr>
          <w:rStyle w:val="Bodytext2"/>
          <w:b/>
          <w:bCs/>
        </w:rPr>
        <w:t>28 кандидати</w:t>
      </w:r>
      <w:r>
        <w:rPr>
          <w:rStyle w:val="Bodytext2"/>
        </w:rPr>
        <w:t xml:space="preserve"> во 10 основни обвинителства низ целата земја. Помалиот број на избрани јавни обвинители, во споредба со вкупниот број кандидати (39), се должи на нееднаквата распределба на кандидатите низ јавните обвинителства. Додека некои служби добија голем број апликации, други имаа помалку или воопшто немаа кандидати. На 12 март 2025 година, сите 28 избрани кандидати положија свечена заклетва пред СЈО и станаа јавни обвинители.</w:t>
      </w:r>
    </w:p>
    <w:p w14:paraId="6009FFD1" w14:textId="77777777" w:rsidR="00262A83" w:rsidRDefault="00262A83">
      <w:pPr>
        <w:pStyle w:val="Bodytext20"/>
        <w:ind w:left="1780"/>
        <w:jc w:val="both"/>
      </w:pPr>
      <w:r>
        <w:rPr>
          <w:rStyle w:val="Bodytext2"/>
        </w:rPr>
        <w:t xml:space="preserve">Со оглед на тоа што 20 од вкупниот број кандидати останаа </w:t>
      </w:r>
      <w:proofErr w:type="spellStart"/>
      <w:r>
        <w:rPr>
          <w:rStyle w:val="Bodytext2"/>
        </w:rPr>
        <w:t>неизбрани</w:t>
      </w:r>
      <w:proofErr w:type="spellEnd"/>
      <w:r>
        <w:rPr>
          <w:rStyle w:val="Bodytext2"/>
        </w:rPr>
        <w:t xml:space="preserve">, </w:t>
      </w:r>
      <w:r>
        <w:rPr>
          <w:rStyle w:val="Bodytext2"/>
          <w:b/>
          <w:bCs/>
        </w:rPr>
        <w:t>на 11 март 2025 година</w:t>
      </w:r>
      <w:r>
        <w:rPr>
          <w:rStyle w:val="Bodytext2"/>
        </w:rPr>
        <w:t xml:space="preserve">, СС на јавна седница донесе одлука за објавување на </w:t>
      </w:r>
      <w:r>
        <w:rPr>
          <w:rStyle w:val="Bodytext2"/>
          <w:b/>
          <w:bCs/>
        </w:rPr>
        <w:t>ново слободно работно место за 35 нови судии</w:t>
      </w:r>
      <w:r>
        <w:rPr>
          <w:rStyle w:val="Bodytext2"/>
        </w:rPr>
        <w:t xml:space="preserve"> во 16 судови низ целата земја. Логиката зад објавувањето на поголем број слободни места од бројот на кандидати е очекувањето дека ќе има нееднаква распределба на кандидатите низ различните судови. </w:t>
      </w:r>
      <w:r>
        <w:rPr>
          <w:rStyle w:val="Bodytext2"/>
          <w:b/>
          <w:bCs/>
        </w:rPr>
        <w:t>На 12 март 2025 година</w:t>
      </w:r>
      <w:r>
        <w:rPr>
          <w:rStyle w:val="Bodytext2"/>
        </w:rPr>
        <w:t xml:space="preserve">, Судскиот совет на јавна седница донесе одлука за објавување на ново слободно работно место за </w:t>
      </w:r>
      <w:r>
        <w:rPr>
          <w:rStyle w:val="Bodytext2"/>
          <w:b/>
          <w:bCs/>
        </w:rPr>
        <w:t>19 јавни обвинители</w:t>
      </w:r>
      <w:r>
        <w:rPr>
          <w:rStyle w:val="Bodytext2"/>
        </w:rPr>
        <w:t>.</w:t>
      </w:r>
    </w:p>
    <w:p w14:paraId="7AA7CFF6" w14:textId="77777777" w:rsidR="00262A83" w:rsidRDefault="00262A83">
      <w:pPr>
        <w:pStyle w:val="Bodytext20"/>
        <w:numPr>
          <w:ilvl w:val="0"/>
          <w:numId w:val="17"/>
        </w:numPr>
        <w:tabs>
          <w:tab w:val="left" w:pos="2395"/>
        </w:tabs>
        <w:ind w:hanging="360"/>
        <w:jc w:val="both"/>
      </w:pPr>
      <w:r>
        <w:rPr>
          <w:rStyle w:val="Bodytext2"/>
        </w:rPr>
        <w:t xml:space="preserve">Одлуките донесени од Судскиот совет и Советот на јавни обвинители за </w:t>
      </w:r>
      <w:proofErr w:type="spellStart"/>
      <w:r>
        <w:rPr>
          <w:rStyle w:val="Bodytext2"/>
        </w:rPr>
        <w:t>назначувањата</w:t>
      </w:r>
      <w:proofErr w:type="spellEnd"/>
      <w:r>
        <w:rPr>
          <w:rStyle w:val="Bodytext2"/>
        </w:rPr>
        <w:t xml:space="preserve"> на дипломираните студенти на Академијата беа донесени </w:t>
      </w:r>
      <w:r>
        <w:rPr>
          <w:rStyle w:val="Bodytext2"/>
          <w:b/>
          <w:bCs/>
          <w:u w:val="single"/>
        </w:rPr>
        <w:t>по 28 февруари</w:t>
      </w:r>
      <w:r>
        <w:rPr>
          <w:rStyle w:val="Bodytext2"/>
          <w:u w:val="single"/>
        </w:rPr>
        <w:t>, а дополнителни назначувања ќе се случат во април 2025 година</w:t>
      </w:r>
      <w:r>
        <w:rPr>
          <w:rStyle w:val="Bodytext2"/>
        </w:rPr>
        <w:t>.</w:t>
      </w:r>
    </w:p>
    <w:p w14:paraId="12E204CF" w14:textId="77777777" w:rsidR="00262A83" w:rsidRDefault="00262A83">
      <w:pPr>
        <w:pStyle w:val="Bodytext20"/>
        <w:numPr>
          <w:ilvl w:val="0"/>
          <w:numId w:val="17"/>
        </w:numPr>
        <w:tabs>
          <w:tab w:val="left" w:pos="2395"/>
        </w:tabs>
        <w:ind w:hanging="360"/>
        <w:jc w:val="both"/>
      </w:pPr>
      <w:r>
        <w:rPr>
          <w:rStyle w:val="Bodytext2"/>
        </w:rPr>
        <w:t xml:space="preserve">Овие одлуки се однесуваат на позициите од 8-та генерација. Со оглед на тоа </w:t>
      </w:r>
      <w:r>
        <w:rPr>
          <w:rStyle w:val="Bodytext2"/>
        </w:rPr>
        <w:lastRenderedPageBreak/>
        <w:t>што дипломираните студенти ги добија своите дипломи на 5 февруари, беше законски и практично невозможно да се заврши процесот на избор до 28 февруари.</w:t>
      </w:r>
    </w:p>
    <w:p w14:paraId="03DF372B" w14:textId="77777777" w:rsidR="00262A83" w:rsidRDefault="00262A83">
      <w:pPr>
        <w:pStyle w:val="Bodytext20"/>
        <w:numPr>
          <w:ilvl w:val="0"/>
          <w:numId w:val="17"/>
        </w:numPr>
        <w:tabs>
          <w:tab w:val="left" w:pos="2395"/>
        </w:tabs>
        <w:ind w:hanging="360"/>
        <w:jc w:val="both"/>
      </w:pPr>
      <w:r>
        <w:rPr>
          <w:rStyle w:val="Bodytext2"/>
        </w:rPr>
        <w:t>77-те успешни дипломирани студенти сега положија заклетва, формално преземајќи ги своите улоги како судии и јавни обвинители. Во меѓувреме, Советите објавија нови повици за преостанатите 20 дипломирани студенти, а јавните седници за нивните назначувања се очекува да се одржат во текот на април 2025 година.</w:t>
      </w:r>
    </w:p>
    <w:p w14:paraId="2554286A" w14:textId="77777777" w:rsidR="00262A83" w:rsidRDefault="00262A83">
      <w:pPr>
        <w:pStyle w:val="Bodytext20"/>
        <w:ind w:left="1780"/>
        <w:jc w:val="both"/>
      </w:pPr>
      <w:r>
        <w:rPr>
          <w:rStyle w:val="Bodytext2"/>
        </w:rPr>
        <w:t xml:space="preserve">Постапката за прием и почетната обука (т.е. последната фаза пред регрутирање) на приправници за 100 судии и 30 јавни обвинители од 9-та генерација е сè уште во мирување, поради Заклучоците на Владата за запирање на сите постапки за вработување. Пресудите на Управниот и Вишиот </w:t>
      </w:r>
      <w:proofErr w:type="spellStart"/>
      <w:r>
        <w:rPr>
          <w:rStyle w:val="Bodytext2"/>
        </w:rPr>
        <w:t>управен</w:t>
      </w:r>
      <w:proofErr w:type="spellEnd"/>
      <w:r>
        <w:rPr>
          <w:rStyle w:val="Bodytext2"/>
        </w:rPr>
        <w:t xml:space="preserve"> суд ја </w:t>
      </w:r>
      <w:proofErr w:type="spellStart"/>
      <w:r>
        <w:rPr>
          <w:rStyle w:val="Bodytext2"/>
        </w:rPr>
        <w:t>категоризираа</w:t>
      </w:r>
      <w:proofErr w:type="spellEnd"/>
      <w:r>
        <w:rPr>
          <w:rStyle w:val="Bodytext2"/>
        </w:rPr>
        <w:t xml:space="preserve"> постапката за прием во Академијата како постапка за вработување. Суспендираната постапка за прием е во последната фаза од процесот на полагање испити, односно писмен и устен дел. Регрутирањето на нови приправници во Академијата сè уште не е започнато и тие ќе имаат право на назначување само по завршувањето на двегодишната програма за обука во Академијата - под услов процесот да продолжи.</w:t>
      </w:r>
    </w:p>
    <w:p w14:paraId="289F4267" w14:textId="77777777" w:rsidR="00262A83" w:rsidRDefault="00262A83">
      <w:pPr>
        <w:pStyle w:val="Bodytext20"/>
        <w:ind w:left="1780"/>
        <w:jc w:val="both"/>
      </w:pPr>
      <w:r>
        <w:rPr>
          <w:rStyle w:val="Bodytext2"/>
        </w:rPr>
        <w:t>Управниот одбор на Академијата ќе одлучи за продолжување на процесот на прием по добивање на дополнителен одговор од Владата. Судскиот совет и Советот на јавни обвинители веќе побараа 162 кандидати за судии, односно 30 кандидати за обвинители за 10-та генерација.</w:t>
      </w:r>
    </w:p>
    <w:p w14:paraId="00C31F5F" w14:textId="77777777" w:rsidR="00262A83" w:rsidRDefault="00262A83">
      <w:pPr>
        <w:pStyle w:val="Bodytext20"/>
        <w:numPr>
          <w:ilvl w:val="0"/>
          <w:numId w:val="17"/>
        </w:numPr>
        <w:tabs>
          <w:tab w:val="left" w:pos="2395"/>
        </w:tabs>
        <w:spacing w:after="920"/>
        <w:ind w:hanging="360"/>
        <w:jc w:val="both"/>
      </w:pPr>
      <w:r>
        <w:rPr>
          <w:rStyle w:val="Bodytext2"/>
        </w:rPr>
        <w:t xml:space="preserve">Одлуките за назначување на судии и обвинители не претставуваат гаранција дека работните места ќе бидат пополнети, ниту дека ќе има континуитет во пополнувањето на работните места. </w:t>
      </w:r>
      <w:r>
        <w:rPr>
          <w:rStyle w:val="Bodytext2"/>
          <w:b/>
          <w:bCs/>
        </w:rPr>
        <w:t>Пристапот „редовна основа“ наведен во чекорот не е постигнат.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14:paraId="611FCA31" w14:textId="77777777">
        <w:trPr>
          <w:trHeight w:hRule="exact" w:val="2016"/>
          <w:jc w:val="center"/>
        </w:trPr>
        <w:tc>
          <w:tcPr>
            <w:tcW w:w="1714" w:type="dxa"/>
            <w:tcBorders>
              <w:top w:val="single" w:sz="4" w:space="0" w:color="auto"/>
              <w:left w:val="single" w:sz="4" w:space="0" w:color="auto"/>
            </w:tcBorders>
            <w:shd w:val="clear" w:color="auto" w:fill="E8E8E8"/>
          </w:tcPr>
          <w:p w14:paraId="3A49F411" w14:textId="77777777" w:rsidR="00262A83" w:rsidRDefault="00262A83">
            <w:pPr>
              <w:rPr>
                <w:sz w:val="10"/>
                <w:szCs w:val="10"/>
              </w:rPr>
            </w:pPr>
          </w:p>
        </w:tc>
        <w:tc>
          <w:tcPr>
            <w:tcW w:w="7805" w:type="dxa"/>
            <w:tcBorders>
              <w:top w:val="single" w:sz="4" w:space="0" w:color="auto"/>
              <w:left w:val="single" w:sz="4" w:space="0" w:color="auto"/>
              <w:right w:val="single" w:sz="4" w:space="0" w:color="auto"/>
            </w:tcBorders>
          </w:tcPr>
          <w:p w14:paraId="23D2980C" w14:textId="26491865" w:rsidR="00262A83" w:rsidRDefault="00262A83" w:rsidP="00262A83">
            <w:pPr>
              <w:pStyle w:val="Other0"/>
              <w:tabs>
                <w:tab w:val="left" w:pos="720"/>
              </w:tabs>
              <w:ind w:firstLine="360"/>
              <w:jc w:val="both"/>
            </w:pPr>
            <w:r>
              <w:rPr>
                <w:rStyle w:val="Other"/>
              </w:rPr>
              <w:t>• Бидејќи чекорот ќе се повтори во декември 2026 година, каде што основната состојба ќе биде процената на чекорот во декември 2024 година, малку е веројатно дека целта ќе се исполни тогаш, бидејќи обуката во Академијата трае две години. Понатаму, помеѓу дипломирањето и назначувањето/изборот, постојат различни чекори што треба да се преземат за кои се потребни 2-3 месеци. На пример, кандидатите од 7-та генерација дипломираа во март 2023 година. Судиите беа избрани во јули 2023 година, додека јавните обвинители беа избрани помеѓу мај и јули 2023 година.</w:t>
            </w:r>
          </w:p>
        </w:tc>
      </w:tr>
      <w:tr w:rsidR="00262A83" w14:paraId="38D5C475" w14:textId="77777777">
        <w:trPr>
          <w:trHeight w:hRule="exact" w:val="480"/>
          <w:jc w:val="center"/>
        </w:trPr>
        <w:tc>
          <w:tcPr>
            <w:tcW w:w="1714" w:type="dxa"/>
            <w:tcBorders>
              <w:left w:val="single" w:sz="4" w:space="0" w:color="auto"/>
            </w:tcBorders>
            <w:shd w:val="clear" w:color="auto" w:fill="E8E8E8"/>
          </w:tcPr>
          <w:p w14:paraId="1B9C9EBB" w14:textId="77777777" w:rsidR="00262A83" w:rsidRDefault="00262A83">
            <w:pPr>
              <w:rPr>
                <w:sz w:val="10"/>
                <w:szCs w:val="10"/>
              </w:rPr>
            </w:pPr>
          </w:p>
        </w:tc>
        <w:tc>
          <w:tcPr>
            <w:tcW w:w="7805" w:type="dxa"/>
            <w:tcBorders>
              <w:left w:val="single" w:sz="4" w:space="0" w:color="auto"/>
              <w:right w:val="single" w:sz="4" w:space="0" w:color="auto"/>
            </w:tcBorders>
            <w:vAlign w:val="bottom"/>
          </w:tcPr>
          <w:p w14:paraId="6282391C" w14:textId="77777777" w:rsidR="00262A83" w:rsidRDefault="00262A83">
            <w:pPr>
              <w:pStyle w:val="Other0"/>
              <w:jc w:val="both"/>
            </w:pPr>
            <w:r>
              <w:rPr>
                <w:rStyle w:val="Other"/>
                <w:b/>
                <w:u w:val="single"/>
              </w:rPr>
              <w:t>Унапредувања</w:t>
            </w:r>
          </w:p>
        </w:tc>
      </w:tr>
      <w:tr w:rsidR="00262A83" w14:paraId="4253C210" w14:textId="77777777">
        <w:trPr>
          <w:trHeight w:hRule="exact" w:val="1027"/>
          <w:jc w:val="center"/>
        </w:trPr>
        <w:tc>
          <w:tcPr>
            <w:tcW w:w="1714" w:type="dxa"/>
            <w:tcBorders>
              <w:left w:val="single" w:sz="4" w:space="0" w:color="auto"/>
            </w:tcBorders>
            <w:shd w:val="clear" w:color="auto" w:fill="E8E8E8"/>
          </w:tcPr>
          <w:p w14:paraId="7BDE9BCF" w14:textId="77777777" w:rsidR="00262A83" w:rsidRDefault="00262A83">
            <w:pPr>
              <w:rPr>
                <w:sz w:val="10"/>
                <w:szCs w:val="10"/>
              </w:rPr>
            </w:pPr>
          </w:p>
        </w:tc>
        <w:tc>
          <w:tcPr>
            <w:tcW w:w="7805" w:type="dxa"/>
            <w:tcBorders>
              <w:top w:val="single" w:sz="4" w:space="0" w:color="auto"/>
              <w:left w:val="single" w:sz="4" w:space="0" w:color="auto"/>
              <w:right w:val="single" w:sz="4" w:space="0" w:color="auto"/>
            </w:tcBorders>
          </w:tcPr>
          <w:p w14:paraId="260C5634" w14:textId="77777777" w:rsidR="00262A83" w:rsidRDefault="00262A83">
            <w:pPr>
              <w:pStyle w:val="Other0"/>
              <w:jc w:val="both"/>
            </w:pPr>
            <w:r>
              <w:rPr>
                <w:rStyle w:val="Other"/>
              </w:rPr>
              <w:t>Помеѓу јули 2024 и март 2025 година, тие назначија 17 судии и 7 јавни обвинители. Станува збор за судии и јавни обвинители унапредени во повисок суд/јавно обвинителство, па ова се однесува само на постапките за унапредување.</w:t>
            </w:r>
          </w:p>
        </w:tc>
      </w:tr>
      <w:tr w:rsidR="00262A83" w14:paraId="311B28D9" w14:textId="77777777">
        <w:trPr>
          <w:trHeight w:hRule="exact" w:val="418"/>
          <w:jc w:val="center"/>
        </w:trPr>
        <w:tc>
          <w:tcPr>
            <w:tcW w:w="1714" w:type="dxa"/>
            <w:tcBorders>
              <w:left w:val="single" w:sz="4" w:space="0" w:color="auto"/>
            </w:tcBorders>
            <w:shd w:val="clear" w:color="auto" w:fill="E8E8E8"/>
          </w:tcPr>
          <w:p w14:paraId="2248A9FE" w14:textId="77777777" w:rsidR="00262A83" w:rsidRDefault="00262A83">
            <w:pPr>
              <w:rPr>
                <w:sz w:val="10"/>
                <w:szCs w:val="10"/>
              </w:rPr>
            </w:pPr>
          </w:p>
        </w:tc>
        <w:tc>
          <w:tcPr>
            <w:tcW w:w="7805" w:type="dxa"/>
            <w:tcBorders>
              <w:left w:val="single" w:sz="4" w:space="0" w:color="auto"/>
              <w:right w:val="single" w:sz="4" w:space="0" w:color="auto"/>
            </w:tcBorders>
            <w:vAlign w:val="bottom"/>
          </w:tcPr>
          <w:p w14:paraId="58AE485E" w14:textId="77777777" w:rsidR="00262A83" w:rsidRDefault="00262A83">
            <w:pPr>
              <w:pStyle w:val="Other0"/>
              <w:jc w:val="both"/>
            </w:pPr>
            <w:r>
              <w:rPr>
                <w:rStyle w:val="Other"/>
                <w:b/>
              </w:rPr>
              <w:t>Стратегии за човечки ресурси (СЧР) за СС и СЈО</w:t>
            </w:r>
          </w:p>
        </w:tc>
      </w:tr>
      <w:tr w:rsidR="00262A83" w14:paraId="7E0BD94F" w14:textId="77777777" w:rsidTr="00594D0E">
        <w:trPr>
          <w:trHeight w:hRule="exact" w:val="2164"/>
          <w:jc w:val="center"/>
        </w:trPr>
        <w:tc>
          <w:tcPr>
            <w:tcW w:w="1714" w:type="dxa"/>
            <w:tcBorders>
              <w:left w:val="single" w:sz="4" w:space="0" w:color="auto"/>
            </w:tcBorders>
            <w:shd w:val="clear" w:color="auto" w:fill="E8E8E8"/>
          </w:tcPr>
          <w:p w14:paraId="79FAD97B" w14:textId="77777777" w:rsidR="00262A83" w:rsidRDefault="00262A83">
            <w:pPr>
              <w:rPr>
                <w:sz w:val="10"/>
                <w:szCs w:val="10"/>
              </w:rPr>
            </w:pPr>
          </w:p>
        </w:tc>
        <w:tc>
          <w:tcPr>
            <w:tcW w:w="7805" w:type="dxa"/>
            <w:tcBorders>
              <w:top w:val="single" w:sz="4" w:space="0" w:color="auto"/>
              <w:left w:val="single" w:sz="4" w:space="0" w:color="auto"/>
              <w:right w:val="single" w:sz="4" w:space="0" w:color="auto"/>
            </w:tcBorders>
            <w:vAlign w:val="bottom"/>
          </w:tcPr>
          <w:p w14:paraId="27763CEB" w14:textId="77777777" w:rsidR="00262A83" w:rsidRDefault="00262A83" w:rsidP="007E034B">
            <w:pPr>
              <w:pStyle w:val="Other0"/>
              <w:jc w:val="both"/>
            </w:pPr>
            <w:r>
              <w:rPr>
                <w:rStyle w:val="Other"/>
              </w:rPr>
              <w:t xml:space="preserve">Поради отпор кон промени, ограничувања на ресурсите, комплексност на интеграцијата и несоодветна политичка поддршка, Стратегијата за човечки ресурси во судството останува во голема мера </w:t>
            </w:r>
            <w:proofErr w:type="spellStart"/>
            <w:r>
              <w:rPr>
                <w:rStyle w:val="Other"/>
              </w:rPr>
              <w:t>неспроведена</w:t>
            </w:r>
            <w:proofErr w:type="spellEnd"/>
            <w:r>
              <w:rPr>
                <w:rStyle w:val="Other"/>
              </w:rPr>
              <w:t xml:space="preserve">, со минимален напредок до денес. Истото важи и за Стратегијата за човечки ресурси за Јавното обвинителство од 2020 година, без дополнително да се прецизира </w:t>
            </w:r>
            <w:proofErr w:type="spellStart"/>
            <w:r>
              <w:rPr>
                <w:rStyle w:val="Other"/>
              </w:rPr>
              <w:t>опфатениот</w:t>
            </w:r>
            <w:proofErr w:type="spellEnd"/>
            <w:r>
              <w:rPr>
                <w:rStyle w:val="Other"/>
              </w:rPr>
              <w:t xml:space="preserve"> временски период. Стратегијата вклучува анализа на состојбата во Јавното обвинителство за 2017 година и Акциските планови за 2018 година, кои беа предвидени да се спроведат до 2023 година.</w:t>
            </w:r>
          </w:p>
        </w:tc>
      </w:tr>
      <w:tr w:rsidR="00262A83" w14:paraId="414232DA" w14:textId="77777777">
        <w:trPr>
          <w:trHeight w:hRule="exact" w:val="341"/>
          <w:jc w:val="center"/>
        </w:trPr>
        <w:tc>
          <w:tcPr>
            <w:tcW w:w="1714" w:type="dxa"/>
            <w:tcBorders>
              <w:left w:val="single" w:sz="4" w:space="0" w:color="auto"/>
            </w:tcBorders>
            <w:shd w:val="clear" w:color="auto" w:fill="E8E8E8"/>
          </w:tcPr>
          <w:p w14:paraId="279CB904" w14:textId="77777777" w:rsidR="00262A83" w:rsidRDefault="00262A83">
            <w:pPr>
              <w:rPr>
                <w:sz w:val="10"/>
                <w:szCs w:val="10"/>
              </w:rPr>
            </w:pPr>
          </w:p>
        </w:tc>
        <w:tc>
          <w:tcPr>
            <w:tcW w:w="7805" w:type="dxa"/>
            <w:tcBorders>
              <w:left w:val="single" w:sz="4" w:space="0" w:color="auto"/>
              <w:right w:val="single" w:sz="4" w:space="0" w:color="auto"/>
            </w:tcBorders>
            <w:vAlign w:val="center"/>
          </w:tcPr>
          <w:p w14:paraId="4272981C" w14:textId="77777777" w:rsidR="00262A83" w:rsidRDefault="00262A83">
            <w:pPr>
              <w:pStyle w:val="Other0"/>
              <w:tabs>
                <w:tab w:val="left" w:pos="710"/>
              </w:tabs>
              <w:ind w:firstLine="360"/>
              <w:jc w:val="both"/>
            </w:pPr>
            <w:r>
              <w:rPr>
                <w:rStyle w:val="Other"/>
              </w:rPr>
              <w:t>• Нема следење на спроведувањето на стратегијата.</w:t>
            </w:r>
          </w:p>
        </w:tc>
      </w:tr>
      <w:tr w:rsidR="00262A83" w14:paraId="6CCA62A5" w14:textId="77777777">
        <w:trPr>
          <w:trHeight w:hRule="exact" w:val="826"/>
          <w:jc w:val="center"/>
        </w:trPr>
        <w:tc>
          <w:tcPr>
            <w:tcW w:w="1714" w:type="dxa"/>
            <w:tcBorders>
              <w:left w:val="single" w:sz="4" w:space="0" w:color="auto"/>
            </w:tcBorders>
            <w:shd w:val="clear" w:color="auto" w:fill="E8E8E8"/>
          </w:tcPr>
          <w:p w14:paraId="23A5B661" w14:textId="77777777" w:rsidR="00262A83" w:rsidRDefault="00262A83">
            <w:pPr>
              <w:rPr>
                <w:sz w:val="10"/>
                <w:szCs w:val="10"/>
              </w:rPr>
            </w:pPr>
          </w:p>
        </w:tc>
        <w:tc>
          <w:tcPr>
            <w:tcW w:w="7805" w:type="dxa"/>
            <w:tcBorders>
              <w:left w:val="single" w:sz="4" w:space="0" w:color="auto"/>
              <w:right w:val="single" w:sz="4" w:space="0" w:color="auto"/>
            </w:tcBorders>
            <w:vAlign w:val="bottom"/>
          </w:tcPr>
          <w:p w14:paraId="27527145" w14:textId="77777777" w:rsidR="00262A83" w:rsidRDefault="00262A83">
            <w:pPr>
              <w:pStyle w:val="Other0"/>
              <w:tabs>
                <w:tab w:val="left" w:pos="710"/>
              </w:tabs>
              <w:ind w:firstLine="360"/>
              <w:jc w:val="both"/>
            </w:pPr>
            <w:r>
              <w:rPr>
                <w:rStyle w:val="Other"/>
              </w:rPr>
              <w:t xml:space="preserve">• Ажурирањето на СЧР за судството и неговото соодветно спроведување се </w:t>
            </w:r>
          </w:p>
          <w:p w14:paraId="20D0293A" w14:textId="77777777" w:rsidR="00262A83" w:rsidRDefault="00262A83">
            <w:pPr>
              <w:pStyle w:val="Other0"/>
              <w:ind w:left="720"/>
              <w:jc w:val="both"/>
            </w:pPr>
            <w:r>
              <w:rPr>
                <w:rStyle w:val="Other"/>
              </w:rPr>
              <w:t>конзистентна препорака на Европската комисија во сите извештаи за проширување за Северна Македонија од 2020 година.</w:t>
            </w:r>
          </w:p>
        </w:tc>
      </w:tr>
      <w:tr w:rsidR="00262A83" w14:paraId="0751EC81" w14:textId="77777777" w:rsidTr="00594D0E">
        <w:trPr>
          <w:trHeight w:hRule="exact" w:val="1160"/>
          <w:jc w:val="center"/>
        </w:trPr>
        <w:tc>
          <w:tcPr>
            <w:tcW w:w="1714" w:type="dxa"/>
            <w:tcBorders>
              <w:left w:val="single" w:sz="4" w:space="0" w:color="auto"/>
            </w:tcBorders>
            <w:shd w:val="clear" w:color="auto" w:fill="E8E8E8"/>
          </w:tcPr>
          <w:p w14:paraId="2B374635" w14:textId="77777777" w:rsidR="00262A83" w:rsidRDefault="00262A83">
            <w:pPr>
              <w:rPr>
                <w:sz w:val="10"/>
                <w:szCs w:val="10"/>
              </w:rPr>
            </w:pPr>
          </w:p>
        </w:tc>
        <w:tc>
          <w:tcPr>
            <w:tcW w:w="7805" w:type="dxa"/>
            <w:tcBorders>
              <w:left w:val="single" w:sz="4" w:space="0" w:color="auto"/>
              <w:right w:val="single" w:sz="4" w:space="0" w:color="auto"/>
            </w:tcBorders>
          </w:tcPr>
          <w:p w14:paraId="7ED9DF21" w14:textId="23527140" w:rsidR="00262A83" w:rsidRDefault="00262A83" w:rsidP="00262A83">
            <w:pPr>
              <w:pStyle w:val="Other0"/>
              <w:tabs>
                <w:tab w:val="left" w:pos="710"/>
              </w:tabs>
              <w:spacing w:line="252" w:lineRule="auto"/>
              <w:ind w:firstLine="360"/>
              <w:jc w:val="both"/>
            </w:pPr>
            <w:r>
              <w:rPr>
                <w:rStyle w:val="Other"/>
              </w:rPr>
              <w:t>• Беше воведено во чекорот бидејќи правилното ажурирање и спроведувањето на двете СЧР би ги докажале нивните напори во решавањето на преостанатите препораки на Комисијата.</w:t>
            </w:r>
          </w:p>
        </w:tc>
      </w:tr>
      <w:tr w:rsidR="00262A83" w14:paraId="2594F279" w14:textId="77777777">
        <w:trPr>
          <w:trHeight w:hRule="exact" w:val="763"/>
          <w:jc w:val="center"/>
        </w:trPr>
        <w:tc>
          <w:tcPr>
            <w:tcW w:w="1714" w:type="dxa"/>
            <w:tcBorders>
              <w:left w:val="single" w:sz="4" w:space="0" w:color="auto"/>
            </w:tcBorders>
            <w:shd w:val="clear" w:color="auto" w:fill="E8E8E8"/>
          </w:tcPr>
          <w:p w14:paraId="6CEAD07A" w14:textId="77777777" w:rsidR="00262A83" w:rsidRDefault="00262A83">
            <w:pPr>
              <w:rPr>
                <w:sz w:val="10"/>
                <w:szCs w:val="10"/>
              </w:rPr>
            </w:pPr>
          </w:p>
        </w:tc>
        <w:tc>
          <w:tcPr>
            <w:tcW w:w="7805" w:type="dxa"/>
            <w:tcBorders>
              <w:left w:val="single" w:sz="4" w:space="0" w:color="auto"/>
              <w:right w:val="single" w:sz="4" w:space="0" w:color="auto"/>
            </w:tcBorders>
            <w:vAlign w:val="bottom"/>
          </w:tcPr>
          <w:p w14:paraId="074CBA55" w14:textId="77777777" w:rsidR="00262A83" w:rsidRDefault="00262A83">
            <w:pPr>
              <w:pStyle w:val="Other0"/>
              <w:jc w:val="both"/>
            </w:pPr>
            <w:r>
              <w:rPr>
                <w:rStyle w:val="Other"/>
                <w:b/>
                <w:bCs/>
                <w:u w:val="single"/>
              </w:rPr>
              <w:t>Измени на Законот за работни односи</w:t>
            </w:r>
            <w:r>
              <w:rPr>
                <w:rStyle w:val="Other"/>
              </w:rPr>
              <w:t xml:space="preserve"> (објавени во Службен весник бр. 39/2025 на 20 февруари 2025 година, а во сила од истиот датум)</w:t>
            </w:r>
          </w:p>
        </w:tc>
      </w:tr>
      <w:tr w:rsidR="00262A83" w14:paraId="75BBF463" w14:textId="77777777" w:rsidTr="00262A83">
        <w:trPr>
          <w:trHeight w:hRule="exact" w:val="1082"/>
          <w:jc w:val="center"/>
        </w:trPr>
        <w:tc>
          <w:tcPr>
            <w:tcW w:w="1714" w:type="dxa"/>
            <w:tcBorders>
              <w:left w:val="single" w:sz="4" w:space="0" w:color="auto"/>
            </w:tcBorders>
            <w:shd w:val="clear" w:color="auto" w:fill="E8E8E8"/>
          </w:tcPr>
          <w:p w14:paraId="5E26CA25" w14:textId="77777777" w:rsidR="00262A83" w:rsidRDefault="00262A83">
            <w:pPr>
              <w:rPr>
                <w:sz w:val="10"/>
                <w:szCs w:val="10"/>
              </w:rPr>
            </w:pPr>
          </w:p>
        </w:tc>
        <w:tc>
          <w:tcPr>
            <w:tcW w:w="7805" w:type="dxa"/>
            <w:tcBorders>
              <w:left w:val="single" w:sz="4" w:space="0" w:color="auto"/>
              <w:right w:val="single" w:sz="4" w:space="0" w:color="auto"/>
            </w:tcBorders>
            <w:vAlign w:val="center"/>
          </w:tcPr>
          <w:p w14:paraId="1125E481" w14:textId="5CEEDDE2" w:rsidR="00262A83" w:rsidRDefault="00262A83" w:rsidP="00D43EC1">
            <w:pPr>
              <w:pStyle w:val="Other0"/>
              <w:jc w:val="both"/>
            </w:pPr>
            <w:r>
              <w:rPr>
                <w:rStyle w:val="Other"/>
                <w:b/>
                <w:bCs/>
              </w:rPr>
              <w:t>Судиите и јавните обвинители</w:t>
            </w:r>
            <w:r>
              <w:rPr>
                <w:rStyle w:val="Other"/>
              </w:rPr>
              <w:t xml:space="preserve"> сега имаат </w:t>
            </w:r>
            <w:r>
              <w:rPr>
                <w:rStyle w:val="Other"/>
                <w:b/>
                <w:bCs/>
              </w:rPr>
              <w:t>можност да продолжат да ја вршат својата функција</w:t>
            </w:r>
            <w:r>
              <w:rPr>
                <w:rStyle w:val="Other"/>
              </w:rPr>
              <w:t xml:space="preserve"> дури и по исполнувањето на условите за старосна пензија, </w:t>
            </w:r>
            <w:r>
              <w:rPr>
                <w:rStyle w:val="Other"/>
                <w:b/>
                <w:bCs/>
              </w:rPr>
              <w:t>до 67-годишна возраст</w:t>
            </w:r>
            <w:r>
              <w:rPr>
                <w:rStyle w:val="Other"/>
              </w:rPr>
              <w:t>.</w:t>
            </w:r>
          </w:p>
        </w:tc>
      </w:tr>
      <w:tr w:rsidR="00262A83" w14:paraId="3964F242" w14:textId="77777777" w:rsidTr="00694792">
        <w:trPr>
          <w:trHeight w:hRule="exact" w:val="2549"/>
          <w:jc w:val="center"/>
        </w:trPr>
        <w:tc>
          <w:tcPr>
            <w:tcW w:w="1714" w:type="dxa"/>
            <w:tcBorders>
              <w:left w:val="single" w:sz="4" w:space="0" w:color="auto"/>
            </w:tcBorders>
            <w:shd w:val="clear" w:color="auto" w:fill="E8E8E8"/>
          </w:tcPr>
          <w:p w14:paraId="469B7DC3" w14:textId="77777777" w:rsidR="00262A83" w:rsidRDefault="00262A83">
            <w:pPr>
              <w:rPr>
                <w:sz w:val="10"/>
                <w:szCs w:val="10"/>
              </w:rPr>
            </w:pPr>
          </w:p>
        </w:tc>
        <w:tc>
          <w:tcPr>
            <w:tcW w:w="7805" w:type="dxa"/>
            <w:tcBorders>
              <w:left w:val="single" w:sz="4" w:space="0" w:color="auto"/>
              <w:right w:val="single" w:sz="4" w:space="0" w:color="auto"/>
            </w:tcBorders>
            <w:vAlign w:val="bottom"/>
          </w:tcPr>
          <w:p w14:paraId="56348F29" w14:textId="77777777" w:rsidR="00262A83" w:rsidRDefault="00262A83">
            <w:pPr>
              <w:pStyle w:val="Other0"/>
              <w:jc w:val="both"/>
            </w:pPr>
            <w:r>
              <w:rPr>
                <w:rStyle w:val="Other"/>
              </w:rPr>
              <w:t xml:space="preserve">Според Анализата за утврдување на бројот на слободни места за судии во основните судови на Република Северна Македонија, подготвена од Судскиот совет во април 2024 година, потребни се вкупно 434 судии на основните судови за да се обезбеди ефикасно спроведување на правдата. Сепак, во тоа време биле активни само 274 судии, оставајќи 160 места непополнети. Иако 55 кандидати за судии од 8-та генерација на Академијата за судии и јавни обвинители се назначени за судии во март 2025 година, дури и со овие назначувања, недостигот на судии сепак </w:t>
            </w:r>
            <w:r>
              <w:rPr>
                <w:rStyle w:val="Other"/>
                <w:b/>
                <w:bCs/>
              </w:rPr>
              <w:t>ќе надмине 100</w:t>
            </w:r>
            <w:r>
              <w:rPr>
                <w:rStyle w:val="Other"/>
              </w:rPr>
              <w:t>.</w:t>
            </w:r>
            <w:r>
              <w:rPr>
                <w:rStyle w:val="Other"/>
                <w:b/>
              </w:rPr>
              <w:t xml:space="preserve"> </w:t>
            </w:r>
            <w:r>
              <w:rPr>
                <w:rStyle w:val="Other"/>
              </w:rPr>
              <w:t>Со оглед на тоа што кандидатите за 9-та генерација на Академијата сè уште не се запишани, малку е веројатно дека нови кандидати за судии ќе бидат достапни пред 2027 година.</w:t>
            </w:r>
          </w:p>
        </w:tc>
      </w:tr>
      <w:tr w:rsidR="00262A83" w14:paraId="770B05B0" w14:textId="77777777" w:rsidTr="00694792">
        <w:trPr>
          <w:trHeight w:hRule="exact" w:val="1567"/>
          <w:jc w:val="center"/>
        </w:trPr>
        <w:tc>
          <w:tcPr>
            <w:tcW w:w="1714" w:type="dxa"/>
            <w:tcBorders>
              <w:left w:val="single" w:sz="4" w:space="0" w:color="auto"/>
            </w:tcBorders>
            <w:shd w:val="clear" w:color="auto" w:fill="E8E8E8"/>
          </w:tcPr>
          <w:p w14:paraId="70AEAA10" w14:textId="77777777" w:rsidR="00262A83" w:rsidRDefault="00262A83">
            <w:pPr>
              <w:rPr>
                <w:sz w:val="10"/>
                <w:szCs w:val="10"/>
              </w:rPr>
            </w:pPr>
          </w:p>
        </w:tc>
        <w:tc>
          <w:tcPr>
            <w:tcW w:w="7805" w:type="dxa"/>
            <w:tcBorders>
              <w:left w:val="single" w:sz="4" w:space="0" w:color="auto"/>
              <w:right w:val="single" w:sz="4" w:space="0" w:color="auto"/>
            </w:tcBorders>
            <w:vAlign w:val="bottom"/>
          </w:tcPr>
          <w:p w14:paraId="77BF0AB7" w14:textId="77777777" w:rsidR="00262A83" w:rsidRDefault="00262A83">
            <w:pPr>
              <w:pStyle w:val="Other0"/>
              <w:jc w:val="both"/>
            </w:pPr>
            <w:r>
              <w:rPr>
                <w:rStyle w:val="Other"/>
              </w:rPr>
              <w:t xml:space="preserve">Неодамнешните измени на Законот за работни односи не даваат решение за овој драстичен недостиг на судии. Најефикасниот чекор за решавање на ова прашање и обезбедување одржливост е што е можно поскоро да се запишат нови кандидати и потенцијално да се зголеми нивниот број во Академијата. Земајќи го предвид фактот дека 17 обвинители ќе ја достигнат возраста за пензионирање во 2025-2026 година, ќе биде можно овие 17 обвинители </w:t>
            </w:r>
          </w:p>
        </w:tc>
      </w:tr>
    </w:tbl>
    <w:p w14:paraId="25EC8458" w14:textId="2DC3FB31" w:rsidR="00262A83" w:rsidRDefault="00262A8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14"/>
        <w:gridCol w:w="7805"/>
      </w:tblGrid>
      <w:tr w:rsidR="00262A83" w14:paraId="7D5FBF04" w14:textId="77777777" w:rsidTr="00594D0E">
        <w:trPr>
          <w:trHeight w:hRule="exact" w:val="3980"/>
          <w:jc w:val="center"/>
        </w:trPr>
        <w:tc>
          <w:tcPr>
            <w:tcW w:w="1714" w:type="dxa"/>
            <w:tcBorders>
              <w:top w:val="single" w:sz="4" w:space="0" w:color="auto"/>
              <w:left w:val="single" w:sz="4" w:space="0" w:color="auto"/>
            </w:tcBorders>
            <w:shd w:val="clear" w:color="auto" w:fill="E8E8E8"/>
          </w:tcPr>
          <w:p w14:paraId="7D9DEE85" w14:textId="77777777" w:rsidR="00262A83" w:rsidRDefault="00262A83">
            <w:pPr>
              <w:rPr>
                <w:sz w:val="10"/>
                <w:szCs w:val="10"/>
              </w:rPr>
            </w:pPr>
          </w:p>
        </w:tc>
        <w:tc>
          <w:tcPr>
            <w:tcW w:w="7805" w:type="dxa"/>
            <w:tcBorders>
              <w:top w:val="single" w:sz="4" w:space="0" w:color="auto"/>
              <w:left w:val="single" w:sz="4" w:space="0" w:color="auto"/>
              <w:right w:val="single" w:sz="4" w:space="0" w:color="auto"/>
            </w:tcBorders>
            <w:vAlign w:val="center"/>
          </w:tcPr>
          <w:p w14:paraId="2ED45A41" w14:textId="77777777" w:rsidR="00262A83" w:rsidRDefault="00262A83">
            <w:pPr>
              <w:pStyle w:val="Other0"/>
              <w:spacing w:after="60"/>
              <w:jc w:val="both"/>
            </w:pPr>
            <w:r>
              <w:rPr>
                <w:rStyle w:val="Other"/>
              </w:rPr>
              <w:t>да продолжат да ја вршат функцијата. Што се однесува до судиите, перспективата за 2025-2026 година вклучува можни 37 кои би можеле да продолжат на функцијата. Сепак, невозможно е да се предвиди колкумина всушност ќе го сторат тоа, бидејќи тоа зависи од индивидуалните одлуки на обвинителите. Некои може да изберат да не продолжат, други може да ја продолжат својата функција за пократок период, а некои може да се пензионираат дури и додека продолжувањето е на сила. Дополнително, продолжувањето на возраста за пензионирање би можело да се отповика, бидејќи Законот што го регулира ова прашање може да се измени со просто мнозинство во Собранието (веќе се случи во 2021 година).</w:t>
            </w:r>
          </w:p>
          <w:p w14:paraId="239745DC" w14:textId="77777777" w:rsidR="00262A83" w:rsidRDefault="00262A83">
            <w:pPr>
              <w:pStyle w:val="Other0"/>
              <w:jc w:val="both"/>
            </w:pPr>
            <w:r>
              <w:rPr>
                <w:rStyle w:val="Other"/>
              </w:rPr>
              <w:t>77 судии и обвинители од 8-та генерација беа избрани, но со задоцнување и без да се гарантира критериумот „избор на редовна основа“, со оглед на тоа што постапките за 9-та и 10-та генерација сè уште не се започнати. Понатаму, проекциите во врска со условите за пензионирање на јавните обвинители и судиите не даваат долгорочно решение за пополнување на работните места во судството на редовна основа.</w:t>
            </w:r>
          </w:p>
        </w:tc>
      </w:tr>
      <w:tr w:rsidR="00262A83" w14:paraId="17BF7090" w14:textId="77777777">
        <w:trPr>
          <w:trHeight w:hRule="exact" w:val="1949"/>
          <w:jc w:val="center"/>
        </w:trPr>
        <w:tc>
          <w:tcPr>
            <w:tcW w:w="1714" w:type="dxa"/>
            <w:tcBorders>
              <w:top w:val="single" w:sz="4" w:space="0" w:color="auto"/>
              <w:left w:val="single" w:sz="4" w:space="0" w:color="auto"/>
            </w:tcBorders>
            <w:shd w:val="clear" w:color="auto" w:fill="E8E8E8"/>
            <w:vAlign w:val="center"/>
          </w:tcPr>
          <w:p w14:paraId="5D300233" w14:textId="77777777" w:rsidR="00262A83" w:rsidRDefault="00262A83">
            <w:pPr>
              <w:pStyle w:val="Other0"/>
            </w:pPr>
            <w:r>
              <w:rPr>
                <w:rStyle w:val="Other"/>
                <w:b/>
              </w:rPr>
              <w:t>Извршени проверки и докази што се користат при верификација на чекорот и поврзани наоди</w:t>
            </w:r>
          </w:p>
        </w:tc>
        <w:tc>
          <w:tcPr>
            <w:tcW w:w="7805" w:type="dxa"/>
            <w:tcBorders>
              <w:top w:val="single" w:sz="4" w:space="0" w:color="auto"/>
              <w:left w:val="single" w:sz="4" w:space="0" w:color="auto"/>
              <w:right w:val="single" w:sz="4" w:space="0" w:color="auto"/>
            </w:tcBorders>
          </w:tcPr>
          <w:p w14:paraId="15D14136" w14:textId="77777777" w:rsidR="00262A83" w:rsidRDefault="00262A83">
            <w:pPr>
              <w:pStyle w:val="Other0"/>
              <w:spacing w:before="80"/>
              <w:jc w:val="both"/>
            </w:pPr>
            <w:r>
              <w:rPr>
                <w:rStyle w:val="Other"/>
              </w:rPr>
              <w:t>Процената се врши преку анализа на барањата и целите на реформската мерка.</w:t>
            </w:r>
          </w:p>
        </w:tc>
      </w:tr>
      <w:tr w:rsidR="00262A83" w14:paraId="36B46AFB" w14:textId="77777777">
        <w:trPr>
          <w:trHeight w:hRule="exact" w:val="682"/>
          <w:jc w:val="center"/>
        </w:trPr>
        <w:tc>
          <w:tcPr>
            <w:tcW w:w="1714" w:type="dxa"/>
            <w:tcBorders>
              <w:top w:val="single" w:sz="4" w:space="0" w:color="auto"/>
              <w:left w:val="single" w:sz="4" w:space="0" w:color="auto"/>
            </w:tcBorders>
            <w:shd w:val="clear" w:color="auto" w:fill="E8E8E8"/>
          </w:tcPr>
          <w:p w14:paraId="264E03C7" w14:textId="77777777" w:rsidR="00262A83" w:rsidRDefault="00262A83">
            <w:pPr>
              <w:pStyle w:val="Other0"/>
              <w:spacing w:before="80"/>
            </w:pPr>
            <w:r>
              <w:rPr>
                <w:rStyle w:val="Other"/>
                <w:b/>
              </w:rPr>
              <w:t>Двојно финансирање</w:t>
            </w:r>
          </w:p>
        </w:tc>
        <w:tc>
          <w:tcPr>
            <w:tcW w:w="7805" w:type="dxa"/>
            <w:tcBorders>
              <w:top w:val="single" w:sz="4" w:space="0" w:color="auto"/>
              <w:left w:val="single" w:sz="4" w:space="0" w:color="auto"/>
              <w:right w:val="single" w:sz="4" w:space="0" w:color="auto"/>
            </w:tcBorders>
            <w:vAlign w:val="center"/>
          </w:tcPr>
          <w:p w14:paraId="19F3BD5D" w14:textId="77777777" w:rsidR="00262A83" w:rsidRDefault="00262A83">
            <w:pPr>
              <w:pStyle w:val="Other0"/>
              <w:jc w:val="both"/>
            </w:pPr>
            <w:r>
              <w:rPr>
                <w:rStyle w:val="Other"/>
              </w:rPr>
              <w:t>Не се пријавени придонеси од трети страни како поддршка на постигнувањето на овој чекор.</w:t>
            </w:r>
          </w:p>
        </w:tc>
      </w:tr>
      <w:tr w:rsidR="00262A83" w14:paraId="63AE73AF" w14:textId="77777777">
        <w:trPr>
          <w:trHeight w:hRule="exact" w:val="1450"/>
          <w:jc w:val="center"/>
        </w:trPr>
        <w:tc>
          <w:tcPr>
            <w:tcW w:w="1714" w:type="dxa"/>
            <w:tcBorders>
              <w:top w:val="single" w:sz="4" w:space="0" w:color="auto"/>
              <w:left w:val="single" w:sz="4" w:space="0" w:color="auto"/>
              <w:bottom w:val="single" w:sz="4" w:space="0" w:color="auto"/>
            </w:tcBorders>
            <w:shd w:val="clear" w:color="auto" w:fill="E8E8E8"/>
            <w:vAlign w:val="center"/>
          </w:tcPr>
          <w:p w14:paraId="427902FD" w14:textId="77777777" w:rsidR="00262A83" w:rsidRDefault="00262A83">
            <w:pPr>
              <w:pStyle w:val="Other0"/>
            </w:pPr>
            <w:r>
              <w:rPr>
                <w:rStyle w:val="Other"/>
                <w:b/>
              </w:rPr>
              <w:t>Јасен заклучок за постигнувањето на чекорот</w:t>
            </w:r>
          </w:p>
        </w:tc>
        <w:tc>
          <w:tcPr>
            <w:tcW w:w="7805" w:type="dxa"/>
            <w:tcBorders>
              <w:top w:val="single" w:sz="4" w:space="0" w:color="auto"/>
              <w:left w:val="single" w:sz="4" w:space="0" w:color="auto"/>
              <w:bottom w:val="single" w:sz="4" w:space="0" w:color="auto"/>
              <w:right w:val="single" w:sz="4" w:space="0" w:color="auto"/>
            </w:tcBorders>
          </w:tcPr>
          <w:p w14:paraId="0AB8840C" w14:textId="75E4D5FA" w:rsidR="00262A83" w:rsidRPr="00694792" w:rsidRDefault="00262A83" w:rsidP="00694792">
            <w:pPr>
              <w:pStyle w:val="Other0"/>
              <w:spacing w:before="80"/>
              <w:jc w:val="both"/>
              <w:rPr>
                <w:lang w:val="en-US"/>
              </w:rPr>
            </w:pPr>
            <w:r>
              <w:rPr>
                <w:rStyle w:val="Other"/>
              </w:rPr>
              <w:t>Не е постигнат. „Грејс периодот“ трае до 31 декември 2026 година.</w:t>
            </w:r>
          </w:p>
        </w:tc>
      </w:tr>
    </w:tbl>
    <w:p w14:paraId="1F1E3511" w14:textId="20AB8769" w:rsidR="006866F8" w:rsidRDefault="006866F8" w:rsidP="00694792">
      <w:pPr>
        <w:spacing w:line="1" w:lineRule="exact"/>
      </w:pPr>
    </w:p>
    <w:sectPr w:rsidR="006866F8">
      <w:headerReference w:type="default" r:id="rId49"/>
      <w:footerReference w:type="default" r:id="rId50"/>
      <w:headerReference w:type="first" r:id="rId51"/>
      <w:footerReference w:type="first" r:id="rId52"/>
      <w:pgSz w:w="12240" w:h="15840"/>
      <w:pgMar w:top="1440" w:right="1298" w:bottom="845" w:left="1404"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5AEE" w14:textId="77777777" w:rsidR="00333668" w:rsidRDefault="00333668">
      <w:r>
        <w:separator/>
      </w:r>
    </w:p>
  </w:endnote>
  <w:endnote w:type="continuationSeparator" w:id="0">
    <w:p w14:paraId="623D242D" w14:textId="77777777" w:rsidR="00333668" w:rsidRDefault="0033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8D97" w14:textId="0A9E591B" w:rsidR="006866F8" w:rsidRDefault="006866F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8D30" w14:textId="69BE5E8A" w:rsidR="006866F8" w:rsidRDefault="006866F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3AFD" w14:textId="77777777" w:rsidR="00333668" w:rsidRDefault="00333668"/>
  </w:footnote>
  <w:footnote w:type="continuationSeparator" w:id="0">
    <w:p w14:paraId="1490ADE0" w14:textId="77777777" w:rsidR="00333668" w:rsidRDefault="00333668"/>
  </w:footnote>
  <w:footnote w:id="1">
    <w:p w14:paraId="23463CF0" w14:textId="6F0C6C3A" w:rsidR="00D0130D" w:rsidRPr="00D62D6D" w:rsidRDefault="00D0130D">
      <w:pPr>
        <w:pStyle w:val="FootnoteText"/>
        <w:rPr>
          <w:rFonts w:ascii="Times New Roman" w:hAnsi="Times New Roman" w:cs="Times New Roman"/>
          <w:lang w:val="en-US"/>
        </w:rPr>
      </w:pPr>
      <w:r w:rsidRPr="00262A83">
        <w:rPr>
          <w:rStyle w:val="FootnoteReference"/>
          <w:rFonts w:ascii="Times New Roman" w:hAnsi="Times New Roman" w:cs="Times New Roman"/>
          <w:color w:val="0070C0"/>
        </w:rPr>
        <w:footnoteRef/>
      </w:r>
      <w:r w:rsidRPr="00262A83">
        <w:rPr>
          <w:rFonts w:ascii="Times New Roman" w:hAnsi="Times New Roman" w:cs="Times New Roman"/>
          <w:color w:val="0070C0"/>
        </w:rPr>
        <w:t xml:space="preserve"> </w:t>
      </w:r>
      <w:hyperlink r:id="rId1" w:history="1">
        <w:r w:rsidR="00D62D6D" w:rsidRPr="00262A83">
          <w:rPr>
            <w:rStyle w:val="Hyperlink"/>
            <w:rFonts w:ascii="Times New Roman" w:hAnsi="Times New Roman" w:cs="Times New Roman"/>
            <w:color w:val="0070C0"/>
          </w:rPr>
          <w:t>https://www.osce.Org/files/f/documents/5/e/576648.pdf</w:t>
        </w:r>
      </w:hyperlink>
    </w:p>
  </w:footnote>
  <w:footnote w:id="2">
    <w:p w14:paraId="3357A1BF" w14:textId="77777777" w:rsidR="006866F8" w:rsidRPr="00D62D6D" w:rsidRDefault="00B8240F">
      <w:pPr>
        <w:pStyle w:val="Footnote0"/>
        <w:pBdr>
          <w:top w:val="single" w:sz="4" w:space="0" w:color="auto"/>
        </w:pBdr>
        <w:spacing w:after="0"/>
      </w:pPr>
      <w:r w:rsidRPr="00D62D6D">
        <w:rPr>
          <w:rStyle w:val="Footnote"/>
          <w:color w:val="000000"/>
          <w:u w:val="none"/>
          <w:vertAlign w:val="superscript"/>
        </w:rPr>
        <w:footnoteRef/>
      </w:r>
      <w:hyperlink r:id="rId2" w:history="1">
        <w:r w:rsidR="006866F8" w:rsidRPr="00D62D6D">
          <w:rPr>
            <w:rStyle w:val="Footnote"/>
            <w:color w:val="000000"/>
            <w:u w:val="none"/>
          </w:rPr>
          <w:t xml:space="preserve"> </w:t>
        </w:r>
      </w:hyperlink>
      <w:hyperlink r:id="rId3" w:history="1">
        <w:r w:rsidR="006866F8" w:rsidRPr="00D62D6D">
          <w:rPr>
            <w:rStyle w:val="Footnote"/>
            <w:u w:val="none"/>
          </w:rPr>
          <w:t>https://www.pefa.org/node/5117</w:t>
        </w:r>
      </w:hyperlink>
    </w:p>
  </w:footnote>
  <w:footnote w:id="3">
    <w:p w14:paraId="43E4DE79" w14:textId="77777777" w:rsidR="006866F8" w:rsidRPr="00D62D6D" w:rsidRDefault="00B8240F">
      <w:pPr>
        <w:pStyle w:val="Footnote0"/>
        <w:spacing w:after="340"/>
      </w:pPr>
      <w:r w:rsidRPr="00D62D6D">
        <w:rPr>
          <w:rStyle w:val="Footnote"/>
          <w:color w:val="000000"/>
          <w:u w:val="none"/>
          <w:vertAlign w:val="superscript"/>
        </w:rPr>
        <w:footnoteRef/>
      </w:r>
      <w:hyperlink r:id="rId4" w:history="1">
        <w:r w:rsidR="006866F8" w:rsidRPr="00D62D6D">
          <w:rPr>
            <w:rStyle w:val="Footnote"/>
            <w:color w:val="000000"/>
            <w:u w:val="none"/>
          </w:rPr>
          <w:t xml:space="preserve"> </w:t>
        </w:r>
      </w:hyperlink>
      <w:hyperlink r:id="rId5" w:history="1">
        <w:r w:rsidR="006866F8" w:rsidRPr="00D62D6D">
          <w:rPr>
            <w:rStyle w:val="Footnote"/>
          </w:rPr>
          <w:t>https://www.sigmaweb.org/en/publications/public-administration-in-the-republic-of-north-macedonia-</w:t>
        </w:r>
      </w:hyperlink>
      <w:r w:rsidRPr="00D62D6D">
        <w:rPr>
          <w:rStyle w:val="Footnote"/>
        </w:rPr>
        <w:t xml:space="preserve"> </w:t>
      </w:r>
      <w:hyperlink r:id="rId6" w:history="1">
        <w:r w:rsidR="006866F8" w:rsidRPr="00D62D6D">
          <w:rPr>
            <w:rStyle w:val="Footnote"/>
          </w:rPr>
          <w:t>2024 071bad9d-mk.html</w:t>
        </w:r>
      </w:hyperlink>
    </w:p>
    <w:p w14:paraId="3E37A9BD" w14:textId="77777777" w:rsidR="006866F8" w:rsidRPr="00D62D6D" w:rsidRDefault="00B8240F">
      <w:pPr>
        <w:pStyle w:val="Footnote0"/>
        <w:spacing w:after="0"/>
        <w:jc w:val="center"/>
      </w:pPr>
      <w:r w:rsidRPr="00D62D6D">
        <w:rPr>
          <w:rStyle w:val="Footnote"/>
          <w:i/>
          <w:iCs/>
          <w:color w:val="808080"/>
          <w:u w:val="none"/>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DD4A" w14:textId="77777777" w:rsidR="006866F8" w:rsidRDefault="006866F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EAC4" w14:textId="77777777" w:rsidR="002375EE" w:rsidRDefault="002375EE" w:rsidP="002375EE">
    <w:pPr>
      <w:pStyle w:val="Header"/>
      <w:jc w:val="right"/>
      <w:rPr>
        <w:rFonts w:asciiTheme="minorHAnsi" w:hAnsiTheme="minorHAnsi" w:cstheme="minorHAnsi"/>
        <w:i/>
        <w:iCs/>
        <w:sz w:val="18"/>
        <w:szCs w:val="18"/>
        <w:lang w:val="mk-MK"/>
      </w:rPr>
    </w:pPr>
  </w:p>
  <w:p w14:paraId="7E14F92D" w14:textId="77777777" w:rsidR="002375EE" w:rsidRDefault="002375EE" w:rsidP="002375EE">
    <w:pPr>
      <w:pStyle w:val="Header"/>
      <w:jc w:val="right"/>
      <w:rPr>
        <w:rFonts w:asciiTheme="minorHAnsi" w:hAnsiTheme="minorHAnsi" w:cstheme="minorHAnsi"/>
        <w:i/>
        <w:iCs/>
        <w:sz w:val="18"/>
        <w:szCs w:val="18"/>
        <w:lang w:val="mk-MK"/>
      </w:rPr>
    </w:pPr>
  </w:p>
  <w:p w14:paraId="1E111987" w14:textId="77777777" w:rsidR="002375EE" w:rsidRDefault="002375EE" w:rsidP="002375EE">
    <w:pPr>
      <w:pStyle w:val="Header"/>
      <w:jc w:val="right"/>
      <w:rPr>
        <w:rFonts w:asciiTheme="minorHAnsi" w:hAnsiTheme="minorHAnsi" w:cstheme="minorHAnsi"/>
        <w:i/>
        <w:iCs/>
        <w:sz w:val="18"/>
        <w:szCs w:val="18"/>
        <w:lang w:val="mk-MK"/>
      </w:rPr>
    </w:pPr>
  </w:p>
  <w:p w14:paraId="3D7D5DC5" w14:textId="77777777" w:rsidR="002375EE" w:rsidRDefault="002375EE" w:rsidP="002375EE">
    <w:pPr>
      <w:pStyle w:val="Header"/>
      <w:jc w:val="right"/>
      <w:rPr>
        <w:rFonts w:asciiTheme="minorHAnsi" w:hAnsiTheme="minorHAnsi" w:cstheme="minorHAnsi"/>
        <w:i/>
        <w:iCs/>
        <w:sz w:val="18"/>
        <w:szCs w:val="18"/>
        <w:lang w:val="mk-MK"/>
      </w:rPr>
    </w:pPr>
  </w:p>
  <w:p w14:paraId="606A4566" w14:textId="110D1222" w:rsidR="002375EE" w:rsidRPr="00684421" w:rsidRDefault="002375EE" w:rsidP="002375EE">
    <w:pPr>
      <w:pStyle w:val="Header"/>
      <w:jc w:val="right"/>
      <w:rPr>
        <w:rFonts w:asciiTheme="minorHAnsi" w:hAnsiTheme="minorHAnsi" w:cstheme="minorHAnsi"/>
        <w:i/>
        <w:iCs/>
        <w:sz w:val="18"/>
        <w:szCs w:val="18"/>
        <w:lang w:val="mk-MK"/>
      </w:rPr>
    </w:pPr>
    <w:r w:rsidRPr="00684421">
      <w:rPr>
        <w:rFonts w:asciiTheme="minorHAnsi" w:hAnsiTheme="minorHAnsi" w:cstheme="minorHAnsi"/>
        <w:i/>
        <w:iCs/>
        <w:sz w:val="18"/>
        <w:szCs w:val="18"/>
      </w:rPr>
      <w:t>Неофицијален превод</w:t>
    </w:r>
  </w:p>
  <w:p w14:paraId="03C0AEB9" w14:textId="703425F0" w:rsidR="006866F8" w:rsidRDefault="006866F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64B"/>
    <w:multiLevelType w:val="multilevel"/>
    <w:tmpl w:val="A50A06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52953"/>
    <w:multiLevelType w:val="multilevel"/>
    <w:tmpl w:val="3D684AB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06C40"/>
    <w:multiLevelType w:val="multilevel"/>
    <w:tmpl w:val="3DBE11C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12192"/>
    <w:multiLevelType w:val="multilevel"/>
    <w:tmpl w:val="222A1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22CE2"/>
    <w:multiLevelType w:val="multilevel"/>
    <w:tmpl w:val="07A0FE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16F2E"/>
    <w:multiLevelType w:val="multilevel"/>
    <w:tmpl w:val="FFF852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9972DC"/>
    <w:multiLevelType w:val="multilevel"/>
    <w:tmpl w:val="5B08D02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3A1AE0"/>
    <w:multiLevelType w:val="multilevel"/>
    <w:tmpl w:val="83FA9C3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448FF"/>
    <w:multiLevelType w:val="multilevel"/>
    <w:tmpl w:val="600061A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5567ED"/>
    <w:multiLevelType w:val="multilevel"/>
    <w:tmpl w:val="84F6658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242DE"/>
    <w:multiLevelType w:val="multilevel"/>
    <w:tmpl w:val="F048C4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760B2C"/>
    <w:multiLevelType w:val="multilevel"/>
    <w:tmpl w:val="7018E9A2"/>
    <w:lvl w:ilvl="0">
      <w:start w:val="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F4754F"/>
    <w:multiLevelType w:val="multilevel"/>
    <w:tmpl w:val="926A77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B870B6"/>
    <w:multiLevelType w:val="multilevel"/>
    <w:tmpl w:val="75DE23E4"/>
    <w:lvl w:ilvl="0">
      <w:start w:val="5"/>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5E5879"/>
    <w:multiLevelType w:val="multilevel"/>
    <w:tmpl w:val="DB0E2092"/>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DE28FF"/>
    <w:multiLevelType w:val="multilevel"/>
    <w:tmpl w:val="D6D2B75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245B72"/>
    <w:multiLevelType w:val="multilevel"/>
    <w:tmpl w:val="F27416D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533998">
    <w:abstractNumId w:val="12"/>
  </w:num>
  <w:num w:numId="2" w16cid:durableId="59207558">
    <w:abstractNumId w:val="5"/>
  </w:num>
  <w:num w:numId="3" w16cid:durableId="1148664465">
    <w:abstractNumId w:val="3"/>
  </w:num>
  <w:num w:numId="4" w16cid:durableId="1391994976">
    <w:abstractNumId w:val="7"/>
  </w:num>
  <w:num w:numId="5" w16cid:durableId="1740328895">
    <w:abstractNumId w:val="6"/>
  </w:num>
  <w:num w:numId="6" w16cid:durableId="1929383269">
    <w:abstractNumId w:val="16"/>
  </w:num>
  <w:num w:numId="7" w16cid:durableId="1936358186">
    <w:abstractNumId w:val="4"/>
  </w:num>
  <w:num w:numId="8" w16cid:durableId="232005634">
    <w:abstractNumId w:val="14"/>
  </w:num>
  <w:num w:numId="9" w16cid:durableId="344208132">
    <w:abstractNumId w:val="15"/>
  </w:num>
  <w:num w:numId="10" w16cid:durableId="197011928">
    <w:abstractNumId w:val="11"/>
  </w:num>
  <w:num w:numId="11" w16cid:durableId="325866515">
    <w:abstractNumId w:val="9"/>
  </w:num>
  <w:num w:numId="12" w16cid:durableId="125241463">
    <w:abstractNumId w:val="10"/>
  </w:num>
  <w:num w:numId="13" w16cid:durableId="1736661766">
    <w:abstractNumId w:val="0"/>
  </w:num>
  <w:num w:numId="14" w16cid:durableId="1559322293">
    <w:abstractNumId w:val="8"/>
  </w:num>
  <w:num w:numId="15" w16cid:durableId="1847792644">
    <w:abstractNumId w:val="13"/>
  </w:num>
  <w:num w:numId="16" w16cid:durableId="2086487860">
    <w:abstractNumId w:val="1"/>
  </w:num>
  <w:num w:numId="17" w16cid:durableId="31877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F8"/>
    <w:rsid w:val="000643E1"/>
    <w:rsid w:val="000C40E8"/>
    <w:rsid w:val="000E6CFC"/>
    <w:rsid w:val="000F0E40"/>
    <w:rsid w:val="00182DB0"/>
    <w:rsid w:val="001E2034"/>
    <w:rsid w:val="001E749F"/>
    <w:rsid w:val="001F0C82"/>
    <w:rsid w:val="002375EE"/>
    <w:rsid w:val="00262A83"/>
    <w:rsid w:val="0027148C"/>
    <w:rsid w:val="002C138D"/>
    <w:rsid w:val="002F6783"/>
    <w:rsid w:val="00333668"/>
    <w:rsid w:val="00341C34"/>
    <w:rsid w:val="0038386D"/>
    <w:rsid w:val="003A6185"/>
    <w:rsid w:val="003E05D6"/>
    <w:rsid w:val="003F3156"/>
    <w:rsid w:val="00421E73"/>
    <w:rsid w:val="0042212A"/>
    <w:rsid w:val="004917DE"/>
    <w:rsid w:val="005674DA"/>
    <w:rsid w:val="005A248F"/>
    <w:rsid w:val="005B2FDF"/>
    <w:rsid w:val="00616F63"/>
    <w:rsid w:val="00620977"/>
    <w:rsid w:val="00665D48"/>
    <w:rsid w:val="00667F79"/>
    <w:rsid w:val="006866F8"/>
    <w:rsid w:val="006869E2"/>
    <w:rsid w:val="00694792"/>
    <w:rsid w:val="00694F94"/>
    <w:rsid w:val="007137C1"/>
    <w:rsid w:val="00746B69"/>
    <w:rsid w:val="0076206E"/>
    <w:rsid w:val="00780CD9"/>
    <w:rsid w:val="007C40BB"/>
    <w:rsid w:val="007E471C"/>
    <w:rsid w:val="007E748A"/>
    <w:rsid w:val="00801DDA"/>
    <w:rsid w:val="00806B1C"/>
    <w:rsid w:val="00832C52"/>
    <w:rsid w:val="00864877"/>
    <w:rsid w:val="008A2364"/>
    <w:rsid w:val="008B71F1"/>
    <w:rsid w:val="008C043F"/>
    <w:rsid w:val="008E0A0B"/>
    <w:rsid w:val="009C01F7"/>
    <w:rsid w:val="00A136D5"/>
    <w:rsid w:val="00A22FC1"/>
    <w:rsid w:val="00A462D9"/>
    <w:rsid w:val="00B5140C"/>
    <w:rsid w:val="00B74EAD"/>
    <w:rsid w:val="00B8240F"/>
    <w:rsid w:val="00B86AC2"/>
    <w:rsid w:val="00B95A66"/>
    <w:rsid w:val="00C6407C"/>
    <w:rsid w:val="00CC280F"/>
    <w:rsid w:val="00CC2CF6"/>
    <w:rsid w:val="00D0130D"/>
    <w:rsid w:val="00D54ADD"/>
    <w:rsid w:val="00D62D6D"/>
    <w:rsid w:val="00DD3234"/>
    <w:rsid w:val="00EA2455"/>
    <w:rsid w:val="00ED5559"/>
    <w:rsid w:val="00F24D98"/>
    <w:rsid w:val="00F416B9"/>
    <w:rsid w:val="00F5143F"/>
    <w:rsid w:val="00F75549"/>
    <w:rsid w:val="00FA0ECD"/>
    <w:rsid w:val="00FD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D316"/>
  <w15:docId w15:val="{3B1030B0-CE0E-40A6-A3D1-F5F78CFC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mk"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color w:val="0563C1"/>
      <w:sz w:val="20"/>
      <w:szCs w:val="20"/>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Normal"/>
    <w:link w:val="Footnote"/>
    <w:pPr>
      <w:spacing w:after="170"/>
    </w:pPr>
    <w:rPr>
      <w:rFonts w:ascii="Times New Roman" w:eastAsia="Times New Roman" w:hAnsi="Times New Roman" w:cs="Times New Roman"/>
      <w:color w:val="0563C1"/>
      <w:sz w:val="20"/>
      <w:szCs w:val="20"/>
      <w:u w:val="single"/>
    </w:rPr>
  </w:style>
  <w:style w:type="paragraph" w:customStyle="1" w:styleId="Heading10">
    <w:name w:val="Heading #1"/>
    <w:basedOn w:val="Normal"/>
    <w:link w:val="Heading1"/>
    <w:pPr>
      <w:spacing w:after="680"/>
      <w:jc w:val="center"/>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160" w:line="276" w:lineRule="auto"/>
      <w:outlineLvl w:val="1"/>
    </w:pPr>
    <w:rPr>
      <w:rFonts w:ascii="Times New Roman" w:eastAsia="Times New Roman" w:hAnsi="Times New Roman" w:cs="Times New Roman"/>
      <w:b/>
      <w:bCs/>
    </w:rPr>
  </w:style>
  <w:style w:type="paragraph" w:styleId="BodyText">
    <w:name w:val="Body Text"/>
    <w:basedOn w:val="Normal"/>
    <w:link w:val="BodyTextChar"/>
    <w:qFormat/>
    <w:pPr>
      <w:spacing w:after="160" w:line="259" w:lineRule="auto"/>
    </w:pPr>
    <w:rPr>
      <w:rFonts w:ascii="Times New Roman" w:eastAsia="Times New Roman" w:hAnsi="Times New Roman" w:cs="Times New Roman"/>
    </w:rPr>
  </w:style>
  <w:style w:type="paragraph" w:customStyle="1" w:styleId="Bodytext20">
    <w:name w:val="Body text (2)"/>
    <w:basedOn w:val="Normal"/>
    <w:link w:val="Bodytext2"/>
    <w:pPr>
      <w:spacing w:after="60"/>
      <w:ind w:left="2400"/>
    </w:pPr>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6869E2"/>
    <w:rPr>
      <w:sz w:val="16"/>
      <w:szCs w:val="16"/>
    </w:rPr>
  </w:style>
  <w:style w:type="paragraph" w:styleId="CommentText">
    <w:name w:val="annotation text"/>
    <w:basedOn w:val="Normal"/>
    <w:link w:val="CommentTextChar"/>
    <w:uiPriority w:val="99"/>
    <w:semiHidden/>
    <w:unhideWhenUsed/>
    <w:rsid w:val="006869E2"/>
    <w:rPr>
      <w:sz w:val="20"/>
      <w:szCs w:val="20"/>
    </w:rPr>
  </w:style>
  <w:style w:type="character" w:customStyle="1" w:styleId="CommentTextChar">
    <w:name w:val="Comment Text Char"/>
    <w:basedOn w:val="DefaultParagraphFont"/>
    <w:link w:val="CommentText"/>
    <w:uiPriority w:val="99"/>
    <w:semiHidden/>
    <w:rsid w:val="006869E2"/>
    <w:rPr>
      <w:color w:val="000000"/>
      <w:sz w:val="20"/>
      <w:szCs w:val="20"/>
    </w:rPr>
  </w:style>
  <w:style w:type="paragraph" w:styleId="CommentSubject">
    <w:name w:val="annotation subject"/>
    <w:basedOn w:val="CommentText"/>
    <w:next w:val="CommentText"/>
    <w:link w:val="CommentSubjectChar"/>
    <w:uiPriority w:val="99"/>
    <w:semiHidden/>
    <w:unhideWhenUsed/>
    <w:rsid w:val="006869E2"/>
    <w:rPr>
      <w:b/>
      <w:bCs/>
    </w:rPr>
  </w:style>
  <w:style w:type="character" w:customStyle="1" w:styleId="CommentSubjectChar">
    <w:name w:val="Comment Subject Char"/>
    <w:basedOn w:val="CommentTextChar"/>
    <w:link w:val="CommentSubject"/>
    <w:uiPriority w:val="99"/>
    <w:semiHidden/>
    <w:rsid w:val="006869E2"/>
    <w:rPr>
      <w:b/>
      <w:bCs/>
      <w:color w:val="000000"/>
      <w:sz w:val="20"/>
      <w:szCs w:val="20"/>
    </w:rPr>
  </w:style>
  <w:style w:type="paragraph" w:styleId="FootnoteText">
    <w:name w:val="footnote text"/>
    <w:basedOn w:val="Normal"/>
    <w:link w:val="FootnoteTextChar"/>
    <w:uiPriority w:val="99"/>
    <w:semiHidden/>
    <w:unhideWhenUsed/>
    <w:rsid w:val="00D0130D"/>
    <w:rPr>
      <w:sz w:val="20"/>
      <w:szCs w:val="20"/>
    </w:rPr>
  </w:style>
  <w:style w:type="character" w:customStyle="1" w:styleId="FootnoteTextChar">
    <w:name w:val="Footnote Text Char"/>
    <w:basedOn w:val="DefaultParagraphFont"/>
    <w:link w:val="FootnoteText"/>
    <w:uiPriority w:val="99"/>
    <w:semiHidden/>
    <w:rsid w:val="00D0130D"/>
    <w:rPr>
      <w:color w:val="000000"/>
      <w:sz w:val="20"/>
      <w:szCs w:val="20"/>
    </w:rPr>
  </w:style>
  <w:style w:type="character" w:styleId="FootnoteReference">
    <w:name w:val="footnote reference"/>
    <w:basedOn w:val="DefaultParagraphFont"/>
    <w:uiPriority w:val="99"/>
    <w:semiHidden/>
    <w:unhideWhenUsed/>
    <w:rsid w:val="00D0130D"/>
    <w:rPr>
      <w:vertAlign w:val="superscript"/>
    </w:rPr>
  </w:style>
  <w:style w:type="character" w:styleId="Hyperlink">
    <w:name w:val="Hyperlink"/>
    <w:basedOn w:val="DefaultParagraphFont"/>
    <w:uiPriority w:val="99"/>
    <w:unhideWhenUsed/>
    <w:rsid w:val="00D62D6D"/>
    <w:rPr>
      <w:color w:val="467886" w:themeColor="hyperlink"/>
      <w:u w:val="single"/>
    </w:rPr>
  </w:style>
  <w:style w:type="character" w:styleId="UnresolvedMention">
    <w:name w:val="Unresolved Mention"/>
    <w:basedOn w:val="DefaultParagraphFont"/>
    <w:uiPriority w:val="99"/>
    <w:semiHidden/>
    <w:unhideWhenUsed/>
    <w:rsid w:val="00D62D6D"/>
    <w:rPr>
      <w:color w:val="605E5C"/>
      <w:shd w:val="clear" w:color="auto" w:fill="E1DFDD"/>
    </w:rPr>
  </w:style>
  <w:style w:type="paragraph" w:styleId="Revision">
    <w:name w:val="Revision"/>
    <w:hidden/>
    <w:uiPriority w:val="99"/>
    <w:semiHidden/>
    <w:rsid w:val="000643E1"/>
    <w:pPr>
      <w:widowControl/>
    </w:pPr>
    <w:rPr>
      <w:color w:val="000000"/>
    </w:rPr>
  </w:style>
  <w:style w:type="paragraph" w:styleId="Header">
    <w:name w:val="header"/>
    <w:basedOn w:val="Normal"/>
    <w:link w:val="HeaderChar"/>
    <w:uiPriority w:val="99"/>
    <w:unhideWhenUsed/>
    <w:rsid w:val="00262A83"/>
    <w:pPr>
      <w:tabs>
        <w:tab w:val="center" w:pos="4680"/>
        <w:tab w:val="right" w:pos="9360"/>
      </w:tabs>
    </w:pPr>
  </w:style>
  <w:style w:type="character" w:customStyle="1" w:styleId="HeaderChar">
    <w:name w:val="Header Char"/>
    <w:basedOn w:val="DefaultParagraphFont"/>
    <w:link w:val="Header"/>
    <w:uiPriority w:val="99"/>
    <w:rsid w:val="00262A83"/>
    <w:rPr>
      <w:color w:val="000000"/>
    </w:rPr>
  </w:style>
  <w:style w:type="paragraph" w:styleId="Footer">
    <w:name w:val="footer"/>
    <w:basedOn w:val="Normal"/>
    <w:link w:val="FooterChar"/>
    <w:uiPriority w:val="99"/>
    <w:unhideWhenUsed/>
    <w:rsid w:val="00262A83"/>
    <w:pPr>
      <w:tabs>
        <w:tab w:val="center" w:pos="4680"/>
        <w:tab w:val="right" w:pos="9360"/>
      </w:tabs>
    </w:pPr>
  </w:style>
  <w:style w:type="character" w:customStyle="1" w:styleId="FooterChar">
    <w:name w:val="Footer Char"/>
    <w:basedOn w:val="DefaultParagraphFont"/>
    <w:link w:val="Footer"/>
    <w:uiPriority w:val="99"/>
    <w:rsid w:val="00262A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inance.gov.mk/wp-content/uploads/2025/02/RULEBOOK.pdf" TargetMode="External"/><Relationship Id="rId18" Type="http://schemas.openxmlformats.org/officeDocument/2006/relationships/hyperlink" Target="https://finance.gov.mk/wp-content/uploads/2025/02/RULEBOOK-ON-ECONOMIC-CLASSIFICATION.pdf" TargetMode="External"/><Relationship Id="rId26" Type="http://schemas.openxmlformats.org/officeDocument/2006/relationships/hyperlink" Target="https://finance.gov.mk/wp-content/uploads/2025/02/Program-Classification-Rulebook.pdf" TargetMode="External"/><Relationship Id="rId39" Type="http://schemas.openxmlformats.org/officeDocument/2006/relationships/hyperlink" Target="https://www.slvesnik.com.mk/Issues/74c71826579f4863a327830e2fb7ac36.pdf" TargetMode="External"/><Relationship Id="rId21" Type="http://schemas.openxmlformats.org/officeDocument/2006/relationships/hyperlink" Target="https://finance.gov.mk/wp-content/uploads/2025/02/Economic-expenditure.pdf" TargetMode="External"/><Relationship Id="rId34" Type="http://schemas.openxmlformats.org/officeDocument/2006/relationships/hyperlink" Target="https://finance.gov.mk/wp-content/uploads/2025/02/Guidelines-on-the-method-of-preparing-macro-fiscal-projections.pdf" TargetMode="External"/><Relationship Id="rId42" Type="http://schemas.openxmlformats.org/officeDocument/2006/relationships/hyperlink" Target="https://finance.gov.mk/wp-content/uploads/2025/02/28e08ed95f77419c9ebc39c5faa197d0.pdf" TargetMode="External"/><Relationship Id="rId47" Type="http://schemas.openxmlformats.org/officeDocument/2006/relationships/hyperlink" Target="https://finance.gov.mk/wp-content/uploads/2025/02/923491f008b64121afff03fa71a2a266.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nance.gov.mk/wp-content/uploads/2025/02/Organizational-classification.pdf" TargetMode="External"/><Relationship Id="rId29" Type="http://schemas.openxmlformats.org/officeDocument/2006/relationships/hyperlink" Target="https://finance.gov.mk/wp-content/uploads/2025/02/Rulebook-on-assessing-fiscal-implications.pdf" TargetMode="External"/><Relationship Id="rId11" Type="http://schemas.openxmlformats.org/officeDocument/2006/relationships/hyperlink" Target="https://finance.gov.mk/wp-content/uploads/2025/02/REGISTER-OF-PUBLIC-ENTITIES.xlsx" TargetMode="External"/><Relationship Id="rId24" Type="http://schemas.openxmlformats.org/officeDocument/2006/relationships/hyperlink" Target="https://finance.gov.mk/wp-content/uploads/2025/02/Rulebook-on-Functional-Classification.pdf" TargetMode="External"/><Relationship Id="rId32" Type="http://schemas.openxmlformats.org/officeDocument/2006/relationships/hyperlink" Target="https://finance.gov.mk/wp-content/uploads/2025/02/Gender-responsive-budget-statement.pdf" TargetMode="External"/><Relationship Id="rId37" Type="http://schemas.openxmlformats.org/officeDocument/2006/relationships/hyperlink" Target="https://finance.gov.mk/wp-content/uploads/2025/03/2025-2029-Fiscal-Strategy-of-the-MK.pdf" TargetMode="External"/><Relationship Id="rId40" Type="http://schemas.openxmlformats.org/officeDocument/2006/relationships/hyperlink" Target="https://www.slvesnik.com.mk/Issues/74c71826579f4863a327830e2fb7ac36.pdf" TargetMode="External"/><Relationship Id="rId45" Type="http://schemas.openxmlformats.org/officeDocument/2006/relationships/hyperlink" Target="https://finance.gov.mk/wp-content/uploads/2025/02/46a578e94ee04f1680bde4a56e98b3da.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nance.gov.mk/wp-content/uploads/2025/02/FISCAL-POLICY-STATEMENT-FOR-THE-PERIOD-2024-2028.pdf" TargetMode="External"/><Relationship Id="rId19" Type="http://schemas.openxmlformats.org/officeDocument/2006/relationships/hyperlink" Target="https://finance.gov.mk/wp-content/uploads/2025/02/RULEBOOK-ON-ECONOMIC-CLASSIFICATION.pdf" TargetMode="External"/><Relationship Id="rId31" Type="http://schemas.openxmlformats.org/officeDocument/2006/relationships/hyperlink" Target="https://finance.gov.mk/wp-content/uploads/2025/02/Gender-responsive-budget-statement.pdf" TargetMode="External"/><Relationship Id="rId44" Type="http://schemas.openxmlformats.org/officeDocument/2006/relationships/hyperlink" Target="https://finance.gov.mk/wp-content/uploads/2025/02/46a578e94ee04f1680bde4a56e98b3da.pdf"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inance.gov.mk/wp-content/uploads/2025/02/FISCAL-POLICY-STATEMENT-FOR-THE-PERIOD-2024-2028.pdf" TargetMode="External"/><Relationship Id="rId14" Type="http://schemas.openxmlformats.org/officeDocument/2006/relationships/hyperlink" Target="https://finance.gov.mk/wp-content/uploads/2025/02/Rulebook-on-Organizational-Classification.pdf" TargetMode="External"/><Relationship Id="rId22" Type="http://schemas.openxmlformats.org/officeDocument/2006/relationships/hyperlink" Target="https://finance.gov.mk/wp-content/uploads/2025/02/Att-2-OECD-Class-Definitions-Functional-classification.pdf" TargetMode="External"/><Relationship Id="rId27" Type="http://schemas.openxmlformats.org/officeDocument/2006/relationships/hyperlink" Target="https://finance.gov.mk/wp-content/uploads/2025/02/Rulebook-on-Budget-Classification-by-Sources-of-Financing.pdf" TargetMode="External"/><Relationship Id="rId30" Type="http://schemas.openxmlformats.org/officeDocument/2006/relationships/hyperlink" Target="https://finance.gov.mk/wp-content/uploads/2025/02/Rulebook-on-assessing-fiscal-implications.pdf" TargetMode="External"/><Relationship Id="rId35" Type="http://schemas.openxmlformats.org/officeDocument/2006/relationships/hyperlink" Target="https://finance.gov.mk/wp-content/uploads/2025/02/Misdemeanor-payment-order.pdf" TargetMode="External"/><Relationship Id="rId43" Type="http://schemas.openxmlformats.org/officeDocument/2006/relationships/hyperlink" Target="https://finance.gov.mk/wp-content/uploads/2025/02/28e08ed95f77419c9ebc39c5faa197d0.pdf" TargetMode="External"/><Relationship Id="rId48" Type="http://schemas.openxmlformats.org/officeDocument/2006/relationships/hyperlink" Target="https://www.oecd.org/en/publications/oecd-guidelines-on-corporate-governance-of-state-owned-enterprises-2024_18a24f43-en.html" TargetMode="External"/><Relationship Id="rId8" Type="http://schemas.openxmlformats.org/officeDocument/2006/relationships/hyperlink" Target="https://www.slvesnik.com.mk/Issues/8c2e6621d184423b9e7393d838f63421.pdf"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finance.gov.mk/wp-content/uploads/2025/02/REGISTER-OF-PUBLIC-ENTITIES.xlsx" TargetMode="External"/><Relationship Id="rId17" Type="http://schemas.openxmlformats.org/officeDocument/2006/relationships/hyperlink" Target="https://finance.gov.mk/wp-content/uploads/2025/02/Organizational-classification.pdf" TargetMode="External"/><Relationship Id="rId25" Type="http://schemas.openxmlformats.org/officeDocument/2006/relationships/hyperlink" Target="https://finance.gov.mk/wp-content/uploads/2025/02/Program-Classification-Rulebook.pdf" TargetMode="External"/><Relationship Id="rId33" Type="http://schemas.openxmlformats.org/officeDocument/2006/relationships/hyperlink" Target="https://finance.gov.mk/wp-content/uploads/2025/02/Guidelines-on-the-method-of-preparing-macro-fiscal-projections.pdf" TargetMode="External"/><Relationship Id="rId38" Type="http://schemas.openxmlformats.org/officeDocument/2006/relationships/hyperlink" Target="https://finance.gov.mk/wp-content/uploads/2025/03/2025-2029-Fiscal-Strategy-of-the-MK.pdf" TargetMode="External"/><Relationship Id="rId46" Type="http://schemas.openxmlformats.org/officeDocument/2006/relationships/hyperlink" Target="https://finance.gov.mk/wp-content/uploads/2025/02/923491f008b64121afff03fa71a2a266.pdf" TargetMode="External"/><Relationship Id="rId20" Type="http://schemas.openxmlformats.org/officeDocument/2006/relationships/hyperlink" Target="https://finance.gov.mk/wp-content/uploads/2025/02/Economic-revenues.pdf" TargetMode="External"/><Relationship Id="rId41" Type="http://schemas.openxmlformats.org/officeDocument/2006/relationships/hyperlink" Target="https://www.slvesnik.com.mk/Issues/74c71826579f4863a327830e2fb7ac36.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nance.gov.mk/wp-content/uploads/2025/02/Rulebook-on-Organizational-Classification.pdf" TargetMode="External"/><Relationship Id="rId23" Type="http://schemas.openxmlformats.org/officeDocument/2006/relationships/hyperlink" Target="https://finance.gov.mk/wp-content/uploads/2025/02/Rulebook-on-Functional-Classification.pdf" TargetMode="External"/><Relationship Id="rId28" Type="http://schemas.openxmlformats.org/officeDocument/2006/relationships/hyperlink" Target="https://finance.gov.mk/wp-content/uploads/2025/02/Rulebook-on-Budget-Classification-by-Sources-of-Financing.pdf" TargetMode="External"/><Relationship Id="rId36" Type="http://schemas.openxmlformats.org/officeDocument/2006/relationships/hyperlink" Target="https://finance.gov.mk/wp-content/uploads/2025/02/Misdemeanor-payment-order.pdf"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efa.org/node/5117" TargetMode="External"/><Relationship Id="rId2" Type="http://schemas.openxmlformats.org/officeDocument/2006/relationships/hyperlink" Target="https://www.pefa.org/node/5117" TargetMode="External"/><Relationship Id="rId1" Type="http://schemas.openxmlformats.org/officeDocument/2006/relationships/hyperlink" Target="https://www.osce.Org/files/f/documents/5/e/576648.pdf" TargetMode="External"/><Relationship Id="rId6" Type="http://schemas.openxmlformats.org/officeDocument/2006/relationships/hyperlink" Target="https://www.sigmaweb.org/en/publications/public-administration-in-the-republic-of-north-macedonia-2024_071bad9d-en.html" TargetMode="External"/><Relationship Id="rId5" Type="http://schemas.openxmlformats.org/officeDocument/2006/relationships/hyperlink" Target="https://www.sigmaweb.org/en/publications/public-administration-in-the-republic-of-north-macedonia-2024_071bad9d-en.html" TargetMode="External"/><Relationship Id="rId4" Type="http://schemas.openxmlformats.org/officeDocument/2006/relationships/hyperlink" Target="https://www.sigmaweb.org/en/publications/public-administration-in-the-republic-of-north-macedonia-2024_071bad9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0679-2890-404E-8862-14B57742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20</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CRESPI Giulio (ENEST)</dc:creator>
  <cp:keywords/>
  <cp:lastModifiedBy>Hristina Koneska-Beroska</cp:lastModifiedBy>
  <cp:revision>34</cp:revision>
  <dcterms:created xsi:type="dcterms:W3CDTF">2025-08-18T06:44:00Z</dcterms:created>
  <dcterms:modified xsi:type="dcterms:W3CDTF">2025-09-01T13:51:00Z</dcterms:modified>
</cp:coreProperties>
</file>