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76B17" w14:textId="77777777" w:rsidR="00A10ECC" w:rsidRPr="00FC5B50" w:rsidRDefault="00A10ECC" w:rsidP="00A10ECC">
      <w:pPr>
        <w:spacing w:before="120" w:after="120" w:line="240" w:lineRule="auto"/>
        <w:rPr>
          <w:rFonts w:ascii="Times New Roman" w:eastAsia="Calibri" w:hAnsi="Times New Roman" w:cs="Times New Roman"/>
          <w:noProof/>
          <w:sz w:val="24"/>
          <w:lang w:val="bg-BG"/>
        </w:rPr>
      </w:pPr>
      <w:bookmarkStart w:id="0" w:name="_GoBack"/>
      <w:bookmarkEnd w:id="0"/>
    </w:p>
    <w:p w14:paraId="12D431F1" w14:textId="77777777" w:rsidR="00A10ECC" w:rsidRPr="00A10ECC" w:rsidRDefault="00A10ECC" w:rsidP="00A10ECC">
      <w:pPr>
        <w:spacing w:before="120" w:after="200" w:line="276" w:lineRule="auto"/>
        <w:jc w:val="center"/>
        <w:rPr>
          <w:rFonts w:ascii="Times New Roman" w:eastAsia="Calibri" w:hAnsi="Times New Roman" w:cs="Times New Roman"/>
          <w:b/>
          <w:noProof/>
          <w:sz w:val="24"/>
          <w:szCs w:val="24"/>
          <w:u w:val="single"/>
        </w:rPr>
      </w:pPr>
      <w:r w:rsidRPr="00A10ECC">
        <w:rPr>
          <w:rFonts w:ascii="Times New Roman" w:eastAsia="Calibri" w:hAnsi="Times New Roman" w:cs="Times New Roman"/>
          <w:b/>
          <w:noProof/>
          <w:sz w:val="24"/>
          <w:szCs w:val="24"/>
          <w:u w:val="single"/>
        </w:rPr>
        <w:t>ANNEX</w:t>
      </w:r>
    </w:p>
    <w:p w14:paraId="718CA332" w14:textId="77777777" w:rsidR="00A10ECC" w:rsidRPr="00A10ECC" w:rsidRDefault="00A10ECC" w:rsidP="00A10ECC">
      <w:pPr>
        <w:spacing w:after="200" w:line="276" w:lineRule="auto"/>
        <w:jc w:val="center"/>
        <w:rPr>
          <w:rFonts w:ascii="Times New Roman" w:eastAsia="Calibri" w:hAnsi="Times New Roman" w:cs="Times New Roman"/>
          <w:b/>
          <w:noProof/>
          <w:sz w:val="24"/>
          <w:szCs w:val="24"/>
        </w:rPr>
      </w:pPr>
      <w:r w:rsidRPr="00A10ECC">
        <w:rPr>
          <w:rFonts w:ascii="Times New Roman" w:eastAsia="Calibri" w:hAnsi="Times New Roman" w:cs="Times New Roman"/>
          <w:b/>
          <w:noProof/>
          <w:sz w:val="24"/>
          <w:szCs w:val="24"/>
        </w:rPr>
        <w:t>TEMPLATE FOR INTERREG PROGRAMMES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5103"/>
      </w:tblGrid>
      <w:tr w:rsidR="00A10ECC" w:rsidRPr="00A10ECC" w14:paraId="60BB4799" w14:textId="77777777" w:rsidTr="00CD1943">
        <w:trPr>
          <w:trHeight w:val="222"/>
          <w:jc w:val="center"/>
        </w:trPr>
        <w:tc>
          <w:tcPr>
            <w:tcW w:w="3315" w:type="dxa"/>
            <w:shd w:val="clear" w:color="auto" w:fill="auto"/>
          </w:tcPr>
          <w:p w14:paraId="3B5D9B4B" w14:textId="77777777" w:rsidR="00A10ECC" w:rsidRPr="00A10ECC" w:rsidRDefault="00A10ECC" w:rsidP="00A10ECC">
            <w:pPr>
              <w:spacing w:after="0" w:line="276" w:lineRule="auto"/>
              <w:rPr>
                <w:rFonts w:ascii="Times New Roman" w:eastAsia="Calibri" w:hAnsi="Times New Roman" w:cs="Times New Roman"/>
                <w:b/>
                <w:noProof/>
              </w:rPr>
            </w:pPr>
            <w:r w:rsidRPr="00A10ECC">
              <w:rPr>
                <w:rFonts w:ascii="Times New Roman" w:eastAsia="Calibri" w:hAnsi="Times New Roman" w:cs="Times New Roman"/>
                <w:b/>
                <w:noProof/>
              </w:rPr>
              <w:t>CCI</w:t>
            </w:r>
          </w:p>
        </w:tc>
        <w:tc>
          <w:tcPr>
            <w:tcW w:w="5103" w:type="dxa"/>
            <w:shd w:val="clear" w:color="auto" w:fill="auto"/>
          </w:tcPr>
          <w:p w14:paraId="111B55E7" w14:textId="77777777" w:rsidR="00A10ECC" w:rsidRPr="0085533B" w:rsidRDefault="00247670" w:rsidP="00247670">
            <w:pPr>
              <w:spacing w:after="0" w:line="276" w:lineRule="auto"/>
              <w:rPr>
                <w:lang w:val="en-US"/>
              </w:rPr>
            </w:pPr>
            <w:r w:rsidRPr="0085533B">
              <w:rPr>
                <w:rFonts w:ascii="Times New Roman" w:eastAsia="Calibri" w:hAnsi="Times New Roman" w:cs="Times New Roman"/>
                <w:noProof/>
                <w:sz w:val="20"/>
                <w:szCs w:val="20"/>
              </w:rPr>
              <w:t>2021TC16IPCB006</w:t>
            </w:r>
          </w:p>
        </w:tc>
      </w:tr>
      <w:tr w:rsidR="00A10ECC" w:rsidRPr="00A10ECC" w14:paraId="63CFC8F4" w14:textId="77777777" w:rsidTr="00CD1943">
        <w:trPr>
          <w:trHeight w:val="269"/>
          <w:jc w:val="center"/>
        </w:trPr>
        <w:tc>
          <w:tcPr>
            <w:tcW w:w="3315" w:type="dxa"/>
            <w:shd w:val="clear" w:color="auto" w:fill="auto"/>
          </w:tcPr>
          <w:p w14:paraId="0BB699C4" w14:textId="77777777" w:rsidR="00A10ECC" w:rsidRPr="00A10ECC" w:rsidRDefault="00A10ECC" w:rsidP="00A10ECC">
            <w:pPr>
              <w:spacing w:after="0" w:line="276" w:lineRule="auto"/>
              <w:rPr>
                <w:rFonts w:ascii="Times New Roman" w:eastAsia="Calibri" w:hAnsi="Times New Roman" w:cs="Times New Roman"/>
                <w:b/>
                <w:noProof/>
              </w:rPr>
            </w:pPr>
            <w:r w:rsidRPr="00A10ECC">
              <w:rPr>
                <w:rFonts w:ascii="Times New Roman" w:eastAsia="Calibri" w:hAnsi="Times New Roman" w:cs="Times New Roman"/>
                <w:b/>
                <w:noProof/>
              </w:rPr>
              <w:t>Title</w:t>
            </w:r>
          </w:p>
        </w:tc>
        <w:tc>
          <w:tcPr>
            <w:tcW w:w="5103" w:type="dxa"/>
            <w:shd w:val="clear" w:color="auto" w:fill="auto"/>
          </w:tcPr>
          <w:p w14:paraId="7735BE3B" w14:textId="77777777" w:rsidR="00A10ECC" w:rsidRPr="0066363A" w:rsidRDefault="00BF7D00" w:rsidP="00A10ECC">
            <w:pPr>
              <w:spacing w:after="0" w:line="276" w:lineRule="auto"/>
              <w:rPr>
                <w:rFonts w:ascii="Times New Roman" w:eastAsia="Calibri" w:hAnsi="Times New Roman" w:cs="Times New Roman"/>
                <w:noProof/>
                <w:sz w:val="20"/>
                <w:szCs w:val="20"/>
              </w:rPr>
            </w:pPr>
            <w:r w:rsidRPr="0066363A">
              <w:rPr>
                <w:rFonts w:ascii="Times New Roman" w:eastAsia="Calibri" w:hAnsi="Times New Roman" w:cs="Times New Roman"/>
                <w:noProof/>
                <w:sz w:val="20"/>
                <w:szCs w:val="20"/>
              </w:rPr>
              <w:t xml:space="preserve">INTERREG IPA CBC Republic of Bulgaria – </w:t>
            </w:r>
            <w:r w:rsidR="00B802AF">
              <w:rPr>
                <w:rFonts w:ascii="Times New Roman" w:eastAsia="Calibri" w:hAnsi="Times New Roman" w:cs="Times New Roman"/>
                <w:noProof/>
                <w:sz w:val="20"/>
                <w:szCs w:val="20"/>
              </w:rPr>
              <w:t>[Republic of North Macedonia]</w:t>
            </w:r>
            <w:r w:rsidRPr="0066363A">
              <w:rPr>
                <w:rFonts w:ascii="Times New Roman" w:eastAsia="Calibri" w:hAnsi="Times New Roman" w:cs="Times New Roman"/>
                <w:noProof/>
                <w:sz w:val="20"/>
                <w:szCs w:val="20"/>
              </w:rPr>
              <w:t xml:space="preserve"> Programme 2021-2027</w:t>
            </w:r>
          </w:p>
        </w:tc>
      </w:tr>
      <w:tr w:rsidR="00A10ECC" w:rsidRPr="00A10ECC" w14:paraId="5FBCD9B6" w14:textId="77777777" w:rsidTr="00CD1943">
        <w:trPr>
          <w:trHeight w:val="138"/>
          <w:jc w:val="center"/>
        </w:trPr>
        <w:tc>
          <w:tcPr>
            <w:tcW w:w="3315" w:type="dxa"/>
            <w:shd w:val="clear" w:color="auto" w:fill="auto"/>
          </w:tcPr>
          <w:p w14:paraId="355D2BA8" w14:textId="77777777" w:rsidR="00A10ECC" w:rsidRPr="00A10ECC" w:rsidRDefault="00A10ECC" w:rsidP="00A10ECC">
            <w:pPr>
              <w:spacing w:after="0" w:line="276" w:lineRule="auto"/>
              <w:rPr>
                <w:rFonts w:ascii="Times New Roman" w:eastAsia="Calibri" w:hAnsi="Times New Roman" w:cs="Times New Roman"/>
                <w:b/>
                <w:noProof/>
              </w:rPr>
            </w:pPr>
            <w:r w:rsidRPr="00A10ECC">
              <w:rPr>
                <w:rFonts w:ascii="Times New Roman" w:eastAsia="Calibri" w:hAnsi="Times New Roman" w:cs="Times New Roman"/>
                <w:b/>
                <w:noProof/>
              </w:rPr>
              <w:t>Version</w:t>
            </w:r>
          </w:p>
        </w:tc>
        <w:tc>
          <w:tcPr>
            <w:tcW w:w="5103" w:type="dxa"/>
            <w:shd w:val="clear" w:color="auto" w:fill="auto"/>
          </w:tcPr>
          <w:p w14:paraId="52609EE7" w14:textId="77777777" w:rsidR="00A10ECC" w:rsidRPr="0066363A" w:rsidRDefault="00BF7D00" w:rsidP="00A10ECC">
            <w:pPr>
              <w:spacing w:after="0" w:line="276" w:lineRule="auto"/>
              <w:rPr>
                <w:rFonts w:ascii="Times New Roman" w:eastAsia="Calibri" w:hAnsi="Times New Roman" w:cs="Times New Roman"/>
                <w:noProof/>
                <w:sz w:val="20"/>
                <w:szCs w:val="20"/>
              </w:rPr>
            </w:pPr>
            <w:r w:rsidRPr="0066363A">
              <w:rPr>
                <w:rFonts w:ascii="Times New Roman" w:eastAsia="Calibri" w:hAnsi="Times New Roman" w:cs="Times New Roman"/>
                <w:noProof/>
                <w:sz w:val="20"/>
                <w:szCs w:val="20"/>
              </w:rPr>
              <w:t>1.0</w:t>
            </w:r>
          </w:p>
        </w:tc>
      </w:tr>
      <w:tr w:rsidR="00A10ECC" w:rsidRPr="00A10ECC" w14:paraId="6EEA3583" w14:textId="77777777" w:rsidTr="00CD1943">
        <w:trPr>
          <w:jc w:val="center"/>
        </w:trPr>
        <w:tc>
          <w:tcPr>
            <w:tcW w:w="3315" w:type="dxa"/>
            <w:shd w:val="clear" w:color="auto" w:fill="auto"/>
          </w:tcPr>
          <w:p w14:paraId="6AF8F421" w14:textId="77777777" w:rsidR="00A10ECC" w:rsidRPr="00A10ECC" w:rsidRDefault="00A10ECC" w:rsidP="00A10ECC">
            <w:pPr>
              <w:spacing w:after="0" w:line="276" w:lineRule="auto"/>
              <w:rPr>
                <w:rFonts w:ascii="Times New Roman" w:eastAsia="Calibri" w:hAnsi="Times New Roman" w:cs="Times New Roman"/>
                <w:b/>
                <w:noProof/>
              </w:rPr>
            </w:pPr>
            <w:r w:rsidRPr="00A10ECC">
              <w:rPr>
                <w:rFonts w:ascii="Times New Roman" w:eastAsia="Calibri" w:hAnsi="Times New Roman" w:cs="Times New Roman"/>
                <w:b/>
                <w:noProof/>
              </w:rPr>
              <w:t>First year</w:t>
            </w:r>
          </w:p>
        </w:tc>
        <w:tc>
          <w:tcPr>
            <w:tcW w:w="5103" w:type="dxa"/>
            <w:shd w:val="clear" w:color="auto" w:fill="auto"/>
          </w:tcPr>
          <w:p w14:paraId="6BBA8E19" w14:textId="77777777" w:rsidR="00A10ECC" w:rsidRPr="0066363A" w:rsidRDefault="00BF7D00" w:rsidP="00A10ECC">
            <w:pPr>
              <w:spacing w:after="0" w:line="276" w:lineRule="auto"/>
              <w:rPr>
                <w:rFonts w:ascii="Times New Roman" w:eastAsia="Calibri" w:hAnsi="Times New Roman" w:cs="Times New Roman"/>
                <w:noProof/>
                <w:sz w:val="20"/>
                <w:szCs w:val="20"/>
              </w:rPr>
            </w:pPr>
            <w:r w:rsidRPr="0066363A">
              <w:rPr>
                <w:rFonts w:ascii="Times New Roman" w:eastAsia="Calibri" w:hAnsi="Times New Roman" w:cs="Times New Roman"/>
                <w:noProof/>
                <w:sz w:val="20"/>
                <w:szCs w:val="20"/>
              </w:rPr>
              <w:t>2021</w:t>
            </w:r>
          </w:p>
        </w:tc>
      </w:tr>
      <w:tr w:rsidR="00A10ECC" w:rsidRPr="00A10ECC" w14:paraId="427161D1" w14:textId="77777777" w:rsidTr="00CD1943">
        <w:trPr>
          <w:jc w:val="center"/>
        </w:trPr>
        <w:tc>
          <w:tcPr>
            <w:tcW w:w="3315" w:type="dxa"/>
            <w:shd w:val="clear" w:color="auto" w:fill="auto"/>
          </w:tcPr>
          <w:p w14:paraId="2A13DA1A" w14:textId="77777777" w:rsidR="00A10ECC" w:rsidRPr="00A10ECC" w:rsidRDefault="00A10ECC" w:rsidP="00A10ECC">
            <w:pPr>
              <w:spacing w:after="0" w:line="276" w:lineRule="auto"/>
              <w:rPr>
                <w:rFonts w:ascii="Times New Roman" w:eastAsia="Calibri" w:hAnsi="Times New Roman" w:cs="Times New Roman"/>
                <w:b/>
                <w:noProof/>
              </w:rPr>
            </w:pPr>
            <w:r w:rsidRPr="00A10ECC">
              <w:rPr>
                <w:rFonts w:ascii="Times New Roman" w:eastAsia="Calibri" w:hAnsi="Times New Roman" w:cs="Times New Roman"/>
                <w:b/>
                <w:noProof/>
              </w:rPr>
              <w:t>Last year</w:t>
            </w:r>
          </w:p>
        </w:tc>
        <w:tc>
          <w:tcPr>
            <w:tcW w:w="5103" w:type="dxa"/>
            <w:shd w:val="clear" w:color="auto" w:fill="auto"/>
          </w:tcPr>
          <w:p w14:paraId="56A2E67E" w14:textId="77777777" w:rsidR="00A10ECC" w:rsidRPr="0066363A" w:rsidRDefault="00BF7D00" w:rsidP="00A10ECC">
            <w:pPr>
              <w:spacing w:after="0" w:line="276" w:lineRule="auto"/>
              <w:rPr>
                <w:rFonts w:ascii="Times New Roman" w:eastAsia="Calibri" w:hAnsi="Times New Roman" w:cs="Times New Roman"/>
                <w:noProof/>
                <w:sz w:val="20"/>
                <w:szCs w:val="20"/>
              </w:rPr>
            </w:pPr>
            <w:r w:rsidRPr="0066363A">
              <w:rPr>
                <w:rFonts w:ascii="Times New Roman" w:eastAsia="Calibri" w:hAnsi="Times New Roman" w:cs="Times New Roman"/>
                <w:noProof/>
                <w:sz w:val="20"/>
                <w:szCs w:val="20"/>
              </w:rPr>
              <w:t>2027</w:t>
            </w:r>
          </w:p>
        </w:tc>
      </w:tr>
      <w:tr w:rsidR="00A10ECC" w:rsidRPr="00A10ECC" w14:paraId="55968529" w14:textId="77777777" w:rsidTr="00CD1943">
        <w:trPr>
          <w:jc w:val="center"/>
        </w:trPr>
        <w:tc>
          <w:tcPr>
            <w:tcW w:w="3315" w:type="dxa"/>
            <w:shd w:val="clear" w:color="auto" w:fill="auto"/>
          </w:tcPr>
          <w:p w14:paraId="12C253F0" w14:textId="77777777" w:rsidR="00A10ECC" w:rsidRPr="00A10ECC" w:rsidRDefault="00A10ECC" w:rsidP="00A10ECC">
            <w:pPr>
              <w:spacing w:after="0" w:line="276" w:lineRule="auto"/>
              <w:rPr>
                <w:rFonts w:ascii="Times New Roman" w:eastAsia="Calibri" w:hAnsi="Times New Roman" w:cs="Times New Roman"/>
                <w:b/>
                <w:noProof/>
              </w:rPr>
            </w:pPr>
            <w:r w:rsidRPr="00A10ECC">
              <w:rPr>
                <w:rFonts w:ascii="Times New Roman" w:eastAsia="Calibri" w:hAnsi="Times New Roman" w:cs="Times New Roman"/>
                <w:b/>
                <w:noProof/>
              </w:rPr>
              <w:t>Eligible from</w:t>
            </w:r>
          </w:p>
        </w:tc>
        <w:tc>
          <w:tcPr>
            <w:tcW w:w="5103" w:type="dxa"/>
            <w:shd w:val="clear" w:color="auto" w:fill="auto"/>
          </w:tcPr>
          <w:p w14:paraId="441ADCD4" w14:textId="77777777" w:rsidR="00A10ECC" w:rsidRPr="0066363A" w:rsidRDefault="00A10ECC" w:rsidP="00A10ECC">
            <w:pPr>
              <w:spacing w:after="0" w:line="276" w:lineRule="auto"/>
              <w:rPr>
                <w:rFonts w:ascii="Times New Roman" w:eastAsia="Calibri" w:hAnsi="Times New Roman" w:cs="Times New Roman"/>
                <w:noProof/>
                <w:sz w:val="20"/>
                <w:szCs w:val="20"/>
              </w:rPr>
            </w:pPr>
          </w:p>
        </w:tc>
      </w:tr>
      <w:tr w:rsidR="00A10ECC" w:rsidRPr="00A10ECC" w14:paraId="5A723A77" w14:textId="77777777" w:rsidTr="00CD1943">
        <w:trPr>
          <w:jc w:val="center"/>
        </w:trPr>
        <w:tc>
          <w:tcPr>
            <w:tcW w:w="3315" w:type="dxa"/>
            <w:shd w:val="clear" w:color="auto" w:fill="auto"/>
          </w:tcPr>
          <w:p w14:paraId="0A7F4F10" w14:textId="77777777" w:rsidR="00A10ECC" w:rsidRPr="00A10ECC" w:rsidRDefault="00A10ECC" w:rsidP="00A10ECC">
            <w:pPr>
              <w:spacing w:after="0" w:line="276" w:lineRule="auto"/>
              <w:rPr>
                <w:rFonts w:ascii="Times New Roman" w:eastAsia="Calibri" w:hAnsi="Times New Roman" w:cs="Times New Roman"/>
                <w:b/>
                <w:noProof/>
              </w:rPr>
            </w:pPr>
            <w:r w:rsidRPr="00A10ECC">
              <w:rPr>
                <w:rFonts w:ascii="Times New Roman" w:eastAsia="Calibri" w:hAnsi="Times New Roman" w:cs="Times New Roman"/>
                <w:b/>
                <w:noProof/>
              </w:rPr>
              <w:t>Eligible until</w:t>
            </w:r>
          </w:p>
        </w:tc>
        <w:tc>
          <w:tcPr>
            <w:tcW w:w="5103" w:type="dxa"/>
            <w:shd w:val="clear" w:color="auto" w:fill="auto"/>
          </w:tcPr>
          <w:p w14:paraId="5108D222" w14:textId="77777777" w:rsidR="00A10ECC" w:rsidRPr="0066363A" w:rsidRDefault="00A10ECC" w:rsidP="00A10ECC">
            <w:pPr>
              <w:spacing w:after="0" w:line="276" w:lineRule="auto"/>
              <w:rPr>
                <w:rFonts w:ascii="Times New Roman" w:eastAsia="Calibri" w:hAnsi="Times New Roman" w:cs="Times New Roman"/>
                <w:noProof/>
                <w:sz w:val="20"/>
                <w:szCs w:val="20"/>
              </w:rPr>
            </w:pPr>
          </w:p>
        </w:tc>
      </w:tr>
      <w:tr w:rsidR="00A10ECC" w:rsidRPr="00A10ECC" w14:paraId="75F67C0A" w14:textId="77777777" w:rsidTr="00CD1943">
        <w:trPr>
          <w:jc w:val="center"/>
        </w:trPr>
        <w:tc>
          <w:tcPr>
            <w:tcW w:w="3315" w:type="dxa"/>
            <w:shd w:val="clear" w:color="auto" w:fill="auto"/>
          </w:tcPr>
          <w:p w14:paraId="6B39D872" w14:textId="77777777" w:rsidR="00A10ECC" w:rsidRPr="00A10ECC" w:rsidRDefault="00A10ECC" w:rsidP="00A10ECC">
            <w:pPr>
              <w:spacing w:after="0" w:line="276" w:lineRule="auto"/>
              <w:rPr>
                <w:rFonts w:ascii="Times New Roman" w:eastAsia="Calibri" w:hAnsi="Times New Roman" w:cs="Times New Roman"/>
                <w:b/>
                <w:noProof/>
              </w:rPr>
            </w:pPr>
            <w:r w:rsidRPr="00A10ECC">
              <w:rPr>
                <w:rFonts w:ascii="Times New Roman" w:eastAsia="Calibri" w:hAnsi="Times New Roman" w:cs="Times New Roman"/>
                <w:b/>
                <w:noProof/>
              </w:rPr>
              <w:t>Commission decision number</w:t>
            </w:r>
          </w:p>
        </w:tc>
        <w:tc>
          <w:tcPr>
            <w:tcW w:w="5103" w:type="dxa"/>
            <w:shd w:val="clear" w:color="auto" w:fill="auto"/>
          </w:tcPr>
          <w:p w14:paraId="253178DD" w14:textId="77777777" w:rsidR="00A10ECC" w:rsidRPr="0066363A" w:rsidRDefault="00A10ECC" w:rsidP="00A10ECC">
            <w:pPr>
              <w:spacing w:after="0" w:line="276" w:lineRule="auto"/>
              <w:rPr>
                <w:rFonts w:ascii="Times New Roman" w:eastAsia="Calibri" w:hAnsi="Times New Roman" w:cs="Times New Roman"/>
                <w:noProof/>
                <w:sz w:val="20"/>
                <w:szCs w:val="20"/>
              </w:rPr>
            </w:pPr>
          </w:p>
        </w:tc>
      </w:tr>
      <w:tr w:rsidR="00A10ECC" w:rsidRPr="00A10ECC" w14:paraId="1B18D5A1" w14:textId="77777777" w:rsidTr="00CD1943">
        <w:trPr>
          <w:jc w:val="center"/>
        </w:trPr>
        <w:tc>
          <w:tcPr>
            <w:tcW w:w="3315" w:type="dxa"/>
            <w:shd w:val="clear" w:color="auto" w:fill="auto"/>
          </w:tcPr>
          <w:p w14:paraId="0C018FF6" w14:textId="77777777" w:rsidR="00A10ECC" w:rsidRPr="00A10ECC" w:rsidRDefault="00A10ECC" w:rsidP="00A10ECC">
            <w:pPr>
              <w:spacing w:after="0" w:line="276" w:lineRule="auto"/>
              <w:rPr>
                <w:rFonts w:ascii="Times New Roman" w:eastAsia="Calibri" w:hAnsi="Times New Roman" w:cs="Times New Roman"/>
                <w:b/>
                <w:noProof/>
              </w:rPr>
            </w:pPr>
            <w:r w:rsidRPr="00A10ECC">
              <w:rPr>
                <w:rFonts w:ascii="Times New Roman" w:eastAsia="Calibri" w:hAnsi="Times New Roman" w:cs="Times New Roman"/>
                <w:b/>
                <w:noProof/>
              </w:rPr>
              <w:t>Commission decision date</w:t>
            </w:r>
          </w:p>
        </w:tc>
        <w:tc>
          <w:tcPr>
            <w:tcW w:w="5103" w:type="dxa"/>
            <w:shd w:val="clear" w:color="auto" w:fill="auto"/>
          </w:tcPr>
          <w:p w14:paraId="32FC7B74" w14:textId="77777777" w:rsidR="00A10ECC" w:rsidRPr="0066363A" w:rsidRDefault="00A10ECC" w:rsidP="00A10ECC">
            <w:pPr>
              <w:spacing w:after="0" w:line="276" w:lineRule="auto"/>
              <w:rPr>
                <w:rFonts w:ascii="Times New Roman" w:eastAsia="Calibri" w:hAnsi="Times New Roman" w:cs="Times New Roman"/>
                <w:noProof/>
                <w:sz w:val="20"/>
                <w:szCs w:val="20"/>
              </w:rPr>
            </w:pPr>
          </w:p>
        </w:tc>
      </w:tr>
      <w:tr w:rsidR="00A10ECC" w:rsidRPr="00A10ECC" w14:paraId="1A29A0B7" w14:textId="77777777" w:rsidTr="00CD1943">
        <w:trPr>
          <w:jc w:val="center"/>
        </w:trPr>
        <w:tc>
          <w:tcPr>
            <w:tcW w:w="3315" w:type="dxa"/>
            <w:shd w:val="clear" w:color="auto" w:fill="auto"/>
          </w:tcPr>
          <w:p w14:paraId="22C835B7" w14:textId="77777777" w:rsidR="00A10ECC" w:rsidRPr="00A10ECC" w:rsidRDefault="00A10ECC" w:rsidP="00A10ECC">
            <w:pPr>
              <w:spacing w:after="0" w:line="276" w:lineRule="auto"/>
              <w:rPr>
                <w:rFonts w:ascii="Times New Roman" w:eastAsia="Calibri" w:hAnsi="Times New Roman" w:cs="Times New Roman"/>
                <w:b/>
                <w:noProof/>
              </w:rPr>
            </w:pPr>
            <w:r w:rsidRPr="00A10ECC">
              <w:rPr>
                <w:rFonts w:ascii="Times New Roman" w:eastAsia="Calibri" w:hAnsi="Times New Roman" w:cs="Times New Roman"/>
                <w:b/>
                <w:noProof/>
              </w:rPr>
              <w:t>Programme amending decision number</w:t>
            </w:r>
          </w:p>
        </w:tc>
        <w:tc>
          <w:tcPr>
            <w:tcW w:w="5103" w:type="dxa"/>
            <w:shd w:val="clear" w:color="auto" w:fill="auto"/>
          </w:tcPr>
          <w:p w14:paraId="75C1781B" w14:textId="77777777" w:rsidR="00A10ECC" w:rsidRPr="0066363A" w:rsidRDefault="00A10ECC" w:rsidP="00A10ECC">
            <w:pPr>
              <w:spacing w:after="0" w:line="276" w:lineRule="auto"/>
              <w:rPr>
                <w:rFonts w:ascii="Times New Roman" w:eastAsia="Calibri" w:hAnsi="Times New Roman" w:cs="Times New Roman"/>
                <w:noProof/>
                <w:sz w:val="20"/>
                <w:szCs w:val="20"/>
              </w:rPr>
            </w:pPr>
            <w:r w:rsidRPr="0066363A">
              <w:rPr>
                <w:rFonts w:ascii="Times New Roman" w:eastAsia="Calibri" w:hAnsi="Times New Roman" w:cs="Times New Roman"/>
                <w:noProof/>
                <w:sz w:val="20"/>
                <w:szCs w:val="20"/>
              </w:rPr>
              <w:t>[20]</w:t>
            </w:r>
          </w:p>
        </w:tc>
      </w:tr>
      <w:tr w:rsidR="00A10ECC" w:rsidRPr="00A10ECC" w14:paraId="10C168A2" w14:textId="77777777" w:rsidTr="00CD1943">
        <w:trPr>
          <w:jc w:val="center"/>
        </w:trPr>
        <w:tc>
          <w:tcPr>
            <w:tcW w:w="3315" w:type="dxa"/>
            <w:shd w:val="clear" w:color="auto" w:fill="auto"/>
          </w:tcPr>
          <w:p w14:paraId="4A075E87" w14:textId="77777777" w:rsidR="00A10ECC" w:rsidRPr="00A10ECC" w:rsidRDefault="00A10ECC" w:rsidP="00A10ECC">
            <w:pPr>
              <w:spacing w:after="0" w:line="276" w:lineRule="auto"/>
              <w:rPr>
                <w:rFonts w:ascii="Times New Roman" w:eastAsia="Calibri" w:hAnsi="Times New Roman" w:cs="Times New Roman"/>
                <w:b/>
                <w:noProof/>
              </w:rPr>
            </w:pPr>
            <w:r w:rsidRPr="00A10ECC">
              <w:rPr>
                <w:rFonts w:ascii="Times New Roman" w:eastAsia="Calibri" w:hAnsi="Times New Roman" w:cs="Times New Roman"/>
                <w:b/>
                <w:noProof/>
              </w:rPr>
              <w:t>Programme amending decision entry into force date</w:t>
            </w:r>
          </w:p>
        </w:tc>
        <w:tc>
          <w:tcPr>
            <w:tcW w:w="5103" w:type="dxa"/>
            <w:shd w:val="clear" w:color="auto" w:fill="auto"/>
          </w:tcPr>
          <w:p w14:paraId="17C236EA" w14:textId="77777777" w:rsidR="00A10ECC" w:rsidRPr="0066363A" w:rsidRDefault="00A10ECC" w:rsidP="00A10ECC">
            <w:pPr>
              <w:spacing w:after="0" w:line="276" w:lineRule="auto"/>
              <w:rPr>
                <w:rFonts w:ascii="Times New Roman" w:eastAsia="Calibri" w:hAnsi="Times New Roman" w:cs="Times New Roman"/>
                <w:noProof/>
                <w:sz w:val="20"/>
                <w:szCs w:val="20"/>
              </w:rPr>
            </w:pPr>
          </w:p>
        </w:tc>
      </w:tr>
      <w:tr w:rsidR="00A10ECC" w:rsidRPr="00A10ECC" w14:paraId="01C65FE0" w14:textId="77777777" w:rsidTr="00CD1943">
        <w:trPr>
          <w:jc w:val="center"/>
        </w:trPr>
        <w:tc>
          <w:tcPr>
            <w:tcW w:w="3315" w:type="dxa"/>
            <w:shd w:val="clear" w:color="auto" w:fill="auto"/>
          </w:tcPr>
          <w:p w14:paraId="66D7B61D" w14:textId="77777777" w:rsidR="00A10ECC" w:rsidRPr="00A10ECC" w:rsidRDefault="00A10ECC" w:rsidP="00A10ECC">
            <w:pPr>
              <w:spacing w:after="0" w:line="276" w:lineRule="auto"/>
              <w:rPr>
                <w:rFonts w:ascii="Times New Roman" w:eastAsia="Calibri" w:hAnsi="Times New Roman" w:cs="Times New Roman"/>
                <w:b/>
                <w:noProof/>
              </w:rPr>
            </w:pPr>
            <w:r w:rsidRPr="00A10ECC">
              <w:rPr>
                <w:rFonts w:ascii="Times New Roman" w:eastAsia="Calibri" w:hAnsi="Times New Roman" w:cs="Times New Roman"/>
                <w:b/>
                <w:noProof/>
              </w:rPr>
              <w:t>NUTS regions covered by the programme</w:t>
            </w:r>
          </w:p>
        </w:tc>
        <w:tc>
          <w:tcPr>
            <w:tcW w:w="5103" w:type="dxa"/>
            <w:shd w:val="clear" w:color="auto" w:fill="auto"/>
          </w:tcPr>
          <w:p w14:paraId="7C725744" w14:textId="77777777" w:rsidR="00A10ECC" w:rsidRPr="0066363A" w:rsidRDefault="00BF7D00" w:rsidP="00A10ECC">
            <w:pPr>
              <w:spacing w:after="0" w:line="276" w:lineRule="auto"/>
              <w:rPr>
                <w:rFonts w:ascii="Times New Roman" w:eastAsia="Calibri" w:hAnsi="Times New Roman" w:cs="Times New Roman"/>
                <w:noProof/>
                <w:sz w:val="20"/>
                <w:szCs w:val="20"/>
              </w:rPr>
            </w:pPr>
            <w:r w:rsidRPr="0066363A">
              <w:rPr>
                <w:rFonts w:ascii="Times New Roman" w:eastAsia="Calibri" w:hAnsi="Times New Roman" w:cs="Times New Roman"/>
                <w:noProof/>
                <w:sz w:val="20"/>
                <w:szCs w:val="20"/>
              </w:rPr>
              <w:t>Republic of Bulgaria- 2 NUTS III level districts: Blagoevgrad and Kyustendil</w:t>
            </w:r>
          </w:p>
          <w:p w14:paraId="498AB8A6" w14:textId="77777777" w:rsidR="00BF7D00" w:rsidRPr="0066363A" w:rsidRDefault="00B802AF" w:rsidP="00A10ECC">
            <w:pPr>
              <w:spacing w:after="0" w:line="276" w:lineRule="auto"/>
              <w:rPr>
                <w:rFonts w:ascii="Times New Roman" w:eastAsia="Calibri" w:hAnsi="Times New Roman" w:cs="Times New Roman"/>
                <w:noProof/>
                <w:sz w:val="20"/>
                <w:szCs w:val="20"/>
              </w:rPr>
            </w:pPr>
            <w:r>
              <w:rPr>
                <w:rFonts w:ascii="Times New Roman" w:eastAsia="Calibri" w:hAnsi="Times New Roman" w:cs="Times New Roman"/>
                <w:noProof/>
                <w:sz w:val="20"/>
                <w:szCs w:val="20"/>
              </w:rPr>
              <w:t>[Republic of North Macedonia]</w:t>
            </w:r>
            <w:r w:rsidR="00BF7D00" w:rsidRPr="0066363A">
              <w:rPr>
                <w:rFonts w:ascii="Times New Roman" w:eastAsia="Calibri" w:hAnsi="Times New Roman" w:cs="Times New Roman"/>
                <w:noProof/>
                <w:sz w:val="20"/>
                <w:szCs w:val="20"/>
              </w:rPr>
              <w:t xml:space="preserve"> - 3 NUTS III level districts:</w:t>
            </w:r>
          </w:p>
          <w:p w14:paraId="69DA9656" w14:textId="77777777" w:rsidR="00BF7D00" w:rsidRPr="0066363A" w:rsidRDefault="00BF7D00" w:rsidP="00A10ECC">
            <w:pPr>
              <w:spacing w:after="0" w:line="276" w:lineRule="auto"/>
              <w:rPr>
                <w:rFonts w:ascii="Times New Roman" w:eastAsia="Calibri" w:hAnsi="Times New Roman" w:cs="Times New Roman"/>
                <w:noProof/>
                <w:sz w:val="20"/>
                <w:szCs w:val="20"/>
              </w:rPr>
            </w:pPr>
            <w:r w:rsidRPr="0066363A">
              <w:rPr>
                <w:rFonts w:ascii="Times New Roman" w:eastAsia="Calibri" w:hAnsi="Times New Roman" w:cs="Times New Roman"/>
                <w:noProof/>
                <w:sz w:val="20"/>
                <w:szCs w:val="20"/>
              </w:rPr>
              <w:t>North-East</w:t>
            </w:r>
            <w:r w:rsidR="006707A4">
              <w:rPr>
                <w:rFonts w:ascii="Times New Roman" w:eastAsia="Calibri" w:hAnsi="Times New Roman" w:cs="Times New Roman"/>
                <w:noProof/>
                <w:sz w:val="20"/>
                <w:szCs w:val="20"/>
              </w:rPr>
              <w:t>ern</w:t>
            </w:r>
            <w:r w:rsidRPr="0066363A">
              <w:rPr>
                <w:rFonts w:ascii="Times New Roman" w:eastAsia="Calibri" w:hAnsi="Times New Roman" w:cs="Times New Roman"/>
                <w:noProof/>
                <w:sz w:val="20"/>
                <w:szCs w:val="20"/>
              </w:rPr>
              <w:t>, East</w:t>
            </w:r>
            <w:r w:rsidR="006707A4">
              <w:rPr>
                <w:rFonts w:ascii="Times New Roman" w:eastAsia="Calibri" w:hAnsi="Times New Roman" w:cs="Times New Roman"/>
                <w:noProof/>
                <w:sz w:val="20"/>
                <w:szCs w:val="20"/>
              </w:rPr>
              <w:t>ern</w:t>
            </w:r>
            <w:r w:rsidRPr="0066363A">
              <w:rPr>
                <w:rFonts w:ascii="Times New Roman" w:eastAsia="Calibri" w:hAnsi="Times New Roman" w:cs="Times New Roman"/>
                <w:noProof/>
                <w:sz w:val="20"/>
                <w:szCs w:val="20"/>
              </w:rPr>
              <w:t xml:space="preserve"> and South-East</w:t>
            </w:r>
            <w:r w:rsidR="006707A4">
              <w:rPr>
                <w:rFonts w:ascii="Times New Roman" w:eastAsia="Calibri" w:hAnsi="Times New Roman" w:cs="Times New Roman"/>
                <w:noProof/>
                <w:sz w:val="20"/>
                <w:szCs w:val="20"/>
              </w:rPr>
              <w:t>ern</w:t>
            </w:r>
          </w:p>
        </w:tc>
      </w:tr>
      <w:tr w:rsidR="00A10ECC" w:rsidRPr="00A10ECC" w14:paraId="3EE1B592" w14:textId="77777777" w:rsidTr="00CD1943">
        <w:trPr>
          <w:jc w:val="center"/>
        </w:trPr>
        <w:tc>
          <w:tcPr>
            <w:tcW w:w="3315" w:type="dxa"/>
            <w:shd w:val="clear" w:color="auto" w:fill="auto"/>
          </w:tcPr>
          <w:p w14:paraId="3258C6CE" w14:textId="77777777" w:rsidR="00A10ECC" w:rsidRPr="00A10ECC" w:rsidRDefault="00A10ECC" w:rsidP="00A10ECC">
            <w:pPr>
              <w:spacing w:after="0" w:line="276" w:lineRule="auto"/>
              <w:rPr>
                <w:rFonts w:ascii="Times New Roman" w:eastAsia="Calibri" w:hAnsi="Times New Roman" w:cs="Times New Roman"/>
                <w:b/>
                <w:iCs/>
                <w:strike/>
                <w:noProof/>
              </w:rPr>
            </w:pPr>
            <w:r w:rsidRPr="00A10ECC">
              <w:rPr>
                <w:rFonts w:ascii="Times New Roman" w:eastAsia="Calibri" w:hAnsi="Times New Roman" w:cs="Times New Roman"/>
                <w:b/>
                <w:iCs/>
                <w:noProof/>
              </w:rPr>
              <w:t>Strand</w:t>
            </w:r>
          </w:p>
        </w:tc>
        <w:tc>
          <w:tcPr>
            <w:tcW w:w="5103" w:type="dxa"/>
            <w:shd w:val="clear" w:color="auto" w:fill="auto"/>
          </w:tcPr>
          <w:p w14:paraId="12CF89AF" w14:textId="77777777" w:rsidR="00A10ECC" w:rsidRPr="00A10ECC" w:rsidRDefault="00A10ECC" w:rsidP="00A10ECC">
            <w:pPr>
              <w:spacing w:after="0" w:line="276" w:lineRule="auto"/>
              <w:rPr>
                <w:rFonts w:ascii="Calibri" w:eastAsia="Calibri" w:hAnsi="Calibri" w:cs="Arial"/>
                <w:noProof/>
                <w:sz w:val="18"/>
                <w:szCs w:val="18"/>
              </w:rPr>
            </w:pPr>
          </w:p>
        </w:tc>
      </w:tr>
    </w:tbl>
    <w:p w14:paraId="73FF8850" w14:textId="77777777" w:rsidR="00A10ECC" w:rsidRPr="00A10ECC" w:rsidRDefault="00A10ECC" w:rsidP="00A10ECC">
      <w:pPr>
        <w:spacing w:before="240" w:after="240" w:line="240" w:lineRule="auto"/>
        <w:jc w:val="both"/>
        <w:rPr>
          <w:rFonts w:ascii="Times New Roman" w:eastAsia="Times New Roman" w:hAnsi="Times New Roman" w:cs="Times New Roman"/>
          <w:b/>
          <w:iCs/>
          <w:noProof/>
          <w:sz w:val="24"/>
          <w:szCs w:val="24"/>
          <w:lang w:eastAsia="en-GB"/>
        </w:rPr>
      </w:pPr>
    </w:p>
    <w:p w14:paraId="2D1D62F2" w14:textId="77777777" w:rsidR="00A10ECC" w:rsidRPr="00A10ECC" w:rsidRDefault="00A10ECC" w:rsidP="00A10ECC">
      <w:pPr>
        <w:spacing w:before="240" w:after="240" w:line="240" w:lineRule="auto"/>
        <w:rPr>
          <w:rFonts w:ascii="Times New Roman" w:eastAsia="Times New Roman" w:hAnsi="Times New Roman" w:cs="Times New Roman"/>
          <w:b/>
          <w:iCs/>
          <w:noProof/>
          <w:sz w:val="24"/>
          <w:szCs w:val="24"/>
          <w:lang w:eastAsia="en-GB"/>
        </w:rPr>
      </w:pPr>
      <w:r w:rsidRPr="00A10ECC">
        <w:rPr>
          <w:rFonts w:ascii="Times New Roman" w:eastAsia="Times New Roman" w:hAnsi="Times New Roman" w:cs="Times New Roman"/>
          <w:b/>
          <w:iCs/>
          <w:noProof/>
          <w:sz w:val="24"/>
          <w:szCs w:val="24"/>
          <w:lang w:eastAsia="en-GB"/>
        </w:rPr>
        <w:br w:type="page"/>
      </w:r>
      <w:r w:rsidRPr="00A10ECC">
        <w:rPr>
          <w:rFonts w:ascii="Times New Roman" w:eastAsia="Times New Roman" w:hAnsi="Times New Roman" w:cs="Times New Roman"/>
          <w:b/>
          <w:iCs/>
          <w:noProof/>
          <w:sz w:val="24"/>
          <w:szCs w:val="24"/>
          <w:lang w:eastAsia="en-GB"/>
        </w:rPr>
        <w:lastRenderedPageBreak/>
        <w:t>1. Joint programme strategy: main development challenges and policy responses</w:t>
      </w:r>
    </w:p>
    <w:p w14:paraId="5B699762" w14:textId="77777777" w:rsidR="00A10ECC" w:rsidRPr="00A10ECC" w:rsidRDefault="00A10ECC" w:rsidP="00A10ECC">
      <w:pPr>
        <w:numPr>
          <w:ilvl w:val="1"/>
          <w:numId w:val="2"/>
        </w:numPr>
        <w:spacing w:before="240" w:after="240" w:line="240" w:lineRule="auto"/>
        <w:rPr>
          <w:rFonts w:ascii="Times New Roman" w:eastAsia="Times New Roman" w:hAnsi="Times New Roman" w:cs="Times New Roman"/>
          <w:b/>
          <w:iCs/>
          <w:noProof/>
          <w:sz w:val="24"/>
          <w:szCs w:val="24"/>
          <w:lang w:eastAsia="en-GB"/>
        </w:rPr>
      </w:pPr>
      <w:r w:rsidRPr="00A10ECC">
        <w:rPr>
          <w:rFonts w:ascii="Times New Roman" w:eastAsia="Times New Roman" w:hAnsi="Times New Roman" w:cs="Times New Roman"/>
          <w:b/>
          <w:iCs/>
          <w:noProof/>
          <w:sz w:val="24"/>
          <w:szCs w:val="24"/>
          <w:lang w:eastAsia="en-GB"/>
        </w:rPr>
        <w:t xml:space="preserve">Programme area (not required for </w:t>
      </w:r>
      <w:r w:rsidRPr="00A10ECC">
        <w:rPr>
          <w:rFonts w:ascii="Times New Roman" w:eastAsia="Times New Roman" w:hAnsi="Times New Roman" w:cs="Arial"/>
          <w:b/>
          <w:iCs/>
          <w:noProof/>
          <w:sz w:val="24"/>
          <w:szCs w:val="24"/>
          <w:lang w:val="en-US" w:eastAsia="en-GB"/>
        </w:rPr>
        <w:t xml:space="preserve">Interreg C </w:t>
      </w:r>
      <w:r w:rsidRPr="00A10ECC">
        <w:rPr>
          <w:rFonts w:ascii="Times New Roman" w:eastAsia="Times New Roman" w:hAnsi="Times New Roman" w:cs="Times New Roman"/>
          <w:b/>
          <w:iCs/>
          <w:noProof/>
          <w:sz w:val="24"/>
          <w:szCs w:val="24"/>
          <w:lang w:eastAsia="en-GB"/>
        </w:rPr>
        <w:t>programmes)</w:t>
      </w:r>
    </w:p>
    <w:p w14:paraId="7CE170A7" w14:textId="77777777" w:rsidR="00A10ECC" w:rsidRPr="00A10ECC" w:rsidRDefault="00A10ECC" w:rsidP="00A10ECC">
      <w:pPr>
        <w:spacing w:after="200" w:line="276" w:lineRule="auto"/>
        <w:jc w:val="both"/>
        <w:rPr>
          <w:rFonts w:ascii="Times New Roman" w:eastAsia="Times New Roman" w:hAnsi="Times New Roman" w:cs="Times New Roman"/>
          <w:i/>
          <w:noProof/>
          <w:color w:val="000000"/>
          <w:sz w:val="24"/>
          <w:szCs w:val="24"/>
          <w:lang w:eastAsia="en-GB"/>
        </w:rPr>
      </w:pPr>
      <w:r w:rsidRPr="00A10ECC">
        <w:rPr>
          <w:rFonts w:ascii="Times New Roman" w:eastAsia="Times New Roman" w:hAnsi="Times New Roman" w:cs="Times New Roman"/>
          <w:i/>
          <w:noProof/>
          <w:color w:val="000000"/>
          <w:sz w:val="24"/>
          <w:szCs w:val="24"/>
          <w:lang w:eastAsia="en-GB"/>
        </w:rPr>
        <w:t>Reference: point (a) of Article 17(3), point (a) of Article 17(9)</w:t>
      </w:r>
    </w:p>
    <w:p w14:paraId="6FAB9FA4" w14:textId="77777777" w:rsidR="00A10ECC" w:rsidRDefault="00A10ECC" w:rsidP="00A10ECC">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lang w:eastAsia="en-GB"/>
        </w:rPr>
      </w:pPr>
      <w:r w:rsidRPr="00A10ECC">
        <w:rPr>
          <w:rFonts w:ascii="Times New Roman" w:eastAsia="Times New Roman" w:hAnsi="Times New Roman" w:cs="Times New Roman"/>
          <w:i/>
          <w:iCs/>
          <w:noProof/>
          <w:lang w:eastAsia="en-GB"/>
        </w:rPr>
        <w:t>Text field [2</w:t>
      </w:r>
      <w:r w:rsidR="00616176">
        <w:rPr>
          <w:rFonts w:ascii="Times New Roman" w:eastAsia="Times New Roman" w:hAnsi="Times New Roman" w:cs="Times New Roman"/>
          <w:i/>
          <w:iCs/>
          <w:noProof/>
          <w:lang w:eastAsia="en-GB"/>
        </w:rPr>
        <w:t> </w:t>
      </w:r>
      <w:r w:rsidRPr="00A10ECC">
        <w:rPr>
          <w:rFonts w:ascii="Times New Roman" w:eastAsia="Times New Roman" w:hAnsi="Times New Roman" w:cs="Times New Roman"/>
          <w:i/>
          <w:iCs/>
          <w:noProof/>
          <w:lang w:eastAsia="en-GB"/>
        </w:rPr>
        <w:t>000]</w:t>
      </w:r>
    </w:p>
    <w:p w14:paraId="261842DA" w14:textId="0D88381B" w:rsidR="00616176" w:rsidRPr="00616176" w:rsidRDefault="00616176" w:rsidP="00616176">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lang w:eastAsia="en-GB"/>
        </w:rPr>
      </w:pPr>
      <w:r w:rsidRPr="00616176">
        <w:rPr>
          <w:rFonts w:ascii="Times New Roman" w:eastAsia="Times New Roman" w:hAnsi="Times New Roman" w:cs="Times New Roman"/>
          <w:i/>
          <w:iCs/>
          <w:noProof/>
          <w:lang w:eastAsia="en-GB"/>
        </w:rPr>
        <w:t>The Republic of Bulgaria – the</w:t>
      </w:r>
      <w:r w:rsidR="00D3256A">
        <w:rPr>
          <w:rFonts w:ascii="Times New Roman" w:eastAsia="Times New Roman" w:hAnsi="Times New Roman" w:cs="Times New Roman"/>
          <w:i/>
          <w:iCs/>
          <w:noProof/>
          <w:lang w:eastAsia="en-GB"/>
        </w:rPr>
        <w:t xml:space="preserve"> [Republic of North Macedonia</w:t>
      </w:r>
      <w:r w:rsidR="00AA7DEE">
        <w:rPr>
          <w:rFonts w:ascii="Times New Roman" w:eastAsia="Times New Roman" w:hAnsi="Times New Roman" w:cs="Times New Roman"/>
          <w:i/>
          <w:iCs/>
          <w:noProof/>
          <w:lang w:eastAsia="en-GB"/>
        </w:rPr>
        <w:t>]</w:t>
      </w:r>
      <w:r w:rsidRPr="00616176">
        <w:rPr>
          <w:rFonts w:ascii="Times New Roman" w:eastAsia="Times New Roman" w:hAnsi="Times New Roman" w:cs="Times New Roman"/>
          <w:i/>
          <w:iCs/>
          <w:noProof/>
          <w:lang w:eastAsia="en-GB"/>
        </w:rPr>
        <w:t xml:space="preserve"> Programme area  is located in South East Europe and covers 5 NUTS III (or equivalent) territorial units, namely: 2 districts on </w:t>
      </w:r>
      <w:r w:rsidR="00531FA3">
        <w:rPr>
          <w:rFonts w:ascii="Times New Roman" w:eastAsia="Times New Roman" w:hAnsi="Times New Roman" w:cs="Times New Roman"/>
          <w:i/>
          <w:iCs/>
          <w:noProof/>
          <w:lang w:eastAsia="en-GB"/>
        </w:rPr>
        <w:t xml:space="preserve">the </w:t>
      </w:r>
      <w:r w:rsidRPr="00616176">
        <w:rPr>
          <w:rFonts w:ascii="Times New Roman" w:eastAsia="Times New Roman" w:hAnsi="Times New Roman" w:cs="Times New Roman"/>
          <w:i/>
          <w:iCs/>
          <w:noProof/>
          <w:lang w:eastAsia="en-GB"/>
        </w:rPr>
        <w:t>side</w:t>
      </w:r>
      <w:r w:rsidR="00531FA3">
        <w:rPr>
          <w:rFonts w:ascii="Times New Roman" w:eastAsia="Times New Roman" w:hAnsi="Times New Roman" w:cs="Times New Roman"/>
          <w:i/>
          <w:iCs/>
          <w:noProof/>
          <w:lang w:val="bg-BG" w:eastAsia="en-GB"/>
        </w:rPr>
        <w:t xml:space="preserve"> of </w:t>
      </w:r>
      <w:r w:rsidR="00531FA3">
        <w:rPr>
          <w:rFonts w:ascii="Times New Roman" w:eastAsia="Times New Roman" w:hAnsi="Times New Roman" w:cs="Times New Roman"/>
          <w:i/>
          <w:iCs/>
          <w:noProof/>
          <w:lang w:val="en-US" w:eastAsia="en-GB"/>
        </w:rPr>
        <w:t>Republic of Bulgaria</w:t>
      </w:r>
      <w:r w:rsidRPr="00616176">
        <w:rPr>
          <w:rFonts w:ascii="Times New Roman" w:eastAsia="Times New Roman" w:hAnsi="Times New Roman" w:cs="Times New Roman"/>
          <w:i/>
          <w:iCs/>
          <w:noProof/>
          <w:lang w:eastAsia="en-GB"/>
        </w:rPr>
        <w:t xml:space="preserve"> –Blagoevgrad and Kyustendil and 3 regions on the side of the </w:t>
      </w:r>
      <w:r w:rsidR="00B802AF">
        <w:rPr>
          <w:rFonts w:ascii="Times New Roman" w:eastAsia="Times New Roman" w:hAnsi="Times New Roman" w:cs="Times New Roman"/>
          <w:i/>
          <w:iCs/>
          <w:noProof/>
          <w:lang w:eastAsia="en-GB"/>
        </w:rPr>
        <w:t xml:space="preserve">[Republic of North </w:t>
      </w:r>
      <w:r w:rsidR="00D3256A">
        <w:rPr>
          <w:rFonts w:ascii="Times New Roman" w:eastAsia="Times New Roman" w:hAnsi="Times New Roman" w:cs="Times New Roman"/>
          <w:i/>
          <w:iCs/>
          <w:noProof/>
          <w:lang w:eastAsia="en-GB"/>
        </w:rPr>
        <w:t>Macedonia</w:t>
      </w:r>
      <w:r w:rsidR="00E05A16">
        <w:rPr>
          <w:rFonts w:ascii="Times New Roman" w:eastAsia="Times New Roman" w:hAnsi="Times New Roman" w:cs="Times New Roman"/>
          <w:i/>
          <w:iCs/>
          <w:noProof/>
          <w:lang w:eastAsia="en-GB"/>
        </w:rPr>
        <w:t>]</w:t>
      </w:r>
      <w:r w:rsidRPr="00616176">
        <w:rPr>
          <w:rFonts w:ascii="Times New Roman" w:eastAsia="Times New Roman" w:hAnsi="Times New Roman" w:cs="Times New Roman"/>
          <w:i/>
          <w:iCs/>
          <w:noProof/>
          <w:lang w:eastAsia="en-GB"/>
        </w:rPr>
        <w:t xml:space="preserve"> -  North-East</w:t>
      </w:r>
      <w:r w:rsidR="006707A4">
        <w:rPr>
          <w:rFonts w:ascii="Times New Roman" w:eastAsia="Times New Roman" w:hAnsi="Times New Roman" w:cs="Times New Roman"/>
          <w:i/>
          <w:iCs/>
          <w:noProof/>
          <w:lang w:eastAsia="en-GB"/>
        </w:rPr>
        <w:t>ern</w:t>
      </w:r>
      <w:r w:rsidRPr="00616176">
        <w:rPr>
          <w:rFonts w:ascii="Times New Roman" w:eastAsia="Times New Roman" w:hAnsi="Times New Roman" w:cs="Times New Roman"/>
          <w:i/>
          <w:iCs/>
          <w:noProof/>
          <w:lang w:eastAsia="en-GB"/>
        </w:rPr>
        <w:t>, East</w:t>
      </w:r>
      <w:r w:rsidR="006707A4">
        <w:rPr>
          <w:rFonts w:ascii="Times New Roman" w:eastAsia="Times New Roman" w:hAnsi="Times New Roman" w:cs="Times New Roman"/>
          <w:i/>
          <w:iCs/>
          <w:noProof/>
          <w:lang w:eastAsia="en-GB"/>
        </w:rPr>
        <w:t>ern</w:t>
      </w:r>
      <w:r w:rsidRPr="00616176">
        <w:rPr>
          <w:rFonts w:ascii="Times New Roman" w:eastAsia="Times New Roman" w:hAnsi="Times New Roman" w:cs="Times New Roman"/>
          <w:i/>
          <w:iCs/>
          <w:noProof/>
          <w:lang w:eastAsia="en-GB"/>
        </w:rPr>
        <w:t xml:space="preserve"> and South-East</w:t>
      </w:r>
      <w:r w:rsidR="006707A4">
        <w:rPr>
          <w:rFonts w:ascii="Times New Roman" w:eastAsia="Times New Roman" w:hAnsi="Times New Roman" w:cs="Times New Roman"/>
          <w:i/>
          <w:iCs/>
          <w:noProof/>
          <w:lang w:eastAsia="en-GB"/>
        </w:rPr>
        <w:t>ern</w:t>
      </w:r>
      <w:r w:rsidRPr="00616176">
        <w:rPr>
          <w:rFonts w:ascii="Times New Roman" w:eastAsia="Times New Roman" w:hAnsi="Times New Roman" w:cs="Times New Roman"/>
          <w:i/>
          <w:iCs/>
          <w:noProof/>
          <w:lang w:eastAsia="en-GB"/>
        </w:rPr>
        <w:t>.</w:t>
      </w:r>
    </w:p>
    <w:p w14:paraId="0BC96ACF" w14:textId="77777777" w:rsidR="00616176" w:rsidRPr="00616176" w:rsidRDefault="00616176" w:rsidP="00616176">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lang w:eastAsia="en-GB"/>
        </w:rPr>
      </w:pPr>
      <w:r w:rsidRPr="00616176">
        <w:rPr>
          <w:rFonts w:ascii="Times New Roman" w:eastAsia="Times New Roman" w:hAnsi="Times New Roman" w:cs="Times New Roman"/>
          <w:i/>
          <w:iCs/>
          <w:noProof/>
          <w:lang w:eastAsia="en-GB"/>
        </w:rPr>
        <w:t xml:space="preserve">The border is 165 km long with three operating border crossings (Zlatarevo-Novo Selo, Stanke Lisichkovo-Delchevo and Gyueshevo-Deve Bair).  The total CBC area  covers 18 087 km2 – in </w:t>
      </w:r>
      <w:r w:rsidR="006707A4">
        <w:rPr>
          <w:rFonts w:ascii="Times New Roman" w:eastAsia="Times New Roman" w:hAnsi="Times New Roman" w:cs="Times New Roman"/>
          <w:i/>
          <w:iCs/>
          <w:noProof/>
          <w:lang w:eastAsia="en-GB"/>
        </w:rPr>
        <w:t xml:space="preserve">Republic of </w:t>
      </w:r>
      <w:r w:rsidRPr="00616176">
        <w:rPr>
          <w:rFonts w:ascii="Times New Roman" w:eastAsia="Times New Roman" w:hAnsi="Times New Roman" w:cs="Times New Roman"/>
          <w:i/>
          <w:iCs/>
          <w:noProof/>
          <w:lang w:eastAsia="en-GB"/>
        </w:rPr>
        <w:t xml:space="preserve">Bulgaria representing 8,6% of the country territory while in the </w:t>
      </w:r>
      <w:r w:rsidR="00B802AF">
        <w:rPr>
          <w:rFonts w:ascii="Times New Roman" w:eastAsia="Times New Roman" w:hAnsi="Times New Roman" w:cs="Times New Roman"/>
          <w:i/>
          <w:iCs/>
          <w:noProof/>
          <w:lang w:eastAsia="en-GB"/>
        </w:rPr>
        <w:t>[Republic of North Macedonia]</w:t>
      </w:r>
      <w:r w:rsidRPr="00616176">
        <w:rPr>
          <w:rFonts w:ascii="Times New Roman" w:eastAsia="Times New Roman" w:hAnsi="Times New Roman" w:cs="Times New Roman"/>
          <w:i/>
          <w:iCs/>
          <w:noProof/>
          <w:lang w:eastAsia="en-GB"/>
        </w:rPr>
        <w:t xml:space="preserve"> it represents 33,8%.</w:t>
      </w:r>
    </w:p>
    <w:p w14:paraId="491330DC" w14:textId="3CD105CF" w:rsidR="00616176" w:rsidRPr="00616176" w:rsidRDefault="00616176" w:rsidP="00616176">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lang w:eastAsia="en-GB"/>
        </w:rPr>
      </w:pPr>
      <w:r w:rsidRPr="00616176">
        <w:rPr>
          <w:rFonts w:ascii="Times New Roman" w:eastAsia="Times New Roman" w:hAnsi="Times New Roman" w:cs="Times New Roman"/>
          <w:i/>
          <w:iCs/>
          <w:noProof/>
          <w:lang w:eastAsia="en-GB"/>
        </w:rPr>
        <w:t>The population of the CBC area is 948 564 inhabitants. The population of the part</w:t>
      </w:r>
      <w:r w:rsidR="00B209A0">
        <w:rPr>
          <w:rFonts w:ascii="Times New Roman" w:eastAsia="Times New Roman" w:hAnsi="Times New Roman" w:cs="Times New Roman"/>
          <w:i/>
          <w:iCs/>
          <w:noProof/>
          <w:lang w:eastAsia="en-GB"/>
        </w:rPr>
        <w:t xml:space="preserve"> of Republic of Bulgaria</w:t>
      </w:r>
      <w:r w:rsidRPr="00616176">
        <w:rPr>
          <w:rFonts w:ascii="Times New Roman" w:eastAsia="Times New Roman" w:hAnsi="Times New Roman" w:cs="Times New Roman"/>
          <w:i/>
          <w:iCs/>
          <w:noProof/>
          <w:lang w:eastAsia="en-GB"/>
        </w:rPr>
        <w:t xml:space="preserve"> is 424 164 inhabitants (6,06% of the country population) while on the side</w:t>
      </w:r>
      <w:r w:rsidR="00B209A0">
        <w:rPr>
          <w:rFonts w:ascii="Times New Roman" w:eastAsia="Times New Roman" w:hAnsi="Times New Roman" w:cs="Times New Roman"/>
          <w:i/>
          <w:iCs/>
          <w:noProof/>
          <w:lang w:eastAsia="en-GB"/>
        </w:rPr>
        <w:t xml:space="preserve"> of </w:t>
      </w:r>
      <w:r w:rsidR="008E572E">
        <w:rPr>
          <w:rFonts w:ascii="Times New Roman" w:eastAsia="Times New Roman" w:hAnsi="Times New Roman" w:cs="Times New Roman"/>
          <w:i/>
          <w:iCs/>
          <w:noProof/>
          <w:lang w:eastAsia="en-GB"/>
        </w:rPr>
        <w:t>[</w:t>
      </w:r>
      <w:r w:rsidR="00B209A0">
        <w:rPr>
          <w:rFonts w:ascii="Times New Roman" w:eastAsia="Times New Roman" w:hAnsi="Times New Roman" w:cs="Times New Roman"/>
          <w:i/>
          <w:iCs/>
          <w:noProof/>
          <w:lang w:eastAsia="en-GB"/>
        </w:rPr>
        <w:t>Republic of Nor</w:t>
      </w:r>
      <w:r w:rsidR="006707A4">
        <w:rPr>
          <w:rFonts w:ascii="Times New Roman" w:eastAsia="Times New Roman" w:hAnsi="Times New Roman" w:cs="Times New Roman"/>
          <w:i/>
          <w:iCs/>
          <w:noProof/>
          <w:lang w:eastAsia="en-GB"/>
        </w:rPr>
        <w:t>t</w:t>
      </w:r>
      <w:r w:rsidR="00B209A0">
        <w:rPr>
          <w:rFonts w:ascii="Times New Roman" w:eastAsia="Times New Roman" w:hAnsi="Times New Roman" w:cs="Times New Roman"/>
          <w:i/>
          <w:iCs/>
          <w:noProof/>
          <w:lang w:eastAsia="en-GB"/>
        </w:rPr>
        <w:t>h Macedonia</w:t>
      </w:r>
      <w:r w:rsidR="008E572E">
        <w:rPr>
          <w:rFonts w:ascii="Times New Roman" w:eastAsia="Times New Roman" w:hAnsi="Times New Roman" w:cs="Times New Roman"/>
          <w:i/>
          <w:iCs/>
          <w:noProof/>
          <w:lang w:eastAsia="en-GB"/>
        </w:rPr>
        <w:t>]</w:t>
      </w:r>
      <w:r w:rsidRPr="00616176">
        <w:rPr>
          <w:rFonts w:ascii="Times New Roman" w:eastAsia="Times New Roman" w:hAnsi="Times New Roman" w:cs="Times New Roman"/>
          <w:i/>
          <w:iCs/>
          <w:noProof/>
          <w:lang w:eastAsia="en-GB"/>
        </w:rPr>
        <w:t xml:space="preserve"> is 524 400 inhabitants (25,26 % of the country population).</w:t>
      </w:r>
    </w:p>
    <w:p w14:paraId="00464177" w14:textId="39B0D773" w:rsidR="00616176" w:rsidRPr="00616176" w:rsidRDefault="00616176" w:rsidP="00616176">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lang w:eastAsia="en-GB"/>
        </w:rPr>
      </w:pPr>
      <w:r w:rsidRPr="00616176">
        <w:rPr>
          <w:rFonts w:ascii="Times New Roman" w:eastAsia="Times New Roman" w:hAnsi="Times New Roman" w:cs="Times New Roman"/>
          <w:i/>
          <w:iCs/>
          <w:noProof/>
          <w:lang w:eastAsia="en-GB"/>
        </w:rPr>
        <w:t xml:space="preserve">The settlement structure of the area is characterazed by presence of 5 medium-large cities: Blagoevgrad and Kyustendil on </w:t>
      </w:r>
      <w:r w:rsidR="00531FA3">
        <w:rPr>
          <w:rFonts w:ascii="Times New Roman" w:eastAsia="Times New Roman" w:hAnsi="Times New Roman" w:cs="Times New Roman"/>
          <w:i/>
          <w:iCs/>
          <w:noProof/>
          <w:lang w:eastAsia="en-GB"/>
        </w:rPr>
        <w:t>the</w:t>
      </w:r>
      <w:r w:rsidR="00531FA3" w:rsidRPr="00616176">
        <w:rPr>
          <w:rFonts w:ascii="Times New Roman" w:eastAsia="Times New Roman" w:hAnsi="Times New Roman" w:cs="Times New Roman"/>
          <w:i/>
          <w:iCs/>
          <w:noProof/>
          <w:lang w:eastAsia="en-GB"/>
        </w:rPr>
        <w:t xml:space="preserve"> </w:t>
      </w:r>
      <w:r w:rsidRPr="00616176">
        <w:rPr>
          <w:rFonts w:ascii="Times New Roman" w:eastAsia="Times New Roman" w:hAnsi="Times New Roman" w:cs="Times New Roman"/>
          <w:i/>
          <w:iCs/>
          <w:noProof/>
          <w:lang w:eastAsia="en-GB"/>
        </w:rPr>
        <w:t>side</w:t>
      </w:r>
      <w:r w:rsidR="00531FA3">
        <w:rPr>
          <w:rFonts w:ascii="Times New Roman" w:eastAsia="Times New Roman" w:hAnsi="Times New Roman" w:cs="Times New Roman"/>
          <w:i/>
          <w:iCs/>
          <w:noProof/>
          <w:lang w:eastAsia="en-GB"/>
        </w:rPr>
        <w:t xml:space="preserve"> of Republic of Bulgaria</w:t>
      </w:r>
      <w:r w:rsidRPr="00616176">
        <w:rPr>
          <w:rFonts w:ascii="Times New Roman" w:eastAsia="Times New Roman" w:hAnsi="Times New Roman" w:cs="Times New Roman"/>
          <w:i/>
          <w:iCs/>
          <w:noProof/>
          <w:lang w:eastAsia="en-GB"/>
        </w:rPr>
        <w:t xml:space="preserve"> and Kumanovo, Stip and Strumica on the side of the </w:t>
      </w:r>
      <w:r w:rsidR="00B802AF">
        <w:rPr>
          <w:rFonts w:ascii="Times New Roman" w:eastAsia="Times New Roman" w:hAnsi="Times New Roman" w:cs="Times New Roman"/>
          <w:i/>
          <w:iCs/>
          <w:noProof/>
          <w:lang w:eastAsia="en-GB"/>
        </w:rPr>
        <w:t>[Republic of North Macedonia]</w:t>
      </w:r>
      <w:r w:rsidR="00EE1BDA">
        <w:rPr>
          <w:rFonts w:ascii="Times New Roman" w:eastAsia="Times New Roman" w:hAnsi="Times New Roman" w:cs="Times New Roman"/>
          <w:i/>
          <w:iCs/>
          <w:noProof/>
          <w:lang w:eastAsia="en-GB"/>
        </w:rPr>
        <w:t>.</w:t>
      </w:r>
    </w:p>
    <w:p w14:paraId="224A2808" w14:textId="77777777" w:rsidR="00616176" w:rsidRPr="00616176" w:rsidRDefault="00616176" w:rsidP="00616176">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lang w:eastAsia="en-GB"/>
        </w:rPr>
      </w:pPr>
      <w:r w:rsidRPr="00616176">
        <w:rPr>
          <w:rFonts w:ascii="Times New Roman" w:eastAsia="Times New Roman" w:hAnsi="Times New Roman" w:cs="Times New Roman"/>
          <w:i/>
          <w:iCs/>
          <w:noProof/>
          <w:lang w:eastAsia="en-GB"/>
        </w:rPr>
        <w:t xml:space="preserve"> More than half of the programme area is mountainous with forests occupying over 40% of the territory. The geographical structure of the programme area includes also numerous valleys with agricultural lands, which favour the development of tourism, agriculture and food processing industries.</w:t>
      </w:r>
    </w:p>
    <w:p w14:paraId="11EE7E6C" w14:textId="77777777" w:rsidR="00616176" w:rsidRPr="00616176" w:rsidRDefault="00616176" w:rsidP="00616176">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lang w:eastAsia="en-GB"/>
        </w:rPr>
      </w:pPr>
      <w:r w:rsidRPr="00616176">
        <w:rPr>
          <w:rFonts w:ascii="Times New Roman" w:eastAsia="Times New Roman" w:hAnsi="Times New Roman" w:cs="Times New Roman"/>
          <w:i/>
          <w:iCs/>
          <w:noProof/>
          <w:lang w:eastAsia="en-GB"/>
        </w:rPr>
        <w:t>The programme area is rich in water resources: rivers, the biggest of which are Struma, Mesta, Bregalnica, Strumica</w:t>
      </w:r>
      <w:r w:rsidR="005C2DF0">
        <w:rPr>
          <w:rFonts w:ascii="Times New Roman" w:eastAsia="Times New Roman" w:hAnsi="Times New Roman" w:cs="Times New Roman"/>
          <w:i/>
          <w:iCs/>
          <w:noProof/>
          <w:lang w:eastAsia="en-GB"/>
        </w:rPr>
        <w:t xml:space="preserve">, </w:t>
      </w:r>
      <w:r w:rsidR="005C2DF0" w:rsidRPr="005C2DF0">
        <w:rPr>
          <w:rFonts w:ascii="Times New Roman" w:eastAsia="Times New Roman" w:hAnsi="Times New Roman" w:cs="Times New Roman"/>
          <w:i/>
          <w:iCs/>
          <w:noProof/>
          <w:lang w:eastAsia="en-GB"/>
        </w:rPr>
        <w:t>Pchinja, Kriva Reka</w:t>
      </w:r>
      <w:r w:rsidRPr="00616176">
        <w:rPr>
          <w:rFonts w:ascii="Times New Roman" w:eastAsia="Times New Roman" w:hAnsi="Times New Roman" w:cs="Times New Roman"/>
          <w:i/>
          <w:iCs/>
          <w:noProof/>
          <w:lang w:eastAsia="en-GB"/>
        </w:rPr>
        <w:t>; lakes</w:t>
      </w:r>
      <w:r w:rsidR="00B209A0">
        <w:rPr>
          <w:rFonts w:ascii="Times New Roman" w:eastAsia="Times New Roman" w:hAnsi="Times New Roman" w:cs="Times New Roman"/>
          <w:i/>
          <w:iCs/>
          <w:noProof/>
          <w:lang w:eastAsia="en-GB"/>
        </w:rPr>
        <w:t>,</w:t>
      </w:r>
      <w:r w:rsidR="006707A4">
        <w:rPr>
          <w:rFonts w:ascii="Times New Roman" w:eastAsia="Times New Roman" w:hAnsi="Times New Roman" w:cs="Times New Roman"/>
          <w:i/>
          <w:iCs/>
          <w:noProof/>
          <w:lang w:eastAsia="en-GB"/>
        </w:rPr>
        <w:t xml:space="preserve"> </w:t>
      </w:r>
      <w:r w:rsidRPr="00616176">
        <w:rPr>
          <w:rFonts w:ascii="Times New Roman" w:eastAsia="Times New Roman" w:hAnsi="Times New Roman" w:cs="Times New Roman"/>
          <w:i/>
          <w:iCs/>
          <w:noProof/>
          <w:lang w:eastAsia="en-GB"/>
        </w:rPr>
        <w:t xml:space="preserve">part of </w:t>
      </w:r>
      <w:r w:rsidR="0066515B" w:rsidRPr="00616176">
        <w:rPr>
          <w:rFonts w:ascii="Times New Roman" w:eastAsia="Times New Roman" w:hAnsi="Times New Roman" w:cs="Times New Roman"/>
          <w:i/>
          <w:iCs/>
          <w:noProof/>
          <w:lang w:eastAsia="en-GB"/>
        </w:rPr>
        <w:t>Do</w:t>
      </w:r>
      <w:r w:rsidR="0066515B">
        <w:rPr>
          <w:rFonts w:ascii="Times New Roman" w:eastAsia="Times New Roman" w:hAnsi="Times New Roman" w:cs="Times New Roman"/>
          <w:i/>
          <w:iCs/>
          <w:noProof/>
          <w:lang w:eastAsia="en-GB"/>
        </w:rPr>
        <w:t>y</w:t>
      </w:r>
      <w:r w:rsidR="0066515B" w:rsidRPr="00616176">
        <w:rPr>
          <w:rFonts w:ascii="Times New Roman" w:eastAsia="Times New Roman" w:hAnsi="Times New Roman" w:cs="Times New Roman"/>
          <w:i/>
          <w:iCs/>
          <w:noProof/>
          <w:lang w:eastAsia="en-GB"/>
        </w:rPr>
        <w:t xml:space="preserve">ran </w:t>
      </w:r>
      <w:r w:rsidRPr="00616176">
        <w:rPr>
          <w:rFonts w:ascii="Times New Roman" w:eastAsia="Times New Roman" w:hAnsi="Times New Roman" w:cs="Times New Roman"/>
          <w:i/>
          <w:iCs/>
          <w:noProof/>
          <w:lang w:eastAsia="en-GB"/>
        </w:rPr>
        <w:t>lake, Vodoca, Mantovo</w:t>
      </w:r>
      <w:r w:rsidR="005C2DF0">
        <w:rPr>
          <w:rFonts w:ascii="Times New Roman" w:eastAsia="Times New Roman" w:hAnsi="Times New Roman" w:cs="Times New Roman"/>
          <w:i/>
          <w:iCs/>
          <w:noProof/>
          <w:lang w:eastAsia="en-GB"/>
        </w:rPr>
        <w:t xml:space="preserve">, </w:t>
      </w:r>
      <w:r w:rsidR="005C2DF0" w:rsidRPr="005C2DF0">
        <w:rPr>
          <w:rFonts w:ascii="Times New Roman" w:eastAsia="Times New Roman" w:hAnsi="Times New Roman" w:cs="Times New Roman"/>
          <w:i/>
          <w:iCs/>
          <w:noProof/>
          <w:lang w:eastAsia="en-GB"/>
        </w:rPr>
        <w:t xml:space="preserve">Kalimanci, Berovo Lake, Gratche, Pishica, Knezevo and other numeros smaller lakes in the three border regions in the </w:t>
      </w:r>
      <w:r w:rsidR="00B802AF">
        <w:rPr>
          <w:rFonts w:ascii="Times New Roman" w:eastAsia="Times New Roman" w:hAnsi="Times New Roman" w:cs="Times New Roman"/>
          <w:i/>
          <w:iCs/>
          <w:noProof/>
          <w:lang w:eastAsia="en-GB"/>
        </w:rPr>
        <w:t>[Republic of North Macedonia]</w:t>
      </w:r>
      <w:r w:rsidRPr="00616176">
        <w:rPr>
          <w:rFonts w:ascii="Times New Roman" w:eastAsia="Times New Roman" w:hAnsi="Times New Roman" w:cs="Times New Roman"/>
          <w:i/>
          <w:iCs/>
          <w:noProof/>
          <w:lang w:eastAsia="en-GB"/>
        </w:rPr>
        <w:t xml:space="preserve">; numeros lakes in Rila and Pirin mountains, of which the most popular are the Seven Rila lakes); groundwater (both springs and thermal waters). </w:t>
      </w:r>
    </w:p>
    <w:p w14:paraId="0574A9FD" w14:textId="39D8A09B" w:rsidR="00616176" w:rsidRPr="00A10ECC" w:rsidRDefault="00616176" w:rsidP="00A10ECC">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noProof/>
          <w:color w:val="000000"/>
          <w:lang w:eastAsia="en-GB"/>
        </w:rPr>
      </w:pPr>
      <w:r w:rsidRPr="00616176">
        <w:rPr>
          <w:rFonts w:ascii="Times New Roman" w:eastAsia="Times New Roman" w:hAnsi="Times New Roman" w:cs="Times New Roman"/>
          <w:i/>
          <w:iCs/>
          <w:noProof/>
          <w:lang w:eastAsia="en-GB"/>
        </w:rPr>
        <w:t>The climate is diverse, from moderate-continental,</w:t>
      </w:r>
      <w:r w:rsidR="006707A4">
        <w:rPr>
          <w:rFonts w:ascii="Times New Roman" w:eastAsia="Times New Roman" w:hAnsi="Times New Roman" w:cs="Times New Roman"/>
          <w:i/>
          <w:iCs/>
          <w:noProof/>
          <w:lang w:eastAsia="en-GB"/>
        </w:rPr>
        <w:t xml:space="preserve"> </w:t>
      </w:r>
      <w:r w:rsidRPr="00616176">
        <w:rPr>
          <w:rFonts w:ascii="Times New Roman" w:eastAsia="Times New Roman" w:hAnsi="Times New Roman" w:cs="Times New Roman"/>
          <w:i/>
          <w:iCs/>
          <w:noProof/>
          <w:lang w:eastAsia="en-GB"/>
        </w:rPr>
        <w:t>transitional-continental and mountainous to Mediterranean along the river valleys</w:t>
      </w:r>
      <w:r w:rsidR="003A380C">
        <w:rPr>
          <w:rFonts w:ascii="Times New Roman" w:eastAsia="Times New Roman" w:hAnsi="Times New Roman" w:cs="Times New Roman"/>
          <w:i/>
          <w:iCs/>
          <w:noProof/>
          <w:lang w:eastAsia="en-GB"/>
        </w:rPr>
        <w:t xml:space="preserve"> and Do</w:t>
      </w:r>
      <w:r w:rsidR="00663CB0">
        <w:rPr>
          <w:rFonts w:ascii="Times New Roman" w:eastAsia="Times New Roman" w:hAnsi="Times New Roman" w:cs="Times New Roman"/>
          <w:i/>
          <w:iCs/>
          <w:noProof/>
          <w:lang w:eastAsia="en-GB"/>
        </w:rPr>
        <w:t>y</w:t>
      </w:r>
      <w:r w:rsidR="003A380C">
        <w:rPr>
          <w:rFonts w:ascii="Times New Roman" w:eastAsia="Times New Roman" w:hAnsi="Times New Roman" w:cs="Times New Roman"/>
          <w:i/>
          <w:iCs/>
          <w:noProof/>
          <w:lang w:eastAsia="en-GB"/>
        </w:rPr>
        <w:t>ran Lake</w:t>
      </w:r>
      <w:r w:rsidRPr="00616176">
        <w:rPr>
          <w:rFonts w:ascii="Times New Roman" w:eastAsia="Times New Roman" w:hAnsi="Times New Roman" w:cs="Times New Roman"/>
          <w:i/>
          <w:iCs/>
          <w:noProof/>
          <w:lang w:eastAsia="en-GB"/>
        </w:rPr>
        <w:t xml:space="preserve">. The </w:t>
      </w:r>
      <w:r w:rsidR="003A380C">
        <w:rPr>
          <w:rFonts w:ascii="Times New Roman" w:eastAsia="Times New Roman" w:hAnsi="Times New Roman" w:cs="Times New Roman"/>
          <w:i/>
          <w:iCs/>
          <w:noProof/>
          <w:lang w:eastAsia="en-GB"/>
        </w:rPr>
        <w:t xml:space="preserve">cross </w:t>
      </w:r>
      <w:r w:rsidRPr="00616176">
        <w:rPr>
          <w:rFonts w:ascii="Times New Roman" w:eastAsia="Times New Roman" w:hAnsi="Times New Roman" w:cs="Times New Roman"/>
          <w:i/>
          <w:iCs/>
          <w:noProof/>
          <w:lang w:eastAsia="en-GB"/>
        </w:rPr>
        <w:t xml:space="preserve">border region </w:t>
      </w:r>
      <w:r w:rsidR="003A380C">
        <w:rPr>
          <w:rFonts w:ascii="Times New Roman" w:eastAsia="Times New Roman" w:hAnsi="Times New Roman" w:cs="Times New Roman"/>
          <w:i/>
          <w:iCs/>
          <w:noProof/>
          <w:lang w:eastAsia="en-GB"/>
        </w:rPr>
        <w:t>of both sides</w:t>
      </w:r>
      <w:r w:rsidRPr="00616176">
        <w:rPr>
          <w:rFonts w:ascii="Times New Roman" w:eastAsia="Times New Roman" w:hAnsi="Times New Roman" w:cs="Times New Roman"/>
          <w:i/>
          <w:iCs/>
          <w:noProof/>
          <w:lang w:eastAsia="en-GB"/>
        </w:rPr>
        <w:t xml:space="preserve"> is assessed as having rich cultural and natural heritage and a high level of environmental sensitivity in terms of climate change</w:t>
      </w:r>
      <w:r w:rsidR="005658DF">
        <w:rPr>
          <w:rFonts w:ascii="Times New Roman" w:eastAsia="Times New Roman" w:hAnsi="Times New Roman" w:cs="Times New Roman"/>
          <w:i/>
          <w:noProof/>
          <w:color w:val="000000"/>
          <w:lang w:eastAsia="en-GB"/>
        </w:rPr>
        <w:t>.</w:t>
      </w:r>
    </w:p>
    <w:p w14:paraId="67A9FD97" w14:textId="77777777" w:rsidR="00A10ECC" w:rsidRPr="00A10ECC" w:rsidRDefault="00A10ECC" w:rsidP="00A10ECC">
      <w:pPr>
        <w:numPr>
          <w:ilvl w:val="1"/>
          <w:numId w:val="2"/>
        </w:numPr>
        <w:spacing w:before="240" w:after="240" w:line="240" w:lineRule="auto"/>
        <w:rPr>
          <w:rFonts w:ascii="Times New Roman" w:eastAsia="Times New Roman" w:hAnsi="Times New Roman" w:cs="Times New Roman"/>
          <w:b/>
          <w:iCs/>
          <w:noProof/>
          <w:sz w:val="24"/>
          <w:szCs w:val="24"/>
          <w:lang w:eastAsia="en-GB"/>
        </w:rPr>
      </w:pPr>
      <w:r w:rsidRPr="00A10ECC">
        <w:rPr>
          <w:rFonts w:ascii="Times New Roman" w:eastAsia="Times New Roman" w:hAnsi="Times New Roman" w:cs="Times New Roman"/>
          <w:b/>
          <w:noProof/>
          <w:color w:val="000000"/>
          <w:sz w:val="24"/>
          <w:szCs w:val="24"/>
          <w:lang w:eastAsia="en-GB"/>
        </w:rPr>
        <w:t>Joint programme strategy: Summary of main joint challenges, taking into acccount economic, social and territorial disparities as well as inequalities, joint investment needs and complimentary and synergies with other  funding programmes and instruments, lessons-learnt from past experience and macro-regional strategies and sea-basin strategies where the programme area as a whole or partially is covered by one or more strategies</w:t>
      </w:r>
      <w:r w:rsidR="00D467B8">
        <w:rPr>
          <w:rStyle w:val="FootnoteReference"/>
          <w:rFonts w:ascii="Times New Roman" w:eastAsia="Times New Roman" w:hAnsi="Times New Roman" w:cs="Times New Roman"/>
          <w:b w:val="0"/>
          <w:noProof/>
          <w:color w:val="000000"/>
          <w:sz w:val="24"/>
          <w:szCs w:val="24"/>
          <w:lang w:eastAsia="en-GB"/>
        </w:rPr>
        <w:footnoteReference w:id="2"/>
      </w:r>
      <w:r w:rsidRPr="00A10ECC">
        <w:rPr>
          <w:rFonts w:ascii="Times New Roman" w:eastAsia="Times New Roman" w:hAnsi="Times New Roman" w:cs="Times New Roman"/>
          <w:b/>
          <w:noProof/>
          <w:color w:val="000000"/>
          <w:sz w:val="24"/>
          <w:szCs w:val="24"/>
          <w:lang w:eastAsia="en-GB"/>
        </w:rPr>
        <w:t>.</w:t>
      </w:r>
    </w:p>
    <w:p w14:paraId="7F7269E9" w14:textId="77777777" w:rsidR="00A10ECC" w:rsidRPr="00A10ECC" w:rsidRDefault="00A10ECC" w:rsidP="00A10ECC">
      <w:pPr>
        <w:spacing w:after="200" w:line="276" w:lineRule="auto"/>
        <w:jc w:val="both"/>
        <w:rPr>
          <w:rFonts w:ascii="Times New Roman" w:eastAsia="Times New Roman" w:hAnsi="Times New Roman" w:cs="Times New Roman"/>
          <w:i/>
          <w:noProof/>
          <w:sz w:val="24"/>
          <w:szCs w:val="24"/>
          <w:lang w:eastAsia="en-GB"/>
        </w:rPr>
      </w:pPr>
      <w:r w:rsidRPr="00A10ECC">
        <w:rPr>
          <w:rFonts w:ascii="Times New Roman" w:eastAsia="Times New Roman" w:hAnsi="Times New Roman" w:cs="Times New Roman"/>
          <w:i/>
          <w:noProof/>
          <w:sz w:val="24"/>
          <w:szCs w:val="24"/>
          <w:lang w:eastAsia="en-GB"/>
        </w:rPr>
        <w:lastRenderedPageBreak/>
        <w:t>Reference: point (b) of Article 17(3), point (b) of Article 17(9)</w:t>
      </w:r>
    </w:p>
    <w:p w14:paraId="63560A9A" w14:textId="77777777" w:rsidR="00402D1A" w:rsidRPr="00402D1A" w:rsidRDefault="00402D1A" w:rsidP="00402D1A">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b/>
          <w:iCs/>
          <w:noProof/>
          <w:lang w:eastAsia="en-GB"/>
        </w:rPr>
      </w:pPr>
      <w:r w:rsidRPr="00402D1A">
        <w:rPr>
          <w:rFonts w:ascii="Times New Roman" w:eastAsia="Times New Roman" w:hAnsi="Times New Roman" w:cs="Times New Roman"/>
          <w:b/>
          <w:iCs/>
          <w:noProof/>
          <w:lang w:eastAsia="en-GB"/>
        </w:rPr>
        <w:t>1. ECONOMIC, SOCIAL AND TERRITORIAL DISPARITIES</w:t>
      </w:r>
    </w:p>
    <w:p w14:paraId="76E192A1" w14:textId="77777777" w:rsidR="003A380C" w:rsidRDefault="006A79BA" w:rsidP="00402D1A">
      <w:pPr>
        <w:pBdr>
          <w:top w:val="single" w:sz="4" w:space="1" w:color="auto"/>
          <w:left w:val="single" w:sz="4" w:space="4" w:color="auto"/>
          <w:bottom w:val="single" w:sz="4" w:space="1" w:color="auto"/>
          <w:right w:val="single" w:sz="4" w:space="4" w:color="auto"/>
        </w:pBdr>
        <w:spacing w:after="200" w:line="276" w:lineRule="auto"/>
        <w:jc w:val="both"/>
        <w:rPr>
          <w:rFonts w:ascii="Times New Roman" w:hAnsi="Times New Roman" w:cs="Times New Roman"/>
          <w:lang w:val="en-US"/>
        </w:rPr>
      </w:pPr>
      <w:r>
        <w:rPr>
          <w:rFonts w:ascii="Times New Roman" w:hAnsi="Times New Roman" w:cs="Times New Roman"/>
          <w:lang w:val="en-US"/>
        </w:rPr>
        <w:t>Multifaceted</w:t>
      </w:r>
      <w:r>
        <w:rPr>
          <w:rFonts w:ascii="Times New Roman" w:hAnsi="Times New Roman" w:cs="Times New Roman"/>
        </w:rPr>
        <w:t xml:space="preserve"> factors collide and shape the specific context of the cross-border cooperation at EU external borders. </w:t>
      </w:r>
      <w:r w:rsidRPr="008134D5">
        <w:rPr>
          <w:rFonts w:ascii="Times New Roman" w:hAnsi="Times New Roman" w:cs="Times New Roman"/>
        </w:rPr>
        <w:t>It is impossible for one to shadow the dividing l</w:t>
      </w:r>
      <w:r>
        <w:rPr>
          <w:rFonts w:ascii="Times New Roman" w:hAnsi="Times New Roman" w:cs="Times New Roman"/>
        </w:rPr>
        <w:t xml:space="preserve">ines on the EU external borders whose particularities can be </w:t>
      </w:r>
      <w:r>
        <w:rPr>
          <w:rFonts w:ascii="Times New Roman" w:hAnsi="Times New Roman" w:cs="Times New Roman"/>
          <w:lang w:val="en-US"/>
        </w:rPr>
        <w:t>traced</w:t>
      </w:r>
      <w:r>
        <w:rPr>
          <w:rFonts w:ascii="Times New Roman" w:hAnsi="Times New Roman" w:cs="Times New Roman"/>
        </w:rPr>
        <w:t xml:space="preserve"> in every policy domain and institutional setting</w:t>
      </w:r>
      <w:r>
        <w:rPr>
          <w:rFonts w:ascii="Times New Roman" w:hAnsi="Times New Roman" w:cs="Times New Roman"/>
          <w:lang w:val="en-US"/>
        </w:rPr>
        <w:t xml:space="preserve">. One such factor is the </w:t>
      </w:r>
      <w:r w:rsidRPr="00700ABF">
        <w:rPr>
          <w:rFonts w:ascii="Times New Roman" w:hAnsi="Times New Roman" w:cs="Times New Roman"/>
          <w:lang w:val="en-US"/>
        </w:rPr>
        <w:t xml:space="preserve">lasting negative impact </w:t>
      </w:r>
      <w:r>
        <w:rPr>
          <w:rFonts w:ascii="Times New Roman" w:hAnsi="Times New Roman" w:cs="Times New Roman"/>
          <w:lang w:val="en-US"/>
        </w:rPr>
        <w:t>of the h</w:t>
      </w:r>
      <w:r w:rsidRPr="00700ABF">
        <w:rPr>
          <w:rFonts w:ascii="Times New Roman" w:hAnsi="Times New Roman" w:cs="Times New Roman"/>
          <w:lang w:val="en-US"/>
        </w:rPr>
        <w:t>istorically rooted detachment of the two neighboring countries</w:t>
      </w:r>
      <w:r w:rsidRPr="00A007A3">
        <w:rPr>
          <w:rFonts w:ascii="Times New Roman" w:hAnsi="Times New Roman" w:cs="Times New Roman"/>
          <w:lang w:val="en-US"/>
        </w:rPr>
        <w:t xml:space="preserve"> </w:t>
      </w:r>
      <w:r w:rsidRPr="00700ABF">
        <w:rPr>
          <w:rFonts w:ascii="Times New Roman" w:hAnsi="Times New Roman" w:cs="Times New Roman"/>
          <w:lang w:val="en-US"/>
        </w:rPr>
        <w:t xml:space="preserve">on the CBC </w:t>
      </w:r>
      <w:r w:rsidR="003B16B9" w:rsidRPr="00700ABF">
        <w:rPr>
          <w:rFonts w:ascii="Times New Roman" w:hAnsi="Times New Roman" w:cs="Times New Roman"/>
          <w:lang w:val="en-US"/>
        </w:rPr>
        <w:t>area</w:t>
      </w:r>
      <w:r w:rsidR="003B16B9">
        <w:rPr>
          <w:rFonts w:ascii="Times New Roman" w:hAnsi="Times New Roman" w:cs="Times New Roman"/>
          <w:lang w:val="en-US"/>
        </w:rPr>
        <w:t xml:space="preserve">, which </w:t>
      </w:r>
      <w:r w:rsidRPr="00700ABF">
        <w:rPr>
          <w:rFonts w:ascii="Times New Roman" w:hAnsi="Times New Roman" w:cs="Times New Roman"/>
          <w:lang w:val="en-US"/>
        </w:rPr>
        <w:t>continues to overwhe</w:t>
      </w:r>
      <w:r>
        <w:rPr>
          <w:rFonts w:ascii="Times New Roman" w:hAnsi="Times New Roman" w:cs="Times New Roman"/>
          <w:lang w:val="en-US"/>
        </w:rPr>
        <w:t>lm the prosperity of the region.</w:t>
      </w:r>
      <w:r w:rsidRPr="00700ABF">
        <w:rPr>
          <w:rFonts w:ascii="Times New Roman" w:hAnsi="Times New Roman" w:cs="Times New Roman"/>
          <w:lang w:val="en-US"/>
        </w:rPr>
        <w:t xml:space="preserve"> </w:t>
      </w:r>
    </w:p>
    <w:p w14:paraId="46C31EC7" w14:textId="77777777" w:rsidR="003A380C" w:rsidRDefault="006A79BA" w:rsidP="00402D1A">
      <w:pPr>
        <w:pBdr>
          <w:top w:val="single" w:sz="4" w:space="1" w:color="auto"/>
          <w:left w:val="single" w:sz="4" w:space="4" w:color="auto"/>
          <w:bottom w:val="single" w:sz="4" w:space="1" w:color="auto"/>
          <w:right w:val="single" w:sz="4" w:space="4" w:color="auto"/>
        </w:pBdr>
        <w:spacing w:after="200" w:line="276" w:lineRule="auto"/>
        <w:jc w:val="both"/>
        <w:rPr>
          <w:rFonts w:ascii="Times New Roman" w:hAnsi="Times New Roman" w:cs="Times New Roman"/>
        </w:rPr>
      </w:pPr>
      <w:r>
        <w:rPr>
          <w:rFonts w:ascii="Times New Roman" w:hAnsi="Times New Roman" w:cs="Times New Roman"/>
          <w:lang w:val="en-US"/>
        </w:rPr>
        <w:t>Another factor is</w:t>
      </w:r>
      <w:r w:rsidRPr="00700ABF">
        <w:rPr>
          <w:rFonts w:ascii="Times New Roman" w:hAnsi="Times New Roman" w:cs="Times New Roman"/>
          <w:lang w:val="en-US"/>
        </w:rPr>
        <w:t xml:space="preserve"> the </w:t>
      </w:r>
      <w:r w:rsidRPr="003870FD">
        <w:rPr>
          <w:rFonts w:ascii="Times New Roman" w:hAnsi="Times New Roman" w:cs="Times New Roman"/>
          <w:lang w:val="en-US"/>
        </w:rPr>
        <w:t xml:space="preserve">divergent institutional governance structures </w:t>
      </w:r>
      <w:r w:rsidRPr="00700ABF">
        <w:rPr>
          <w:rFonts w:ascii="Times New Roman" w:hAnsi="Times New Roman" w:cs="Times New Roman"/>
          <w:lang w:val="en-US"/>
        </w:rPr>
        <w:t>in both countries</w:t>
      </w:r>
      <w:r>
        <w:rPr>
          <w:rFonts w:ascii="Times New Roman" w:hAnsi="Times New Roman" w:cs="Times New Roman"/>
          <w:lang w:val="en-US"/>
        </w:rPr>
        <w:t>, which often jeopardize</w:t>
      </w:r>
      <w:r w:rsidRPr="00700ABF">
        <w:rPr>
          <w:rFonts w:ascii="Times New Roman" w:hAnsi="Times New Roman" w:cs="Times New Roman"/>
          <w:lang w:val="en-US"/>
        </w:rPr>
        <w:t xml:space="preserve"> attempts to joint and integ</w:t>
      </w:r>
      <w:r>
        <w:rPr>
          <w:rFonts w:ascii="Times New Roman" w:hAnsi="Times New Roman" w:cs="Times New Roman"/>
          <w:lang w:val="en-US"/>
        </w:rPr>
        <w:t>rated actions and solutions. The simultaneous implementation of the EU enlargement and cohesion policy often gets in conflict while pursuing their individual goals. All these are</w:t>
      </w:r>
      <w:r w:rsidRPr="00700ABF">
        <w:rPr>
          <w:rFonts w:ascii="Times New Roman" w:hAnsi="Times New Roman" w:cs="Times New Roman"/>
          <w:lang w:val="en-US"/>
        </w:rPr>
        <w:t xml:space="preserve"> only </w:t>
      </w:r>
      <w:r>
        <w:rPr>
          <w:rFonts w:ascii="Times New Roman" w:hAnsi="Times New Roman" w:cs="Times New Roman"/>
          <w:lang w:val="en-US"/>
        </w:rPr>
        <w:t xml:space="preserve">few of the preconditions </w:t>
      </w:r>
      <w:r w:rsidRPr="00700ABF">
        <w:rPr>
          <w:rFonts w:ascii="Times New Roman" w:hAnsi="Times New Roman" w:cs="Times New Roman"/>
          <w:lang w:val="en-US"/>
        </w:rPr>
        <w:t>t</w:t>
      </w:r>
      <w:r>
        <w:rPr>
          <w:rFonts w:ascii="Times New Roman" w:hAnsi="Times New Roman" w:cs="Times New Roman"/>
          <w:lang w:val="en-US"/>
        </w:rPr>
        <w:t>hat determine</w:t>
      </w:r>
      <w:r w:rsidRPr="00700ABF">
        <w:rPr>
          <w:rFonts w:ascii="Times New Roman" w:hAnsi="Times New Roman" w:cs="Times New Roman"/>
          <w:lang w:val="en-US"/>
        </w:rPr>
        <w:t xml:space="preserve"> different</w:t>
      </w:r>
      <w:r>
        <w:rPr>
          <w:rFonts w:ascii="Times New Roman" w:hAnsi="Times New Roman" w:cs="Times New Roman"/>
          <w:lang w:val="en-US"/>
        </w:rPr>
        <w:t xml:space="preserve"> strategic focus and </w:t>
      </w:r>
      <w:r w:rsidRPr="00700ABF">
        <w:rPr>
          <w:rFonts w:ascii="Times New Roman" w:hAnsi="Times New Roman" w:cs="Times New Roman"/>
          <w:lang w:val="en-US"/>
        </w:rPr>
        <w:t>i</w:t>
      </w:r>
      <w:r>
        <w:rPr>
          <w:rFonts w:ascii="Times New Roman" w:hAnsi="Times New Roman" w:cs="Times New Roman"/>
          <w:lang w:val="en-US"/>
        </w:rPr>
        <w:t>mplementation approaches in Interreg programs of external and internal borders</w:t>
      </w:r>
      <w:r>
        <w:rPr>
          <w:rFonts w:ascii="Times New Roman" w:hAnsi="Times New Roman" w:cs="Times New Roman"/>
        </w:rPr>
        <w:t xml:space="preserve">. </w:t>
      </w:r>
    </w:p>
    <w:p w14:paraId="46808E89" w14:textId="77777777" w:rsidR="00C55CE6" w:rsidRDefault="006A79BA" w:rsidP="00402D1A">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Pr>
          <w:rFonts w:ascii="Times New Roman" w:hAnsi="Times New Roman" w:cs="Times New Roman"/>
        </w:rPr>
        <w:t xml:space="preserve">While most EU internal programs provide support for solutions to global challenges, the CBC-IPA territories are still confronted with the need to catch up </w:t>
      </w:r>
      <w:r w:rsidRPr="00B47A66">
        <w:rPr>
          <w:rFonts w:ascii="Times New Roman" w:hAnsi="Times New Roman" w:cs="Times New Roman"/>
        </w:rPr>
        <w:t>in their socio-economic development</w:t>
      </w:r>
      <w:r>
        <w:rPr>
          <w:rFonts w:ascii="Times New Roman" w:hAnsi="Times New Roman" w:cs="Times New Roman"/>
        </w:rPr>
        <w:t>.</w:t>
      </w:r>
      <w:r>
        <w:rPr>
          <w:rFonts w:ascii="Times New Roman" w:eastAsia="Times New Roman" w:hAnsi="Times New Roman" w:cs="Times New Roman"/>
          <w:iCs/>
          <w:noProof/>
          <w:lang w:eastAsia="en-GB"/>
        </w:rPr>
        <w:t xml:space="preserve"> Therefore, t</w:t>
      </w:r>
      <w:r w:rsidR="00402D1A" w:rsidRPr="00402D1A">
        <w:rPr>
          <w:rFonts w:ascii="Times New Roman" w:eastAsia="Times New Roman" w:hAnsi="Times New Roman" w:cs="Times New Roman"/>
          <w:iCs/>
          <w:noProof/>
          <w:lang w:eastAsia="en-GB"/>
        </w:rPr>
        <w:t xml:space="preserve">he main joint challenge of the CBC region for 2021-2027 is to leave the group of lagging regions and take on more advanced course of development while still facing persistent risk of poverty and income inequalities issues </w:t>
      </w:r>
      <w:r w:rsidR="00402D1A" w:rsidRPr="00402D1A">
        <w:rPr>
          <w:rFonts w:ascii="Times New Roman" w:eastAsia="Times New Roman" w:hAnsi="Times New Roman" w:cs="Times New Roman"/>
          <w:iCs/>
          <w:noProof/>
          <w:lang w:val="en-US" w:eastAsia="en-GB"/>
        </w:rPr>
        <w:t>urged by</w:t>
      </w:r>
      <w:r w:rsidR="00402D1A" w:rsidRPr="00402D1A">
        <w:rPr>
          <w:rFonts w:ascii="Times New Roman" w:eastAsia="Times New Roman" w:hAnsi="Times New Roman" w:cs="Times New Roman"/>
          <w:iCs/>
          <w:noProof/>
          <w:lang w:eastAsia="en-GB"/>
        </w:rPr>
        <w:t xml:space="preserve"> negative demographic change, underdeveloped CBC regional value chains and entrepreneurship, low technological specialization, unattractive and uncompetitive business setting. When these economic pushbacks take place in a weak cross-border institutional context and in the absence of carbon free practices, the prospects for territorial cohesion in line with EU objectives (Territorial Agenda 2030; Green Deal) are further challenged. </w:t>
      </w:r>
    </w:p>
    <w:p w14:paraId="4CE8FA3B" w14:textId="77777777" w:rsidR="00402D1A" w:rsidRPr="00402D1A" w:rsidRDefault="00402D1A" w:rsidP="00402D1A">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402D1A">
        <w:rPr>
          <w:rFonts w:ascii="Times New Roman" w:eastAsia="Times New Roman" w:hAnsi="Times New Roman" w:cs="Times New Roman"/>
          <w:iCs/>
          <w:noProof/>
          <w:lang w:eastAsia="en-GB"/>
        </w:rPr>
        <w:t>The carried out Territorial Analysis for programming purposes and its updated version allows for structuring main findings into the following groups of policy areas, viewed from the perspectives of obstacles and driving forces for development:</w:t>
      </w:r>
    </w:p>
    <w:p w14:paraId="20D488D2" w14:textId="77777777" w:rsidR="00DA7F7E" w:rsidRPr="00DA7F7E" w:rsidRDefault="00DA7F7E" w:rsidP="00DA7F7E">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u w:val="single"/>
          <w:lang w:eastAsia="en-GB"/>
        </w:rPr>
      </w:pPr>
      <w:r w:rsidRPr="00DA7F7E">
        <w:rPr>
          <w:rFonts w:ascii="Times New Roman" w:eastAsia="Times New Roman" w:hAnsi="Times New Roman" w:cs="Times New Roman"/>
          <w:i/>
          <w:iCs/>
          <w:noProof/>
          <w:u w:val="single"/>
          <w:lang w:eastAsia="en-GB"/>
        </w:rPr>
        <w:t xml:space="preserve">1.1. Negative demographic change </w:t>
      </w:r>
    </w:p>
    <w:p w14:paraId="14919C89" w14:textId="77777777" w:rsidR="00DA7F7E" w:rsidRPr="006236F3" w:rsidRDefault="00DA7F7E" w:rsidP="006236F3">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BA7B95">
        <w:rPr>
          <w:rFonts w:ascii="Times New Roman" w:eastAsia="Times New Roman" w:hAnsi="Times New Roman" w:cs="Times New Roman"/>
          <w:iCs/>
          <w:noProof/>
          <w:lang w:eastAsia="en-GB"/>
        </w:rPr>
        <w:t xml:space="preserve">The programme area is sparsely populated having population density below the national average of the corresponding country due to the fact </w:t>
      </w:r>
      <w:r w:rsidR="003B16B9" w:rsidRPr="00BA7B95">
        <w:rPr>
          <w:rFonts w:ascii="Times New Roman" w:eastAsia="Times New Roman" w:hAnsi="Times New Roman" w:cs="Times New Roman"/>
          <w:iCs/>
          <w:noProof/>
          <w:lang w:eastAsia="en-GB"/>
        </w:rPr>
        <w:t>tha</w:t>
      </w:r>
      <w:r w:rsidR="003B16B9">
        <w:rPr>
          <w:rFonts w:ascii="Times New Roman" w:eastAsia="Times New Roman" w:hAnsi="Times New Roman" w:cs="Times New Roman"/>
          <w:iCs/>
          <w:noProof/>
          <w:lang w:eastAsia="en-GB"/>
        </w:rPr>
        <w:t>t</w:t>
      </w:r>
      <w:r w:rsidR="003B16B9" w:rsidRPr="00BA7B95">
        <w:rPr>
          <w:rFonts w:ascii="Times New Roman" w:eastAsia="Times New Roman" w:hAnsi="Times New Roman" w:cs="Times New Roman"/>
          <w:iCs/>
          <w:noProof/>
          <w:lang w:eastAsia="en-GB"/>
        </w:rPr>
        <w:t xml:space="preserve"> </w:t>
      </w:r>
      <w:r w:rsidRPr="00BA7B95">
        <w:rPr>
          <w:rFonts w:ascii="Times New Roman" w:eastAsia="Times New Roman" w:hAnsi="Times New Roman" w:cs="Times New Roman"/>
          <w:iCs/>
          <w:noProof/>
          <w:lang w:eastAsia="en-GB"/>
        </w:rPr>
        <w:t>half of the territory is mountainous with forests occup</w:t>
      </w:r>
      <w:r w:rsidR="00CE0FD0">
        <w:rPr>
          <w:rFonts w:ascii="Times New Roman" w:eastAsia="Times New Roman" w:hAnsi="Times New Roman" w:cs="Times New Roman"/>
          <w:iCs/>
          <w:noProof/>
          <w:lang w:eastAsia="en-GB"/>
        </w:rPr>
        <w:t>ying over 40% of its land area.</w:t>
      </w:r>
      <w:r w:rsidR="006236F3">
        <w:rPr>
          <w:rFonts w:ascii="Times New Roman" w:eastAsia="Times New Roman" w:hAnsi="Times New Roman" w:cs="Times New Roman"/>
          <w:iCs/>
          <w:noProof/>
          <w:lang w:eastAsia="en-GB"/>
        </w:rPr>
        <w:t xml:space="preserve"> </w:t>
      </w:r>
      <w:r w:rsidR="006236F3" w:rsidRPr="006236F3">
        <w:rPr>
          <w:rFonts w:ascii="Times New Roman" w:eastAsia="Times New Roman" w:hAnsi="Times New Roman" w:cs="Times New Roman"/>
          <w:iCs/>
          <w:noProof/>
          <w:lang w:eastAsia="en-GB"/>
        </w:rPr>
        <w:t>The average population density in the cooperation region of the Republic of Bulgaria is lower than the national one (63.0 people/km²) and varies significantly between urban and rural areas. Kyustendil District has the lowest population de</w:t>
      </w:r>
      <w:r w:rsidR="006236F3">
        <w:rPr>
          <w:rFonts w:ascii="Times New Roman" w:eastAsia="Times New Roman" w:hAnsi="Times New Roman" w:cs="Times New Roman"/>
          <w:iCs/>
          <w:noProof/>
          <w:lang w:eastAsia="en-GB"/>
        </w:rPr>
        <w:t xml:space="preserve">nsity in the entire CBC region. </w:t>
      </w:r>
      <w:r w:rsidR="006236F3" w:rsidRPr="006236F3">
        <w:rPr>
          <w:rFonts w:ascii="Times New Roman" w:eastAsia="Times New Roman" w:hAnsi="Times New Roman" w:cs="Times New Roman"/>
          <w:iCs/>
          <w:noProof/>
          <w:lang w:eastAsia="en-GB"/>
        </w:rPr>
        <w:t xml:space="preserve">The population density in the cooperation region of the </w:t>
      </w:r>
      <w:r w:rsidR="009F3D98">
        <w:rPr>
          <w:rFonts w:ascii="Times New Roman" w:eastAsia="Times New Roman" w:hAnsi="Times New Roman" w:cs="Times New Roman"/>
          <w:iCs/>
          <w:noProof/>
          <w:lang w:eastAsia="en-GB"/>
        </w:rPr>
        <w:t>[</w:t>
      </w:r>
      <w:r w:rsidR="00B802AF">
        <w:rPr>
          <w:rFonts w:ascii="Times New Roman" w:eastAsia="Times New Roman" w:hAnsi="Times New Roman" w:cs="Times New Roman"/>
          <w:iCs/>
          <w:noProof/>
          <w:lang w:eastAsia="en-GB"/>
        </w:rPr>
        <w:t>Republic of North Macedonia]</w:t>
      </w:r>
      <w:r w:rsidR="00D3256A">
        <w:rPr>
          <w:rFonts w:ascii="Times New Roman" w:eastAsia="Times New Roman" w:hAnsi="Times New Roman" w:cs="Times New Roman"/>
          <w:iCs/>
          <w:noProof/>
          <w:lang w:eastAsia="en-GB"/>
        </w:rPr>
        <w:t xml:space="preserve"> </w:t>
      </w:r>
      <w:r w:rsidR="006236F3" w:rsidRPr="006236F3">
        <w:rPr>
          <w:rFonts w:ascii="Times New Roman" w:eastAsia="Times New Roman" w:hAnsi="Times New Roman" w:cs="Times New Roman"/>
          <w:iCs/>
          <w:noProof/>
          <w:lang w:eastAsia="en-GB"/>
        </w:rPr>
        <w:t>shows that it</w:t>
      </w:r>
      <w:r w:rsidR="006236F3">
        <w:rPr>
          <w:rFonts w:ascii="Times New Roman" w:eastAsia="Times New Roman" w:hAnsi="Times New Roman" w:cs="Times New Roman"/>
          <w:iCs/>
          <w:noProof/>
          <w:lang w:eastAsia="en-GB"/>
        </w:rPr>
        <w:t>, again,</w:t>
      </w:r>
      <w:r w:rsidR="006236F3" w:rsidRPr="006236F3">
        <w:rPr>
          <w:rFonts w:ascii="Times New Roman" w:eastAsia="Times New Roman" w:hAnsi="Times New Roman" w:cs="Times New Roman"/>
          <w:iCs/>
          <w:noProof/>
          <w:lang w:eastAsia="en-GB"/>
        </w:rPr>
        <w:t xml:space="preserve"> remains below the national average (80.8 people/km²). The North-East statistical region has the highest population density in the entire CBC region (76.3 people/km²), which is</w:t>
      </w:r>
      <w:r w:rsidR="006236F3">
        <w:rPr>
          <w:rFonts w:ascii="Times New Roman" w:eastAsia="Times New Roman" w:hAnsi="Times New Roman" w:cs="Times New Roman"/>
          <w:iCs/>
          <w:noProof/>
          <w:lang w:eastAsia="en-GB"/>
        </w:rPr>
        <w:t xml:space="preserve"> close to the national average. Thus, t</w:t>
      </w:r>
      <w:r w:rsidR="006236F3" w:rsidRPr="006236F3">
        <w:rPr>
          <w:rFonts w:ascii="Times New Roman" w:eastAsia="Times New Roman" w:hAnsi="Times New Roman" w:cs="Times New Roman"/>
          <w:iCs/>
          <w:noProof/>
          <w:lang w:eastAsia="en-GB"/>
        </w:rPr>
        <w:t xml:space="preserve">he average population density </w:t>
      </w:r>
      <w:r w:rsidR="006236F3">
        <w:rPr>
          <w:rFonts w:ascii="Times New Roman" w:eastAsia="Times New Roman" w:hAnsi="Times New Roman" w:cs="Times New Roman"/>
          <w:iCs/>
          <w:noProof/>
          <w:lang w:eastAsia="en-GB"/>
        </w:rPr>
        <w:t>of the entire</w:t>
      </w:r>
      <w:r w:rsidR="006236F3" w:rsidRPr="006236F3">
        <w:rPr>
          <w:rFonts w:ascii="Times New Roman" w:eastAsia="Times New Roman" w:hAnsi="Times New Roman" w:cs="Times New Roman"/>
          <w:iCs/>
          <w:noProof/>
          <w:lang w:eastAsia="en-GB"/>
        </w:rPr>
        <w:t xml:space="preserve"> CBC region is far from the EU-28 average, which is 117.7 people / km².</w:t>
      </w:r>
    </w:p>
    <w:p w14:paraId="312EE8BF" w14:textId="77777777" w:rsidR="005E18CD" w:rsidRPr="00960747" w:rsidRDefault="005E18CD" w:rsidP="00D64CCC">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BA7B95">
        <w:rPr>
          <w:rFonts w:ascii="Times New Roman" w:eastAsia="Times New Roman" w:hAnsi="Times New Roman" w:cs="Times New Roman"/>
          <w:iCs/>
          <w:noProof/>
          <w:lang w:eastAsia="en-GB"/>
        </w:rPr>
        <w:t xml:space="preserve">In </w:t>
      </w:r>
      <w:r w:rsidR="004E3CAF">
        <w:rPr>
          <w:rFonts w:ascii="Times New Roman" w:eastAsia="Times New Roman" w:hAnsi="Times New Roman" w:cs="Times New Roman"/>
          <w:iCs/>
          <w:noProof/>
          <w:lang w:val="en-US" w:eastAsia="en-GB"/>
        </w:rPr>
        <w:t>overall</w:t>
      </w:r>
      <w:r w:rsidRPr="00BA7B95">
        <w:rPr>
          <w:rFonts w:ascii="Times New Roman" w:eastAsia="Times New Roman" w:hAnsi="Times New Roman" w:cs="Times New Roman"/>
          <w:iCs/>
          <w:noProof/>
          <w:lang w:eastAsia="en-GB"/>
        </w:rPr>
        <w:t>, the CBC area is characterised by a negative natural population change</w:t>
      </w:r>
      <w:r w:rsidR="00960747">
        <w:rPr>
          <w:rFonts w:ascii="Times New Roman" w:eastAsia="Times New Roman" w:hAnsi="Times New Roman" w:cs="Times New Roman"/>
          <w:iCs/>
          <w:noProof/>
          <w:lang w:eastAsia="en-GB"/>
        </w:rPr>
        <w:t xml:space="preserve"> (both countries experienced </w:t>
      </w:r>
      <w:r w:rsidR="00960747" w:rsidRPr="00960747">
        <w:rPr>
          <w:rFonts w:ascii="Times New Roman" w:eastAsia="Times New Roman" w:hAnsi="Times New Roman" w:cs="Times New Roman"/>
          <w:iCs/>
          <w:noProof/>
          <w:lang w:eastAsia="en-GB"/>
        </w:rPr>
        <w:t xml:space="preserve">population decline by </w:t>
      </w:r>
      <w:r w:rsidR="00960747">
        <w:rPr>
          <w:rFonts w:ascii="Times New Roman" w:eastAsia="Times New Roman" w:hAnsi="Times New Roman" w:cs="Times New Roman"/>
          <w:iCs/>
          <w:noProof/>
          <w:lang w:eastAsia="en-GB"/>
        </w:rPr>
        <w:t xml:space="preserve">more than </w:t>
      </w:r>
      <w:r w:rsidR="009F7A66">
        <w:rPr>
          <w:rFonts w:ascii="Times New Roman" w:eastAsia="Times New Roman" w:hAnsi="Times New Roman" w:cs="Times New Roman"/>
          <w:iCs/>
          <w:noProof/>
          <w:lang w:eastAsia="en-GB"/>
        </w:rPr>
        <w:t>5</w:t>
      </w:r>
      <w:r w:rsidR="00960747">
        <w:rPr>
          <w:rFonts w:ascii="Times New Roman" w:eastAsia="Times New Roman" w:hAnsi="Times New Roman" w:cs="Times New Roman"/>
          <w:iCs/>
          <w:noProof/>
          <w:lang w:eastAsia="en-GB"/>
        </w:rPr>
        <w:t xml:space="preserve">% </w:t>
      </w:r>
      <w:r w:rsidR="00960747" w:rsidRPr="00960747">
        <w:rPr>
          <w:rFonts w:ascii="Times New Roman" w:eastAsia="Times New Roman" w:hAnsi="Times New Roman" w:cs="Times New Roman"/>
          <w:iCs/>
          <w:noProof/>
          <w:lang w:eastAsia="en-GB"/>
        </w:rPr>
        <w:t>in a decade</w:t>
      </w:r>
      <w:r w:rsidR="00960747">
        <w:rPr>
          <w:rFonts w:ascii="Times New Roman" w:eastAsia="Times New Roman" w:hAnsi="Times New Roman" w:cs="Times New Roman"/>
          <w:iCs/>
          <w:noProof/>
          <w:lang w:eastAsia="en-GB"/>
        </w:rPr>
        <w:t>)</w:t>
      </w:r>
      <w:r w:rsidRPr="00BA7B95">
        <w:rPr>
          <w:rFonts w:ascii="Times New Roman" w:eastAsia="Times New Roman" w:hAnsi="Times New Roman" w:cs="Times New Roman"/>
          <w:iCs/>
          <w:noProof/>
          <w:lang w:eastAsia="en-GB"/>
        </w:rPr>
        <w:t>, negative net migration and high proportion of population aged 65 years and more (as compared to EU average)</w:t>
      </w:r>
      <w:r w:rsidR="004E3CAF">
        <w:rPr>
          <w:rFonts w:ascii="Times New Roman" w:eastAsia="Times New Roman" w:hAnsi="Times New Roman" w:cs="Times New Roman"/>
          <w:iCs/>
          <w:noProof/>
          <w:lang w:eastAsia="en-GB"/>
        </w:rPr>
        <w:t>.</w:t>
      </w:r>
      <w:r w:rsidR="00D64CCC">
        <w:rPr>
          <w:rFonts w:ascii="Times New Roman" w:eastAsia="Times New Roman" w:hAnsi="Times New Roman" w:cs="Times New Roman"/>
          <w:iCs/>
          <w:noProof/>
          <w:lang w:eastAsia="en-GB"/>
        </w:rPr>
        <w:t xml:space="preserve"> </w:t>
      </w:r>
    </w:p>
    <w:p w14:paraId="6FA3AAF8" w14:textId="77777777" w:rsidR="004E3CAF" w:rsidRDefault="004E3CAF" w:rsidP="00A10ECC">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BA7B95">
        <w:rPr>
          <w:rFonts w:ascii="Times New Roman" w:eastAsia="Times New Roman" w:hAnsi="Times New Roman" w:cs="Times New Roman"/>
          <w:iCs/>
          <w:noProof/>
          <w:lang w:eastAsia="en-GB"/>
        </w:rPr>
        <w:t xml:space="preserve">The demographics of the programme area do not differ considerably from other EU identical territories, but unlike them, the CBC area lacks incentives and measures to counter the unfavourable implications of the negative demographic change. Attractive job prospects, including measures of the silver economy, better quality of services of general interest and better connectivity may do half of the work limiting outmigration, </w:t>
      </w:r>
      <w:r w:rsidRPr="00BA7B95">
        <w:rPr>
          <w:rFonts w:ascii="Times New Roman" w:eastAsia="Times New Roman" w:hAnsi="Times New Roman" w:cs="Times New Roman"/>
          <w:iCs/>
          <w:noProof/>
          <w:lang w:eastAsia="en-GB"/>
        </w:rPr>
        <w:lastRenderedPageBreak/>
        <w:t>increasing births and generating higher regional income. As the next section exemplifies, low income levels and inequalities continue to drawback the economic development of the CBC area</w:t>
      </w:r>
      <w:r>
        <w:rPr>
          <w:rFonts w:ascii="Times New Roman" w:eastAsia="Times New Roman" w:hAnsi="Times New Roman" w:cs="Times New Roman"/>
          <w:iCs/>
          <w:noProof/>
          <w:lang w:eastAsia="en-GB"/>
        </w:rPr>
        <w:t>.</w:t>
      </w:r>
    </w:p>
    <w:p w14:paraId="74E2E626" w14:textId="77777777" w:rsidR="00006ED5" w:rsidRDefault="00006ED5" w:rsidP="00A10ECC">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006ED5">
        <w:rPr>
          <w:rFonts w:ascii="Times New Roman" w:eastAsia="Times New Roman" w:hAnsi="Times New Roman" w:cs="Times New Roman"/>
          <w:i/>
          <w:iCs/>
          <w:noProof/>
          <w:u w:val="single"/>
          <w:lang w:eastAsia="en-GB"/>
        </w:rPr>
        <w:t>1.2 Poverty and income inequalities</w:t>
      </w:r>
      <w:r w:rsidRPr="00006ED5" w:rsidDel="00402D1A">
        <w:rPr>
          <w:rFonts w:ascii="Times New Roman" w:eastAsia="Times New Roman" w:hAnsi="Times New Roman" w:cs="Times New Roman"/>
          <w:iCs/>
          <w:noProof/>
          <w:lang w:eastAsia="en-GB"/>
        </w:rPr>
        <w:t xml:space="preserve"> </w:t>
      </w:r>
    </w:p>
    <w:p w14:paraId="3FA43BF6" w14:textId="77777777" w:rsidR="00006ED5" w:rsidRPr="00006ED5" w:rsidRDefault="00006ED5" w:rsidP="00006ED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006ED5">
        <w:rPr>
          <w:rFonts w:ascii="Times New Roman" w:eastAsia="Times New Roman" w:hAnsi="Times New Roman" w:cs="Times New Roman"/>
          <w:iCs/>
          <w:noProof/>
          <w:lang w:eastAsia="en-GB"/>
        </w:rPr>
        <w:t>Eurostat data</w:t>
      </w:r>
      <w:r w:rsidRPr="00006ED5">
        <w:rPr>
          <w:rFonts w:ascii="Times New Roman" w:eastAsia="Times New Roman" w:hAnsi="Times New Roman" w:cs="Times New Roman"/>
          <w:iCs/>
          <w:noProof/>
          <w:vertAlign w:val="superscript"/>
          <w:lang w:eastAsia="en-GB"/>
        </w:rPr>
        <w:footnoteReference w:id="3"/>
      </w:r>
      <w:r w:rsidRPr="00006ED5">
        <w:rPr>
          <w:rFonts w:ascii="Times New Roman" w:eastAsia="Times New Roman" w:hAnsi="Times New Roman" w:cs="Times New Roman"/>
          <w:iCs/>
          <w:noProof/>
          <w:lang w:eastAsia="en-GB"/>
        </w:rPr>
        <w:t xml:space="preserve"> show that the CBC territory falls within the groups of regions with the second highest rate of poverty risk and social exclusion. Nearly one quarter of the total population </w:t>
      </w:r>
      <w:r w:rsidR="00C55CE6">
        <w:rPr>
          <w:rFonts w:ascii="Times New Roman" w:eastAsia="Times New Roman" w:hAnsi="Times New Roman" w:cs="Times New Roman"/>
          <w:iCs/>
          <w:noProof/>
          <w:lang w:eastAsia="en-GB"/>
        </w:rPr>
        <w:t>(</w:t>
      </w:r>
      <w:r w:rsidR="00D467B8">
        <w:rPr>
          <w:rFonts w:ascii="Times New Roman" w:eastAsia="Times New Roman" w:hAnsi="Times New Roman" w:cs="Times New Roman"/>
          <w:iCs/>
          <w:noProof/>
          <w:lang w:eastAsia="en-GB"/>
        </w:rPr>
        <w:t>Republic of Bulgaria</w:t>
      </w:r>
      <w:r w:rsidRPr="00006ED5">
        <w:rPr>
          <w:rFonts w:ascii="Times New Roman" w:eastAsia="Times New Roman" w:hAnsi="Times New Roman" w:cs="Times New Roman"/>
          <w:iCs/>
          <w:noProof/>
          <w:lang w:eastAsia="en-GB"/>
        </w:rPr>
        <w:t xml:space="preserve"> – 32.8%, </w:t>
      </w:r>
      <w:r w:rsidR="00B802AF">
        <w:rPr>
          <w:rFonts w:ascii="Times New Roman" w:eastAsia="Times New Roman" w:hAnsi="Times New Roman" w:cs="Times New Roman"/>
          <w:iCs/>
          <w:noProof/>
          <w:lang w:eastAsia="en-GB"/>
        </w:rPr>
        <w:t>[Republic of North Macedonia]</w:t>
      </w:r>
      <w:r w:rsidRPr="00006ED5">
        <w:rPr>
          <w:rFonts w:ascii="Times New Roman" w:eastAsia="Times New Roman" w:hAnsi="Times New Roman" w:cs="Times New Roman"/>
          <w:iCs/>
          <w:noProof/>
          <w:lang w:eastAsia="en-GB"/>
        </w:rPr>
        <w:t>– 39.9%) and at least half of the unemployed (</w:t>
      </w:r>
      <w:r w:rsidR="00B209A0">
        <w:rPr>
          <w:rFonts w:ascii="Times New Roman" w:eastAsia="Times New Roman" w:hAnsi="Times New Roman" w:cs="Times New Roman"/>
          <w:iCs/>
          <w:noProof/>
          <w:lang w:eastAsia="en-GB"/>
        </w:rPr>
        <w:t>Republic of Bulgaria</w:t>
      </w:r>
      <w:r w:rsidR="00B209A0" w:rsidRPr="00006ED5">
        <w:rPr>
          <w:rFonts w:ascii="Times New Roman" w:eastAsia="Times New Roman" w:hAnsi="Times New Roman" w:cs="Times New Roman"/>
          <w:iCs/>
          <w:noProof/>
          <w:lang w:eastAsia="en-GB"/>
        </w:rPr>
        <w:t xml:space="preserve"> </w:t>
      </w:r>
      <w:r w:rsidRPr="00006ED5">
        <w:rPr>
          <w:rFonts w:ascii="Times New Roman" w:eastAsia="Times New Roman" w:hAnsi="Times New Roman" w:cs="Times New Roman"/>
          <w:iCs/>
          <w:noProof/>
          <w:lang w:eastAsia="en-GB"/>
        </w:rPr>
        <w:t xml:space="preserve">– 58.7%, </w:t>
      </w:r>
      <w:r w:rsidR="008E572E">
        <w:rPr>
          <w:rFonts w:ascii="Times New Roman" w:eastAsia="Times New Roman" w:hAnsi="Times New Roman" w:cs="Times New Roman"/>
          <w:iCs/>
          <w:noProof/>
          <w:lang w:eastAsia="en-GB"/>
        </w:rPr>
        <w:t>[</w:t>
      </w:r>
      <w:r w:rsidR="00D3256A">
        <w:rPr>
          <w:rFonts w:ascii="Times New Roman" w:eastAsia="Times New Roman" w:hAnsi="Times New Roman" w:cs="Times New Roman"/>
          <w:iCs/>
          <w:noProof/>
          <w:lang w:eastAsia="en-GB"/>
        </w:rPr>
        <w:t>Republic of North Macedonia</w:t>
      </w:r>
      <w:r w:rsidR="008E572E">
        <w:rPr>
          <w:rFonts w:ascii="Times New Roman" w:eastAsia="Times New Roman" w:hAnsi="Times New Roman" w:cs="Times New Roman"/>
          <w:iCs/>
          <w:noProof/>
          <w:lang w:eastAsia="en-GB"/>
        </w:rPr>
        <w:t>]</w:t>
      </w:r>
      <w:r w:rsidR="00B209A0" w:rsidRPr="00006ED5">
        <w:rPr>
          <w:rFonts w:ascii="Times New Roman" w:eastAsia="Times New Roman" w:hAnsi="Times New Roman" w:cs="Times New Roman"/>
          <w:iCs/>
          <w:noProof/>
          <w:lang w:eastAsia="en-GB"/>
        </w:rPr>
        <w:t xml:space="preserve"> </w:t>
      </w:r>
      <w:r w:rsidRPr="00006ED5">
        <w:rPr>
          <w:rFonts w:ascii="Times New Roman" w:eastAsia="Times New Roman" w:hAnsi="Times New Roman" w:cs="Times New Roman"/>
          <w:iCs/>
          <w:noProof/>
          <w:lang w:eastAsia="en-GB"/>
        </w:rPr>
        <w:t>– 41.7%) were viewed as being at risk of poverty in 2019</w:t>
      </w:r>
      <w:r w:rsidR="0098462E">
        <w:rPr>
          <w:rFonts w:ascii="Times New Roman" w:eastAsia="Times New Roman" w:hAnsi="Times New Roman" w:cs="Times New Roman"/>
          <w:iCs/>
          <w:noProof/>
          <w:lang w:eastAsia="en-GB"/>
        </w:rPr>
        <w:t xml:space="preserve">. </w:t>
      </w:r>
      <w:r w:rsidR="00586CF0">
        <w:rPr>
          <w:rFonts w:ascii="Times New Roman" w:eastAsia="Times New Roman" w:hAnsi="Times New Roman" w:cs="Times New Roman"/>
          <w:iCs/>
          <w:noProof/>
          <w:lang w:eastAsia="en-GB"/>
        </w:rPr>
        <w:t xml:space="preserve">Republic of </w:t>
      </w:r>
      <w:r w:rsidRPr="00006ED5">
        <w:rPr>
          <w:rFonts w:ascii="Times New Roman" w:eastAsia="Times New Roman" w:hAnsi="Times New Roman" w:cs="Times New Roman"/>
          <w:iCs/>
          <w:noProof/>
          <w:lang w:eastAsia="en-GB"/>
        </w:rPr>
        <w:t xml:space="preserve">Bulgaria holds the third highest rate (24%) of retired persons in the EU-27 at risk of poverty in 2019, while reciprocal data for the </w:t>
      </w:r>
      <w:r w:rsidR="00B802AF">
        <w:rPr>
          <w:rFonts w:ascii="Times New Roman" w:eastAsia="Times New Roman" w:hAnsi="Times New Roman" w:cs="Times New Roman"/>
          <w:iCs/>
          <w:noProof/>
          <w:lang w:eastAsia="en-GB"/>
        </w:rPr>
        <w:t>[Republic of North Macedonia]</w:t>
      </w:r>
      <w:r w:rsidRPr="00006ED5">
        <w:rPr>
          <w:rFonts w:ascii="Times New Roman" w:eastAsia="Times New Roman" w:hAnsi="Times New Roman" w:cs="Times New Roman"/>
          <w:iCs/>
          <w:noProof/>
          <w:lang w:eastAsia="en-GB"/>
        </w:rPr>
        <w:t xml:space="preserve"> place the cou</w:t>
      </w:r>
      <w:r w:rsidR="00CE0FD0">
        <w:rPr>
          <w:rFonts w:ascii="Times New Roman" w:eastAsia="Times New Roman" w:hAnsi="Times New Roman" w:cs="Times New Roman"/>
          <w:iCs/>
          <w:noProof/>
          <w:lang w:eastAsia="en-GB"/>
        </w:rPr>
        <w:t>ntry in a better position (4%).</w:t>
      </w:r>
    </w:p>
    <w:p w14:paraId="1A9D2576" w14:textId="77777777" w:rsidR="0098462E" w:rsidRDefault="00006ED5" w:rsidP="00006ED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val="en-US" w:eastAsia="en-GB"/>
        </w:rPr>
      </w:pPr>
      <w:r w:rsidRPr="00006ED5">
        <w:rPr>
          <w:rFonts w:ascii="Times New Roman" w:eastAsia="Times New Roman" w:hAnsi="Times New Roman" w:cs="Times New Roman"/>
          <w:iCs/>
          <w:noProof/>
          <w:lang w:val="en-US" w:eastAsia="en-GB"/>
        </w:rPr>
        <w:t xml:space="preserve">In terms of income inequalities, </w:t>
      </w:r>
      <w:r w:rsidR="00E05B2E">
        <w:rPr>
          <w:rFonts w:ascii="Times New Roman" w:eastAsia="Times New Roman" w:hAnsi="Times New Roman" w:cs="Times New Roman"/>
          <w:iCs/>
          <w:noProof/>
          <w:lang w:val="en-US" w:eastAsia="en-GB"/>
        </w:rPr>
        <w:t xml:space="preserve">latest data </w:t>
      </w:r>
      <w:r w:rsidR="00436A2D">
        <w:rPr>
          <w:rFonts w:ascii="Times New Roman" w:eastAsia="Times New Roman" w:hAnsi="Times New Roman" w:cs="Times New Roman"/>
          <w:iCs/>
          <w:noProof/>
          <w:lang w:val="en-US" w:eastAsia="en-GB"/>
        </w:rPr>
        <w:t>(</w:t>
      </w:r>
      <w:r w:rsidR="00436A2D" w:rsidRPr="00436A2D">
        <w:rPr>
          <w:rFonts w:ascii="Times New Roman" w:eastAsia="Times New Roman" w:hAnsi="Times New Roman" w:cs="Times New Roman"/>
          <w:iCs/>
          <w:noProof/>
          <w:lang w:val="en-US" w:eastAsia="en-GB"/>
        </w:rPr>
        <w:t>EU-SILC</w:t>
      </w:r>
      <w:r w:rsidR="00436A2D">
        <w:rPr>
          <w:rFonts w:ascii="Times New Roman" w:eastAsia="Times New Roman" w:hAnsi="Times New Roman" w:cs="Times New Roman"/>
          <w:iCs/>
          <w:noProof/>
          <w:lang w:val="en-US" w:eastAsia="en-GB"/>
        </w:rPr>
        <w:t>)</w:t>
      </w:r>
      <w:r w:rsidR="00436A2D" w:rsidRPr="00436A2D">
        <w:rPr>
          <w:rFonts w:ascii="Times New Roman" w:eastAsia="Times New Roman" w:hAnsi="Times New Roman" w:cs="Times New Roman"/>
          <w:iCs/>
          <w:noProof/>
          <w:lang w:val="en-US" w:eastAsia="en-GB"/>
        </w:rPr>
        <w:t xml:space="preserve"> </w:t>
      </w:r>
      <w:r w:rsidR="00E05B2E">
        <w:rPr>
          <w:rFonts w:ascii="Times New Roman" w:eastAsia="Times New Roman" w:hAnsi="Times New Roman" w:cs="Times New Roman"/>
          <w:iCs/>
          <w:noProof/>
          <w:lang w:val="en-US" w:eastAsia="en-GB"/>
        </w:rPr>
        <w:t xml:space="preserve">places </w:t>
      </w:r>
      <w:r w:rsidR="00436A2D">
        <w:rPr>
          <w:rFonts w:ascii="Times New Roman" w:eastAsia="Times New Roman" w:hAnsi="Times New Roman" w:cs="Times New Roman"/>
          <w:iCs/>
          <w:noProof/>
          <w:lang w:val="en-US" w:eastAsia="en-GB"/>
        </w:rPr>
        <w:t xml:space="preserve">Republic of </w:t>
      </w:r>
      <w:r w:rsidR="00E05B2E">
        <w:rPr>
          <w:rFonts w:ascii="Times New Roman" w:eastAsia="Times New Roman" w:hAnsi="Times New Roman" w:cs="Times New Roman"/>
          <w:iCs/>
          <w:noProof/>
          <w:lang w:val="en-US" w:eastAsia="en-GB"/>
        </w:rPr>
        <w:t xml:space="preserve">Bulgaria on top of all Member states with the biggest income gap </w:t>
      </w:r>
      <w:r w:rsidR="00E05B2E" w:rsidRPr="00E05B2E">
        <w:rPr>
          <w:rFonts w:ascii="Times New Roman" w:eastAsia="Times New Roman" w:hAnsi="Times New Roman" w:cs="Times New Roman"/>
          <w:iCs/>
          <w:noProof/>
          <w:lang w:val="en-US" w:eastAsia="en-GB"/>
        </w:rPr>
        <w:t>between the poorest and the richest</w:t>
      </w:r>
      <w:r w:rsidR="00E05B2E">
        <w:rPr>
          <w:rFonts w:ascii="Times New Roman" w:eastAsia="Times New Roman" w:hAnsi="Times New Roman" w:cs="Times New Roman"/>
          <w:iCs/>
          <w:noProof/>
          <w:lang w:val="en-US" w:eastAsia="en-GB"/>
        </w:rPr>
        <w:t xml:space="preserve"> (8 times bigger gap than the EU average of 5.2 times). </w:t>
      </w:r>
      <w:r w:rsidR="0098462E" w:rsidRPr="0098462E">
        <w:rPr>
          <w:rFonts w:ascii="Times New Roman" w:eastAsia="Times New Roman" w:hAnsi="Times New Roman" w:cs="Times New Roman"/>
          <w:iCs/>
          <w:noProof/>
          <w:lang w:val="en-US" w:eastAsia="en-GB"/>
        </w:rPr>
        <w:t xml:space="preserve">The main factor increasing the risk of </w:t>
      </w:r>
      <w:r w:rsidR="0098462E">
        <w:rPr>
          <w:rFonts w:ascii="Times New Roman" w:eastAsia="Times New Roman" w:hAnsi="Times New Roman" w:cs="Times New Roman"/>
          <w:iCs/>
          <w:noProof/>
          <w:lang w:val="en-US" w:eastAsia="en-GB"/>
        </w:rPr>
        <w:t>poverty</w:t>
      </w:r>
      <w:r w:rsidR="0098462E" w:rsidRPr="0098462E">
        <w:rPr>
          <w:rFonts w:ascii="Times New Roman" w:eastAsia="Times New Roman" w:hAnsi="Times New Roman" w:cs="Times New Roman"/>
          <w:iCs/>
          <w:noProof/>
          <w:lang w:val="en-US" w:eastAsia="en-GB"/>
        </w:rPr>
        <w:t xml:space="preserve"> is the lack of </w:t>
      </w:r>
      <w:r w:rsidR="00C63FD6">
        <w:rPr>
          <w:rFonts w:ascii="Times New Roman" w:eastAsia="Times New Roman" w:hAnsi="Times New Roman" w:cs="Times New Roman"/>
          <w:iCs/>
          <w:noProof/>
          <w:lang w:val="en-US" w:eastAsia="en-GB"/>
        </w:rPr>
        <w:t>job prosp</w:t>
      </w:r>
      <w:r w:rsidR="008104B3">
        <w:rPr>
          <w:rFonts w:ascii="Times New Roman" w:eastAsia="Times New Roman" w:hAnsi="Times New Roman" w:cs="Times New Roman"/>
          <w:iCs/>
          <w:noProof/>
          <w:lang w:val="en-US" w:eastAsia="en-GB"/>
        </w:rPr>
        <w:t>ects</w:t>
      </w:r>
      <w:r w:rsidR="00C63FD6">
        <w:rPr>
          <w:rFonts w:ascii="Times New Roman" w:eastAsia="Times New Roman" w:hAnsi="Times New Roman" w:cs="Times New Roman"/>
          <w:iCs/>
          <w:noProof/>
          <w:lang w:val="en-US" w:eastAsia="en-GB"/>
        </w:rPr>
        <w:t>.</w:t>
      </w:r>
    </w:p>
    <w:p w14:paraId="19B2D239" w14:textId="77777777" w:rsidR="003C0B44" w:rsidRDefault="003C0B44" w:rsidP="00006ED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val="en-US" w:eastAsia="en-GB"/>
        </w:rPr>
      </w:pPr>
      <w:r w:rsidRPr="003C0B44">
        <w:rPr>
          <w:rFonts w:ascii="Times New Roman" w:eastAsia="Times New Roman" w:hAnsi="Times New Roman" w:cs="Times New Roman"/>
          <w:iCs/>
          <w:noProof/>
          <w:lang w:val="en-US" w:eastAsia="en-GB"/>
        </w:rPr>
        <w:t xml:space="preserve">One approach to address that issue is to propose economic incentives for more active inclusion of </w:t>
      </w:r>
      <w:r w:rsidR="00436A2D" w:rsidRPr="00436A2D">
        <w:rPr>
          <w:rFonts w:ascii="Times New Roman" w:eastAsia="Times New Roman" w:hAnsi="Times New Roman" w:cs="Times New Roman"/>
          <w:iCs/>
          <w:noProof/>
          <w:lang w:val="en-US" w:eastAsia="en-GB"/>
        </w:rPr>
        <w:t>long-term unemployed</w:t>
      </w:r>
      <w:r w:rsidR="00436A2D">
        <w:rPr>
          <w:rFonts w:ascii="Times New Roman" w:eastAsia="Times New Roman" w:hAnsi="Times New Roman" w:cs="Times New Roman"/>
          <w:iCs/>
          <w:noProof/>
          <w:lang w:val="bg-BG" w:eastAsia="en-GB"/>
        </w:rPr>
        <w:t xml:space="preserve">, </w:t>
      </w:r>
      <w:r w:rsidR="00436A2D">
        <w:rPr>
          <w:rFonts w:ascii="Times New Roman" w:eastAsia="Times New Roman" w:hAnsi="Times New Roman" w:cs="Times New Roman"/>
          <w:iCs/>
          <w:noProof/>
          <w:lang w:val="en-US" w:eastAsia="en-GB"/>
        </w:rPr>
        <w:t xml:space="preserve">NEETs </w:t>
      </w:r>
      <w:r w:rsidR="00AC7D66" w:rsidRPr="00BA7B95">
        <w:rPr>
          <w:rFonts w:ascii="Times New Roman" w:eastAsia="Times New Roman" w:hAnsi="Times New Roman" w:cs="Times New Roman"/>
          <w:iCs/>
          <w:noProof/>
          <w:lang w:eastAsia="en-GB"/>
        </w:rPr>
        <w:t xml:space="preserve">(neither in employment </w:t>
      </w:r>
      <w:r w:rsidR="00AC7D66">
        <w:rPr>
          <w:rFonts w:ascii="Times New Roman" w:eastAsia="Times New Roman" w:hAnsi="Times New Roman" w:cs="Times New Roman"/>
          <w:iCs/>
          <w:noProof/>
          <w:lang w:eastAsia="en-GB"/>
        </w:rPr>
        <w:t xml:space="preserve">nor in education and training) </w:t>
      </w:r>
      <w:r w:rsidR="00436A2D">
        <w:rPr>
          <w:rFonts w:ascii="Times New Roman" w:eastAsia="Times New Roman" w:hAnsi="Times New Roman" w:cs="Times New Roman"/>
          <w:iCs/>
          <w:noProof/>
          <w:lang w:val="en-US" w:eastAsia="en-GB"/>
        </w:rPr>
        <w:t>and</w:t>
      </w:r>
      <w:r w:rsidR="00436A2D" w:rsidRPr="00436A2D">
        <w:rPr>
          <w:rFonts w:ascii="Times New Roman" w:eastAsia="Times New Roman" w:hAnsi="Times New Roman" w:cs="Times New Roman"/>
          <w:iCs/>
          <w:noProof/>
          <w:lang w:val="en-US" w:eastAsia="en-GB"/>
        </w:rPr>
        <w:t xml:space="preserve"> </w:t>
      </w:r>
      <w:r w:rsidRPr="003C0B44">
        <w:rPr>
          <w:rFonts w:ascii="Times New Roman" w:eastAsia="Times New Roman" w:hAnsi="Times New Roman" w:cs="Times New Roman"/>
          <w:iCs/>
          <w:noProof/>
          <w:lang w:val="en-US" w:eastAsia="en-GB"/>
        </w:rPr>
        <w:t>elderly in the social, civic and economic life. From a more general perspective, however, poverty eradication presents a complex challenge. Beside hunger and malnutrition, its manifestations include limited access to education and other basic services, social discrimination and exclusion as well as the lack of participation in decision-making. Various social groups bear disproportionate burden of poverty and income distribution. Therefore, all these aspects call for integrated, multi-sectoral and multi-governance approach to address the root causes of poverty, provide for basic needs for all and ensure that the poor have access to productive resources, including education and training so as to achieve sustainable livelihoods and quality living.</w:t>
      </w:r>
    </w:p>
    <w:p w14:paraId="7C378A94" w14:textId="77777777" w:rsidR="003C0B44" w:rsidRDefault="003C0B44" w:rsidP="00006ED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3C0B44">
        <w:rPr>
          <w:rFonts w:ascii="Times New Roman" w:eastAsia="Times New Roman" w:hAnsi="Times New Roman" w:cs="Times New Roman"/>
          <w:i/>
          <w:iCs/>
          <w:noProof/>
          <w:u w:val="single"/>
          <w:lang w:eastAsia="en-GB"/>
        </w:rPr>
        <w:t>1.3 Disparities in educational and employment outcomes</w:t>
      </w:r>
      <w:r w:rsidRPr="003C0B44" w:rsidDel="00402D1A">
        <w:rPr>
          <w:rFonts w:ascii="Times New Roman" w:eastAsia="Times New Roman" w:hAnsi="Times New Roman" w:cs="Times New Roman"/>
          <w:iCs/>
          <w:noProof/>
          <w:lang w:eastAsia="en-GB"/>
        </w:rPr>
        <w:t xml:space="preserve"> </w:t>
      </w:r>
    </w:p>
    <w:p w14:paraId="79CC409B" w14:textId="77777777" w:rsidR="00DE3B54" w:rsidRPr="00436A2D" w:rsidRDefault="00DE3B54" w:rsidP="00DE3B54">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val="en-US" w:eastAsia="en-GB"/>
        </w:rPr>
      </w:pPr>
      <w:r w:rsidRPr="00DE3B54">
        <w:rPr>
          <w:rFonts w:ascii="Times New Roman" w:eastAsia="Times New Roman" w:hAnsi="Times New Roman" w:cs="Times New Roman"/>
          <w:iCs/>
          <w:noProof/>
          <w:lang w:eastAsia="en-GB"/>
        </w:rPr>
        <w:t>The education facilities</w:t>
      </w:r>
      <w:r w:rsidR="00436A2D">
        <w:rPr>
          <w:rFonts w:ascii="Times New Roman" w:eastAsia="Times New Roman" w:hAnsi="Times New Roman" w:cs="Times New Roman"/>
          <w:iCs/>
          <w:noProof/>
          <w:lang w:eastAsia="en-GB"/>
        </w:rPr>
        <w:t>’</w:t>
      </w:r>
      <w:r w:rsidRPr="00DE3B54">
        <w:rPr>
          <w:rFonts w:ascii="Times New Roman" w:eastAsia="Times New Roman" w:hAnsi="Times New Roman" w:cs="Times New Roman"/>
          <w:iCs/>
          <w:noProof/>
          <w:lang w:eastAsia="en-GB"/>
        </w:rPr>
        <w:t xml:space="preserve"> structure </w:t>
      </w:r>
      <w:r w:rsidR="00436A2D">
        <w:rPr>
          <w:rFonts w:ascii="Times New Roman" w:eastAsia="Times New Roman" w:hAnsi="Times New Roman" w:cs="Times New Roman"/>
          <w:iCs/>
          <w:noProof/>
          <w:lang w:eastAsia="en-GB"/>
        </w:rPr>
        <w:t xml:space="preserve">of the CBC area </w:t>
      </w:r>
      <w:r w:rsidRPr="00DE3B54">
        <w:rPr>
          <w:rFonts w:ascii="Times New Roman" w:eastAsia="Times New Roman" w:hAnsi="Times New Roman" w:cs="Times New Roman"/>
          <w:iCs/>
          <w:noProof/>
          <w:lang w:eastAsia="en-GB"/>
        </w:rPr>
        <w:t xml:space="preserve">is relatively good but with visible territorial disparities in the secondary and upper educational institutions, which are mostly located in the administrative centres of the </w:t>
      </w:r>
      <w:r w:rsidR="00436A2D">
        <w:rPr>
          <w:rFonts w:ascii="Times New Roman" w:eastAsia="Times New Roman" w:hAnsi="Times New Roman" w:cs="Times New Roman"/>
          <w:iCs/>
          <w:noProof/>
          <w:lang w:eastAsia="en-GB"/>
        </w:rPr>
        <w:t>programme</w:t>
      </w:r>
      <w:r w:rsidRPr="00DE3B54">
        <w:rPr>
          <w:rFonts w:ascii="Times New Roman" w:eastAsia="Times New Roman" w:hAnsi="Times New Roman" w:cs="Times New Roman"/>
          <w:iCs/>
          <w:noProof/>
          <w:lang w:eastAsia="en-GB"/>
        </w:rPr>
        <w:t xml:space="preserve"> region</w:t>
      </w:r>
      <w:r w:rsidRPr="00DE3B54">
        <w:rPr>
          <w:rFonts w:ascii="Times New Roman" w:eastAsia="Times New Roman" w:hAnsi="Times New Roman" w:cs="Times New Roman"/>
          <w:iCs/>
          <w:noProof/>
          <w:lang w:val="bg-BG" w:eastAsia="en-GB"/>
        </w:rPr>
        <w:t xml:space="preserve">. </w:t>
      </w:r>
      <w:r w:rsidRPr="00DE3B54">
        <w:rPr>
          <w:rFonts w:ascii="Times New Roman" w:eastAsia="Times New Roman" w:hAnsi="Times New Roman" w:cs="Times New Roman"/>
          <w:iCs/>
          <w:noProof/>
          <w:lang w:eastAsia="en-GB"/>
        </w:rPr>
        <w:t>The share of attained primary and secondary education level in the whole CBC area is slightly above or very close</w:t>
      </w:r>
      <w:r w:rsidR="00436A2D">
        <w:rPr>
          <w:rFonts w:ascii="Times New Roman" w:eastAsia="Times New Roman" w:hAnsi="Times New Roman" w:cs="Times New Roman"/>
          <w:iCs/>
          <w:noProof/>
          <w:lang w:eastAsia="en-GB"/>
        </w:rPr>
        <w:t xml:space="preserve"> to</w:t>
      </w:r>
      <w:r w:rsidRPr="00DE3B54">
        <w:rPr>
          <w:rFonts w:ascii="Times New Roman" w:eastAsia="Times New Roman" w:hAnsi="Times New Roman" w:cs="Times New Roman"/>
          <w:iCs/>
          <w:noProof/>
          <w:lang w:eastAsia="en-GB"/>
        </w:rPr>
        <w:t xml:space="preserve"> the national average of the respective country. </w:t>
      </w:r>
      <w:r w:rsidRPr="00DE3B54">
        <w:rPr>
          <w:rFonts w:ascii="Times New Roman" w:eastAsia="Times New Roman" w:hAnsi="Times New Roman" w:cs="Times New Roman"/>
          <w:iCs/>
          <w:noProof/>
          <w:lang w:val="en-US" w:eastAsia="en-GB"/>
        </w:rPr>
        <w:t>The drop out of school rates have been decreasing every year.</w:t>
      </w:r>
    </w:p>
    <w:p w14:paraId="2BD7696E" w14:textId="77777777" w:rsidR="00DE3B54" w:rsidRDefault="00ED0CD4" w:rsidP="00DE3B54">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Pr>
          <w:rFonts w:ascii="Times New Roman" w:eastAsia="Times New Roman" w:hAnsi="Times New Roman" w:cs="Times New Roman"/>
          <w:iCs/>
          <w:noProof/>
          <w:lang w:val="en-US" w:eastAsia="en-GB"/>
        </w:rPr>
        <w:t>The Eurostat ‘</w:t>
      </w:r>
      <w:r w:rsidRPr="00BA7B95">
        <w:rPr>
          <w:rFonts w:ascii="Times New Roman" w:eastAsia="Times New Roman" w:hAnsi="Times New Roman" w:cs="Times New Roman"/>
          <w:iCs/>
          <w:noProof/>
          <w:lang w:val="en-US" w:eastAsia="en-GB"/>
        </w:rPr>
        <w:t>Early leavers from education and training (% of population aged 18-24)</w:t>
      </w:r>
      <w:r>
        <w:rPr>
          <w:rFonts w:ascii="Times New Roman" w:eastAsia="Times New Roman" w:hAnsi="Times New Roman" w:cs="Times New Roman"/>
          <w:iCs/>
          <w:noProof/>
          <w:lang w:val="en-US" w:eastAsia="en-GB"/>
        </w:rPr>
        <w:t>’</w:t>
      </w:r>
      <w:r w:rsidR="00DE3B54" w:rsidRPr="00DE3B54">
        <w:rPr>
          <w:rFonts w:ascii="Times New Roman" w:eastAsia="Times New Roman" w:hAnsi="Times New Roman" w:cs="Times New Roman"/>
          <w:iCs/>
          <w:noProof/>
          <w:lang w:eastAsia="en-GB"/>
        </w:rPr>
        <w:t xml:space="preserve"> </w:t>
      </w:r>
      <w:r>
        <w:rPr>
          <w:rFonts w:ascii="Times New Roman" w:eastAsia="Times New Roman" w:hAnsi="Times New Roman" w:cs="Times New Roman"/>
          <w:iCs/>
          <w:noProof/>
          <w:lang w:eastAsia="en-GB"/>
        </w:rPr>
        <w:t>indicator</w:t>
      </w:r>
      <w:r w:rsidR="00DE3B54" w:rsidRPr="00DE3B54">
        <w:rPr>
          <w:rFonts w:ascii="Times New Roman" w:eastAsia="Times New Roman" w:hAnsi="Times New Roman" w:cs="Times New Roman"/>
          <w:iCs/>
          <w:noProof/>
          <w:lang w:eastAsia="en-GB"/>
        </w:rPr>
        <w:t xml:space="preserve"> reveals important disparities between both countries, </w:t>
      </w:r>
      <w:r>
        <w:rPr>
          <w:rFonts w:ascii="Times New Roman" w:eastAsia="Times New Roman" w:hAnsi="Times New Roman" w:cs="Times New Roman"/>
          <w:iCs/>
          <w:noProof/>
          <w:lang w:eastAsia="en-GB"/>
        </w:rPr>
        <w:t>as follows</w:t>
      </w:r>
      <w:r w:rsidR="00DE3B54" w:rsidRPr="00DE3B54">
        <w:rPr>
          <w:rFonts w:ascii="Times New Roman" w:eastAsia="Times New Roman" w:hAnsi="Times New Roman" w:cs="Times New Roman"/>
          <w:iCs/>
          <w:noProof/>
          <w:lang w:eastAsia="en-GB"/>
        </w:rPr>
        <w:t>:</w:t>
      </w:r>
    </w:p>
    <w:p w14:paraId="01F462D4" w14:textId="77777777" w:rsidR="004A2556" w:rsidRDefault="004A2556" w:rsidP="00DE3B54">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val="en-US" w:eastAsia="en-GB"/>
        </w:rPr>
      </w:pPr>
      <w:r w:rsidRPr="004A2556">
        <w:rPr>
          <w:rFonts w:ascii="Times New Roman" w:eastAsia="Times New Roman" w:hAnsi="Times New Roman" w:cs="Times New Roman"/>
          <w:iCs/>
          <w:noProof/>
          <w:lang w:val="en-US" w:eastAsia="en-GB"/>
        </w:rPr>
        <w:t>EU – 28 (2013-2020)</w:t>
      </w:r>
      <w:r w:rsidR="00CE0FD0">
        <w:rPr>
          <w:rFonts w:ascii="Times New Roman" w:eastAsia="Times New Roman" w:hAnsi="Times New Roman" w:cs="Times New Roman"/>
          <w:iCs/>
          <w:noProof/>
          <w:lang w:val="en-US" w:eastAsia="en-GB"/>
        </w:rPr>
        <w:t>:</w:t>
      </w:r>
      <w:r w:rsidR="00CE0FD0">
        <w:rPr>
          <w:rFonts w:ascii="Times New Roman" w:eastAsia="Times New Roman" w:hAnsi="Times New Roman" w:cs="Times New Roman"/>
          <w:iCs/>
          <w:noProof/>
          <w:lang w:val="en-US" w:eastAsia="en-GB"/>
        </w:rPr>
        <w:tab/>
      </w:r>
      <w:r>
        <w:rPr>
          <w:rFonts w:ascii="Times New Roman" w:eastAsia="Times New Roman" w:hAnsi="Times New Roman" w:cs="Times New Roman"/>
          <w:iCs/>
          <w:noProof/>
          <w:lang w:val="en-US" w:eastAsia="en-GB"/>
        </w:rPr>
        <w:t>11.2 (2014); 10.3 (2019);</w:t>
      </w:r>
    </w:p>
    <w:p w14:paraId="17800588" w14:textId="77777777" w:rsidR="004A2556" w:rsidRDefault="004A2556" w:rsidP="00DE3B54">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val="en-US" w:eastAsia="en-GB"/>
        </w:rPr>
      </w:pPr>
      <w:r w:rsidRPr="004A2556">
        <w:rPr>
          <w:rFonts w:ascii="Times New Roman" w:eastAsia="Times New Roman" w:hAnsi="Times New Roman" w:cs="Times New Roman"/>
          <w:iCs/>
          <w:noProof/>
          <w:lang w:val="en-US" w:eastAsia="en-GB"/>
        </w:rPr>
        <w:t>Republic of Bulgaria</w:t>
      </w:r>
      <w:r>
        <w:rPr>
          <w:rFonts w:ascii="Times New Roman" w:eastAsia="Times New Roman" w:hAnsi="Times New Roman" w:cs="Times New Roman"/>
          <w:iCs/>
          <w:noProof/>
          <w:lang w:val="en-US" w:eastAsia="en-GB"/>
        </w:rPr>
        <w:t>:</w:t>
      </w:r>
      <w:r w:rsidR="00CE0FD0">
        <w:rPr>
          <w:rFonts w:ascii="Times New Roman" w:eastAsia="Times New Roman" w:hAnsi="Times New Roman" w:cs="Times New Roman"/>
          <w:iCs/>
          <w:noProof/>
          <w:lang w:val="en-US" w:eastAsia="en-GB"/>
        </w:rPr>
        <w:tab/>
      </w:r>
      <w:r>
        <w:rPr>
          <w:rFonts w:ascii="Times New Roman" w:eastAsia="Times New Roman" w:hAnsi="Times New Roman" w:cs="Times New Roman"/>
          <w:iCs/>
          <w:noProof/>
          <w:lang w:val="en-US" w:eastAsia="en-GB"/>
        </w:rPr>
        <w:t>12.9 (2014); 13.9 (2019);</w:t>
      </w:r>
    </w:p>
    <w:p w14:paraId="2560F3D3" w14:textId="77777777" w:rsidR="007C1C26" w:rsidRDefault="00665C4B" w:rsidP="00DE3B54">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val="en-US" w:eastAsia="en-GB"/>
        </w:rPr>
      </w:pPr>
      <w:r>
        <w:rPr>
          <w:rFonts w:ascii="Times New Roman" w:eastAsia="Times New Roman" w:hAnsi="Times New Roman" w:cs="Times New Roman"/>
          <w:iCs/>
          <w:noProof/>
          <w:lang w:val="en-US" w:eastAsia="en-GB"/>
        </w:rPr>
        <w:t>[Republic of North Macedonia</w:t>
      </w:r>
      <w:r w:rsidR="009F3D98">
        <w:rPr>
          <w:rFonts w:ascii="Times New Roman" w:eastAsia="Times New Roman" w:hAnsi="Times New Roman" w:cs="Times New Roman"/>
          <w:iCs/>
          <w:noProof/>
          <w:lang w:val="en-US" w:eastAsia="en-GB"/>
        </w:rPr>
        <w:t>]</w:t>
      </w:r>
      <w:r w:rsidR="004A2556">
        <w:rPr>
          <w:rFonts w:ascii="Times New Roman" w:eastAsia="Times New Roman" w:hAnsi="Times New Roman" w:cs="Times New Roman"/>
          <w:iCs/>
          <w:noProof/>
          <w:lang w:val="en-US" w:eastAsia="en-GB"/>
        </w:rPr>
        <w:t>:</w:t>
      </w:r>
      <w:r w:rsidR="00CE0FD0">
        <w:rPr>
          <w:rFonts w:ascii="Times New Roman" w:eastAsia="Times New Roman" w:hAnsi="Times New Roman" w:cs="Times New Roman"/>
          <w:iCs/>
          <w:noProof/>
          <w:lang w:val="en-US" w:eastAsia="en-GB"/>
        </w:rPr>
        <w:tab/>
        <w:t>12.5 (2014);</w:t>
      </w:r>
      <w:r w:rsidR="00CE0FD0">
        <w:rPr>
          <w:rFonts w:ascii="Times New Roman" w:eastAsia="Times New Roman" w:hAnsi="Times New Roman" w:cs="Times New Roman"/>
          <w:iCs/>
          <w:noProof/>
          <w:lang w:val="en-US" w:eastAsia="en-GB"/>
        </w:rPr>
        <w:tab/>
      </w:r>
      <w:r w:rsidR="004A2556">
        <w:rPr>
          <w:rFonts w:ascii="Times New Roman" w:eastAsia="Times New Roman" w:hAnsi="Times New Roman" w:cs="Times New Roman"/>
          <w:iCs/>
          <w:noProof/>
          <w:lang w:val="en-US" w:eastAsia="en-GB"/>
        </w:rPr>
        <w:t>7.1 (2019)</w:t>
      </w:r>
      <w:r w:rsidR="007C1C26">
        <w:rPr>
          <w:rFonts w:ascii="Times New Roman" w:eastAsia="Times New Roman" w:hAnsi="Times New Roman" w:cs="Times New Roman"/>
          <w:iCs/>
          <w:noProof/>
          <w:lang w:val="en-US" w:eastAsia="en-GB"/>
        </w:rPr>
        <w:t>;</w:t>
      </w:r>
    </w:p>
    <w:p w14:paraId="13769FBA" w14:textId="77777777" w:rsidR="009A5088" w:rsidRDefault="007438EB" w:rsidP="00DE3B54">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val="bg-BG" w:eastAsia="en-GB"/>
        </w:rPr>
      </w:pPr>
      <w:r>
        <w:rPr>
          <w:rFonts w:ascii="Times New Roman" w:eastAsia="Times New Roman" w:hAnsi="Times New Roman" w:cs="Times New Roman"/>
          <w:iCs/>
          <w:noProof/>
          <w:lang w:val="en-US" w:eastAsia="en-GB"/>
        </w:rPr>
        <w:t xml:space="preserve">The Republic of </w:t>
      </w:r>
      <w:r w:rsidR="009A5088" w:rsidRPr="009A5088">
        <w:rPr>
          <w:rFonts w:ascii="Times New Roman" w:eastAsia="Times New Roman" w:hAnsi="Times New Roman" w:cs="Times New Roman"/>
          <w:iCs/>
          <w:noProof/>
          <w:lang w:eastAsia="en-GB"/>
        </w:rPr>
        <w:t xml:space="preserve">Bulgaria does not meet the ET 2020 (Strategic framework for European cooperation in education and training) benchmark of 10% share of early leavers from education and training, while the </w:t>
      </w:r>
      <w:r w:rsidR="00665C4B">
        <w:rPr>
          <w:rFonts w:ascii="Times New Roman" w:eastAsia="Times New Roman" w:hAnsi="Times New Roman" w:cs="Times New Roman"/>
          <w:iCs/>
          <w:noProof/>
          <w:lang w:eastAsia="en-GB"/>
        </w:rPr>
        <w:t>[Republic of North Macedonia</w:t>
      </w:r>
      <w:r w:rsidR="009F3D98">
        <w:rPr>
          <w:rFonts w:ascii="Times New Roman" w:eastAsia="Times New Roman" w:hAnsi="Times New Roman" w:cs="Times New Roman"/>
          <w:iCs/>
          <w:noProof/>
          <w:lang w:eastAsia="en-GB"/>
        </w:rPr>
        <w:t>]</w:t>
      </w:r>
      <w:r w:rsidR="009A5088" w:rsidRPr="009A5088">
        <w:rPr>
          <w:rFonts w:ascii="Times New Roman" w:eastAsia="Times New Roman" w:hAnsi="Times New Roman" w:cs="Times New Roman"/>
          <w:iCs/>
          <w:noProof/>
          <w:lang w:eastAsia="en-GB"/>
        </w:rPr>
        <w:t xml:space="preserve"> not only meet the ET 2020 target, but it also marks a remarkable improvement of this key determinant for economic prosperity. </w:t>
      </w:r>
    </w:p>
    <w:p w14:paraId="48DA4D47" w14:textId="77777777" w:rsidR="00E22DBA" w:rsidRDefault="009A5088" w:rsidP="00DE3B54">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Pr>
          <w:rFonts w:ascii="Times New Roman" w:eastAsia="Times New Roman" w:hAnsi="Times New Roman" w:cs="Times New Roman"/>
          <w:iCs/>
          <w:noProof/>
          <w:lang w:eastAsia="en-GB"/>
        </w:rPr>
        <w:t>The curricula</w:t>
      </w:r>
      <w:r w:rsidRPr="009A5088">
        <w:rPr>
          <w:rFonts w:ascii="Times New Roman" w:eastAsia="Times New Roman" w:hAnsi="Times New Roman" w:cs="Times New Roman"/>
          <w:iCs/>
          <w:noProof/>
          <w:lang w:eastAsia="en-GB"/>
        </w:rPr>
        <w:t xml:space="preserve"> of the</w:t>
      </w:r>
      <w:r>
        <w:rPr>
          <w:rFonts w:ascii="Times New Roman" w:eastAsia="Times New Roman" w:hAnsi="Times New Roman" w:cs="Times New Roman"/>
          <w:iCs/>
          <w:noProof/>
          <w:lang w:eastAsia="en-GB"/>
        </w:rPr>
        <w:t xml:space="preserve"> secondary</w:t>
      </w:r>
      <w:r w:rsidRPr="009A5088">
        <w:rPr>
          <w:rFonts w:ascii="Times New Roman" w:eastAsia="Times New Roman" w:hAnsi="Times New Roman" w:cs="Times New Roman"/>
          <w:iCs/>
          <w:noProof/>
          <w:lang w:eastAsia="en-GB"/>
        </w:rPr>
        <w:t xml:space="preserve"> education system in both countries is centrally defined</w:t>
      </w:r>
      <w:r>
        <w:rPr>
          <w:rFonts w:ascii="Times New Roman" w:eastAsia="Times New Roman" w:hAnsi="Times New Roman" w:cs="Times New Roman"/>
          <w:iCs/>
          <w:noProof/>
          <w:lang w:eastAsia="en-GB"/>
        </w:rPr>
        <w:t xml:space="preserve"> which make them</w:t>
      </w:r>
      <w:r w:rsidRPr="009A5088">
        <w:rPr>
          <w:rFonts w:ascii="Times New Roman" w:eastAsia="Times New Roman" w:hAnsi="Times New Roman" w:cs="Times New Roman"/>
          <w:iCs/>
          <w:noProof/>
          <w:lang w:eastAsia="en-GB"/>
        </w:rPr>
        <w:t xml:space="preserve"> not flexible enough to ongoing update to swift technological development and options for adapting them are </w:t>
      </w:r>
      <w:r w:rsidRPr="009A5088">
        <w:rPr>
          <w:rFonts w:ascii="Times New Roman" w:eastAsia="Times New Roman" w:hAnsi="Times New Roman" w:cs="Times New Roman"/>
          <w:iCs/>
          <w:noProof/>
          <w:lang w:eastAsia="en-GB"/>
        </w:rPr>
        <w:lastRenderedPageBreak/>
        <w:t>limited to those of the elective classes</w:t>
      </w:r>
      <w:r w:rsidRPr="009A5088">
        <w:rPr>
          <w:rFonts w:ascii="Times New Roman" w:eastAsia="Times New Roman" w:hAnsi="Times New Roman" w:cs="Times New Roman"/>
          <w:iCs/>
          <w:noProof/>
          <w:lang w:val="bg-BG" w:eastAsia="en-GB"/>
        </w:rPr>
        <w:t xml:space="preserve"> </w:t>
      </w:r>
      <w:r w:rsidRPr="009A5088">
        <w:rPr>
          <w:rFonts w:ascii="Times New Roman" w:eastAsia="Times New Roman" w:hAnsi="Times New Roman" w:cs="Times New Roman"/>
          <w:iCs/>
          <w:noProof/>
          <w:lang w:val="en-US" w:eastAsia="en-GB"/>
        </w:rPr>
        <w:t>and</w:t>
      </w:r>
      <w:r w:rsidRPr="009A5088">
        <w:rPr>
          <w:rFonts w:ascii="Times New Roman" w:eastAsia="Times New Roman" w:hAnsi="Times New Roman" w:cs="Times New Roman"/>
          <w:iCs/>
          <w:noProof/>
          <w:lang w:val="bg-BG" w:eastAsia="en-GB"/>
        </w:rPr>
        <w:t xml:space="preserve"> </w:t>
      </w:r>
      <w:r w:rsidRPr="009A5088">
        <w:rPr>
          <w:rFonts w:ascii="Times New Roman" w:eastAsia="Times New Roman" w:hAnsi="Times New Roman" w:cs="Times New Roman"/>
          <w:iCs/>
          <w:noProof/>
          <w:lang w:eastAsia="en-GB"/>
        </w:rPr>
        <w:t>extracurricular activities</w:t>
      </w:r>
      <w:r w:rsidR="00E22DBA">
        <w:rPr>
          <w:rFonts w:ascii="Times New Roman" w:eastAsia="Times New Roman" w:hAnsi="Times New Roman" w:cs="Times New Roman"/>
          <w:iCs/>
          <w:noProof/>
          <w:lang w:eastAsia="en-GB"/>
        </w:rPr>
        <w:t xml:space="preserve">. </w:t>
      </w:r>
      <w:r w:rsidR="00E22DBA" w:rsidRPr="00E22DBA">
        <w:rPr>
          <w:rFonts w:ascii="Times New Roman" w:eastAsia="Times New Roman" w:hAnsi="Times New Roman" w:cs="Times New Roman"/>
          <w:iCs/>
          <w:noProof/>
          <w:lang w:eastAsia="en-GB"/>
        </w:rPr>
        <w:t>This consideration is important when territorial measures for overcoming certain education deficits need to be put in place</w:t>
      </w:r>
      <w:r w:rsidR="00E22DBA">
        <w:rPr>
          <w:rFonts w:ascii="Times New Roman" w:eastAsia="Times New Roman" w:hAnsi="Times New Roman" w:cs="Times New Roman"/>
          <w:iCs/>
          <w:noProof/>
          <w:lang w:eastAsia="en-GB"/>
        </w:rPr>
        <w:t>.</w:t>
      </w:r>
    </w:p>
    <w:p w14:paraId="79D38B29" w14:textId="77777777" w:rsidR="00E22DBA" w:rsidRDefault="00E22DBA" w:rsidP="00DE3B54">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val="en-US" w:eastAsia="en-GB"/>
        </w:rPr>
      </w:pPr>
      <w:r w:rsidRPr="00E22DBA">
        <w:rPr>
          <w:rFonts w:ascii="Times New Roman" w:eastAsia="Times New Roman" w:hAnsi="Times New Roman" w:cs="Times New Roman"/>
          <w:iCs/>
          <w:noProof/>
          <w:lang w:eastAsia="en-GB"/>
        </w:rPr>
        <w:t xml:space="preserve">In terms of tertiary education, </w:t>
      </w:r>
      <w:r w:rsidR="00BB4E0C">
        <w:rPr>
          <w:rFonts w:ascii="Times New Roman" w:eastAsia="Times New Roman" w:hAnsi="Times New Roman" w:cs="Times New Roman"/>
          <w:iCs/>
          <w:noProof/>
          <w:lang w:eastAsia="en-GB"/>
        </w:rPr>
        <w:t xml:space="preserve">the </w:t>
      </w:r>
      <w:r w:rsidR="00436A2D">
        <w:rPr>
          <w:rFonts w:ascii="Times New Roman" w:eastAsia="Times New Roman" w:hAnsi="Times New Roman" w:cs="Times New Roman"/>
          <w:iCs/>
          <w:noProof/>
          <w:lang w:eastAsia="en-GB"/>
        </w:rPr>
        <w:t>Republic of</w:t>
      </w:r>
      <w:r w:rsidRPr="00E22DBA">
        <w:rPr>
          <w:rFonts w:ascii="Times New Roman" w:eastAsia="Times New Roman" w:hAnsi="Times New Roman" w:cs="Times New Roman"/>
          <w:iCs/>
          <w:noProof/>
          <w:lang w:eastAsia="en-GB"/>
        </w:rPr>
        <w:t xml:space="preserve"> Bulgaria and the </w:t>
      </w:r>
      <w:r w:rsidR="00B802AF">
        <w:rPr>
          <w:rFonts w:ascii="Times New Roman" w:eastAsia="Times New Roman" w:hAnsi="Times New Roman" w:cs="Times New Roman"/>
          <w:iCs/>
          <w:noProof/>
          <w:lang w:eastAsia="en-GB"/>
        </w:rPr>
        <w:t>[Republic of North Macedonia]</w:t>
      </w:r>
      <w:r w:rsidR="00FD07BD">
        <w:rPr>
          <w:rFonts w:ascii="Times New Roman" w:eastAsia="Times New Roman" w:hAnsi="Times New Roman" w:cs="Times New Roman"/>
          <w:iCs/>
          <w:noProof/>
          <w:lang w:eastAsia="en-GB"/>
        </w:rPr>
        <w:t xml:space="preserve"> </w:t>
      </w:r>
      <w:r w:rsidRPr="00E22DBA">
        <w:rPr>
          <w:rFonts w:ascii="Times New Roman" w:eastAsia="Times New Roman" w:hAnsi="Times New Roman" w:cs="Times New Roman"/>
          <w:iCs/>
          <w:noProof/>
          <w:lang w:eastAsia="en-GB"/>
        </w:rPr>
        <w:t xml:space="preserve">report identical directions of performance measured by the Eurostat indicator “Distribution of tertiary education graduates by broad field of education”. The </w:t>
      </w:r>
      <w:r w:rsidR="00BB4E0C">
        <w:rPr>
          <w:rFonts w:ascii="Times New Roman" w:eastAsia="Times New Roman" w:hAnsi="Times New Roman" w:cs="Times New Roman"/>
          <w:iCs/>
          <w:noProof/>
          <w:lang w:eastAsia="en-GB"/>
        </w:rPr>
        <w:t>latest available data (</w:t>
      </w:r>
      <w:r w:rsidRPr="00E22DBA">
        <w:rPr>
          <w:rFonts w:ascii="Times New Roman" w:eastAsia="Times New Roman" w:hAnsi="Times New Roman" w:cs="Times New Roman"/>
          <w:iCs/>
          <w:noProof/>
          <w:lang w:eastAsia="en-GB"/>
        </w:rPr>
        <w:t>2018</w:t>
      </w:r>
      <w:r w:rsidR="00BB4E0C">
        <w:rPr>
          <w:rFonts w:ascii="Times New Roman" w:eastAsia="Times New Roman" w:hAnsi="Times New Roman" w:cs="Times New Roman"/>
          <w:iCs/>
          <w:noProof/>
          <w:lang w:eastAsia="en-GB"/>
        </w:rPr>
        <w:t>)</w:t>
      </w:r>
      <w:r w:rsidRPr="00E22DBA">
        <w:rPr>
          <w:rFonts w:ascii="Times New Roman" w:eastAsia="Times New Roman" w:hAnsi="Times New Roman" w:cs="Times New Roman"/>
          <w:iCs/>
          <w:noProof/>
          <w:lang w:eastAsia="en-GB"/>
        </w:rPr>
        <w:t xml:space="preserve"> show that the largest and equal share of graduates in both countries (31.8%) come from the Business administration and Law field, followed by 13.1% share of graduates in Social sciences and 12.4% in Engineering (</w:t>
      </w:r>
      <w:r w:rsidR="007438EB">
        <w:rPr>
          <w:rFonts w:ascii="Times New Roman" w:eastAsia="Times New Roman" w:hAnsi="Times New Roman" w:cs="Times New Roman"/>
          <w:iCs/>
          <w:noProof/>
          <w:lang w:eastAsia="en-GB"/>
        </w:rPr>
        <w:t xml:space="preserve">Republic of </w:t>
      </w:r>
      <w:r w:rsidRPr="00E22DBA">
        <w:rPr>
          <w:rFonts w:ascii="Times New Roman" w:eastAsia="Times New Roman" w:hAnsi="Times New Roman" w:cs="Times New Roman"/>
          <w:iCs/>
          <w:noProof/>
          <w:lang w:eastAsia="en-GB"/>
        </w:rPr>
        <w:t xml:space="preserve">Bulgaria), and 13.7% in Arts and humanities and 13.3% in Engineering </w:t>
      </w:r>
      <w:r w:rsidR="00B802AF">
        <w:rPr>
          <w:rFonts w:ascii="Times New Roman" w:eastAsia="Times New Roman" w:hAnsi="Times New Roman" w:cs="Times New Roman"/>
          <w:iCs/>
          <w:noProof/>
          <w:lang w:eastAsia="en-GB"/>
        </w:rPr>
        <w:t>[Re</w:t>
      </w:r>
      <w:r w:rsidR="00665C4B">
        <w:rPr>
          <w:rFonts w:ascii="Times New Roman" w:eastAsia="Times New Roman" w:hAnsi="Times New Roman" w:cs="Times New Roman"/>
          <w:iCs/>
          <w:noProof/>
          <w:lang w:eastAsia="en-GB"/>
        </w:rPr>
        <w:t>public of North Macedonia</w:t>
      </w:r>
      <w:r w:rsidR="00FD07BD">
        <w:rPr>
          <w:rFonts w:ascii="Times New Roman" w:eastAsia="Times New Roman" w:hAnsi="Times New Roman" w:cs="Times New Roman"/>
          <w:iCs/>
          <w:noProof/>
          <w:lang w:eastAsia="en-GB"/>
        </w:rPr>
        <w:t>]</w:t>
      </w:r>
      <w:r w:rsidRPr="00E22DBA">
        <w:rPr>
          <w:rFonts w:ascii="Times New Roman" w:eastAsia="Times New Roman" w:hAnsi="Times New Roman" w:cs="Times New Roman"/>
          <w:iCs/>
          <w:noProof/>
          <w:lang w:eastAsia="en-GB"/>
        </w:rPr>
        <w:t xml:space="preserve">. These data may be seen both as an indication for future sectoral specialization and as a reflection of current labour market needs. </w:t>
      </w:r>
    </w:p>
    <w:p w14:paraId="438E9317" w14:textId="77777777" w:rsidR="00E66CC9" w:rsidRDefault="00E22DBA" w:rsidP="00DE3B54">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E22DBA">
        <w:rPr>
          <w:rFonts w:ascii="Times New Roman" w:eastAsia="Times New Roman" w:hAnsi="Times New Roman" w:cs="Times New Roman"/>
          <w:iCs/>
          <w:noProof/>
          <w:lang w:eastAsia="en-GB"/>
        </w:rPr>
        <w:t xml:space="preserve">Both countries underperform in adult education with slight differences as for </w:t>
      </w:r>
      <w:r w:rsidR="007438EB">
        <w:rPr>
          <w:rFonts w:ascii="Times New Roman" w:eastAsia="Times New Roman" w:hAnsi="Times New Roman" w:cs="Times New Roman"/>
          <w:iCs/>
          <w:noProof/>
          <w:lang w:eastAsia="en-GB"/>
        </w:rPr>
        <w:t xml:space="preserve">the Republic of </w:t>
      </w:r>
      <w:r w:rsidRPr="00E22DBA">
        <w:rPr>
          <w:rFonts w:ascii="Times New Roman" w:eastAsia="Times New Roman" w:hAnsi="Times New Roman" w:cs="Times New Roman"/>
          <w:iCs/>
          <w:noProof/>
          <w:lang w:eastAsia="en-GB"/>
        </w:rPr>
        <w:t>Bulgaria placing the country in a better off position. The participation rate in education and training (25-64 years) for 2019</w:t>
      </w:r>
      <w:r w:rsidR="00BB4E0C">
        <w:rPr>
          <w:rFonts w:ascii="Times New Roman" w:eastAsia="Times New Roman" w:hAnsi="Times New Roman" w:cs="Times New Roman"/>
          <w:iCs/>
          <w:noProof/>
          <w:lang w:eastAsia="en-GB"/>
        </w:rPr>
        <w:t xml:space="preserve"> (measured by Eurostat) </w:t>
      </w:r>
      <w:r w:rsidRPr="00E22DBA">
        <w:rPr>
          <w:rFonts w:ascii="Times New Roman" w:eastAsia="Times New Roman" w:hAnsi="Times New Roman" w:cs="Times New Roman"/>
          <w:iCs/>
          <w:noProof/>
          <w:lang w:eastAsia="en-GB"/>
        </w:rPr>
        <w:t>ranks</w:t>
      </w:r>
      <w:r w:rsidR="00BB4E0C">
        <w:rPr>
          <w:rFonts w:ascii="Times New Roman" w:eastAsia="Times New Roman" w:hAnsi="Times New Roman" w:cs="Times New Roman"/>
          <w:iCs/>
          <w:noProof/>
          <w:lang w:eastAsia="en-GB"/>
        </w:rPr>
        <w:t xml:space="preserve"> the Republic of</w:t>
      </w:r>
      <w:r w:rsidRPr="00E22DBA">
        <w:rPr>
          <w:rFonts w:ascii="Times New Roman" w:eastAsia="Times New Roman" w:hAnsi="Times New Roman" w:cs="Times New Roman"/>
          <w:iCs/>
          <w:noProof/>
          <w:lang w:eastAsia="en-GB"/>
        </w:rPr>
        <w:t xml:space="preserve"> Bulgaria (2%) and the </w:t>
      </w:r>
      <w:r w:rsidR="00665C4B">
        <w:rPr>
          <w:rFonts w:ascii="Times New Roman" w:eastAsia="Times New Roman" w:hAnsi="Times New Roman" w:cs="Times New Roman"/>
          <w:iCs/>
          <w:noProof/>
          <w:lang w:eastAsia="en-GB"/>
        </w:rPr>
        <w:t>[Republic of North Macedonia</w:t>
      </w:r>
      <w:r w:rsidR="00D01FB9">
        <w:rPr>
          <w:rFonts w:ascii="Times New Roman" w:eastAsia="Times New Roman" w:hAnsi="Times New Roman" w:cs="Times New Roman"/>
          <w:iCs/>
          <w:noProof/>
          <w:lang w:eastAsia="en-GB"/>
        </w:rPr>
        <w:t>]</w:t>
      </w:r>
      <w:r w:rsidRPr="00E22DBA">
        <w:rPr>
          <w:rFonts w:ascii="Times New Roman" w:eastAsia="Times New Roman" w:hAnsi="Times New Roman" w:cs="Times New Roman"/>
          <w:iCs/>
          <w:noProof/>
          <w:lang w:eastAsia="en-GB"/>
        </w:rPr>
        <w:t xml:space="preserve"> (2.8%) at the bottom of the European classification (EC28: 11.3%). </w:t>
      </w:r>
      <w:r w:rsidR="00BB4E0C">
        <w:rPr>
          <w:rFonts w:ascii="Times New Roman" w:eastAsia="Times New Roman" w:hAnsi="Times New Roman" w:cs="Times New Roman"/>
          <w:iCs/>
          <w:noProof/>
          <w:lang w:eastAsia="en-GB"/>
        </w:rPr>
        <w:t xml:space="preserve">Additional emprirical evidence (Eurostat </w:t>
      </w:r>
      <w:r w:rsidR="00BB4E0C" w:rsidRPr="00E22DBA">
        <w:rPr>
          <w:rFonts w:ascii="Times New Roman" w:eastAsia="Times New Roman" w:hAnsi="Times New Roman" w:cs="Times New Roman"/>
          <w:iCs/>
          <w:noProof/>
          <w:lang w:eastAsia="en-GB"/>
        </w:rPr>
        <w:t>indicator “Distribution of non-formal education and training activities by employer”</w:t>
      </w:r>
      <w:r w:rsidR="00BB4E0C">
        <w:rPr>
          <w:rFonts w:ascii="Times New Roman" w:eastAsia="Times New Roman" w:hAnsi="Times New Roman" w:cs="Times New Roman"/>
          <w:iCs/>
          <w:noProof/>
          <w:lang w:eastAsia="en-GB"/>
        </w:rPr>
        <w:t xml:space="preserve">) </w:t>
      </w:r>
      <w:r w:rsidRPr="00E22DBA">
        <w:rPr>
          <w:rFonts w:ascii="Times New Roman" w:eastAsia="Times New Roman" w:hAnsi="Times New Roman" w:cs="Times New Roman"/>
          <w:iCs/>
          <w:noProof/>
          <w:lang w:eastAsia="en-GB"/>
        </w:rPr>
        <w:t xml:space="preserve">supports the assumption that, in terms of upskilling, two conflict trends undergo in both countries – it is employer-driven in </w:t>
      </w:r>
      <w:r w:rsidR="00BB4E0C">
        <w:rPr>
          <w:rFonts w:ascii="Times New Roman" w:eastAsia="Times New Roman" w:hAnsi="Times New Roman" w:cs="Times New Roman"/>
          <w:iCs/>
          <w:noProof/>
          <w:lang w:eastAsia="en-GB"/>
        </w:rPr>
        <w:t xml:space="preserve">the Republic of </w:t>
      </w:r>
      <w:r w:rsidRPr="00E22DBA">
        <w:rPr>
          <w:rFonts w:ascii="Times New Roman" w:eastAsia="Times New Roman" w:hAnsi="Times New Roman" w:cs="Times New Roman"/>
          <w:iCs/>
          <w:noProof/>
          <w:lang w:eastAsia="en-GB"/>
        </w:rPr>
        <w:t xml:space="preserve">Bulgaria, while in the </w:t>
      </w:r>
      <w:r w:rsidR="00665C4B">
        <w:rPr>
          <w:rFonts w:ascii="Times New Roman" w:eastAsia="Times New Roman" w:hAnsi="Times New Roman" w:cs="Times New Roman"/>
          <w:iCs/>
          <w:noProof/>
          <w:lang w:eastAsia="en-GB"/>
        </w:rPr>
        <w:t>[Republic of North Macedonia</w:t>
      </w:r>
      <w:r w:rsidR="00D01FB9">
        <w:rPr>
          <w:rFonts w:ascii="Times New Roman" w:eastAsia="Times New Roman" w:hAnsi="Times New Roman" w:cs="Times New Roman"/>
          <w:iCs/>
          <w:noProof/>
          <w:lang w:eastAsia="en-GB"/>
        </w:rPr>
        <w:t>]</w:t>
      </w:r>
      <w:r w:rsidRPr="00E22DBA">
        <w:rPr>
          <w:rFonts w:ascii="Times New Roman" w:eastAsia="Times New Roman" w:hAnsi="Times New Roman" w:cs="Times New Roman"/>
          <w:iCs/>
          <w:noProof/>
          <w:lang w:eastAsia="en-GB"/>
        </w:rPr>
        <w:t xml:space="preserve"> is more or less self-driven.</w:t>
      </w:r>
    </w:p>
    <w:p w14:paraId="4FADA21C" w14:textId="77777777" w:rsidR="00534983" w:rsidRPr="00BA7B95" w:rsidRDefault="00534983">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b/>
          <w:iCs/>
          <w:noProof/>
          <w:lang w:eastAsia="en-GB"/>
        </w:rPr>
      </w:pPr>
      <w:r w:rsidRPr="00BA7B95">
        <w:rPr>
          <w:rFonts w:ascii="Times New Roman" w:eastAsia="Times New Roman" w:hAnsi="Times New Roman" w:cs="Times New Roman"/>
          <w:b/>
          <w:iCs/>
          <w:noProof/>
          <w:lang w:eastAsia="en-GB"/>
        </w:rPr>
        <w:t>Employment rate (ER) and unemployment rate (UER), 2019 (</w:t>
      </w:r>
      <w:r w:rsidRPr="00BA7B95">
        <w:rPr>
          <w:rFonts w:ascii="Times New Roman" w:eastAsia="Times New Roman" w:hAnsi="Times New Roman" w:cs="Times New Roman"/>
          <w:b/>
          <w:i/>
          <w:iCs/>
          <w:noProof/>
          <w:lang w:eastAsia="en-GB"/>
        </w:rPr>
        <w:t>NSI and MACSTAT</w:t>
      </w:r>
      <w:r w:rsidRPr="00BA7B95">
        <w:rPr>
          <w:rFonts w:ascii="Times New Roman" w:eastAsia="Times New Roman" w:hAnsi="Times New Roman" w:cs="Times New Roman"/>
          <w:b/>
          <w:iCs/>
          <w:noProof/>
          <w:lang w:eastAsia="en-GB"/>
        </w:rPr>
        <w:t xml:space="preserve"> )</w:t>
      </w:r>
    </w:p>
    <w:p w14:paraId="5330F452" w14:textId="77777777" w:rsidR="00534983" w:rsidRPr="00BA7B95" w:rsidRDefault="00534983">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u w:val="single"/>
          <w:lang w:eastAsia="en-GB"/>
        </w:rPr>
      </w:pPr>
      <w:r w:rsidRPr="00BA7B95">
        <w:rPr>
          <w:rFonts w:ascii="Times New Roman" w:eastAsia="Times New Roman" w:hAnsi="Times New Roman" w:cs="Times New Roman"/>
          <w:i/>
          <w:iCs/>
          <w:noProof/>
          <w:u w:val="single"/>
          <w:lang w:eastAsia="en-GB"/>
        </w:rPr>
        <w:t>Republic of Bulgaria:</w:t>
      </w:r>
      <w:r w:rsidR="00CE0FD0">
        <w:rPr>
          <w:rFonts w:ascii="Times New Roman" w:eastAsia="Times New Roman" w:hAnsi="Times New Roman" w:cs="Times New Roman"/>
          <w:iCs/>
          <w:noProof/>
          <w:u w:val="single"/>
          <w:lang w:eastAsia="en-GB"/>
        </w:rPr>
        <w:tab/>
      </w:r>
      <w:r w:rsidRPr="00BA7B95">
        <w:rPr>
          <w:rFonts w:ascii="Times New Roman" w:eastAsia="Times New Roman" w:hAnsi="Times New Roman" w:cs="Times New Roman"/>
          <w:i/>
          <w:iCs/>
          <w:noProof/>
          <w:u w:val="single"/>
          <w:lang w:eastAsia="en-GB"/>
        </w:rPr>
        <w:t>70.1 (ER); 4.2 (UER);</w:t>
      </w:r>
    </w:p>
    <w:p w14:paraId="1819DA10" w14:textId="77777777" w:rsidR="00534983" w:rsidRDefault="00534983">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val="en-US" w:eastAsia="en-GB"/>
        </w:rPr>
      </w:pPr>
      <w:r w:rsidRPr="00534983">
        <w:rPr>
          <w:rFonts w:ascii="Times New Roman" w:eastAsia="Times New Roman" w:hAnsi="Times New Roman" w:cs="Times New Roman"/>
          <w:iCs/>
          <w:noProof/>
          <w:lang w:eastAsia="en-GB"/>
        </w:rPr>
        <w:t>Blagoevgrad</w:t>
      </w:r>
      <w:r>
        <w:rPr>
          <w:rFonts w:ascii="Times New Roman" w:eastAsia="Times New Roman" w:hAnsi="Times New Roman" w:cs="Times New Roman"/>
          <w:iCs/>
          <w:noProof/>
          <w:lang w:eastAsia="en-GB"/>
        </w:rPr>
        <w:t xml:space="preserve"> district: </w:t>
      </w:r>
      <w:r w:rsidR="00CE0FD0">
        <w:rPr>
          <w:rFonts w:ascii="Times New Roman" w:eastAsia="Times New Roman" w:hAnsi="Times New Roman" w:cs="Times New Roman"/>
          <w:iCs/>
          <w:noProof/>
          <w:lang w:eastAsia="en-GB"/>
        </w:rPr>
        <w:tab/>
      </w:r>
      <w:r w:rsidRPr="00534983">
        <w:rPr>
          <w:rFonts w:ascii="Times New Roman" w:eastAsia="Times New Roman" w:hAnsi="Times New Roman" w:cs="Times New Roman"/>
          <w:iCs/>
          <w:noProof/>
          <w:lang w:eastAsia="en-GB"/>
        </w:rPr>
        <w:t>75.2</w:t>
      </w:r>
      <w:r>
        <w:rPr>
          <w:rFonts w:ascii="Times New Roman" w:eastAsia="Times New Roman" w:hAnsi="Times New Roman" w:cs="Times New Roman"/>
          <w:iCs/>
          <w:noProof/>
          <w:lang w:eastAsia="en-GB"/>
        </w:rPr>
        <w:t xml:space="preserve"> (ER); </w:t>
      </w:r>
      <w:r>
        <w:rPr>
          <w:rFonts w:ascii="Times New Roman" w:eastAsia="Times New Roman" w:hAnsi="Times New Roman" w:cs="Times New Roman"/>
          <w:iCs/>
          <w:noProof/>
          <w:lang w:val="en-US" w:eastAsia="en-GB"/>
        </w:rPr>
        <w:t>4.</w:t>
      </w:r>
      <w:r w:rsidRPr="00534983">
        <w:rPr>
          <w:rFonts w:ascii="Times New Roman" w:eastAsia="Times New Roman" w:hAnsi="Times New Roman" w:cs="Times New Roman"/>
          <w:iCs/>
          <w:noProof/>
          <w:lang w:val="en-US" w:eastAsia="en-GB"/>
        </w:rPr>
        <w:t>1</w:t>
      </w:r>
      <w:r>
        <w:rPr>
          <w:rFonts w:ascii="Times New Roman" w:eastAsia="Times New Roman" w:hAnsi="Times New Roman" w:cs="Times New Roman"/>
          <w:iCs/>
          <w:noProof/>
          <w:lang w:val="en-US" w:eastAsia="en-GB"/>
        </w:rPr>
        <w:t xml:space="preserve"> (UER);</w:t>
      </w:r>
    </w:p>
    <w:p w14:paraId="32CF5D59" w14:textId="77777777" w:rsidR="00534983" w:rsidRDefault="00534983">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val="en-US" w:eastAsia="en-GB"/>
        </w:rPr>
      </w:pPr>
      <w:r w:rsidRPr="00BA7B95">
        <w:rPr>
          <w:rFonts w:ascii="Times New Roman" w:eastAsia="Times New Roman" w:hAnsi="Times New Roman" w:cs="Times New Roman"/>
          <w:iCs/>
          <w:noProof/>
          <w:lang w:val="en-US" w:eastAsia="en-GB"/>
        </w:rPr>
        <w:t>Kyustendil</w:t>
      </w:r>
      <w:r>
        <w:rPr>
          <w:rFonts w:ascii="Times New Roman" w:eastAsia="Times New Roman" w:hAnsi="Times New Roman" w:cs="Times New Roman"/>
          <w:iCs/>
          <w:noProof/>
          <w:lang w:val="en-US" w:eastAsia="en-GB"/>
        </w:rPr>
        <w:t xml:space="preserve"> </w:t>
      </w:r>
      <w:r>
        <w:rPr>
          <w:rFonts w:ascii="Times New Roman" w:eastAsia="Times New Roman" w:hAnsi="Times New Roman" w:cs="Times New Roman"/>
          <w:iCs/>
          <w:noProof/>
          <w:lang w:eastAsia="en-GB"/>
        </w:rPr>
        <w:t>district</w:t>
      </w:r>
      <w:r>
        <w:rPr>
          <w:rFonts w:ascii="Times New Roman" w:eastAsia="Times New Roman" w:hAnsi="Times New Roman" w:cs="Times New Roman"/>
          <w:iCs/>
          <w:noProof/>
          <w:lang w:val="en-US" w:eastAsia="en-GB"/>
        </w:rPr>
        <w:t>:</w:t>
      </w:r>
      <w:r w:rsidR="00CE0FD0">
        <w:rPr>
          <w:rFonts w:ascii="Times New Roman" w:eastAsia="Times New Roman" w:hAnsi="Times New Roman" w:cs="Times New Roman"/>
          <w:iCs/>
          <w:noProof/>
          <w:lang w:val="en-US" w:eastAsia="en-GB"/>
        </w:rPr>
        <w:tab/>
      </w:r>
      <w:r w:rsidRPr="00534983">
        <w:rPr>
          <w:rFonts w:ascii="Times New Roman" w:eastAsia="Times New Roman" w:hAnsi="Times New Roman" w:cs="Times New Roman"/>
          <w:iCs/>
          <w:noProof/>
          <w:lang w:val="en-US" w:eastAsia="en-GB"/>
        </w:rPr>
        <w:t>67.6</w:t>
      </w:r>
      <w:r>
        <w:rPr>
          <w:rFonts w:ascii="Times New Roman" w:eastAsia="Times New Roman" w:hAnsi="Times New Roman" w:cs="Times New Roman"/>
          <w:iCs/>
          <w:noProof/>
          <w:lang w:val="en-US" w:eastAsia="en-GB"/>
        </w:rPr>
        <w:t xml:space="preserve"> (ER); 2.6 (UER);</w:t>
      </w:r>
    </w:p>
    <w:p w14:paraId="583CE863" w14:textId="77777777" w:rsidR="00534983" w:rsidRPr="00BA7B95" w:rsidRDefault="00665C4B">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bCs/>
          <w:i/>
          <w:iCs/>
          <w:noProof/>
          <w:u w:val="single"/>
          <w:lang w:val="en-US" w:eastAsia="en-GB"/>
        </w:rPr>
      </w:pPr>
      <w:r>
        <w:rPr>
          <w:rFonts w:ascii="Times New Roman" w:eastAsia="Times New Roman" w:hAnsi="Times New Roman" w:cs="Times New Roman"/>
          <w:i/>
          <w:iCs/>
          <w:noProof/>
          <w:u w:val="single"/>
          <w:lang w:val="en-US" w:eastAsia="en-GB"/>
        </w:rPr>
        <w:t>[Republic of North Macedonia</w:t>
      </w:r>
      <w:r w:rsidR="00D01FB9">
        <w:rPr>
          <w:rFonts w:ascii="Times New Roman" w:eastAsia="Times New Roman" w:hAnsi="Times New Roman" w:cs="Times New Roman"/>
          <w:i/>
          <w:iCs/>
          <w:noProof/>
          <w:u w:val="single"/>
          <w:lang w:val="en-US" w:eastAsia="en-GB"/>
        </w:rPr>
        <w:t>]</w:t>
      </w:r>
      <w:r w:rsidR="00CE0FD0">
        <w:rPr>
          <w:rFonts w:ascii="Times New Roman" w:eastAsia="Times New Roman" w:hAnsi="Times New Roman" w:cs="Times New Roman"/>
          <w:i/>
          <w:iCs/>
          <w:noProof/>
          <w:u w:val="single"/>
          <w:lang w:val="en-US" w:eastAsia="en-GB"/>
        </w:rPr>
        <w:t>:</w:t>
      </w:r>
      <w:r w:rsidR="00DA06E5" w:rsidRPr="00BA7B95">
        <w:rPr>
          <w:rFonts w:ascii="Times New Roman" w:eastAsia="Times New Roman" w:hAnsi="Times New Roman" w:cs="Times New Roman"/>
          <w:bCs/>
          <w:i/>
          <w:iCs/>
          <w:noProof/>
          <w:u w:val="single"/>
          <w:lang w:val="en-US" w:eastAsia="en-GB"/>
        </w:rPr>
        <w:t>47.3 (ER); 17.3 (UER)</w:t>
      </w:r>
    </w:p>
    <w:p w14:paraId="33ABFBA0" w14:textId="77777777" w:rsidR="00DA06E5" w:rsidRPr="00573384" w:rsidRDefault="00CE0FD0">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Pr>
          <w:rFonts w:ascii="Times New Roman" w:eastAsia="Times New Roman" w:hAnsi="Times New Roman" w:cs="Times New Roman"/>
          <w:iCs/>
          <w:noProof/>
          <w:lang w:val="en-US" w:eastAsia="en-GB"/>
        </w:rPr>
        <w:t>Northeast</w:t>
      </w:r>
      <w:r w:rsidR="00586CF0">
        <w:rPr>
          <w:rFonts w:ascii="Times New Roman" w:eastAsia="Times New Roman" w:hAnsi="Times New Roman" w:cs="Times New Roman"/>
          <w:iCs/>
          <w:noProof/>
          <w:lang w:val="en-US" w:eastAsia="en-GB"/>
        </w:rPr>
        <w:t>ern</w:t>
      </w:r>
      <w:r>
        <w:rPr>
          <w:rFonts w:ascii="Times New Roman" w:eastAsia="Times New Roman" w:hAnsi="Times New Roman" w:cs="Times New Roman"/>
          <w:iCs/>
          <w:noProof/>
          <w:lang w:val="en-US" w:eastAsia="en-GB"/>
        </w:rPr>
        <w:t xml:space="preserve"> region:</w:t>
      </w:r>
      <w:r>
        <w:rPr>
          <w:rFonts w:ascii="Times New Roman" w:eastAsia="Times New Roman" w:hAnsi="Times New Roman" w:cs="Times New Roman"/>
          <w:iCs/>
          <w:noProof/>
          <w:lang w:val="en-US" w:eastAsia="en-GB"/>
        </w:rPr>
        <w:tab/>
      </w:r>
      <w:r w:rsidR="00573384" w:rsidRPr="00BA7B95">
        <w:rPr>
          <w:rFonts w:ascii="Times New Roman" w:eastAsia="Times New Roman" w:hAnsi="Times New Roman" w:cs="Times New Roman"/>
          <w:iCs/>
          <w:noProof/>
          <w:lang w:val="en-US" w:eastAsia="en-GB"/>
        </w:rPr>
        <w:t>37.0 (ER)</w:t>
      </w:r>
      <w:r w:rsidR="00573384">
        <w:rPr>
          <w:rFonts w:ascii="Times New Roman" w:eastAsia="Times New Roman" w:hAnsi="Times New Roman" w:cs="Times New Roman"/>
          <w:iCs/>
          <w:noProof/>
          <w:lang w:val="en-US" w:eastAsia="en-GB"/>
        </w:rPr>
        <w:t xml:space="preserve">; </w:t>
      </w:r>
      <w:r w:rsidR="005D03E9">
        <w:rPr>
          <w:rFonts w:ascii="Times New Roman" w:eastAsia="Times New Roman" w:hAnsi="Times New Roman" w:cs="Times New Roman"/>
          <w:iCs/>
          <w:noProof/>
          <w:lang w:val="en-US" w:eastAsia="en-GB"/>
        </w:rPr>
        <w:t>33.0 (UER);</w:t>
      </w:r>
      <w:r w:rsidR="00573384" w:rsidRPr="00BA7B95">
        <w:rPr>
          <w:rFonts w:ascii="Times New Roman" w:eastAsia="Times New Roman" w:hAnsi="Times New Roman" w:cs="Times New Roman"/>
          <w:iCs/>
          <w:noProof/>
          <w:lang w:val="en-US" w:eastAsia="en-GB"/>
        </w:rPr>
        <w:t xml:space="preserve"> </w:t>
      </w:r>
    </w:p>
    <w:p w14:paraId="67E104E9" w14:textId="77777777" w:rsidR="00573384" w:rsidRPr="00BA7B95" w:rsidRDefault="00573384">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val="en-US" w:eastAsia="en-GB"/>
        </w:rPr>
      </w:pPr>
      <w:r w:rsidRPr="00BA7B95">
        <w:rPr>
          <w:rFonts w:ascii="Times New Roman" w:eastAsia="Times New Roman" w:hAnsi="Times New Roman" w:cs="Times New Roman"/>
          <w:iCs/>
          <w:noProof/>
          <w:lang w:val="en-US" w:eastAsia="en-GB"/>
        </w:rPr>
        <w:t>East</w:t>
      </w:r>
      <w:r w:rsidR="00586CF0">
        <w:rPr>
          <w:rFonts w:ascii="Times New Roman" w:eastAsia="Times New Roman" w:hAnsi="Times New Roman" w:cs="Times New Roman"/>
          <w:iCs/>
          <w:noProof/>
          <w:lang w:val="en-US" w:eastAsia="en-GB"/>
        </w:rPr>
        <w:t>ern</w:t>
      </w:r>
      <w:r w:rsidRPr="00BA7B95">
        <w:rPr>
          <w:rFonts w:ascii="Times New Roman" w:eastAsia="Times New Roman" w:hAnsi="Times New Roman" w:cs="Times New Roman"/>
          <w:iCs/>
          <w:noProof/>
          <w:lang w:val="en-US" w:eastAsia="en-GB"/>
        </w:rPr>
        <w:t xml:space="preserve"> region:</w:t>
      </w:r>
      <w:r w:rsidR="00CE0FD0">
        <w:rPr>
          <w:rFonts w:ascii="Times New Roman" w:eastAsia="Times New Roman" w:hAnsi="Times New Roman" w:cs="Times New Roman"/>
          <w:iCs/>
          <w:noProof/>
          <w:lang w:val="en-US" w:eastAsia="en-GB"/>
        </w:rPr>
        <w:tab/>
      </w:r>
      <w:r w:rsidR="001A525C">
        <w:rPr>
          <w:rFonts w:ascii="Times New Roman" w:eastAsia="Times New Roman" w:hAnsi="Times New Roman" w:cs="Times New Roman"/>
          <w:iCs/>
          <w:noProof/>
          <w:lang w:val="bg-BG" w:eastAsia="en-GB"/>
        </w:rPr>
        <w:t xml:space="preserve">            </w:t>
      </w:r>
      <w:r w:rsidRPr="00BA7B95">
        <w:rPr>
          <w:rFonts w:ascii="Times New Roman" w:eastAsia="Times New Roman" w:hAnsi="Times New Roman" w:cs="Times New Roman"/>
          <w:iCs/>
          <w:noProof/>
          <w:lang w:val="en-US" w:eastAsia="en-GB"/>
        </w:rPr>
        <w:t>54.3 (ER)</w:t>
      </w:r>
      <w:r w:rsidR="005D03E9">
        <w:rPr>
          <w:rFonts w:ascii="Times New Roman" w:eastAsia="Times New Roman" w:hAnsi="Times New Roman" w:cs="Times New Roman"/>
          <w:iCs/>
          <w:noProof/>
          <w:lang w:val="en-US" w:eastAsia="en-GB"/>
        </w:rPr>
        <w:t xml:space="preserve">; 7.8 (UER); </w:t>
      </w:r>
    </w:p>
    <w:p w14:paraId="3E864C0A" w14:textId="77777777" w:rsidR="00842441" w:rsidRDefault="00573384">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val="en-US" w:eastAsia="en-GB"/>
        </w:rPr>
      </w:pPr>
      <w:r w:rsidRPr="00BA7B95">
        <w:rPr>
          <w:rFonts w:ascii="Times New Roman" w:eastAsia="Times New Roman" w:hAnsi="Times New Roman" w:cs="Times New Roman"/>
          <w:iCs/>
          <w:noProof/>
          <w:lang w:val="en-US" w:eastAsia="en-GB"/>
        </w:rPr>
        <w:t>Southeast</w:t>
      </w:r>
      <w:r w:rsidR="00586CF0">
        <w:rPr>
          <w:rFonts w:ascii="Times New Roman" w:eastAsia="Times New Roman" w:hAnsi="Times New Roman" w:cs="Times New Roman"/>
          <w:iCs/>
          <w:noProof/>
          <w:lang w:val="en-US" w:eastAsia="en-GB"/>
        </w:rPr>
        <w:t>ern</w:t>
      </w:r>
      <w:r w:rsidRPr="00BA7B95">
        <w:rPr>
          <w:rFonts w:ascii="Times New Roman" w:eastAsia="Times New Roman" w:hAnsi="Times New Roman" w:cs="Times New Roman"/>
          <w:iCs/>
          <w:noProof/>
          <w:lang w:val="en-US" w:eastAsia="en-GB"/>
        </w:rPr>
        <w:t xml:space="preserve"> region: </w:t>
      </w:r>
      <w:r w:rsidR="00CE0FD0">
        <w:rPr>
          <w:rFonts w:ascii="Times New Roman" w:eastAsia="Times New Roman" w:hAnsi="Times New Roman" w:cs="Times New Roman"/>
          <w:iCs/>
          <w:noProof/>
          <w:lang w:val="en-US" w:eastAsia="en-GB"/>
        </w:rPr>
        <w:tab/>
      </w:r>
      <w:r w:rsidRPr="00BA7B95">
        <w:rPr>
          <w:rFonts w:ascii="Times New Roman" w:eastAsia="Times New Roman" w:hAnsi="Times New Roman" w:cs="Times New Roman"/>
          <w:iCs/>
          <w:noProof/>
          <w:lang w:val="en-US" w:eastAsia="en-GB"/>
        </w:rPr>
        <w:t>63.3 (ER)</w:t>
      </w:r>
      <w:r w:rsidR="005D03E9">
        <w:rPr>
          <w:rFonts w:ascii="Times New Roman" w:eastAsia="Times New Roman" w:hAnsi="Times New Roman" w:cs="Times New Roman"/>
          <w:iCs/>
          <w:noProof/>
          <w:lang w:val="en-US" w:eastAsia="en-GB"/>
        </w:rPr>
        <w:t>; 6.3 (UER);</w:t>
      </w:r>
    </w:p>
    <w:p w14:paraId="411FFCF7" w14:textId="77777777" w:rsidR="00D67747" w:rsidRPr="00BA7B95" w:rsidRDefault="00D67747" w:rsidP="00D67747">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BA7B95">
        <w:rPr>
          <w:rFonts w:ascii="Times New Roman" w:eastAsia="Times New Roman" w:hAnsi="Times New Roman" w:cs="Times New Roman"/>
          <w:iCs/>
          <w:noProof/>
          <w:lang w:eastAsia="en-GB"/>
        </w:rPr>
        <w:t xml:space="preserve">The low employment rate in the </w:t>
      </w:r>
      <w:r w:rsidR="00665C4B">
        <w:rPr>
          <w:rFonts w:ascii="Times New Roman" w:eastAsia="Times New Roman" w:hAnsi="Times New Roman" w:cs="Times New Roman"/>
          <w:iCs/>
          <w:noProof/>
          <w:lang w:val="en-US" w:eastAsia="en-GB"/>
        </w:rPr>
        <w:t>[Republic of North Macedonia</w:t>
      </w:r>
      <w:r w:rsidR="00D01FB9">
        <w:rPr>
          <w:rFonts w:ascii="Times New Roman" w:eastAsia="Times New Roman" w:hAnsi="Times New Roman" w:cs="Times New Roman"/>
          <w:iCs/>
          <w:noProof/>
          <w:lang w:val="en-US" w:eastAsia="en-GB"/>
        </w:rPr>
        <w:t>]</w:t>
      </w:r>
      <w:r w:rsidRPr="00BA7B95">
        <w:rPr>
          <w:rFonts w:ascii="Times New Roman" w:eastAsia="Times New Roman" w:hAnsi="Times New Roman" w:cs="Times New Roman"/>
          <w:iCs/>
          <w:noProof/>
          <w:lang w:val="en-US" w:eastAsia="en-GB"/>
        </w:rPr>
        <w:t>, and particularly the one in the Northeast</w:t>
      </w:r>
      <w:r w:rsidR="00586CF0">
        <w:rPr>
          <w:rFonts w:ascii="Times New Roman" w:eastAsia="Times New Roman" w:hAnsi="Times New Roman" w:cs="Times New Roman"/>
          <w:iCs/>
          <w:noProof/>
          <w:lang w:val="en-US" w:eastAsia="en-GB"/>
        </w:rPr>
        <w:t>ern</w:t>
      </w:r>
      <w:r w:rsidRPr="00BA7B95">
        <w:rPr>
          <w:rFonts w:ascii="Times New Roman" w:eastAsia="Times New Roman" w:hAnsi="Times New Roman" w:cs="Times New Roman"/>
          <w:iCs/>
          <w:noProof/>
          <w:lang w:val="en-US" w:eastAsia="en-GB"/>
        </w:rPr>
        <w:t xml:space="preserve"> region (NE region) in combination with high unemployment, indicates structural economic deficits and severe intraregional disparities. </w:t>
      </w:r>
      <w:r w:rsidR="00AC7D66">
        <w:rPr>
          <w:rFonts w:ascii="Times New Roman" w:eastAsia="Times New Roman" w:hAnsi="Times New Roman" w:cs="Times New Roman"/>
          <w:iCs/>
          <w:noProof/>
          <w:lang w:val="en-US" w:eastAsia="en-GB"/>
        </w:rPr>
        <w:t>Therefore</w:t>
      </w:r>
      <w:r w:rsidRPr="00BA7B95">
        <w:rPr>
          <w:rFonts w:ascii="Times New Roman" w:eastAsia="Times New Roman" w:hAnsi="Times New Roman" w:cs="Times New Roman"/>
          <w:iCs/>
          <w:noProof/>
          <w:lang w:val="en-US" w:eastAsia="en-GB"/>
        </w:rPr>
        <w:t xml:space="preserve">, reasons for the employment underperformance of the NE region need focused and integrated approach to cope with them. </w:t>
      </w:r>
      <w:r w:rsidRPr="00BA7B95">
        <w:rPr>
          <w:rFonts w:ascii="Times New Roman" w:eastAsia="Times New Roman" w:hAnsi="Times New Roman" w:cs="Times New Roman"/>
          <w:iCs/>
          <w:noProof/>
          <w:lang w:eastAsia="en-GB"/>
        </w:rPr>
        <w:t>In most cases, districts/regions in CBC border area with high unemployment rate are either too far from leading economic centres or traditional daily labour migration, or are characterized by low levels of education and skills. These negative factors on local labour markets speak for permanent isolation from the ongoi</w:t>
      </w:r>
      <w:r w:rsidR="00CE0FD0">
        <w:rPr>
          <w:rFonts w:ascii="Times New Roman" w:eastAsia="Times New Roman" w:hAnsi="Times New Roman" w:cs="Times New Roman"/>
          <w:iCs/>
          <w:noProof/>
          <w:lang w:eastAsia="en-GB"/>
        </w:rPr>
        <w:t>ng processes at national level.</w:t>
      </w:r>
    </w:p>
    <w:p w14:paraId="033867B3" w14:textId="77777777" w:rsidR="003E2E0F" w:rsidRDefault="00D67747">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BA7B95">
        <w:rPr>
          <w:rFonts w:ascii="Times New Roman" w:eastAsia="Times New Roman" w:hAnsi="Times New Roman" w:cs="Times New Roman"/>
          <w:iCs/>
          <w:noProof/>
          <w:lang w:eastAsia="en-GB"/>
        </w:rPr>
        <w:t>Another employment-related challenge for both countries is the need to struggle with the high rate of youth NEETs</w:t>
      </w:r>
      <w:r w:rsidR="00CE0FD0">
        <w:rPr>
          <w:rFonts w:ascii="Times New Roman" w:eastAsia="Times New Roman" w:hAnsi="Times New Roman" w:cs="Times New Roman"/>
          <w:iCs/>
          <w:noProof/>
          <w:lang w:eastAsia="en-GB"/>
        </w:rPr>
        <w:t>.</w:t>
      </w:r>
    </w:p>
    <w:p w14:paraId="25EEFAF2" w14:textId="77777777" w:rsidR="003E2E0F" w:rsidRDefault="003E2E0F">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3E2E0F">
        <w:rPr>
          <w:rFonts w:ascii="Times New Roman" w:eastAsia="Times New Roman" w:hAnsi="Times New Roman" w:cs="Times New Roman"/>
          <w:iCs/>
          <w:noProof/>
          <w:lang w:eastAsia="en-GB"/>
        </w:rPr>
        <w:t>EU28 (2013-2020)</w:t>
      </w:r>
      <w:r>
        <w:rPr>
          <w:rFonts w:ascii="Times New Roman" w:eastAsia="Times New Roman" w:hAnsi="Times New Roman" w:cs="Times New Roman"/>
          <w:iCs/>
          <w:noProof/>
          <w:lang w:eastAsia="en-GB"/>
        </w:rPr>
        <w:t>;</w:t>
      </w:r>
      <w:r w:rsidR="00CE0FD0">
        <w:rPr>
          <w:rFonts w:ascii="Times New Roman" w:eastAsia="Times New Roman" w:hAnsi="Times New Roman" w:cs="Times New Roman"/>
          <w:iCs/>
          <w:noProof/>
          <w:lang w:eastAsia="en-GB"/>
        </w:rPr>
        <w:tab/>
      </w:r>
      <w:r w:rsidRPr="003E2E0F">
        <w:rPr>
          <w:rFonts w:ascii="Times New Roman" w:eastAsia="Times New Roman" w:hAnsi="Times New Roman" w:cs="Times New Roman"/>
          <w:iCs/>
          <w:noProof/>
          <w:lang w:eastAsia="en-GB"/>
        </w:rPr>
        <w:t>13.6%</w:t>
      </w:r>
    </w:p>
    <w:p w14:paraId="5C1DE33E" w14:textId="77777777" w:rsidR="003E2E0F" w:rsidRDefault="003E2E0F">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Pr>
          <w:rFonts w:ascii="Times New Roman" w:eastAsia="Times New Roman" w:hAnsi="Times New Roman" w:cs="Times New Roman"/>
          <w:iCs/>
          <w:noProof/>
          <w:lang w:eastAsia="en-GB"/>
        </w:rPr>
        <w:t xml:space="preserve">Republic of </w:t>
      </w:r>
      <w:r w:rsidRPr="003E2E0F">
        <w:rPr>
          <w:rFonts w:ascii="Times New Roman" w:eastAsia="Times New Roman" w:hAnsi="Times New Roman" w:cs="Times New Roman"/>
          <w:iCs/>
          <w:noProof/>
          <w:lang w:eastAsia="en-GB"/>
        </w:rPr>
        <w:t>Bulgaria</w:t>
      </w:r>
      <w:r w:rsidR="00AC7D66">
        <w:rPr>
          <w:rFonts w:ascii="Times New Roman" w:eastAsia="Times New Roman" w:hAnsi="Times New Roman" w:cs="Times New Roman"/>
          <w:iCs/>
          <w:noProof/>
          <w:lang w:eastAsia="en-GB"/>
        </w:rPr>
        <w:t xml:space="preserve"> </w:t>
      </w:r>
      <w:r w:rsidR="00AC7D66" w:rsidRPr="003E2E0F">
        <w:rPr>
          <w:rFonts w:ascii="Times New Roman" w:eastAsia="Times New Roman" w:hAnsi="Times New Roman" w:cs="Times New Roman"/>
          <w:iCs/>
          <w:noProof/>
          <w:lang w:eastAsia="en-GB"/>
        </w:rPr>
        <w:t>(2013-2020)</w:t>
      </w:r>
      <w:r>
        <w:rPr>
          <w:rFonts w:ascii="Times New Roman" w:eastAsia="Times New Roman" w:hAnsi="Times New Roman" w:cs="Times New Roman"/>
          <w:iCs/>
          <w:noProof/>
          <w:lang w:eastAsia="en-GB"/>
        </w:rPr>
        <w:t>;</w:t>
      </w:r>
      <w:r w:rsidR="00CE0FD0">
        <w:rPr>
          <w:rFonts w:ascii="Times New Roman" w:eastAsia="Times New Roman" w:hAnsi="Times New Roman" w:cs="Times New Roman"/>
          <w:iCs/>
          <w:noProof/>
          <w:lang w:eastAsia="en-GB"/>
        </w:rPr>
        <w:tab/>
      </w:r>
      <w:r w:rsidRPr="003E2E0F">
        <w:rPr>
          <w:rFonts w:ascii="Times New Roman" w:eastAsia="Times New Roman" w:hAnsi="Times New Roman" w:cs="Times New Roman"/>
          <w:iCs/>
          <w:noProof/>
          <w:lang w:eastAsia="en-GB"/>
        </w:rPr>
        <w:t>17.5%</w:t>
      </w:r>
    </w:p>
    <w:p w14:paraId="01A39D64" w14:textId="77777777" w:rsidR="003E2E0F" w:rsidRDefault="00665C4B">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Pr>
          <w:rFonts w:ascii="Times New Roman" w:eastAsia="Times New Roman" w:hAnsi="Times New Roman" w:cs="Times New Roman"/>
          <w:iCs/>
          <w:noProof/>
          <w:lang w:eastAsia="en-GB"/>
        </w:rPr>
        <w:t>[Republic of North Macedonia</w:t>
      </w:r>
      <w:r w:rsidR="00D01FB9">
        <w:rPr>
          <w:rFonts w:ascii="Times New Roman" w:eastAsia="Times New Roman" w:hAnsi="Times New Roman" w:cs="Times New Roman"/>
          <w:iCs/>
          <w:noProof/>
          <w:lang w:eastAsia="en-GB"/>
        </w:rPr>
        <w:t>]</w:t>
      </w:r>
      <w:r w:rsidR="00AC7D66">
        <w:rPr>
          <w:rFonts w:ascii="Times New Roman" w:eastAsia="Times New Roman" w:hAnsi="Times New Roman" w:cs="Times New Roman"/>
          <w:iCs/>
          <w:noProof/>
          <w:lang w:eastAsia="en-GB"/>
        </w:rPr>
        <w:t xml:space="preserve"> </w:t>
      </w:r>
      <w:r w:rsidR="00AC7D66" w:rsidRPr="003E2E0F">
        <w:rPr>
          <w:rFonts w:ascii="Times New Roman" w:eastAsia="Times New Roman" w:hAnsi="Times New Roman" w:cs="Times New Roman"/>
          <w:iCs/>
          <w:noProof/>
          <w:lang w:eastAsia="en-GB"/>
        </w:rPr>
        <w:t>(2013-2020)</w:t>
      </w:r>
      <w:r w:rsidR="003E2E0F">
        <w:rPr>
          <w:rFonts w:ascii="Times New Roman" w:eastAsia="Times New Roman" w:hAnsi="Times New Roman" w:cs="Times New Roman"/>
          <w:iCs/>
          <w:noProof/>
          <w:lang w:eastAsia="en-GB"/>
        </w:rPr>
        <w:t>:</w:t>
      </w:r>
      <w:r w:rsidR="00CE0FD0">
        <w:rPr>
          <w:rFonts w:ascii="Times New Roman" w:eastAsia="Times New Roman" w:hAnsi="Times New Roman" w:cs="Times New Roman"/>
          <w:iCs/>
          <w:noProof/>
          <w:lang w:eastAsia="en-GB"/>
        </w:rPr>
        <w:tab/>
      </w:r>
      <w:r w:rsidR="003E2E0F" w:rsidRPr="003E2E0F">
        <w:rPr>
          <w:rFonts w:ascii="Times New Roman" w:eastAsia="Times New Roman" w:hAnsi="Times New Roman" w:cs="Times New Roman"/>
          <w:iCs/>
          <w:noProof/>
          <w:lang w:eastAsia="en-GB"/>
        </w:rPr>
        <w:t>26.7%</w:t>
      </w:r>
    </w:p>
    <w:p w14:paraId="7CD9ACF6" w14:textId="77777777" w:rsidR="00D065F0" w:rsidRDefault="00D065F0">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Pr>
          <w:rFonts w:ascii="Times New Roman" w:eastAsia="Times New Roman" w:hAnsi="Times New Roman" w:cs="Times New Roman"/>
          <w:iCs/>
          <w:noProof/>
          <w:lang w:eastAsia="en-GB"/>
        </w:rPr>
        <w:t>The lack of equal employment opportunities for youth in the CBC area gives rise to</w:t>
      </w:r>
      <w:r w:rsidRPr="00D065F0">
        <w:rPr>
          <w:rFonts w:ascii="Times New Roman" w:eastAsia="Times New Roman" w:hAnsi="Times New Roman" w:cs="Times New Roman"/>
          <w:iCs/>
          <w:noProof/>
          <w:lang w:eastAsia="en-GB"/>
        </w:rPr>
        <w:t xml:space="preserve"> concerns </w:t>
      </w:r>
      <w:r>
        <w:rPr>
          <w:rFonts w:ascii="Times New Roman" w:eastAsia="Times New Roman" w:hAnsi="Times New Roman" w:cs="Times New Roman"/>
          <w:iCs/>
          <w:noProof/>
          <w:lang w:eastAsia="en-GB"/>
        </w:rPr>
        <w:t>that</w:t>
      </w:r>
      <w:r w:rsidRPr="00D065F0">
        <w:rPr>
          <w:rFonts w:ascii="Times New Roman" w:eastAsia="Times New Roman" w:hAnsi="Times New Roman" w:cs="Times New Roman"/>
          <w:iCs/>
          <w:noProof/>
          <w:lang w:eastAsia="en-GB"/>
        </w:rPr>
        <w:t xml:space="preserve"> </w:t>
      </w:r>
      <w:r>
        <w:rPr>
          <w:rFonts w:ascii="Times New Roman" w:eastAsia="Times New Roman" w:hAnsi="Times New Roman" w:cs="Times New Roman"/>
          <w:iCs/>
          <w:noProof/>
          <w:lang w:eastAsia="en-GB"/>
        </w:rPr>
        <w:t xml:space="preserve">the regional economic disparities may further deepen by making a </w:t>
      </w:r>
      <w:r w:rsidRPr="00D065F0">
        <w:rPr>
          <w:rFonts w:ascii="Times New Roman" w:eastAsia="Times New Roman" w:hAnsi="Times New Roman" w:cs="Times New Roman"/>
          <w:iCs/>
          <w:noProof/>
          <w:lang w:eastAsia="en-GB"/>
        </w:rPr>
        <w:t xml:space="preserve">whole generation of young people </w:t>
      </w:r>
      <w:r>
        <w:rPr>
          <w:rFonts w:ascii="Times New Roman" w:eastAsia="Times New Roman" w:hAnsi="Times New Roman" w:cs="Times New Roman"/>
          <w:iCs/>
          <w:noProof/>
          <w:lang w:eastAsia="en-GB"/>
        </w:rPr>
        <w:t>excluded from</w:t>
      </w:r>
      <w:r w:rsidRPr="00D065F0">
        <w:rPr>
          <w:rFonts w:ascii="Times New Roman" w:eastAsia="Times New Roman" w:hAnsi="Times New Roman" w:cs="Times New Roman"/>
          <w:iCs/>
          <w:noProof/>
          <w:lang w:eastAsia="en-GB"/>
        </w:rPr>
        <w:t xml:space="preserve"> the </w:t>
      </w:r>
      <w:r>
        <w:rPr>
          <w:rFonts w:ascii="Times New Roman" w:eastAsia="Times New Roman" w:hAnsi="Times New Roman" w:cs="Times New Roman"/>
          <w:iCs/>
          <w:noProof/>
          <w:lang w:eastAsia="en-GB"/>
        </w:rPr>
        <w:t xml:space="preserve">CBC </w:t>
      </w:r>
      <w:r w:rsidRPr="00D065F0">
        <w:rPr>
          <w:rFonts w:ascii="Times New Roman" w:eastAsia="Times New Roman" w:hAnsi="Times New Roman" w:cs="Times New Roman"/>
          <w:iCs/>
          <w:noProof/>
          <w:lang w:eastAsia="en-GB"/>
        </w:rPr>
        <w:t>labour market for years to come</w:t>
      </w:r>
      <w:r>
        <w:rPr>
          <w:rFonts w:ascii="Times New Roman" w:eastAsia="Times New Roman" w:hAnsi="Times New Roman" w:cs="Times New Roman"/>
          <w:iCs/>
          <w:noProof/>
          <w:lang w:eastAsia="en-GB"/>
        </w:rPr>
        <w:t xml:space="preserve">. </w:t>
      </w:r>
      <w:r w:rsidR="00421E44" w:rsidRPr="00421E44">
        <w:rPr>
          <w:rFonts w:ascii="Times New Roman" w:eastAsia="Times New Roman" w:hAnsi="Times New Roman" w:cs="Times New Roman"/>
          <w:iCs/>
          <w:noProof/>
          <w:lang w:eastAsia="en-GB"/>
        </w:rPr>
        <w:t xml:space="preserve">Therefore, institutional and business efforts to develop attractive </w:t>
      </w:r>
      <w:r w:rsidR="00421E44" w:rsidRPr="00421E44">
        <w:rPr>
          <w:rFonts w:ascii="Times New Roman" w:eastAsia="Times New Roman" w:hAnsi="Times New Roman" w:cs="Times New Roman"/>
          <w:iCs/>
          <w:noProof/>
          <w:lang w:eastAsia="en-GB"/>
        </w:rPr>
        <w:lastRenderedPageBreak/>
        <w:t>working arrangements for the millennials are utterly needed, especially in the transition stage from education into the labour market</w:t>
      </w:r>
      <w:r w:rsidR="00421E44">
        <w:rPr>
          <w:rFonts w:ascii="Times New Roman" w:eastAsia="Times New Roman" w:hAnsi="Times New Roman" w:cs="Times New Roman"/>
          <w:iCs/>
          <w:noProof/>
          <w:lang w:eastAsia="en-GB"/>
        </w:rPr>
        <w:t xml:space="preserve">. </w:t>
      </w:r>
    </w:p>
    <w:p w14:paraId="45CD5CF1" w14:textId="77777777" w:rsidR="00F9455C" w:rsidRDefault="00F9455C">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u w:val="single"/>
          <w:lang w:eastAsia="en-GB"/>
        </w:rPr>
      </w:pPr>
      <w:r w:rsidRPr="00BA7B95">
        <w:rPr>
          <w:rFonts w:ascii="Times New Roman" w:eastAsia="Times New Roman" w:hAnsi="Times New Roman" w:cs="Times New Roman"/>
          <w:i/>
          <w:iCs/>
          <w:noProof/>
          <w:u w:val="single"/>
          <w:lang w:eastAsia="en-GB"/>
        </w:rPr>
        <w:t>1.4 Inequalities in access to healthcare</w:t>
      </w:r>
      <w:r w:rsidRPr="00BA7B95" w:rsidDel="00402D1A">
        <w:rPr>
          <w:rFonts w:ascii="Times New Roman" w:eastAsia="Times New Roman" w:hAnsi="Times New Roman" w:cs="Times New Roman"/>
          <w:iCs/>
          <w:noProof/>
          <w:u w:val="single"/>
          <w:lang w:eastAsia="en-GB"/>
        </w:rPr>
        <w:t xml:space="preserve"> </w:t>
      </w:r>
    </w:p>
    <w:p w14:paraId="72736D6D" w14:textId="77777777" w:rsidR="00AD0992" w:rsidRDefault="0037454D" w:rsidP="003E34F0">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val="en-US" w:eastAsia="en-GB"/>
        </w:rPr>
      </w:pPr>
      <w:r w:rsidRPr="00B03729">
        <w:rPr>
          <w:rFonts w:ascii="Times New Roman" w:eastAsia="Times New Roman" w:hAnsi="Times New Roman" w:cs="Times New Roman"/>
          <w:iCs/>
          <w:noProof/>
          <w:lang w:eastAsia="en-GB"/>
        </w:rPr>
        <w:t>The health challenges in CBC border region are mainly related to: (1) inequalities in the supply of health services across urban and rural areas; (2) the quality of health services, (3) shortages of medical professionals, (4) high relative sh</w:t>
      </w:r>
      <w:r w:rsidR="00AD0992" w:rsidRPr="00B03729">
        <w:rPr>
          <w:rFonts w:ascii="Times New Roman" w:eastAsia="Times New Roman" w:hAnsi="Times New Roman" w:cs="Times New Roman"/>
          <w:iCs/>
          <w:noProof/>
          <w:lang w:eastAsia="en-GB"/>
        </w:rPr>
        <w:t xml:space="preserve">are of individual health costs. </w:t>
      </w:r>
      <w:r w:rsidR="00475F6C" w:rsidRPr="00B03729">
        <w:rPr>
          <w:rFonts w:ascii="Times New Roman" w:eastAsia="Times New Roman" w:hAnsi="Times New Roman" w:cs="Times New Roman"/>
          <w:iCs/>
          <w:noProof/>
          <w:lang w:val="en-US" w:eastAsia="en-GB"/>
        </w:rPr>
        <w:t>The remoteness of some small municipalities from urban agglomerations from the point of view of medical assistance delivery (primary, specialist, hospital, urgent and emergency) remains a serious CBC challenge in healthcare.</w:t>
      </w:r>
      <w:r w:rsidR="00475F6C" w:rsidRPr="00BA7B95">
        <w:rPr>
          <w:rFonts w:ascii="Times New Roman" w:eastAsia="Times New Roman" w:hAnsi="Times New Roman" w:cs="Times New Roman"/>
          <w:iCs/>
          <w:noProof/>
          <w:lang w:val="en-US" w:eastAsia="en-GB"/>
        </w:rPr>
        <w:t xml:space="preserve"> </w:t>
      </w:r>
    </w:p>
    <w:p w14:paraId="5139F3AB" w14:textId="77777777" w:rsidR="00F15E44" w:rsidRDefault="00F15E44">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u w:val="single"/>
          <w:lang w:eastAsia="en-GB"/>
        </w:rPr>
      </w:pPr>
      <w:r w:rsidRPr="00F15E44">
        <w:rPr>
          <w:rFonts w:ascii="Times New Roman" w:eastAsia="Times New Roman" w:hAnsi="Times New Roman" w:cs="Times New Roman"/>
          <w:i/>
          <w:iCs/>
          <w:noProof/>
          <w:u w:val="single"/>
          <w:lang w:eastAsia="en-GB"/>
        </w:rPr>
        <w:t>1.5 Disparities in competitiveness and business environment</w:t>
      </w:r>
      <w:r w:rsidRPr="00F15E44" w:rsidDel="00402D1A">
        <w:rPr>
          <w:rFonts w:ascii="Times New Roman" w:eastAsia="Times New Roman" w:hAnsi="Times New Roman" w:cs="Times New Roman"/>
          <w:iCs/>
          <w:noProof/>
          <w:u w:val="single"/>
          <w:lang w:eastAsia="en-GB"/>
        </w:rPr>
        <w:t xml:space="preserve"> </w:t>
      </w:r>
    </w:p>
    <w:p w14:paraId="3745D7BD" w14:textId="77777777" w:rsidR="00111435" w:rsidRPr="00BA7B95" w:rsidRDefault="00111435" w:rsidP="0011143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BA7B95">
        <w:rPr>
          <w:rFonts w:ascii="Times New Roman" w:eastAsia="Times New Roman" w:hAnsi="Times New Roman" w:cs="Times New Roman"/>
          <w:iCs/>
          <w:noProof/>
          <w:lang w:eastAsia="en-GB"/>
        </w:rPr>
        <w:t>In the 2018-2019 edition of the Global Competitiveness Index (GCI),</w:t>
      </w:r>
      <w:r w:rsidR="007438EB">
        <w:rPr>
          <w:rFonts w:ascii="Times New Roman" w:eastAsia="Times New Roman" w:hAnsi="Times New Roman" w:cs="Times New Roman"/>
          <w:iCs/>
          <w:noProof/>
          <w:lang w:val="bg-BG" w:eastAsia="en-GB"/>
        </w:rPr>
        <w:t xml:space="preserve"> </w:t>
      </w:r>
      <w:r w:rsidR="007438EB">
        <w:rPr>
          <w:rFonts w:ascii="Times New Roman" w:eastAsia="Times New Roman" w:hAnsi="Times New Roman" w:cs="Times New Roman"/>
          <w:iCs/>
          <w:noProof/>
          <w:lang w:val="en-US" w:eastAsia="en-GB"/>
        </w:rPr>
        <w:t xml:space="preserve">Republic of </w:t>
      </w:r>
      <w:r w:rsidRPr="00BA7B95">
        <w:rPr>
          <w:rFonts w:ascii="Times New Roman" w:eastAsia="Times New Roman" w:hAnsi="Times New Roman" w:cs="Times New Roman"/>
          <w:iCs/>
          <w:noProof/>
          <w:lang w:eastAsia="en-GB"/>
        </w:rPr>
        <w:t xml:space="preserve">Bulgaria ranks 49th out of 141 countries analysed, advancing from 51st place in the previous edition, while </w:t>
      </w:r>
      <w:r w:rsidR="00665C4B">
        <w:rPr>
          <w:rFonts w:ascii="Times New Roman" w:eastAsia="Times New Roman" w:hAnsi="Times New Roman" w:cs="Times New Roman"/>
          <w:iCs/>
          <w:noProof/>
          <w:lang w:eastAsia="en-GB"/>
        </w:rPr>
        <w:t>[Republic of North Macedonia</w:t>
      </w:r>
      <w:r w:rsidR="008E745C">
        <w:rPr>
          <w:rFonts w:ascii="Times New Roman" w:eastAsia="Times New Roman" w:hAnsi="Times New Roman" w:cs="Times New Roman"/>
          <w:iCs/>
          <w:noProof/>
          <w:lang w:eastAsia="en-GB"/>
        </w:rPr>
        <w:t>]</w:t>
      </w:r>
      <w:r w:rsidRPr="00BA7B95">
        <w:rPr>
          <w:rFonts w:ascii="Times New Roman" w:eastAsia="Times New Roman" w:hAnsi="Times New Roman" w:cs="Times New Roman"/>
          <w:iCs/>
          <w:noProof/>
          <w:lang w:eastAsia="en-GB"/>
        </w:rPr>
        <w:t xml:space="preserve"> is at 82nd globally, but it has also advanced with two places from the previous edition. The figures from 2019 edition show that </w:t>
      </w:r>
      <w:r w:rsidR="007438EB">
        <w:rPr>
          <w:rFonts w:ascii="Times New Roman" w:eastAsia="Times New Roman" w:hAnsi="Times New Roman" w:cs="Times New Roman"/>
          <w:iCs/>
          <w:noProof/>
          <w:lang w:eastAsia="en-GB"/>
        </w:rPr>
        <w:t xml:space="preserve">Republic of </w:t>
      </w:r>
      <w:r w:rsidRPr="00BA7B95">
        <w:rPr>
          <w:rFonts w:ascii="Times New Roman" w:eastAsia="Times New Roman" w:hAnsi="Times New Roman" w:cs="Times New Roman"/>
          <w:iCs/>
          <w:noProof/>
          <w:lang w:eastAsia="en-GB"/>
        </w:rPr>
        <w:t xml:space="preserve">Bulgaria performs better in macroeconomic stability, labour market conditions, financial system and the innovation ecosystem indicators. At the same time the figures for the following pillars show a need for improvement: infrastructure, health, product market and business dynamism. The </w:t>
      </w:r>
      <w:r w:rsidR="00B802AF">
        <w:rPr>
          <w:rFonts w:ascii="Times New Roman" w:eastAsia="Times New Roman" w:hAnsi="Times New Roman" w:cs="Times New Roman"/>
          <w:iCs/>
          <w:noProof/>
          <w:lang w:eastAsia="en-GB"/>
        </w:rPr>
        <w:t>[Republic of North Macedonia</w:t>
      </w:r>
      <w:r w:rsidRPr="00BA7B95">
        <w:rPr>
          <w:rFonts w:ascii="Times New Roman" w:eastAsia="Times New Roman" w:hAnsi="Times New Roman" w:cs="Times New Roman"/>
          <w:iCs/>
          <w:noProof/>
          <w:lang w:eastAsia="en-GB"/>
        </w:rPr>
        <w:t>’s</w:t>
      </w:r>
      <w:r w:rsidR="008E745C">
        <w:rPr>
          <w:rFonts w:ascii="Times New Roman" w:eastAsia="Times New Roman" w:hAnsi="Times New Roman" w:cs="Times New Roman"/>
          <w:iCs/>
          <w:noProof/>
          <w:lang w:eastAsia="en-GB"/>
        </w:rPr>
        <w:t>]</w:t>
      </w:r>
      <w:r w:rsidRPr="00BA7B95">
        <w:rPr>
          <w:rFonts w:ascii="Times New Roman" w:eastAsia="Times New Roman" w:hAnsi="Times New Roman" w:cs="Times New Roman"/>
          <w:iCs/>
          <w:noProof/>
          <w:lang w:eastAsia="en-GB"/>
        </w:rPr>
        <w:t xml:space="preserve"> performance is mixed, with significant progress in some dimensions while losing some ground in others. Among the most improved elements, </w:t>
      </w:r>
      <w:r w:rsidR="00665C4B">
        <w:rPr>
          <w:rFonts w:ascii="Times New Roman" w:eastAsia="Times New Roman" w:hAnsi="Times New Roman" w:cs="Times New Roman"/>
          <w:iCs/>
          <w:noProof/>
          <w:lang w:eastAsia="en-GB"/>
        </w:rPr>
        <w:t>[Republic of North Macedonia</w:t>
      </w:r>
      <w:r w:rsidR="008E745C">
        <w:rPr>
          <w:rFonts w:ascii="Times New Roman" w:eastAsia="Times New Roman" w:hAnsi="Times New Roman" w:cs="Times New Roman"/>
          <w:iCs/>
          <w:noProof/>
          <w:lang w:eastAsia="en-GB"/>
        </w:rPr>
        <w:t>]</w:t>
      </w:r>
      <w:r w:rsidRPr="00BA7B95">
        <w:rPr>
          <w:rFonts w:ascii="Times New Roman" w:eastAsia="Times New Roman" w:hAnsi="Times New Roman" w:cs="Times New Roman"/>
          <w:iCs/>
          <w:noProof/>
          <w:lang w:eastAsia="en-GB"/>
        </w:rPr>
        <w:t xml:space="preserve"> advances on Innovation ecosy</w:t>
      </w:r>
      <w:r w:rsidR="00973063">
        <w:rPr>
          <w:rFonts w:ascii="Times New Roman" w:eastAsia="Times New Roman" w:hAnsi="Times New Roman" w:cs="Times New Roman"/>
          <w:iCs/>
          <w:noProof/>
          <w:lang w:eastAsia="en-GB"/>
        </w:rPr>
        <w:t>stem, Health and ICT adoption.</w:t>
      </w:r>
    </w:p>
    <w:p w14:paraId="0D7247BA" w14:textId="77777777" w:rsidR="00111435" w:rsidRPr="00BA7B95" w:rsidRDefault="00111435" w:rsidP="0011143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BA7B95">
        <w:rPr>
          <w:rFonts w:ascii="Times New Roman" w:eastAsia="Times New Roman" w:hAnsi="Times New Roman" w:cs="Times New Roman"/>
          <w:iCs/>
          <w:noProof/>
          <w:lang w:eastAsia="en-GB"/>
        </w:rPr>
        <w:t xml:space="preserve">The enterprise environment in both counties resembles a distinct dual structure. At one extreme there exist a few large modern capital-intensive, resource-based, import-dependent and assembly-oriented enterprises, while at the other extreme there are small and micro enterprises that use very simple and traditional technologies and serve a limited local market. Therefore, an important future course of action that calls for extensive CBC attention is the need for local economic operators to undertake technological transformation being encouraged to incite gradual manufacturing shift from low-technology products to medium- and high tech ones which requires extensive employment of </w:t>
      </w:r>
      <w:r w:rsidR="00973063">
        <w:rPr>
          <w:rFonts w:ascii="Times New Roman" w:eastAsia="Times New Roman" w:hAnsi="Times New Roman" w:cs="Times New Roman"/>
          <w:iCs/>
          <w:noProof/>
          <w:lang w:eastAsia="en-GB"/>
        </w:rPr>
        <w:t>new technologies and solutions.</w:t>
      </w:r>
    </w:p>
    <w:p w14:paraId="74366AC8" w14:textId="77777777" w:rsidR="00F80D26" w:rsidRDefault="0011143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BA7B95">
        <w:rPr>
          <w:rFonts w:ascii="Times New Roman" w:eastAsia="Times New Roman" w:hAnsi="Times New Roman" w:cs="Times New Roman"/>
          <w:iCs/>
          <w:noProof/>
          <w:lang w:eastAsia="en-GB"/>
        </w:rPr>
        <w:t>The Eurostat data on business demography</w:t>
      </w:r>
      <w:r w:rsidRPr="00BA7B95">
        <w:rPr>
          <w:rFonts w:ascii="Times New Roman" w:eastAsia="Times New Roman" w:hAnsi="Times New Roman" w:cs="Times New Roman"/>
          <w:iCs/>
          <w:noProof/>
          <w:vertAlign w:val="superscript"/>
          <w:lang w:eastAsia="en-GB"/>
        </w:rPr>
        <w:footnoteReference w:id="4"/>
      </w:r>
      <w:r w:rsidRPr="00BA7B95">
        <w:rPr>
          <w:rFonts w:ascii="Times New Roman" w:eastAsia="Times New Roman" w:hAnsi="Times New Roman" w:cs="Times New Roman"/>
          <w:iCs/>
          <w:noProof/>
          <w:lang w:eastAsia="en-GB"/>
        </w:rPr>
        <w:t xml:space="preserve"> shows a steady growth, between 2014 and 2018, of active enterprises in the Bulgarian part of the CBC area (Blagoevgrad and Kyustendil districts), while the National Statistics of the </w:t>
      </w:r>
      <w:r w:rsidR="00665C4B">
        <w:rPr>
          <w:rFonts w:ascii="Times New Roman" w:eastAsia="Times New Roman" w:hAnsi="Times New Roman" w:cs="Times New Roman"/>
          <w:iCs/>
          <w:noProof/>
          <w:lang w:eastAsia="en-GB"/>
        </w:rPr>
        <w:t>[Republic of North Macedonia</w:t>
      </w:r>
      <w:r w:rsidR="00FD0BF4">
        <w:rPr>
          <w:rFonts w:ascii="Times New Roman" w:eastAsia="Times New Roman" w:hAnsi="Times New Roman" w:cs="Times New Roman"/>
          <w:iCs/>
          <w:noProof/>
          <w:lang w:eastAsia="en-GB"/>
        </w:rPr>
        <w:t>]</w:t>
      </w:r>
      <w:r w:rsidRPr="00BA7B95">
        <w:rPr>
          <w:rFonts w:ascii="Times New Roman" w:eastAsia="Times New Roman" w:hAnsi="Times New Roman" w:cs="Times New Roman"/>
          <w:iCs/>
          <w:noProof/>
          <w:lang w:eastAsia="en-GB"/>
        </w:rPr>
        <w:t xml:space="preserve"> shows opposite trend – a decline in the total number of active enterprises. Active enterprises in the service sector prevail in the CBC area, followed by the number of enterprises in the industry and the construction.</w:t>
      </w:r>
      <w:r w:rsidR="00C47DFF" w:rsidRPr="00BA7B95">
        <w:rPr>
          <w:rFonts w:ascii="Times New Roman" w:eastAsia="Times New Roman" w:hAnsi="Times New Roman" w:cs="Times New Roman"/>
          <w:iCs/>
          <w:noProof/>
          <w:lang w:eastAsia="en-GB"/>
        </w:rPr>
        <w:t xml:space="preserve"> </w:t>
      </w:r>
      <w:r w:rsidR="00273CA6">
        <w:rPr>
          <w:rFonts w:ascii="Times New Roman" w:eastAsia="Times New Roman" w:hAnsi="Times New Roman" w:cs="Times New Roman"/>
          <w:iCs/>
          <w:noProof/>
          <w:lang w:eastAsia="en-GB"/>
        </w:rPr>
        <w:t>The business demography data exhibits</w:t>
      </w:r>
      <w:r w:rsidR="00273CA6" w:rsidRPr="00273CA6">
        <w:rPr>
          <w:rFonts w:ascii="Times New Roman" w:eastAsia="Times New Roman" w:hAnsi="Times New Roman" w:cs="Times New Roman"/>
          <w:iCs/>
          <w:noProof/>
          <w:lang w:eastAsia="en-GB"/>
        </w:rPr>
        <w:t xml:space="preserve"> more intensive economic activities on the Bulgarian side of the border despite the better conditions for doing business in the </w:t>
      </w:r>
      <w:r w:rsidR="00665C4B">
        <w:rPr>
          <w:rFonts w:ascii="Times New Roman" w:eastAsia="Times New Roman" w:hAnsi="Times New Roman" w:cs="Times New Roman"/>
          <w:iCs/>
          <w:noProof/>
          <w:lang w:eastAsia="en-GB"/>
        </w:rPr>
        <w:t>[Republic of North Macedonia</w:t>
      </w:r>
      <w:r w:rsidR="00FD0BF4">
        <w:rPr>
          <w:rFonts w:ascii="Times New Roman" w:eastAsia="Times New Roman" w:hAnsi="Times New Roman" w:cs="Times New Roman"/>
          <w:iCs/>
          <w:noProof/>
          <w:lang w:eastAsia="en-GB"/>
        </w:rPr>
        <w:t>]</w:t>
      </w:r>
      <w:r w:rsidR="00273CA6" w:rsidRPr="00273CA6">
        <w:rPr>
          <w:rFonts w:ascii="Times New Roman" w:eastAsia="Times New Roman" w:hAnsi="Times New Roman" w:cs="Times New Roman"/>
          <w:iCs/>
          <w:noProof/>
          <w:lang w:eastAsia="en-GB"/>
        </w:rPr>
        <w:t xml:space="preserve">. The country </w:t>
      </w:r>
      <w:r w:rsidR="00273CA6" w:rsidRPr="00273CA6">
        <w:rPr>
          <w:rFonts w:ascii="Times New Roman" w:eastAsia="Times New Roman" w:hAnsi="Times New Roman" w:cs="Times New Roman"/>
          <w:iCs/>
          <w:noProof/>
          <w:lang w:val="en-US" w:eastAsia="en-GB"/>
        </w:rPr>
        <w:t>takes</w:t>
      </w:r>
      <w:r w:rsidR="00273CA6" w:rsidRPr="00273CA6">
        <w:rPr>
          <w:rFonts w:ascii="Times New Roman" w:eastAsia="Times New Roman" w:hAnsi="Times New Roman" w:cs="Times New Roman"/>
          <w:iCs/>
          <w:noProof/>
          <w:lang w:eastAsia="en-GB"/>
        </w:rPr>
        <w:t xml:space="preserve"> 17</w:t>
      </w:r>
      <w:r w:rsidR="00273CA6" w:rsidRPr="00273CA6">
        <w:rPr>
          <w:rFonts w:ascii="Times New Roman" w:eastAsia="Times New Roman" w:hAnsi="Times New Roman" w:cs="Times New Roman"/>
          <w:iCs/>
          <w:noProof/>
          <w:vertAlign w:val="superscript"/>
          <w:lang w:eastAsia="en-GB"/>
        </w:rPr>
        <w:t>th</w:t>
      </w:r>
      <w:r w:rsidR="00273CA6" w:rsidRPr="00273CA6">
        <w:rPr>
          <w:rFonts w:ascii="Times New Roman" w:eastAsia="Times New Roman" w:hAnsi="Times New Roman" w:cs="Times New Roman"/>
          <w:iCs/>
          <w:noProof/>
          <w:lang w:eastAsia="en-GB"/>
        </w:rPr>
        <w:t xml:space="preserve"> place out of 190 countries in the 2020 World Bank ‘Doing Business’ ranking, while </w:t>
      </w:r>
      <w:r w:rsidR="007438EB">
        <w:rPr>
          <w:rFonts w:ascii="Times New Roman" w:eastAsia="Times New Roman" w:hAnsi="Times New Roman" w:cs="Times New Roman"/>
          <w:iCs/>
          <w:noProof/>
          <w:lang w:eastAsia="en-GB"/>
        </w:rPr>
        <w:t xml:space="preserve">Republic of </w:t>
      </w:r>
      <w:r w:rsidR="00273CA6" w:rsidRPr="00273CA6">
        <w:rPr>
          <w:rFonts w:ascii="Times New Roman" w:eastAsia="Times New Roman" w:hAnsi="Times New Roman" w:cs="Times New Roman"/>
          <w:iCs/>
          <w:noProof/>
          <w:lang w:eastAsia="en-GB"/>
        </w:rPr>
        <w:t>Bulgaria is ranked 61</w:t>
      </w:r>
      <w:r w:rsidR="00273CA6" w:rsidRPr="00273CA6">
        <w:rPr>
          <w:rFonts w:ascii="Times New Roman" w:eastAsia="Times New Roman" w:hAnsi="Times New Roman" w:cs="Times New Roman"/>
          <w:iCs/>
          <w:noProof/>
          <w:vertAlign w:val="superscript"/>
          <w:lang w:eastAsia="en-GB"/>
        </w:rPr>
        <w:t>st</w:t>
      </w:r>
      <w:r w:rsidR="00273CA6" w:rsidRPr="00273CA6">
        <w:rPr>
          <w:rFonts w:ascii="Times New Roman" w:eastAsia="Times New Roman" w:hAnsi="Times New Roman" w:cs="Times New Roman"/>
          <w:iCs/>
          <w:noProof/>
          <w:lang w:eastAsia="en-GB"/>
        </w:rPr>
        <w:t xml:space="preserve">. Business environment in the CBC part of the </w:t>
      </w:r>
      <w:r w:rsidR="00665C4B">
        <w:rPr>
          <w:rFonts w:ascii="Times New Roman" w:eastAsia="Times New Roman" w:hAnsi="Times New Roman" w:cs="Times New Roman"/>
          <w:iCs/>
          <w:noProof/>
          <w:lang w:eastAsia="en-GB"/>
        </w:rPr>
        <w:t>[Republic of North Macedonia</w:t>
      </w:r>
      <w:r w:rsidR="00FD0BF4">
        <w:rPr>
          <w:rFonts w:ascii="Times New Roman" w:eastAsia="Times New Roman" w:hAnsi="Times New Roman" w:cs="Times New Roman"/>
          <w:iCs/>
          <w:noProof/>
          <w:lang w:eastAsia="en-GB"/>
        </w:rPr>
        <w:t>]</w:t>
      </w:r>
      <w:r w:rsidR="00273CA6" w:rsidRPr="00273CA6">
        <w:rPr>
          <w:rFonts w:ascii="Times New Roman" w:eastAsia="Times New Roman" w:hAnsi="Times New Roman" w:cs="Times New Roman"/>
          <w:iCs/>
          <w:noProof/>
          <w:lang w:eastAsia="en-GB"/>
        </w:rPr>
        <w:t xml:space="preserve"> is more favourable in economic, social and cultural urban centres Shtip (East</w:t>
      </w:r>
      <w:r w:rsidR="00586CF0">
        <w:rPr>
          <w:rFonts w:ascii="Times New Roman" w:eastAsia="Times New Roman" w:hAnsi="Times New Roman" w:cs="Times New Roman"/>
          <w:iCs/>
          <w:noProof/>
          <w:lang w:eastAsia="en-GB"/>
        </w:rPr>
        <w:t>ern</w:t>
      </w:r>
      <w:r w:rsidR="00273CA6" w:rsidRPr="00273CA6">
        <w:rPr>
          <w:rFonts w:ascii="Times New Roman" w:eastAsia="Times New Roman" w:hAnsi="Times New Roman" w:cs="Times New Roman"/>
          <w:iCs/>
          <w:noProof/>
          <w:lang w:eastAsia="en-GB"/>
        </w:rPr>
        <w:t xml:space="preserve"> Region</w:t>
      </w:r>
      <w:r w:rsidR="00CC4813">
        <w:rPr>
          <w:rFonts w:ascii="Times New Roman" w:eastAsia="Times New Roman" w:hAnsi="Times New Roman" w:cs="Times New Roman"/>
          <w:iCs/>
          <w:noProof/>
          <w:lang w:eastAsia="en-GB"/>
        </w:rPr>
        <w:t>) and</w:t>
      </w:r>
      <w:r w:rsidR="00273CA6" w:rsidRPr="00273CA6">
        <w:rPr>
          <w:rFonts w:ascii="Times New Roman" w:eastAsia="Times New Roman" w:hAnsi="Times New Roman" w:cs="Times New Roman"/>
          <w:iCs/>
          <w:noProof/>
          <w:lang w:eastAsia="en-GB"/>
        </w:rPr>
        <w:t xml:space="preserve"> Strumica (South-East</w:t>
      </w:r>
      <w:r w:rsidR="00586CF0">
        <w:rPr>
          <w:rFonts w:ascii="Times New Roman" w:eastAsia="Times New Roman" w:hAnsi="Times New Roman" w:cs="Times New Roman"/>
          <w:iCs/>
          <w:noProof/>
          <w:lang w:eastAsia="en-GB"/>
        </w:rPr>
        <w:t>ern</w:t>
      </w:r>
      <w:r w:rsidR="00273CA6" w:rsidRPr="00273CA6">
        <w:rPr>
          <w:rFonts w:ascii="Times New Roman" w:eastAsia="Times New Roman" w:hAnsi="Times New Roman" w:cs="Times New Roman"/>
          <w:iCs/>
          <w:noProof/>
          <w:lang w:eastAsia="en-GB"/>
        </w:rPr>
        <w:t xml:space="preserve"> Region) mostly due to the fact that the important transport corridors provide easy access to these centres and consequently to the capital, which allows possibilities for easy communication and collaboration between entities.</w:t>
      </w:r>
    </w:p>
    <w:p w14:paraId="66AB6E0B" w14:textId="77777777" w:rsidR="000076BA" w:rsidRDefault="000076BA">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0076BA">
        <w:rPr>
          <w:rFonts w:ascii="Times New Roman" w:eastAsia="Times New Roman" w:hAnsi="Times New Roman" w:cs="Times New Roman"/>
          <w:i/>
          <w:iCs/>
          <w:noProof/>
          <w:u w:val="single"/>
          <w:lang w:eastAsia="en-GB"/>
        </w:rPr>
        <w:t xml:space="preserve">1.6 </w:t>
      </w:r>
      <w:r w:rsidR="00AB1682">
        <w:rPr>
          <w:rFonts w:ascii="Times New Roman" w:eastAsia="Times New Roman" w:hAnsi="Times New Roman" w:cs="Times New Roman"/>
          <w:i/>
          <w:iCs/>
          <w:noProof/>
          <w:u w:val="single"/>
          <w:lang w:eastAsia="en-GB"/>
        </w:rPr>
        <w:t>Weak digital innovation adoption</w:t>
      </w:r>
      <w:r w:rsidRPr="000076BA" w:rsidDel="00402D1A">
        <w:rPr>
          <w:rFonts w:ascii="Times New Roman" w:eastAsia="Times New Roman" w:hAnsi="Times New Roman" w:cs="Times New Roman"/>
          <w:iCs/>
          <w:noProof/>
          <w:u w:val="single"/>
          <w:lang w:eastAsia="en-GB"/>
        </w:rPr>
        <w:t xml:space="preserve"> </w:t>
      </w:r>
    </w:p>
    <w:p w14:paraId="59A991B5" w14:textId="77777777" w:rsidR="008A4E1A" w:rsidRPr="00BA7B95" w:rsidRDefault="008A4E1A" w:rsidP="008A4E1A">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BA7B95">
        <w:rPr>
          <w:rFonts w:ascii="Times New Roman" w:eastAsia="Times New Roman" w:hAnsi="Times New Roman" w:cs="Times New Roman"/>
          <w:iCs/>
          <w:noProof/>
          <w:lang w:eastAsia="en-GB"/>
        </w:rPr>
        <w:t>Ever since DESI index</w:t>
      </w:r>
      <w:r w:rsidRPr="00BA7B95">
        <w:rPr>
          <w:rFonts w:ascii="Times New Roman" w:eastAsia="Times New Roman" w:hAnsi="Times New Roman" w:cs="Times New Roman"/>
          <w:iCs/>
          <w:noProof/>
          <w:vertAlign w:val="superscript"/>
          <w:lang w:eastAsia="en-GB"/>
        </w:rPr>
        <w:footnoteReference w:id="5"/>
      </w:r>
      <w:r w:rsidRPr="00BA7B95">
        <w:rPr>
          <w:rFonts w:ascii="Times New Roman" w:eastAsia="Times New Roman" w:hAnsi="Times New Roman" w:cs="Times New Roman"/>
          <w:iCs/>
          <w:noProof/>
          <w:lang w:eastAsia="en-GB"/>
        </w:rPr>
        <w:t xml:space="preserve"> has been built,</w:t>
      </w:r>
      <w:r w:rsidR="007438EB">
        <w:rPr>
          <w:rFonts w:ascii="Times New Roman" w:eastAsia="Times New Roman" w:hAnsi="Times New Roman" w:cs="Times New Roman"/>
          <w:iCs/>
          <w:noProof/>
          <w:lang w:eastAsia="en-GB"/>
        </w:rPr>
        <w:t xml:space="preserve"> Republic of</w:t>
      </w:r>
      <w:r w:rsidRPr="00BA7B95">
        <w:rPr>
          <w:rFonts w:ascii="Times New Roman" w:eastAsia="Times New Roman" w:hAnsi="Times New Roman" w:cs="Times New Roman"/>
          <w:iCs/>
          <w:noProof/>
          <w:lang w:eastAsia="en-GB"/>
        </w:rPr>
        <w:t xml:space="preserve"> Bulgaria has been ranked last </w:t>
      </w:r>
      <w:r w:rsidRPr="00BA7B95">
        <w:rPr>
          <w:rFonts w:ascii="Times New Roman" w:eastAsia="Times New Roman" w:hAnsi="Times New Roman" w:cs="Times New Roman"/>
          <w:iCs/>
          <w:noProof/>
          <w:lang w:val="en-US" w:eastAsia="en-GB"/>
        </w:rPr>
        <w:t>in every edition of the index</w:t>
      </w:r>
      <w:r w:rsidRPr="00BA7B95">
        <w:rPr>
          <w:rFonts w:ascii="Times New Roman" w:eastAsia="Times New Roman" w:hAnsi="Times New Roman" w:cs="Times New Roman"/>
          <w:iCs/>
          <w:noProof/>
          <w:lang w:eastAsia="en-GB"/>
        </w:rPr>
        <w:t xml:space="preserve"> in its all indicators – connectivity, digital skills, use of internet services, integration of digital technologies, </w:t>
      </w:r>
      <w:r w:rsidRPr="00BA7B95">
        <w:rPr>
          <w:rFonts w:ascii="Times New Roman" w:eastAsia="Times New Roman" w:hAnsi="Times New Roman" w:cs="Times New Roman"/>
          <w:iCs/>
          <w:noProof/>
          <w:lang w:eastAsia="en-GB"/>
        </w:rPr>
        <w:lastRenderedPageBreak/>
        <w:t xml:space="preserve">digital public services. The </w:t>
      </w:r>
      <w:r w:rsidR="00665C4B">
        <w:rPr>
          <w:rFonts w:ascii="Times New Roman" w:eastAsia="Times New Roman" w:hAnsi="Times New Roman" w:cs="Times New Roman"/>
          <w:iCs/>
          <w:noProof/>
          <w:lang w:eastAsia="en-GB"/>
        </w:rPr>
        <w:t>[Republic of North Macedonia</w:t>
      </w:r>
      <w:r w:rsidR="00717FEB">
        <w:rPr>
          <w:rFonts w:ascii="Times New Roman" w:eastAsia="Times New Roman" w:hAnsi="Times New Roman" w:cs="Times New Roman"/>
          <w:iCs/>
          <w:noProof/>
          <w:lang w:eastAsia="en-GB"/>
        </w:rPr>
        <w:t>]</w:t>
      </w:r>
      <w:r w:rsidRPr="00BA7B95">
        <w:rPr>
          <w:rFonts w:ascii="Times New Roman" w:eastAsia="Times New Roman" w:hAnsi="Times New Roman" w:cs="Times New Roman"/>
          <w:iCs/>
          <w:noProof/>
          <w:lang w:eastAsia="en-GB"/>
        </w:rPr>
        <w:t xml:space="preserve"> also scores low (2.3 out of 5) in the OECD Competitiveness Outlook (2018) w</w:t>
      </w:r>
      <w:r w:rsidR="00973063">
        <w:rPr>
          <w:rFonts w:ascii="Times New Roman" w:eastAsia="Times New Roman" w:hAnsi="Times New Roman" w:cs="Times New Roman"/>
          <w:iCs/>
          <w:noProof/>
          <w:lang w:eastAsia="en-GB"/>
        </w:rPr>
        <w:t>ith regards to digitisation.</w:t>
      </w:r>
    </w:p>
    <w:p w14:paraId="5947B44E" w14:textId="77777777" w:rsidR="008A4E1A" w:rsidRPr="00BA7B95" w:rsidRDefault="008A4E1A" w:rsidP="008A4E1A">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BA7B95">
        <w:rPr>
          <w:rFonts w:ascii="Times New Roman" w:eastAsia="Times New Roman" w:hAnsi="Times New Roman" w:cs="Times New Roman"/>
          <w:iCs/>
          <w:noProof/>
          <w:lang w:eastAsia="en-GB"/>
        </w:rPr>
        <w:t xml:space="preserve">The European Innovation Scoreboard 2018 assesses </w:t>
      </w:r>
      <w:r w:rsidR="007438EB">
        <w:rPr>
          <w:rFonts w:ascii="Times New Roman" w:eastAsia="Times New Roman" w:hAnsi="Times New Roman" w:cs="Times New Roman"/>
          <w:iCs/>
          <w:noProof/>
          <w:lang w:eastAsia="en-GB"/>
        </w:rPr>
        <w:t xml:space="preserve">Republic of </w:t>
      </w:r>
      <w:r w:rsidRPr="00BA7B95">
        <w:rPr>
          <w:rFonts w:ascii="Times New Roman" w:eastAsia="Times New Roman" w:hAnsi="Times New Roman" w:cs="Times New Roman"/>
          <w:iCs/>
          <w:noProof/>
          <w:lang w:eastAsia="en-GB"/>
        </w:rPr>
        <w:t xml:space="preserve">Bulgaria and </w:t>
      </w:r>
      <w:r w:rsidR="00665C4B">
        <w:rPr>
          <w:rFonts w:ascii="Times New Roman" w:eastAsia="Times New Roman" w:hAnsi="Times New Roman" w:cs="Times New Roman"/>
          <w:iCs/>
          <w:noProof/>
          <w:lang w:eastAsia="en-GB"/>
        </w:rPr>
        <w:t>[Republic of North Macedonia</w:t>
      </w:r>
      <w:r w:rsidR="00717FEB">
        <w:rPr>
          <w:rFonts w:ascii="Times New Roman" w:eastAsia="Times New Roman" w:hAnsi="Times New Roman" w:cs="Times New Roman"/>
          <w:iCs/>
          <w:noProof/>
          <w:lang w:eastAsia="en-GB"/>
        </w:rPr>
        <w:t>]</w:t>
      </w:r>
      <w:r w:rsidRPr="00BA7B95">
        <w:rPr>
          <w:rFonts w:ascii="Times New Roman" w:eastAsia="Times New Roman" w:hAnsi="Times New Roman" w:cs="Times New Roman"/>
          <w:iCs/>
          <w:noProof/>
          <w:lang w:eastAsia="en-GB"/>
        </w:rPr>
        <w:t xml:space="preserve"> as modest innovators. In both countries there is a lack of innovation infrastructure and cooperation and coordination among academia, the pri</w:t>
      </w:r>
      <w:r w:rsidR="00973063">
        <w:rPr>
          <w:rFonts w:ascii="Times New Roman" w:eastAsia="Times New Roman" w:hAnsi="Times New Roman" w:cs="Times New Roman"/>
          <w:iCs/>
          <w:noProof/>
          <w:lang w:eastAsia="en-GB"/>
        </w:rPr>
        <w:t>vate sector and the government.</w:t>
      </w:r>
    </w:p>
    <w:p w14:paraId="2EDCEF3A" w14:textId="77777777" w:rsidR="008A4E1A" w:rsidRPr="00BA7B95" w:rsidRDefault="008A4E1A" w:rsidP="008A4E1A">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BA7B95">
        <w:rPr>
          <w:rFonts w:ascii="Times New Roman" w:eastAsia="Times New Roman" w:hAnsi="Times New Roman" w:cs="Times New Roman"/>
          <w:iCs/>
          <w:noProof/>
          <w:lang w:eastAsia="en-GB"/>
        </w:rPr>
        <w:t xml:space="preserve">In terms of entrepreneurship, </w:t>
      </w:r>
      <w:r w:rsidR="00B802AF">
        <w:rPr>
          <w:rFonts w:ascii="Times New Roman" w:eastAsia="Times New Roman" w:hAnsi="Times New Roman" w:cs="Times New Roman"/>
          <w:iCs/>
          <w:noProof/>
          <w:lang w:eastAsia="en-GB"/>
        </w:rPr>
        <w:t>[Republic of North Macedonia</w:t>
      </w:r>
      <w:r w:rsidRPr="00BA7B95">
        <w:rPr>
          <w:rFonts w:ascii="Times New Roman" w:eastAsia="Times New Roman" w:hAnsi="Times New Roman" w:cs="Times New Roman"/>
          <w:iCs/>
          <w:noProof/>
          <w:lang w:eastAsia="en-GB"/>
        </w:rPr>
        <w:t>’s</w:t>
      </w:r>
      <w:r w:rsidR="00717FEB">
        <w:rPr>
          <w:rFonts w:ascii="Times New Roman" w:eastAsia="Times New Roman" w:hAnsi="Times New Roman" w:cs="Times New Roman"/>
          <w:iCs/>
          <w:noProof/>
          <w:lang w:eastAsia="en-GB"/>
        </w:rPr>
        <w:t>]</w:t>
      </w:r>
      <w:r w:rsidRPr="00BA7B95">
        <w:rPr>
          <w:rFonts w:ascii="Times New Roman" w:eastAsia="Times New Roman" w:hAnsi="Times New Roman" w:cs="Times New Roman"/>
          <w:iCs/>
          <w:noProof/>
          <w:lang w:eastAsia="en-GB"/>
        </w:rPr>
        <w:t xml:space="preserve"> performance is below the EU average, with the exclusion of entrepreneurial intentions who are more than 10% higher than the EU average. Opportunity-driven entrepreneurial activity in the country is the lowest compared to all EU and non-EU countries. Identical underperformance is observed in </w:t>
      </w:r>
      <w:r w:rsidR="007438EB">
        <w:rPr>
          <w:rFonts w:ascii="Times New Roman" w:eastAsia="Times New Roman" w:hAnsi="Times New Roman" w:cs="Times New Roman"/>
          <w:iCs/>
          <w:noProof/>
          <w:lang w:eastAsia="en-GB"/>
        </w:rPr>
        <w:t xml:space="preserve">Republic of </w:t>
      </w:r>
      <w:r w:rsidRPr="00BA7B95">
        <w:rPr>
          <w:rFonts w:ascii="Times New Roman" w:eastAsia="Times New Roman" w:hAnsi="Times New Roman" w:cs="Times New Roman"/>
          <w:iCs/>
          <w:noProof/>
          <w:lang w:eastAsia="en-GB"/>
        </w:rPr>
        <w:t>Bulgaria as well. The country performs far below the EU average in entrepreneurship, with the lowe</w:t>
      </w:r>
      <w:r w:rsidR="00973063">
        <w:rPr>
          <w:rFonts w:ascii="Times New Roman" w:eastAsia="Times New Roman" w:hAnsi="Times New Roman" w:cs="Times New Roman"/>
          <w:iCs/>
          <w:noProof/>
          <w:lang w:eastAsia="en-GB"/>
        </w:rPr>
        <w:t>st score of all Member States.</w:t>
      </w:r>
    </w:p>
    <w:p w14:paraId="6CD24435" w14:textId="77777777" w:rsidR="008A4E1A" w:rsidRPr="00BA7B95" w:rsidRDefault="008A4E1A" w:rsidP="008A4E1A">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BA7B95">
        <w:rPr>
          <w:rFonts w:ascii="Times New Roman" w:eastAsia="Times New Roman" w:hAnsi="Times New Roman" w:cs="Times New Roman"/>
          <w:iCs/>
          <w:noProof/>
          <w:lang w:eastAsia="en-GB"/>
        </w:rPr>
        <w:t xml:space="preserve">Despite the underperformance of </w:t>
      </w:r>
      <w:r w:rsidR="007438EB">
        <w:rPr>
          <w:rFonts w:ascii="Times New Roman" w:eastAsia="Times New Roman" w:hAnsi="Times New Roman" w:cs="Times New Roman"/>
          <w:iCs/>
          <w:noProof/>
          <w:lang w:eastAsia="en-GB"/>
        </w:rPr>
        <w:t xml:space="preserve">the Republic of </w:t>
      </w:r>
      <w:r w:rsidRPr="00BA7B95">
        <w:rPr>
          <w:rFonts w:ascii="Times New Roman" w:eastAsia="Times New Roman" w:hAnsi="Times New Roman" w:cs="Times New Roman"/>
          <w:iCs/>
          <w:noProof/>
          <w:lang w:eastAsia="en-GB"/>
        </w:rPr>
        <w:t xml:space="preserve">Bulgaria and the </w:t>
      </w:r>
      <w:r w:rsidR="00665C4B">
        <w:rPr>
          <w:rFonts w:ascii="Times New Roman" w:eastAsia="Times New Roman" w:hAnsi="Times New Roman" w:cs="Times New Roman"/>
          <w:iCs/>
          <w:noProof/>
          <w:lang w:eastAsia="en-GB"/>
        </w:rPr>
        <w:t>[Republic of North Macedonia</w:t>
      </w:r>
      <w:r w:rsidR="00B802AF">
        <w:rPr>
          <w:rFonts w:ascii="Times New Roman" w:eastAsia="Times New Roman" w:hAnsi="Times New Roman" w:cs="Times New Roman"/>
          <w:iCs/>
          <w:noProof/>
          <w:lang w:eastAsia="en-GB"/>
        </w:rPr>
        <w:t>]</w:t>
      </w:r>
      <w:r w:rsidRPr="00BA7B95">
        <w:rPr>
          <w:rFonts w:ascii="Times New Roman" w:eastAsia="Times New Roman" w:hAnsi="Times New Roman" w:cs="Times New Roman"/>
          <w:iCs/>
          <w:noProof/>
          <w:lang w:eastAsia="en-GB"/>
        </w:rPr>
        <w:t xml:space="preserve"> in topical rankings, ICT Industry in both countries has been progressively </w:t>
      </w:r>
      <w:r w:rsidR="00053974">
        <w:rPr>
          <w:rFonts w:ascii="Times New Roman" w:eastAsia="Times New Roman" w:hAnsi="Times New Roman" w:cs="Times New Roman"/>
          <w:iCs/>
          <w:noProof/>
          <w:lang w:eastAsia="en-GB"/>
        </w:rPr>
        <w:t xml:space="preserve">developed over the last decade. </w:t>
      </w:r>
      <w:r w:rsidR="008B4CFA">
        <w:rPr>
          <w:rFonts w:ascii="Times New Roman" w:eastAsia="Times New Roman" w:hAnsi="Times New Roman" w:cs="Times New Roman"/>
          <w:iCs/>
          <w:noProof/>
          <w:lang w:eastAsia="en-GB"/>
        </w:rPr>
        <w:t>T</w:t>
      </w:r>
      <w:r w:rsidR="00053974" w:rsidRPr="00BA7B95">
        <w:rPr>
          <w:rFonts w:ascii="Times New Roman" w:eastAsia="Times New Roman" w:hAnsi="Times New Roman" w:cs="Times New Roman"/>
          <w:iCs/>
          <w:noProof/>
          <w:lang w:eastAsia="en-GB"/>
        </w:rPr>
        <w:t>he internet connection and usage</w:t>
      </w:r>
      <w:r w:rsidR="00053974">
        <w:rPr>
          <w:rFonts w:ascii="Times New Roman" w:eastAsia="Times New Roman" w:hAnsi="Times New Roman" w:cs="Times New Roman"/>
          <w:iCs/>
          <w:noProof/>
          <w:lang w:eastAsia="en-GB"/>
        </w:rPr>
        <w:t xml:space="preserve"> </w:t>
      </w:r>
      <w:r w:rsidR="008B4CFA">
        <w:rPr>
          <w:rFonts w:ascii="Times New Roman" w:eastAsia="Times New Roman" w:hAnsi="Times New Roman" w:cs="Times New Roman"/>
          <w:iCs/>
          <w:noProof/>
          <w:lang w:eastAsia="en-GB"/>
        </w:rPr>
        <w:t>are</w:t>
      </w:r>
      <w:r w:rsidR="00053974">
        <w:rPr>
          <w:rFonts w:ascii="Times New Roman" w:eastAsia="Times New Roman" w:hAnsi="Times New Roman" w:cs="Times New Roman"/>
          <w:iCs/>
          <w:noProof/>
          <w:lang w:eastAsia="en-GB"/>
        </w:rPr>
        <w:t xml:space="preserve"> other </w:t>
      </w:r>
      <w:r w:rsidRPr="00BA7B95">
        <w:rPr>
          <w:rFonts w:ascii="Times New Roman" w:eastAsia="Times New Roman" w:hAnsi="Times New Roman" w:cs="Times New Roman"/>
          <w:iCs/>
          <w:noProof/>
          <w:lang w:eastAsia="en-GB"/>
        </w:rPr>
        <w:t>important preconditions for implementing digital transform</w:t>
      </w:r>
      <w:r w:rsidR="008B4CFA">
        <w:rPr>
          <w:rFonts w:ascii="Times New Roman" w:eastAsia="Times New Roman" w:hAnsi="Times New Roman" w:cs="Times New Roman"/>
          <w:iCs/>
          <w:noProof/>
          <w:lang w:eastAsia="en-GB"/>
        </w:rPr>
        <w:t>ation policies and practices</w:t>
      </w:r>
      <w:r w:rsidRPr="00BA7B95">
        <w:rPr>
          <w:rFonts w:ascii="Times New Roman" w:eastAsia="Times New Roman" w:hAnsi="Times New Roman" w:cs="Times New Roman"/>
          <w:iCs/>
          <w:noProof/>
          <w:lang w:eastAsia="en-GB"/>
        </w:rPr>
        <w:t xml:space="preserve">. Eurostat provides comparable information </w:t>
      </w:r>
      <w:r w:rsidR="008B4CFA">
        <w:rPr>
          <w:rFonts w:ascii="Times New Roman" w:eastAsia="Times New Roman" w:hAnsi="Times New Roman" w:cs="Times New Roman"/>
          <w:iCs/>
          <w:noProof/>
          <w:lang w:eastAsia="en-GB"/>
        </w:rPr>
        <w:t xml:space="preserve">(2019 data) </w:t>
      </w:r>
      <w:r w:rsidRPr="00BA7B95">
        <w:rPr>
          <w:rFonts w:ascii="Times New Roman" w:eastAsia="Times New Roman" w:hAnsi="Times New Roman" w:cs="Times New Roman"/>
          <w:iCs/>
          <w:noProof/>
          <w:lang w:eastAsia="en-GB"/>
        </w:rPr>
        <w:t>on the share of households with access to the internet</w:t>
      </w:r>
      <w:r w:rsidR="008B4CFA">
        <w:rPr>
          <w:rFonts w:ascii="Times New Roman" w:eastAsia="Times New Roman" w:hAnsi="Times New Roman" w:cs="Times New Roman"/>
          <w:iCs/>
          <w:noProof/>
          <w:lang w:eastAsia="en-GB"/>
        </w:rPr>
        <w:t xml:space="preserve"> </w:t>
      </w:r>
      <w:r w:rsidRPr="00BA7B95">
        <w:rPr>
          <w:rFonts w:ascii="Times New Roman" w:eastAsia="Times New Roman" w:hAnsi="Times New Roman" w:cs="Times New Roman"/>
          <w:iCs/>
          <w:noProof/>
          <w:lang w:eastAsia="en-GB"/>
        </w:rPr>
        <w:t>–</w:t>
      </w:r>
      <w:r w:rsidR="008B4CFA">
        <w:rPr>
          <w:rFonts w:ascii="Times New Roman" w:eastAsia="Times New Roman" w:hAnsi="Times New Roman" w:cs="Times New Roman"/>
          <w:iCs/>
          <w:noProof/>
          <w:lang w:eastAsia="en-GB"/>
        </w:rPr>
        <w:t xml:space="preserve"> </w:t>
      </w:r>
      <w:r w:rsidRPr="00BA7B95">
        <w:rPr>
          <w:rFonts w:ascii="Times New Roman" w:eastAsia="Times New Roman" w:hAnsi="Times New Roman" w:cs="Times New Roman"/>
          <w:iCs/>
          <w:noProof/>
          <w:lang w:eastAsia="en-GB"/>
        </w:rPr>
        <w:t xml:space="preserve">the </w:t>
      </w:r>
      <w:r w:rsidR="00665C4B">
        <w:rPr>
          <w:rFonts w:ascii="Times New Roman" w:eastAsia="Times New Roman" w:hAnsi="Times New Roman" w:cs="Times New Roman"/>
          <w:iCs/>
          <w:noProof/>
          <w:lang w:eastAsia="en-GB"/>
        </w:rPr>
        <w:t>[Republic of North Macedonia</w:t>
      </w:r>
      <w:r w:rsidR="00B802AF">
        <w:rPr>
          <w:rFonts w:ascii="Times New Roman" w:eastAsia="Times New Roman" w:hAnsi="Times New Roman" w:cs="Times New Roman"/>
          <w:iCs/>
          <w:noProof/>
          <w:lang w:eastAsia="en-GB"/>
        </w:rPr>
        <w:t>]</w:t>
      </w:r>
      <w:r w:rsidRPr="00BA7B95">
        <w:rPr>
          <w:rFonts w:ascii="Times New Roman" w:eastAsia="Times New Roman" w:hAnsi="Times New Roman" w:cs="Times New Roman"/>
          <w:iCs/>
          <w:noProof/>
          <w:lang w:eastAsia="en-GB"/>
        </w:rPr>
        <w:t xml:space="preserve"> reports higher score (82%) than that of </w:t>
      </w:r>
      <w:r w:rsidR="007438EB">
        <w:rPr>
          <w:rFonts w:ascii="Times New Roman" w:eastAsia="Times New Roman" w:hAnsi="Times New Roman" w:cs="Times New Roman"/>
          <w:iCs/>
          <w:noProof/>
          <w:lang w:eastAsia="en-GB"/>
        </w:rPr>
        <w:t xml:space="preserve">the Republic of </w:t>
      </w:r>
      <w:r w:rsidRPr="00BA7B95">
        <w:rPr>
          <w:rFonts w:ascii="Times New Roman" w:eastAsia="Times New Roman" w:hAnsi="Times New Roman" w:cs="Times New Roman"/>
          <w:iCs/>
          <w:noProof/>
          <w:lang w:eastAsia="en-GB"/>
        </w:rPr>
        <w:t>Bulgaria (7</w:t>
      </w:r>
      <w:r w:rsidR="008B4CFA">
        <w:rPr>
          <w:rFonts w:ascii="Times New Roman" w:eastAsia="Times New Roman" w:hAnsi="Times New Roman" w:cs="Times New Roman"/>
          <w:iCs/>
          <w:noProof/>
          <w:lang w:eastAsia="en-GB"/>
        </w:rPr>
        <w:t>5</w:t>
      </w:r>
      <w:r w:rsidRPr="00BA7B95">
        <w:rPr>
          <w:rFonts w:ascii="Times New Roman" w:eastAsia="Times New Roman" w:hAnsi="Times New Roman" w:cs="Times New Roman"/>
          <w:iCs/>
          <w:noProof/>
          <w:lang w:eastAsia="en-GB"/>
        </w:rPr>
        <w:t xml:space="preserve">%). </w:t>
      </w:r>
      <w:r w:rsidR="005277FA">
        <w:rPr>
          <w:rFonts w:ascii="Times New Roman" w:eastAsia="Times New Roman" w:hAnsi="Times New Roman" w:cs="Times New Roman"/>
          <w:iCs/>
          <w:noProof/>
          <w:lang w:eastAsia="en-GB"/>
        </w:rPr>
        <w:t>F</w:t>
      </w:r>
      <w:r w:rsidRPr="00BA7B95">
        <w:rPr>
          <w:rFonts w:ascii="Times New Roman" w:eastAsia="Times New Roman" w:hAnsi="Times New Roman" w:cs="Times New Roman"/>
          <w:iCs/>
          <w:noProof/>
          <w:lang w:eastAsia="en-GB"/>
        </w:rPr>
        <w:t>ixed broadband penetration remains limited</w:t>
      </w:r>
      <w:r w:rsidR="005277FA">
        <w:rPr>
          <w:rFonts w:ascii="Times New Roman" w:eastAsia="Times New Roman" w:hAnsi="Times New Roman" w:cs="Times New Roman"/>
          <w:iCs/>
          <w:noProof/>
          <w:lang w:eastAsia="en-GB"/>
        </w:rPr>
        <w:t xml:space="preserve"> in both countries</w:t>
      </w:r>
      <w:r w:rsidRPr="00BA7B95">
        <w:rPr>
          <w:rFonts w:ascii="Times New Roman" w:eastAsia="Times New Roman" w:hAnsi="Times New Roman" w:cs="Times New Roman"/>
          <w:iCs/>
          <w:noProof/>
          <w:lang w:eastAsia="en-GB"/>
        </w:rPr>
        <w:t xml:space="preserve"> </w:t>
      </w:r>
      <w:r w:rsidR="005277FA">
        <w:rPr>
          <w:rFonts w:ascii="Times New Roman" w:eastAsia="Times New Roman" w:hAnsi="Times New Roman" w:cs="Times New Roman"/>
          <w:iCs/>
          <w:noProof/>
          <w:lang w:eastAsia="en-GB"/>
        </w:rPr>
        <w:t>which</w:t>
      </w:r>
      <w:r w:rsidRPr="00BA7B95">
        <w:rPr>
          <w:rFonts w:ascii="Times New Roman" w:eastAsia="Times New Roman" w:hAnsi="Times New Roman" w:cs="Times New Roman"/>
          <w:iCs/>
          <w:noProof/>
          <w:lang w:eastAsia="en-GB"/>
        </w:rPr>
        <w:t xml:space="preserve"> negatively impacts</w:t>
      </w:r>
      <w:r w:rsidR="005277FA">
        <w:rPr>
          <w:rFonts w:ascii="Times New Roman" w:eastAsia="Times New Roman" w:hAnsi="Times New Roman" w:cs="Times New Roman"/>
          <w:iCs/>
          <w:noProof/>
          <w:lang w:eastAsia="en-GB"/>
        </w:rPr>
        <w:t xml:space="preserve"> the</w:t>
      </w:r>
      <w:r w:rsidRPr="00BA7B95">
        <w:rPr>
          <w:rFonts w:ascii="Times New Roman" w:eastAsia="Times New Roman" w:hAnsi="Times New Roman" w:cs="Times New Roman"/>
          <w:iCs/>
          <w:noProof/>
          <w:lang w:eastAsia="en-GB"/>
        </w:rPr>
        <w:t xml:space="preserve"> digital transformation and competitiveness. According to the 2019 Digital Government Factsheets</w:t>
      </w:r>
      <w:r w:rsidRPr="00BA7B95">
        <w:rPr>
          <w:rFonts w:ascii="Times New Roman" w:eastAsia="Times New Roman" w:hAnsi="Times New Roman" w:cs="Times New Roman"/>
          <w:iCs/>
          <w:noProof/>
          <w:vertAlign w:val="superscript"/>
          <w:lang w:eastAsia="en-GB"/>
        </w:rPr>
        <w:footnoteReference w:id="6"/>
      </w:r>
      <w:r w:rsidRPr="00BA7B95">
        <w:rPr>
          <w:rFonts w:ascii="Times New Roman" w:eastAsia="Times New Roman" w:hAnsi="Times New Roman" w:cs="Times New Roman"/>
          <w:iCs/>
          <w:noProof/>
          <w:lang w:eastAsia="en-GB"/>
        </w:rPr>
        <w:t xml:space="preserve"> both countries perform below the EU average, yet indicating different degrees of digital improvements. The </w:t>
      </w:r>
      <w:r w:rsidR="00B802AF">
        <w:rPr>
          <w:rFonts w:ascii="Times New Roman" w:eastAsia="Times New Roman" w:hAnsi="Times New Roman" w:cs="Times New Roman"/>
          <w:iCs/>
          <w:noProof/>
          <w:lang w:eastAsia="en-GB"/>
        </w:rPr>
        <w:t>[Republic of North Macedonia]</w:t>
      </w:r>
      <w:r w:rsidRPr="00BA7B95">
        <w:rPr>
          <w:rFonts w:ascii="Times New Roman" w:eastAsia="Times New Roman" w:hAnsi="Times New Roman" w:cs="Times New Roman"/>
          <w:iCs/>
          <w:noProof/>
          <w:lang w:eastAsia="en-GB"/>
        </w:rPr>
        <w:t xml:space="preserve"> is more advanced in the digitalization of health, while </w:t>
      </w:r>
      <w:r w:rsidR="007438EB">
        <w:rPr>
          <w:rFonts w:ascii="Times New Roman" w:eastAsia="Times New Roman" w:hAnsi="Times New Roman" w:cs="Times New Roman"/>
          <w:iCs/>
          <w:noProof/>
          <w:lang w:eastAsia="en-GB"/>
        </w:rPr>
        <w:t xml:space="preserve">Republic of </w:t>
      </w:r>
      <w:r w:rsidRPr="00BA7B95">
        <w:rPr>
          <w:rFonts w:ascii="Times New Roman" w:eastAsia="Times New Roman" w:hAnsi="Times New Roman" w:cs="Times New Roman"/>
          <w:iCs/>
          <w:noProof/>
          <w:lang w:eastAsia="en-GB"/>
        </w:rPr>
        <w:t>Bulgaria performs bett</w:t>
      </w:r>
      <w:r w:rsidR="00973063">
        <w:rPr>
          <w:rFonts w:ascii="Times New Roman" w:eastAsia="Times New Roman" w:hAnsi="Times New Roman" w:cs="Times New Roman"/>
          <w:iCs/>
          <w:noProof/>
          <w:lang w:eastAsia="en-GB"/>
        </w:rPr>
        <w:t>er in administrative servicing.</w:t>
      </w:r>
    </w:p>
    <w:p w14:paraId="598F91AD" w14:textId="77777777" w:rsidR="00FD4032" w:rsidRDefault="008A4E1A">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u w:val="single"/>
          <w:lang w:val="en-US" w:eastAsia="en-GB"/>
        </w:rPr>
      </w:pPr>
      <w:r w:rsidRPr="00BA7B95">
        <w:rPr>
          <w:rFonts w:ascii="Times New Roman" w:eastAsia="Times New Roman" w:hAnsi="Times New Roman" w:cs="Times New Roman"/>
          <w:iCs/>
          <w:noProof/>
          <w:lang w:eastAsia="en-GB"/>
        </w:rPr>
        <w:t>The share of knowledge-intensive sectors in the economy of both countries is lower than the EU average which correlates with lower R&amp;D investments and productivity performance</w:t>
      </w:r>
      <w:r w:rsidRPr="00BA7B95">
        <w:rPr>
          <w:rFonts w:ascii="Times New Roman" w:eastAsia="Times New Roman" w:hAnsi="Times New Roman" w:cs="Times New Roman"/>
          <w:iCs/>
          <w:noProof/>
          <w:lang w:val="en-US" w:eastAsia="en-GB"/>
        </w:rPr>
        <w:t>.</w:t>
      </w:r>
      <w:r w:rsidRPr="00BA7B95">
        <w:rPr>
          <w:rFonts w:ascii="Times New Roman" w:eastAsia="Times New Roman" w:hAnsi="Times New Roman" w:cs="Times New Roman"/>
          <w:iCs/>
          <w:noProof/>
          <w:lang w:val="bg-BG" w:eastAsia="en-GB"/>
        </w:rPr>
        <w:t xml:space="preserve"> </w:t>
      </w:r>
      <w:r w:rsidRPr="00BA7B95">
        <w:rPr>
          <w:rFonts w:ascii="Times New Roman" w:eastAsia="Times New Roman" w:hAnsi="Times New Roman" w:cs="Times New Roman"/>
          <w:iCs/>
          <w:noProof/>
          <w:lang w:val="en-US" w:eastAsia="en-GB"/>
        </w:rPr>
        <w:t>Most jobs created by new firms emerged in less-productive sectors of the economy. Both countries’ research and innovation system face a number of structural shortcomings. In particular, these include low levels of public and private R&amp;I investment, fragmentation of the public science base, lack and ageing of skilled human resources, weak science-business links, low number of registered patents and licenses and inefficient governance. All these deficiencies are holding back the potential contribution of R&amp;I to productivity and economic growth and will strongly limit the capacity for upwards convergence in the midterm.</w:t>
      </w:r>
    </w:p>
    <w:p w14:paraId="73D46D64" w14:textId="77777777" w:rsidR="000A7DD2" w:rsidRPr="000A7DD2" w:rsidRDefault="000A7DD2" w:rsidP="000A7DD2">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u w:val="single"/>
          <w:lang w:eastAsia="en-GB"/>
        </w:rPr>
      </w:pPr>
      <w:r w:rsidRPr="000A7DD2">
        <w:rPr>
          <w:rFonts w:ascii="Times New Roman" w:eastAsia="Times New Roman" w:hAnsi="Times New Roman" w:cs="Times New Roman"/>
          <w:i/>
          <w:iCs/>
          <w:noProof/>
          <w:u w:val="single"/>
          <w:lang w:eastAsia="en-GB"/>
        </w:rPr>
        <w:t xml:space="preserve">1.7 </w:t>
      </w:r>
      <w:r w:rsidRPr="000A7DD2">
        <w:rPr>
          <w:rFonts w:ascii="Times New Roman" w:eastAsia="Times New Roman" w:hAnsi="Times New Roman" w:cs="Times New Roman"/>
          <w:i/>
          <w:iCs/>
          <w:noProof/>
          <w:u w:val="single"/>
          <w:lang w:val="en-US" w:eastAsia="en-GB"/>
        </w:rPr>
        <w:t>Underdeveloped year-round tourist infrastructure</w:t>
      </w:r>
    </w:p>
    <w:p w14:paraId="37758379" w14:textId="77777777" w:rsidR="000A7DD2" w:rsidRPr="00BA7B95" w:rsidRDefault="000A7DD2" w:rsidP="000A7DD2">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BA7B95">
        <w:rPr>
          <w:rFonts w:ascii="Times New Roman" w:eastAsia="Times New Roman" w:hAnsi="Times New Roman" w:cs="Times New Roman"/>
          <w:iCs/>
          <w:noProof/>
          <w:lang w:eastAsia="en-GB"/>
        </w:rPr>
        <w:t xml:space="preserve">The variety of natural and cultural assets in the CBC area is a key precondition for defining target- oriented tourist offer. However, findings indicate a lack of cross-border competitive </w:t>
      </w:r>
      <w:r w:rsidRPr="00BA7B95">
        <w:rPr>
          <w:rFonts w:ascii="Times New Roman" w:eastAsia="Times New Roman" w:hAnsi="Times New Roman" w:cs="Times New Roman"/>
          <w:iCs/>
          <w:noProof/>
          <w:lang w:val="en-US" w:eastAsia="en-GB"/>
        </w:rPr>
        <w:t xml:space="preserve">year-round </w:t>
      </w:r>
      <w:r w:rsidR="00973063">
        <w:rPr>
          <w:rFonts w:ascii="Times New Roman" w:eastAsia="Times New Roman" w:hAnsi="Times New Roman" w:cs="Times New Roman"/>
          <w:iCs/>
          <w:noProof/>
          <w:lang w:eastAsia="en-GB"/>
        </w:rPr>
        <w:t>tourist products</w:t>
      </w:r>
      <w:r w:rsidR="005011E2">
        <w:rPr>
          <w:rFonts w:ascii="Times New Roman" w:eastAsia="Times New Roman" w:hAnsi="Times New Roman" w:cs="Times New Roman"/>
          <w:iCs/>
          <w:noProof/>
          <w:lang w:eastAsia="en-GB"/>
        </w:rPr>
        <w:t xml:space="preserve"> and untap tourism potential</w:t>
      </w:r>
      <w:r w:rsidR="00973063">
        <w:rPr>
          <w:rFonts w:ascii="Times New Roman" w:eastAsia="Times New Roman" w:hAnsi="Times New Roman" w:cs="Times New Roman"/>
          <w:iCs/>
          <w:noProof/>
          <w:lang w:eastAsia="en-GB"/>
        </w:rPr>
        <w:t>.</w:t>
      </w:r>
      <w:r w:rsidR="006E4EE3" w:rsidRPr="006E4EE3">
        <w:rPr>
          <w:rFonts w:ascii="Times New Roman" w:eastAsia="Times New Roman" w:hAnsi="Times New Roman" w:cs="Times New Roman"/>
          <w:iCs/>
          <w:noProof/>
          <w:lang w:eastAsia="en-GB"/>
        </w:rPr>
        <w:t xml:space="preserve"> Apart from the emphasized seasonality of the tourist offer, there is still no developed interaction of the tourist function across the border</w:t>
      </w:r>
      <w:r w:rsidR="006E4EE3">
        <w:rPr>
          <w:rFonts w:ascii="Times New Roman" w:eastAsia="Times New Roman" w:hAnsi="Times New Roman" w:cs="Times New Roman"/>
          <w:iCs/>
          <w:noProof/>
          <w:lang w:eastAsia="en-GB"/>
        </w:rPr>
        <w:t>.</w:t>
      </w:r>
    </w:p>
    <w:p w14:paraId="32419366" w14:textId="77777777" w:rsidR="006E4EE3" w:rsidRDefault="000A7DD2">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BA7B95">
        <w:rPr>
          <w:rFonts w:ascii="Times New Roman" w:eastAsia="Times New Roman" w:hAnsi="Times New Roman" w:cs="Times New Roman"/>
          <w:iCs/>
          <w:noProof/>
          <w:lang w:eastAsia="en-GB"/>
        </w:rPr>
        <w:t xml:space="preserve">The programme territory on the Bulgarian side falls under the tourism regions of Sofia (popular for business and cultural tourism) and Rila - Pirin (popular for mountainous and religious tourism). A number of groundwater, springs, surface watercourses and mineral waters present in the </w:t>
      </w:r>
      <w:r w:rsidR="00B802AF">
        <w:rPr>
          <w:rFonts w:ascii="Times New Roman" w:eastAsia="Times New Roman" w:hAnsi="Times New Roman" w:cs="Times New Roman"/>
          <w:iCs/>
          <w:noProof/>
          <w:lang w:eastAsia="en-GB"/>
        </w:rPr>
        <w:t>[Republic of North Macedonia</w:t>
      </w:r>
      <w:r w:rsidRPr="00BA7B95">
        <w:rPr>
          <w:rFonts w:ascii="Times New Roman" w:eastAsia="Times New Roman" w:hAnsi="Times New Roman" w:cs="Times New Roman"/>
          <w:iCs/>
          <w:noProof/>
          <w:lang w:eastAsia="en-GB"/>
        </w:rPr>
        <w:t>’s</w:t>
      </w:r>
      <w:r w:rsidR="00665C4B">
        <w:rPr>
          <w:rFonts w:ascii="Times New Roman" w:eastAsia="Times New Roman" w:hAnsi="Times New Roman" w:cs="Times New Roman"/>
          <w:iCs/>
          <w:noProof/>
          <w:lang w:eastAsia="en-GB"/>
        </w:rPr>
        <w:t>]</w:t>
      </w:r>
      <w:r w:rsidRPr="00BA7B95">
        <w:rPr>
          <w:rFonts w:ascii="Times New Roman" w:eastAsia="Times New Roman" w:hAnsi="Times New Roman" w:cs="Times New Roman"/>
          <w:iCs/>
          <w:noProof/>
          <w:lang w:eastAsia="en-GB"/>
        </w:rPr>
        <w:t xml:space="preserve"> part of the programme area. In overall, the CBC area represents invaluable potential for development of tourism and for preservation of rich biodiversity of national and pan-European importance. The passage through the territory of the CBC region is part of the diagonal road of the Cultural Corridor connecting Southeast Europe with Asia. In addition to these factors, it should be mentioned the diversity of historical periods and relevant cultural values. The CBC area does not enjoy positive trends </w:t>
      </w:r>
      <w:r w:rsidR="003730C3">
        <w:rPr>
          <w:rFonts w:ascii="Times New Roman" w:eastAsia="Times New Roman" w:hAnsi="Times New Roman" w:cs="Times New Roman"/>
          <w:iCs/>
          <w:noProof/>
          <w:lang w:eastAsia="en-GB"/>
        </w:rPr>
        <w:t>in</w:t>
      </w:r>
      <w:r w:rsidRPr="00BA7B95">
        <w:rPr>
          <w:rFonts w:ascii="Times New Roman" w:eastAsia="Times New Roman" w:hAnsi="Times New Roman" w:cs="Times New Roman"/>
          <w:iCs/>
          <w:noProof/>
          <w:lang w:eastAsia="en-GB"/>
        </w:rPr>
        <w:t xml:space="preserve"> the enhancement of the tourism attractiveness of the region - the number of nights spent in the area is below the respective national </w:t>
      </w:r>
      <w:r w:rsidRPr="00BA7B95">
        <w:rPr>
          <w:rFonts w:ascii="Times New Roman" w:eastAsia="Times New Roman" w:hAnsi="Times New Roman" w:cs="Times New Roman"/>
          <w:iCs/>
          <w:noProof/>
          <w:lang w:eastAsia="en-GB"/>
        </w:rPr>
        <w:lastRenderedPageBreak/>
        <w:t>average with the exception of Blagoevgrad district being home of two popular year-round tourism centres – Bansko (ski and mountainous resort) and Sandanski (spa centre).</w:t>
      </w:r>
    </w:p>
    <w:p w14:paraId="18C06CC0" w14:textId="77777777" w:rsidR="00340BEC" w:rsidRPr="00340BEC" w:rsidRDefault="00340BEC" w:rsidP="00340BEC">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val="bg-BG" w:eastAsia="en-GB"/>
        </w:rPr>
      </w:pPr>
      <w:r w:rsidRPr="00340BEC">
        <w:rPr>
          <w:rFonts w:ascii="Times New Roman" w:eastAsia="Times New Roman" w:hAnsi="Times New Roman" w:cs="Times New Roman"/>
          <w:iCs/>
          <w:noProof/>
          <w:lang w:eastAsia="en-GB"/>
        </w:rPr>
        <w:t>Despite the enabling factors and preconditions, tourism in the region "recognizes" insurmountable weaknesses: underdeveloped tourism product as a whole, underdeveloped network of companies for services and offers in tourism, insufficiently qualified staff in the field of tourism services, poor condition and limited access to natural and cultural-historical heritage sites.</w:t>
      </w:r>
      <w:r w:rsidR="009C0219">
        <w:rPr>
          <w:rFonts w:ascii="Times New Roman" w:eastAsia="Times New Roman" w:hAnsi="Times New Roman" w:cs="Times New Roman"/>
          <w:iCs/>
          <w:noProof/>
          <w:lang w:eastAsia="en-GB"/>
        </w:rPr>
        <w:t xml:space="preserve"> The Covid’s impact on tourism </w:t>
      </w:r>
      <w:r w:rsidR="00E56097">
        <w:rPr>
          <w:rFonts w:ascii="Times New Roman" w:eastAsia="Times New Roman" w:hAnsi="Times New Roman" w:cs="Times New Roman"/>
          <w:iCs/>
          <w:noProof/>
          <w:lang w:eastAsia="en-GB"/>
        </w:rPr>
        <w:t>raises</w:t>
      </w:r>
      <w:r w:rsidR="009C0219">
        <w:rPr>
          <w:rFonts w:ascii="Times New Roman" w:eastAsia="Times New Roman" w:hAnsi="Times New Roman" w:cs="Times New Roman"/>
          <w:iCs/>
          <w:noProof/>
          <w:lang w:eastAsia="en-GB"/>
        </w:rPr>
        <w:t xml:space="preserve"> additional challenges</w:t>
      </w:r>
      <w:r w:rsidR="00E56097">
        <w:rPr>
          <w:rFonts w:ascii="Times New Roman" w:eastAsia="Times New Roman" w:hAnsi="Times New Roman" w:cs="Times New Roman"/>
          <w:iCs/>
          <w:noProof/>
          <w:lang w:eastAsia="en-GB"/>
        </w:rPr>
        <w:t>.</w:t>
      </w:r>
      <w:r w:rsidR="009C0219">
        <w:rPr>
          <w:rFonts w:ascii="Times New Roman" w:eastAsia="Times New Roman" w:hAnsi="Times New Roman" w:cs="Times New Roman"/>
          <w:iCs/>
          <w:noProof/>
          <w:lang w:eastAsia="en-GB"/>
        </w:rPr>
        <w:t xml:space="preserve"> </w:t>
      </w:r>
      <w:r w:rsidR="00E56097">
        <w:rPr>
          <w:rFonts w:ascii="Times New Roman" w:eastAsia="Times New Roman" w:hAnsi="Times New Roman" w:cs="Times New Roman"/>
          <w:iCs/>
          <w:noProof/>
          <w:lang w:eastAsia="en-GB"/>
        </w:rPr>
        <w:t>Along with the need to develop turism-driven local industries due to untap tourism potential, parallel multilateral efforts</w:t>
      </w:r>
      <w:r w:rsidR="008D4E69">
        <w:rPr>
          <w:rFonts w:ascii="Times New Roman" w:eastAsia="Times New Roman" w:hAnsi="Times New Roman" w:cs="Times New Roman"/>
          <w:iCs/>
          <w:noProof/>
          <w:lang w:eastAsia="en-GB"/>
        </w:rPr>
        <w:t xml:space="preserve"> and policy responces</w:t>
      </w:r>
      <w:r w:rsidR="00E56097">
        <w:rPr>
          <w:rFonts w:ascii="Times New Roman" w:eastAsia="Times New Roman" w:hAnsi="Times New Roman" w:cs="Times New Roman"/>
          <w:iCs/>
          <w:noProof/>
          <w:lang w:eastAsia="en-GB"/>
        </w:rPr>
        <w:t xml:space="preserve"> to </w:t>
      </w:r>
      <w:r w:rsidR="009C0219">
        <w:rPr>
          <w:rFonts w:ascii="Times New Roman" w:eastAsia="Times New Roman" w:hAnsi="Times New Roman" w:cs="Times New Roman"/>
          <w:iCs/>
          <w:noProof/>
          <w:lang w:eastAsia="en-GB"/>
        </w:rPr>
        <w:t xml:space="preserve">rebuild the </w:t>
      </w:r>
      <w:r w:rsidR="00E56097">
        <w:rPr>
          <w:rFonts w:ascii="Times New Roman" w:eastAsia="Times New Roman" w:hAnsi="Times New Roman" w:cs="Times New Roman"/>
          <w:iCs/>
          <w:noProof/>
          <w:lang w:eastAsia="en-GB"/>
        </w:rPr>
        <w:t xml:space="preserve">tourism </w:t>
      </w:r>
      <w:r w:rsidR="009C0219">
        <w:rPr>
          <w:rFonts w:ascii="Times New Roman" w:eastAsia="Times New Roman" w:hAnsi="Times New Roman" w:cs="Times New Roman"/>
          <w:iCs/>
          <w:noProof/>
          <w:lang w:eastAsia="en-GB"/>
        </w:rPr>
        <w:t>linkages with</w:t>
      </w:r>
      <w:r w:rsidR="009C0219" w:rsidRPr="009C0219">
        <w:rPr>
          <w:rFonts w:ascii="Times New Roman" w:eastAsia="Times New Roman" w:hAnsi="Times New Roman" w:cs="Times New Roman"/>
          <w:iCs/>
          <w:noProof/>
          <w:lang w:eastAsia="en-GB"/>
        </w:rPr>
        <w:t xml:space="preserve"> </w:t>
      </w:r>
      <w:r w:rsidR="009C0219">
        <w:rPr>
          <w:rFonts w:ascii="Times New Roman" w:eastAsia="Times New Roman" w:hAnsi="Times New Roman" w:cs="Times New Roman"/>
          <w:iCs/>
          <w:noProof/>
          <w:lang w:eastAsia="en-GB"/>
        </w:rPr>
        <w:t>local stakeholders</w:t>
      </w:r>
      <w:r w:rsidR="00E56097">
        <w:rPr>
          <w:rFonts w:ascii="Times New Roman" w:eastAsia="Times New Roman" w:hAnsi="Times New Roman" w:cs="Times New Roman"/>
          <w:iCs/>
          <w:noProof/>
          <w:lang w:eastAsia="en-GB"/>
        </w:rPr>
        <w:t>, other economic sectors and</w:t>
      </w:r>
      <w:r w:rsidR="009C0219" w:rsidRPr="009C0219">
        <w:rPr>
          <w:rFonts w:ascii="Times New Roman" w:eastAsia="Times New Roman" w:hAnsi="Times New Roman" w:cs="Times New Roman"/>
          <w:iCs/>
          <w:noProof/>
          <w:lang w:eastAsia="en-GB"/>
        </w:rPr>
        <w:t xml:space="preserve"> natural resources and ecosystems</w:t>
      </w:r>
      <w:r w:rsidR="008D4E69">
        <w:rPr>
          <w:rFonts w:ascii="Times New Roman" w:eastAsia="Times New Roman" w:hAnsi="Times New Roman" w:cs="Times New Roman"/>
          <w:iCs/>
          <w:noProof/>
          <w:lang w:eastAsia="en-GB"/>
        </w:rPr>
        <w:t xml:space="preserve"> should be strategically comprehended and </w:t>
      </w:r>
      <w:r w:rsidR="00482F66">
        <w:rPr>
          <w:rFonts w:ascii="Times New Roman" w:eastAsia="Times New Roman" w:hAnsi="Times New Roman" w:cs="Times New Roman"/>
          <w:iCs/>
          <w:noProof/>
          <w:lang w:eastAsia="en-GB"/>
        </w:rPr>
        <w:t xml:space="preserve">practically </w:t>
      </w:r>
      <w:r w:rsidR="008D4E69">
        <w:rPr>
          <w:rFonts w:ascii="Times New Roman" w:eastAsia="Times New Roman" w:hAnsi="Times New Roman" w:cs="Times New Roman"/>
          <w:iCs/>
          <w:noProof/>
          <w:lang w:eastAsia="en-GB"/>
        </w:rPr>
        <w:t xml:space="preserve">addressed in an integrated and </w:t>
      </w:r>
      <w:r w:rsidR="008D4E69" w:rsidRPr="008D4E69">
        <w:rPr>
          <w:rFonts w:ascii="Times New Roman" w:eastAsia="Times New Roman" w:hAnsi="Times New Roman" w:cs="Times New Roman"/>
          <w:iCs/>
          <w:noProof/>
          <w:lang w:eastAsia="en-GB"/>
        </w:rPr>
        <w:t>resilient</w:t>
      </w:r>
      <w:r w:rsidR="008D4E69">
        <w:rPr>
          <w:rFonts w:ascii="Times New Roman" w:eastAsia="Times New Roman" w:hAnsi="Times New Roman" w:cs="Times New Roman"/>
          <w:iCs/>
          <w:noProof/>
          <w:lang w:eastAsia="en-GB"/>
        </w:rPr>
        <w:t xml:space="preserve"> </w:t>
      </w:r>
      <w:r w:rsidR="00482F66">
        <w:rPr>
          <w:rFonts w:ascii="Times New Roman" w:eastAsia="Times New Roman" w:hAnsi="Times New Roman" w:cs="Times New Roman"/>
          <w:iCs/>
          <w:noProof/>
          <w:lang w:eastAsia="en-GB"/>
        </w:rPr>
        <w:t>manner</w:t>
      </w:r>
      <w:r w:rsidR="009C0219">
        <w:rPr>
          <w:rFonts w:ascii="Times New Roman" w:eastAsia="Times New Roman" w:hAnsi="Times New Roman" w:cs="Times New Roman"/>
          <w:iCs/>
          <w:noProof/>
          <w:lang w:eastAsia="en-GB"/>
        </w:rPr>
        <w:t xml:space="preserve">.   </w:t>
      </w:r>
    </w:p>
    <w:p w14:paraId="2918BA2C" w14:textId="77777777" w:rsidR="00533160" w:rsidRPr="00BA7B95" w:rsidRDefault="00533160" w:rsidP="00533160">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u w:val="single"/>
          <w:lang w:eastAsia="en-GB"/>
        </w:rPr>
      </w:pPr>
      <w:r w:rsidRPr="00BA7B95">
        <w:rPr>
          <w:rFonts w:ascii="Times New Roman" w:eastAsia="Times New Roman" w:hAnsi="Times New Roman" w:cs="Times New Roman"/>
          <w:i/>
          <w:iCs/>
          <w:noProof/>
          <w:u w:val="single"/>
          <w:lang w:eastAsia="en-GB"/>
        </w:rPr>
        <w:t>1.8 Lack of ecosystem-based practices and services to handle natural hazards and biodiversity loss</w:t>
      </w:r>
    </w:p>
    <w:p w14:paraId="34AAFB35" w14:textId="77777777" w:rsidR="00533160" w:rsidRPr="00533160" w:rsidRDefault="00533160" w:rsidP="00533160">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533160">
        <w:rPr>
          <w:rFonts w:ascii="Times New Roman" w:eastAsia="Times New Roman" w:hAnsi="Times New Roman" w:cs="Times New Roman"/>
          <w:iCs/>
          <w:noProof/>
          <w:lang w:eastAsia="en-GB"/>
        </w:rPr>
        <w:t xml:space="preserve">The environmental dimensions of territorial cohesion are generally poorly understood and need to be placed on an equal standing with the economic and social elements of the concept. The link between biodiversity and the provision of ecosystem services has not yet been built in the CBC area, despite the large amount of natural areas that enjoy various national and international protection statuses. The Territorial Analysis outlines the pollution of rivers, floods, landslides and fires as the biggest environmental problems of the border region. There are highly polluted river sections particularly within the catchment area of the Struma, and Bregalnitza, Strumica and part of the Vardar River resulting mainly from the direct flow of waste waters from industry (and mine sites) and households, mine deposits and the use of pesticides </w:t>
      </w:r>
      <w:r w:rsidR="00973063">
        <w:rPr>
          <w:rFonts w:ascii="Times New Roman" w:eastAsia="Times New Roman" w:hAnsi="Times New Roman" w:cs="Times New Roman"/>
          <w:iCs/>
          <w:noProof/>
          <w:lang w:eastAsia="en-GB"/>
        </w:rPr>
        <w:t>and fertilizers in agriculture.</w:t>
      </w:r>
    </w:p>
    <w:p w14:paraId="1E73F633" w14:textId="77777777" w:rsidR="00533160" w:rsidRPr="00533160" w:rsidRDefault="00533160" w:rsidP="00533160">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533160">
        <w:rPr>
          <w:rFonts w:ascii="Times New Roman" w:eastAsia="Times New Roman" w:hAnsi="Times New Roman" w:cs="Times New Roman"/>
          <w:iCs/>
          <w:noProof/>
          <w:lang w:eastAsia="en-GB"/>
        </w:rPr>
        <w:t xml:space="preserve">Ecosystem services have a strong impact on the way natural hazards has been handled. Since the ecological infrastructure in the CBC area is generally assessed as underdeveloped, the absence of ecosystem-based practices and services to deal with various environmental challenges, weakens efforts for addressing climate change issues. Various analyses, assessments, and scenarios by national and international institutions and experts place the Republic of Bulgaria and the </w:t>
      </w:r>
      <w:r w:rsidR="00B802AF">
        <w:rPr>
          <w:rFonts w:ascii="Times New Roman" w:eastAsia="Times New Roman" w:hAnsi="Times New Roman" w:cs="Times New Roman"/>
          <w:iCs/>
          <w:noProof/>
          <w:lang w:eastAsia="en-GB"/>
        </w:rPr>
        <w:t>[Republic of North Macedonia]</w:t>
      </w:r>
      <w:r w:rsidRPr="00533160">
        <w:rPr>
          <w:rFonts w:ascii="Times New Roman" w:eastAsia="Times New Roman" w:hAnsi="Times New Roman" w:cs="Times New Roman"/>
          <w:iCs/>
          <w:noProof/>
          <w:lang w:eastAsia="en-GB"/>
        </w:rPr>
        <w:t xml:space="preserve"> among the countries with a higher risk of climate change. The factors expected to adversely affect human health, environment, biodiversity, and economic growth include: (1) frequent floods, (2) powerful convective storms, which have caused serious material damage and casualties in a number of regions of the Republic of Bulgaria, (3) severe droughts; (4) landslides; (5) increasing</w:t>
      </w:r>
      <w:r w:rsidRPr="00533160">
        <w:rPr>
          <w:rFonts w:ascii="Times New Roman" w:eastAsia="Times New Roman" w:hAnsi="Times New Roman" w:cs="Times New Roman"/>
          <w:iCs/>
          <w:noProof/>
          <w:lang w:val="en-US" w:eastAsia="en-GB"/>
        </w:rPr>
        <w:t xml:space="preserve"> frequency</w:t>
      </w:r>
      <w:r w:rsidRPr="00533160">
        <w:rPr>
          <w:rFonts w:ascii="Times New Roman" w:eastAsia="Times New Roman" w:hAnsi="Times New Roman" w:cs="Times New Roman"/>
          <w:iCs/>
          <w:noProof/>
          <w:lang w:eastAsia="en-GB"/>
        </w:rPr>
        <w:t xml:space="preserve"> of forest fires due to insufficient afforestation,</w:t>
      </w:r>
      <w:r w:rsidRPr="00533160">
        <w:rPr>
          <w:rFonts w:ascii="Times New Roman" w:eastAsia="Times New Roman" w:hAnsi="Times New Roman" w:cs="Times New Roman"/>
          <w:iCs/>
          <w:noProof/>
          <w:lang w:val="bg-BG" w:eastAsia="en-GB"/>
        </w:rPr>
        <w:t xml:space="preserve"> </w:t>
      </w:r>
      <w:r w:rsidRPr="00533160">
        <w:rPr>
          <w:rFonts w:ascii="Times New Roman" w:eastAsia="Times New Roman" w:hAnsi="Times New Roman" w:cs="Times New Roman"/>
          <w:iCs/>
          <w:noProof/>
          <w:lang w:eastAsia="en-GB"/>
        </w:rPr>
        <w:t>self-ignition of dry grass near forests, careless handling of fire, uncontrolled burning of household waste; (6) rel</w:t>
      </w:r>
      <w:r w:rsidR="00973063">
        <w:rPr>
          <w:rFonts w:ascii="Times New Roman" w:eastAsia="Times New Roman" w:hAnsi="Times New Roman" w:cs="Times New Roman"/>
          <w:iCs/>
          <w:noProof/>
          <w:lang w:eastAsia="en-GB"/>
        </w:rPr>
        <w:t>atively high seismic hazard.</w:t>
      </w:r>
    </w:p>
    <w:p w14:paraId="61B8C31D" w14:textId="77777777" w:rsidR="00533160" w:rsidRPr="00533160" w:rsidRDefault="00533160" w:rsidP="00533160">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533160">
        <w:rPr>
          <w:rFonts w:ascii="Times New Roman" w:eastAsia="Times New Roman" w:hAnsi="Times New Roman" w:cs="Times New Roman"/>
          <w:iCs/>
          <w:noProof/>
          <w:lang w:eastAsia="en-GB"/>
        </w:rPr>
        <w:t>The integrity of almost all natural ecosystems in the CBC area is currently threatened, due partly to ongoing climatic changes but also to anthropogenic pressures, resulting in habitat degradation and the increasing threat of forest fires. The biodiversity loss continues, and populations of several rare species continue to decline in size. Currently applied management approaches and strategies do not provide for effective biodiversity conservation. The current national protected areas network that falls within the CBC area does not ensure ecological continuity and connectivity, as linking ecologic</w:t>
      </w:r>
      <w:r w:rsidR="00973063">
        <w:rPr>
          <w:rFonts w:ascii="Times New Roman" w:eastAsia="Times New Roman" w:hAnsi="Times New Roman" w:cs="Times New Roman"/>
          <w:iCs/>
          <w:noProof/>
          <w:lang w:eastAsia="en-GB"/>
        </w:rPr>
        <w:t>al corridors are still lacking.</w:t>
      </w:r>
    </w:p>
    <w:p w14:paraId="08221F68" w14:textId="77777777" w:rsidR="00533160" w:rsidRPr="00BA7B95" w:rsidRDefault="00533160" w:rsidP="00533160">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u w:val="single"/>
          <w:lang w:eastAsia="en-GB"/>
        </w:rPr>
      </w:pPr>
      <w:r w:rsidRPr="00BA7B95">
        <w:rPr>
          <w:rFonts w:ascii="Times New Roman" w:eastAsia="Times New Roman" w:hAnsi="Times New Roman" w:cs="Times New Roman"/>
          <w:i/>
          <w:iCs/>
          <w:noProof/>
          <w:u w:val="single"/>
          <w:lang w:eastAsia="en-GB"/>
        </w:rPr>
        <w:t>1.9 Limited preparedness for green transition</w:t>
      </w:r>
    </w:p>
    <w:p w14:paraId="201B9387" w14:textId="77777777" w:rsidR="00533160" w:rsidRPr="00533160" w:rsidRDefault="000E5323" w:rsidP="00533160">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Pr>
          <w:rFonts w:ascii="Times New Roman" w:eastAsia="Times New Roman" w:hAnsi="Times New Roman" w:cs="Times New Roman"/>
          <w:iCs/>
          <w:noProof/>
          <w:lang w:eastAsia="en-GB"/>
        </w:rPr>
        <w:t xml:space="preserve">Both national </w:t>
      </w:r>
      <w:r w:rsidR="00533160" w:rsidRPr="00533160">
        <w:rPr>
          <w:rFonts w:ascii="Times New Roman" w:eastAsia="Times New Roman" w:hAnsi="Times New Roman" w:cs="Times New Roman"/>
          <w:iCs/>
          <w:noProof/>
          <w:lang w:eastAsia="en-GB"/>
        </w:rPr>
        <w:t xml:space="preserve">economies are highly energy-intensive. The economy of the </w:t>
      </w:r>
      <w:r w:rsidR="00B802AF">
        <w:rPr>
          <w:rFonts w:ascii="Times New Roman" w:eastAsia="Times New Roman" w:hAnsi="Times New Roman" w:cs="Times New Roman"/>
          <w:iCs/>
          <w:noProof/>
          <w:lang w:eastAsia="en-GB"/>
        </w:rPr>
        <w:t>[Republic of North Macedonia]</w:t>
      </w:r>
      <w:r>
        <w:rPr>
          <w:rFonts w:ascii="Times New Roman" w:eastAsia="Times New Roman" w:hAnsi="Times New Roman" w:cs="Times New Roman"/>
          <w:iCs/>
          <w:noProof/>
          <w:lang w:eastAsia="en-GB"/>
        </w:rPr>
        <w:t xml:space="preserve"> </w:t>
      </w:r>
      <w:r w:rsidR="00533160" w:rsidRPr="00533160">
        <w:rPr>
          <w:rFonts w:ascii="Times New Roman" w:eastAsia="Times New Roman" w:hAnsi="Times New Roman" w:cs="Times New Roman"/>
          <w:iCs/>
          <w:noProof/>
          <w:lang w:eastAsia="en-GB"/>
        </w:rPr>
        <w:t>is characterised by inefficiencies in the ageing energy production system, persistent high dependency on coal, and an inefficient energy consumption.</w:t>
      </w:r>
      <w:r w:rsidR="00533160" w:rsidRPr="00533160">
        <w:rPr>
          <w:rFonts w:ascii="Times New Roman" w:eastAsia="Times New Roman" w:hAnsi="Times New Roman" w:cs="Times New Roman"/>
          <w:iCs/>
          <w:noProof/>
          <w:lang w:val="bg-BG" w:eastAsia="en-GB"/>
        </w:rPr>
        <w:t xml:space="preserve"> </w:t>
      </w:r>
      <w:r w:rsidR="00533160" w:rsidRPr="00533160">
        <w:rPr>
          <w:rFonts w:ascii="Times New Roman" w:eastAsia="Times New Roman" w:hAnsi="Times New Roman" w:cs="Times New Roman"/>
          <w:iCs/>
          <w:noProof/>
          <w:lang w:eastAsia="en-GB"/>
        </w:rPr>
        <w:t xml:space="preserve">The country is at the inception stage for setting the premises for delivering on many targets reviewed in the OECD Environmental Performance Review. According to its 2019 edition, mitigation measures have been implemented in the energy sector, ranging from the introduction of energy audits to subsidies for energy efficiency measures in households. Because of the dominant use of domestic lignite for electricity production, the country has a potential for greenhouse gas (GHG) emissions reductions. Solid waste disposal is by far the greatest contributor to the GHG emissions of the waste sector, </w:t>
      </w:r>
      <w:r w:rsidR="00533160" w:rsidRPr="00533160">
        <w:rPr>
          <w:rFonts w:ascii="Times New Roman" w:eastAsia="Times New Roman" w:hAnsi="Times New Roman" w:cs="Times New Roman"/>
          <w:iCs/>
          <w:noProof/>
          <w:lang w:eastAsia="en-GB"/>
        </w:rPr>
        <w:lastRenderedPageBreak/>
        <w:t>which is also the highest growing category in terms of emissions a</w:t>
      </w:r>
      <w:r w:rsidR="00533160" w:rsidRPr="00533160">
        <w:rPr>
          <w:rFonts w:ascii="Times New Roman" w:eastAsia="Times New Roman" w:hAnsi="Times New Roman" w:cs="Times New Roman"/>
          <w:iCs/>
          <w:noProof/>
          <w:lang w:val="en-US" w:eastAsia="en-GB"/>
        </w:rPr>
        <w:t>long with</w:t>
      </w:r>
      <w:r w:rsidR="00533160" w:rsidRPr="00533160">
        <w:rPr>
          <w:rFonts w:ascii="Times New Roman" w:eastAsia="Times New Roman" w:hAnsi="Times New Roman" w:cs="Times New Roman"/>
          <w:iCs/>
          <w:noProof/>
          <w:lang w:val="bg-BG" w:eastAsia="en-GB"/>
        </w:rPr>
        <w:t xml:space="preserve"> </w:t>
      </w:r>
      <w:r w:rsidR="00533160" w:rsidRPr="00533160">
        <w:rPr>
          <w:rFonts w:ascii="Times New Roman" w:eastAsia="Times New Roman" w:hAnsi="Times New Roman" w:cs="Times New Roman"/>
          <w:iCs/>
          <w:noProof/>
          <w:lang w:eastAsia="en-GB"/>
        </w:rPr>
        <w:t>very high transport-related GHG emissions amounting to 15% of country’s total emissions</w:t>
      </w:r>
      <w:r w:rsidR="00533160" w:rsidRPr="00533160">
        <w:rPr>
          <w:rFonts w:ascii="Times New Roman" w:eastAsia="Times New Roman" w:hAnsi="Times New Roman" w:cs="Times New Roman"/>
          <w:iCs/>
          <w:noProof/>
          <w:lang w:val="bg-BG" w:eastAsia="en-GB"/>
        </w:rPr>
        <w:t>.</w:t>
      </w:r>
      <w:r w:rsidR="00533160" w:rsidRPr="00533160">
        <w:rPr>
          <w:rFonts w:ascii="Times New Roman" w:eastAsia="Times New Roman" w:hAnsi="Times New Roman" w:cs="Times New Roman"/>
          <w:iCs/>
          <w:noProof/>
          <w:lang w:eastAsia="en-GB"/>
        </w:rPr>
        <w:t xml:space="preserve"> Since 2008, the country has made little progress in developing waste management infrastructure. The existing non-compliant municipal landfills do not meet even the basic conditions for safe waste disposal. Despite developments in the establishment of regional waste management systems and progress in the preparatory work, none of the regional landfills has be</w:t>
      </w:r>
      <w:r w:rsidR="00973063">
        <w:rPr>
          <w:rFonts w:ascii="Times New Roman" w:eastAsia="Times New Roman" w:hAnsi="Times New Roman" w:cs="Times New Roman"/>
          <w:iCs/>
          <w:noProof/>
          <w:lang w:eastAsia="en-GB"/>
        </w:rPr>
        <w:t>en completed.</w:t>
      </w:r>
    </w:p>
    <w:p w14:paraId="5CF7651A" w14:textId="77777777" w:rsidR="00533160" w:rsidRPr="00533160" w:rsidRDefault="000E5323" w:rsidP="00533160">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Pr>
          <w:rFonts w:ascii="Times New Roman" w:eastAsia="Times New Roman" w:hAnsi="Times New Roman" w:cs="Times New Roman"/>
          <w:iCs/>
          <w:noProof/>
          <w:lang w:eastAsia="en-GB"/>
        </w:rPr>
        <w:t xml:space="preserve">Republic of </w:t>
      </w:r>
      <w:r w:rsidR="00533160" w:rsidRPr="00533160">
        <w:rPr>
          <w:rFonts w:ascii="Times New Roman" w:eastAsia="Times New Roman" w:hAnsi="Times New Roman" w:cs="Times New Roman"/>
          <w:iCs/>
          <w:noProof/>
          <w:lang w:eastAsia="en-GB"/>
        </w:rPr>
        <w:t xml:space="preserve">Bulgaria remains the most energy-and greenhouse gas-intensive economy in the EU by a wide margin. In 2017, </w:t>
      </w:r>
      <w:r>
        <w:rPr>
          <w:rFonts w:ascii="Times New Roman" w:eastAsia="Times New Roman" w:hAnsi="Times New Roman" w:cs="Times New Roman"/>
          <w:iCs/>
          <w:noProof/>
          <w:lang w:eastAsia="en-GB"/>
        </w:rPr>
        <w:t xml:space="preserve">Republic of </w:t>
      </w:r>
      <w:r w:rsidR="00533160" w:rsidRPr="00533160">
        <w:rPr>
          <w:rFonts w:ascii="Times New Roman" w:eastAsia="Times New Roman" w:hAnsi="Times New Roman" w:cs="Times New Roman"/>
          <w:iCs/>
          <w:noProof/>
          <w:lang w:eastAsia="en-GB"/>
        </w:rPr>
        <w:t>Bulgaria needed 3.8 times more energy and produced 4.4 times more carbon emissions per unit of GDP than the EU average. However, the country is still on track to achieve its targets for GHG emissions and renewable energy. It is not progressing, though, towards its energy efficiency indicative targets and the gap between the current and target levels of energy consumption is widening.</w:t>
      </w:r>
    </w:p>
    <w:p w14:paraId="19EE8617" w14:textId="77777777" w:rsidR="00533160" w:rsidRPr="00533160" w:rsidRDefault="00533160" w:rsidP="00533160">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533160">
        <w:rPr>
          <w:rFonts w:ascii="Times New Roman" w:eastAsia="Times New Roman" w:hAnsi="Times New Roman" w:cs="Times New Roman"/>
          <w:iCs/>
          <w:noProof/>
          <w:lang w:eastAsia="en-GB"/>
        </w:rPr>
        <w:t>There are serious social challenges associated with the process of effective energy transformation, such as job losses and falling life quality standards. A significant number of workers will be negatively affected by the closure of coal power plants and mines, giving rise to serious needs for requalification and the creation of new jobs. The concentration of the vast majority of coal production in only a few areas, like Kyustendil district from the CBC area, is likely to lead to significant socio-economic and territorial disparities. Energy and job alternatives to those directly employed in the coal industry are unlikely to be found in the same areas. This would require important investments in re-skilling of the workforce, as well as sectoral and geographic mobility support to reduce net job losses</w:t>
      </w:r>
      <w:r w:rsidRPr="00533160">
        <w:rPr>
          <w:rFonts w:ascii="Times New Roman" w:eastAsia="Times New Roman" w:hAnsi="Times New Roman" w:cs="Times New Roman"/>
          <w:iCs/>
          <w:noProof/>
          <w:vertAlign w:val="superscript"/>
          <w:lang w:eastAsia="en-GB"/>
        </w:rPr>
        <w:footnoteReference w:id="7"/>
      </w:r>
      <w:r w:rsidRPr="00533160">
        <w:rPr>
          <w:rFonts w:ascii="Times New Roman" w:eastAsia="Times New Roman" w:hAnsi="Times New Roman" w:cs="Times New Roman"/>
          <w:iCs/>
          <w:noProof/>
          <w:lang w:eastAsia="en-GB"/>
        </w:rPr>
        <w:t>. There will also be a significant effect on indirect jobs (e.g. suppliers, caterers, service providers) and the fami</w:t>
      </w:r>
      <w:r w:rsidR="00973063">
        <w:rPr>
          <w:rFonts w:ascii="Times New Roman" w:eastAsia="Times New Roman" w:hAnsi="Times New Roman" w:cs="Times New Roman"/>
          <w:iCs/>
          <w:noProof/>
          <w:lang w:eastAsia="en-GB"/>
        </w:rPr>
        <w:t>lies of the affected workforce.</w:t>
      </w:r>
    </w:p>
    <w:p w14:paraId="6E9AEC8E" w14:textId="77777777" w:rsidR="00340BEC" w:rsidRPr="00BA7B95" w:rsidRDefault="00533160">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val="en-US" w:eastAsia="en-GB"/>
        </w:rPr>
      </w:pPr>
      <w:r w:rsidRPr="00533160">
        <w:rPr>
          <w:rFonts w:ascii="Times New Roman" w:eastAsia="Times New Roman" w:hAnsi="Times New Roman" w:cs="Times New Roman"/>
          <w:iCs/>
          <w:noProof/>
          <w:lang w:eastAsia="en-GB"/>
        </w:rPr>
        <w:t>Although policy actions promoting green transition have been taken in</w:t>
      </w:r>
      <w:r w:rsidR="000E5323">
        <w:rPr>
          <w:rFonts w:ascii="Times New Roman" w:eastAsia="Times New Roman" w:hAnsi="Times New Roman" w:cs="Times New Roman"/>
          <w:iCs/>
          <w:noProof/>
          <w:lang w:eastAsia="en-GB"/>
        </w:rPr>
        <w:t xml:space="preserve"> the Republic of</w:t>
      </w:r>
      <w:r w:rsidRPr="00533160">
        <w:rPr>
          <w:rFonts w:ascii="Times New Roman" w:eastAsia="Times New Roman" w:hAnsi="Times New Roman" w:cs="Times New Roman"/>
          <w:iCs/>
          <w:noProof/>
          <w:lang w:eastAsia="en-GB"/>
        </w:rPr>
        <w:t xml:space="preserve"> Bulgaria, the country continues lagging behind the EU in all components of the circular economy</w:t>
      </w:r>
      <w:r w:rsidRPr="00533160">
        <w:rPr>
          <w:rFonts w:ascii="Times New Roman" w:eastAsia="Times New Roman" w:hAnsi="Times New Roman" w:cs="Times New Roman"/>
          <w:iCs/>
          <w:noProof/>
          <w:vertAlign w:val="superscript"/>
          <w:lang w:eastAsia="en-GB"/>
        </w:rPr>
        <w:footnoteReference w:id="8"/>
      </w:r>
      <w:r w:rsidR="00E74B5A">
        <w:rPr>
          <w:rFonts w:ascii="Times New Roman" w:eastAsia="Times New Roman" w:hAnsi="Times New Roman" w:cs="Times New Roman"/>
          <w:iCs/>
          <w:noProof/>
          <w:lang w:eastAsia="en-GB"/>
        </w:rPr>
        <w:t>.</w:t>
      </w:r>
      <w:r w:rsidRPr="00533160">
        <w:rPr>
          <w:rFonts w:ascii="Times New Roman" w:eastAsia="Times New Roman" w:hAnsi="Times New Roman" w:cs="Times New Roman"/>
          <w:iCs/>
          <w:noProof/>
          <w:lang w:eastAsia="en-GB"/>
        </w:rPr>
        <w:t xml:space="preserve"> The scale of resource productivity of </w:t>
      </w:r>
      <w:r w:rsidR="00972BF2">
        <w:rPr>
          <w:rFonts w:ascii="Times New Roman" w:eastAsia="Times New Roman" w:hAnsi="Times New Roman" w:cs="Times New Roman"/>
          <w:iCs/>
          <w:noProof/>
          <w:lang w:eastAsia="en-GB"/>
        </w:rPr>
        <w:t>t</w:t>
      </w:r>
      <w:r w:rsidRPr="00533160">
        <w:rPr>
          <w:rFonts w:ascii="Times New Roman" w:eastAsia="Times New Roman" w:hAnsi="Times New Roman" w:cs="Times New Roman"/>
          <w:iCs/>
          <w:noProof/>
          <w:lang w:eastAsia="en-GB"/>
        </w:rPr>
        <w:t xml:space="preserve">he </w:t>
      </w:r>
      <w:r w:rsidR="00B802AF">
        <w:rPr>
          <w:rFonts w:ascii="Times New Roman" w:eastAsia="Times New Roman" w:hAnsi="Times New Roman" w:cs="Times New Roman"/>
          <w:iCs/>
          <w:noProof/>
          <w:lang w:eastAsia="en-GB"/>
        </w:rPr>
        <w:t>[Republic of North Macedonia]</w:t>
      </w:r>
      <w:r w:rsidRPr="00533160">
        <w:rPr>
          <w:rFonts w:ascii="Times New Roman" w:eastAsia="Times New Roman" w:hAnsi="Times New Roman" w:cs="Times New Roman"/>
          <w:iCs/>
          <w:noProof/>
          <w:lang w:eastAsia="en-GB"/>
        </w:rPr>
        <w:t xml:space="preserve"> also is far below the EU28’s average. Both countries lack a circular economy strategy. The </w:t>
      </w:r>
      <w:r w:rsidR="00B802AF">
        <w:rPr>
          <w:rFonts w:ascii="Times New Roman" w:eastAsia="Times New Roman" w:hAnsi="Times New Roman" w:cs="Times New Roman"/>
          <w:iCs/>
          <w:noProof/>
          <w:lang w:eastAsia="en-GB"/>
        </w:rPr>
        <w:t>[Republic of North Macedonia]</w:t>
      </w:r>
      <w:r w:rsidRPr="00533160">
        <w:rPr>
          <w:rFonts w:ascii="Times New Roman" w:eastAsia="Times New Roman" w:hAnsi="Times New Roman" w:cs="Times New Roman"/>
          <w:iCs/>
          <w:noProof/>
          <w:lang w:eastAsia="en-GB"/>
        </w:rPr>
        <w:t xml:space="preserve"> does not even collect data on recycling and circular material use and that indicates these practices are insufficiently developed. Therefore, there is an urgent call on the two countries to rise to the challenge of promoting and supporting more actively the principles of the circular economy and the related production practices.</w:t>
      </w:r>
    </w:p>
    <w:p w14:paraId="4871F95F" w14:textId="77777777" w:rsidR="001F208D" w:rsidRPr="001F208D" w:rsidRDefault="001F208D" w:rsidP="001F208D">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u w:val="single"/>
          <w:lang w:eastAsia="en-GB"/>
        </w:rPr>
      </w:pPr>
      <w:r w:rsidRPr="001444C9">
        <w:rPr>
          <w:rFonts w:ascii="Times New Roman" w:eastAsia="Times New Roman" w:hAnsi="Times New Roman" w:cs="Times New Roman"/>
          <w:i/>
          <w:iCs/>
          <w:noProof/>
          <w:u w:val="single"/>
          <w:lang w:eastAsia="en-GB"/>
        </w:rPr>
        <w:t xml:space="preserve">1.10 </w:t>
      </w:r>
      <w:r w:rsidR="00214AE0" w:rsidRPr="001444C9">
        <w:rPr>
          <w:rFonts w:ascii="Times New Roman" w:eastAsia="Times New Roman" w:hAnsi="Times New Roman" w:cs="Times New Roman"/>
          <w:i/>
          <w:iCs/>
          <w:noProof/>
          <w:u w:val="single"/>
          <w:lang w:val="en-US" w:eastAsia="en-GB"/>
        </w:rPr>
        <w:t>L</w:t>
      </w:r>
      <w:r w:rsidR="00591D82" w:rsidRPr="001444C9">
        <w:rPr>
          <w:rFonts w:ascii="Times New Roman" w:eastAsia="Times New Roman" w:hAnsi="Times New Roman" w:cs="Times New Roman"/>
          <w:i/>
          <w:iCs/>
          <w:noProof/>
          <w:u w:val="single"/>
          <w:lang w:eastAsia="en-GB"/>
        </w:rPr>
        <w:t xml:space="preserve">imited </w:t>
      </w:r>
      <w:r w:rsidR="00214AE0" w:rsidRPr="001444C9">
        <w:rPr>
          <w:rFonts w:ascii="Times New Roman" w:eastAsia="Times New Roman" w:hAnsi="Times New Roman" w:cs="Times New Roman"/>
          <w:i/>
          <w:iCs/>
          <w:noProof/>
          <w:u w:val="single"/>
          <w:lang w:eastAsia="en-GB"/>
        </w:rPr>
        <w:t xml:space="preserve">cross-border </w:t>
      </w:r>
      <w:r w:rsidRPr="001444C9">
        <w:rPr>
          <w:rFonts w:ascii="Times New Roman" w:eastAsia="Times New Roman" w:hAnsi="Times New Roman" w:cs="Times New Roman"/>
          <w:i/>
          <w:iCs/>
          <w:noProof/>
          <w:u w:val="single"/>
          <w:lang w:eastAsia="en-GB"/>
        </w:rPr>
        <w:t>connectivity</w:t>
      </w:r>
      <w:r w:rsidR="001444C9" w:rsidRPr="001444C9">
        <w:rPr>
          <w:rFonts w:ascii="Times New Roman" w:eastAsia="Times New Roman" w:hAnsi="Times New Roman" w:cs="Times New Roman"/>
          <w:i/>
          <w:iCs/>
          <w:noProof/>
          <w:u w:val="single"/>
          <w:lang w:eastAsia="en-GB"/>
        </w:rPr>
        <w:t xml:space="preserve"> and intraregional mobility</w:t>
      </w:r>
    </w:p>
    <w:p w14:paraId="5778A008" w14:textId="77777777" w:rsidR="00BC1F37" w:rsidRDefault="00214AE0">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Pr>
          <w:rFonts w:ascii="Times New Roman" w:eastAsia="Times New Roman" w:hAnsi="Times New Roman" w:cs="Times New Roman"/>
          <w:iCs/>
          <w:noProof/>
          <w:lang w:eastAsia="en-GB"/>
        </w:rPr>
        <w:t>T</w:t>
      </w:r>
      <w:r w:rsidRPr="00BA7B95">
        <w:rPr>
          <w:rFonts w:ascii="Times New Roman" w:eastAsia="Times New Roman" w:hAnsi="Times New Roman" w:cs="Times New Roman"/>
          <w:iCs/>
          <w:noProof/>
          <w:lang w:eastAsia="en-GB"/>
        </w:rPr>
        <w:t xml:space="preserve">he </w:t>
      </w:r>
      <w:r w:rsidRPr="00BA7B95">
        <w:rPr>
          <w:rFonts w:ascii="Times New Roman" w:eastAsia="Times New Roman" w:hAnsi="Times New Roman" w:cs="Times New Roman"/>
          <w:iCs/>
          <w:noProof/>
          <w:lang w:val="en-US" w:eastAsia="en-GB"/>
        </w:rPr>
        <w:t>Commission’s</w:t>
      </w:r>
      <w:r w:rsidRPr="00BA7B95">
        <w:rPr>
          <w:rFonts w:ascii="Times New Roman" w:eastAsia="Times New Roman" w:hAnsi="Times New Roman" w:cs="Times New Roman"/>
          <w:iCs/>
          <w:noProof/>
          <w:lang w:eastAsia="en-GB"/>
        </w:rPr>
        <w:t xml:space="preserve"> Country Report Bulgaria for 2020</w:t>
      </w:r>
      <w:r>
        <w:rPr>
          <w:rFonts w:ascii="Times New Roman" w:eastAsia="Times New Roman" w:hAnsi="Times New Roman" w:cs="Times New Roman"/>
          <w:iCs/>
          <w:noProof/>
          <w:lang w:eastAsia="en-GB"/>
        </w:rPr>
        <w:t xml:space="preserve"> stress out </w:t>
      </w:r>
      <w:r>
        <w:rPr>
          <w:rFonts w:ascii="Times New Roman" w:eastAsia="Times New Roman" w:hAnsi="Times New Roman" w:cs="Times New Roman"/>
          <w:iCs/>
          <w:noProof/>
          <w:lang w:val="en-US" w:eastAsia="en-GB"/>
        </w:rPr>
        <w:t>t</w:t>
      </w:r>
      <w:r w:rsidR="001F208D" w:rsidRPr="00BA7B95">
        <w:rPr>
          <w:rFonts w:ascii="Times New Roman" w:eastAsia="Times New Roman" w:hAnsi="Times New Roman" w:cs="Times New Roman"/>
          <w:iCs/>
          <w:noProof/>
          <w:lang w:val="en-US" w:eastAsia="en-GB"/>
        </w:rPr>
        <w:t xml:space="preserve">he need </w:t>
      </w:r>
      <w:r>
        <w:rPr>
          <w:rFonts w:ascii="Times New Roman" w:eastAsia="Times New Roman" w:hAnsi="Times New Roman" w:cs="Times New Roman"/>
          <w:iCs/>
          <w:noProof/>
          <w:lang w:val="en-US" w:eastAsia="en-GB"/>
        </w:rPr>
        <w:t xml:space="preserve">for the country </w:t>
      </w:r>
      <w:r w:rsidR="001F208D" w:rsidRPr="00BA7B95">
        <w:rPr>
          <w:rFonts w:ascii="Times New Roman" w:eastAsia="Times New Roman" w:hAnsi="Times New Roman" w:cs="Times New Roman"/>
          <w:iCs/>
          <w:noProof/>
          <w:lang w:val="en-US" w:eastAsia="en-GB"/>
        </w:rPr>
        <w:t xml:space="preserve">to build reliable, sustainable and resilient infrastructure, including regional and </w:t>
      </w:r>
      <w:r w:rsidR="001F208D" w:rsidRPr="00BA7B95">
        <w:rPr>
          <w:rFonts w:ascii="Times New Roman" w:eastAsia="Times New Roman" w:hAnsi="Times New Roman" w:cs="Times New Roman"/>
          <w:iCs/>
          <w:noProof/>
          <w:lang w:eastAsia="en-GB"/>
        </w:rPr>
        <w:t xml:space="preserve">trans-border infrastructure. </w:t>
      </w:r>
      <w:r w:rsidR="000900D7">
        <w:rPr>
          <w:rFonts w:ascii="Times New Roman" w:eastAsia="Times New Roman" w:hAnsi="Times New Roman" w:cs="Times New Roman"/>
          <w:iCs/>
          <w:noProof/>
          <w:lang w:eastAsia="en-GB"/>
        </w:rPr>
        <w:t>The report highlights c</w:t>
      </w:r>
      <w:r w:rsidR="001F208D" w:rsidRPr="00BA7B95">
        <w:rPr>
          <w:rFonts w:ascii="Times New Roman" w:eastAsia="Times New Roman" w:hAnsi="Times New Roman" w:cs="Times New Roman"/>
          <w:iCs/>
          <w:noProof/>
          <w:lang w:eastAsia="en-GB"/>
        </w:rPr>
        <w:t xml:space="preserve">onnectivity with neighbouring countries </w:t>
      </w:r>
      <w:r w:rsidR="000900D7">
        <w:rPr>
          <w:rFonts w:ascii="Times New Roman" w:eastAsia="Times New Roman" w:hAnsi="Times New Roman" w:cs="Times New Roman"/>
          <w:iCs/>
          <w:noProof/>
          <w:lang w:eastAsia="en-GB"/>
        </w:rPr>
        <w:t>as</w:t>
      </w:r>
      <w:r w:rsidR="001F208D" w:rsidRPr="00BA7B95">
        <w:rPr>
          <w:rFonts w:ascii="Times New Roman" w:eastAsia="Times New Roman" w:hAnsi="Times New Roman" w:cs="Times New Roman"/>
          <w:iCs/>
          <w:noProof/>
          <w:lang w:eastAsia="en-GB"/>
        </w:rPr>
        <w:t xml:space="preserve"> a </w:t>
      </w:r>
      <w:r w:rsidR="000900D7">
        <w:rPr>
          <w:rFonts w:ascii="Times New Roman" w:eastAsia="Times New Roman" w:hAnsi="Times New Roman" w:cs="Times New Roman"/>
          <w:iCs/>
          <w:noProof/>
          <w:lang w:eastAsia="en-GB"/>
        </w:rPr>
        <w:t xml:space="preserve">key </w:t>
      </w:r>
      <w:r w:rsidR="001F208D" w:rsidRPr="00BA7B95">
        <w:rPr>
          <w:rFonts w:ascii="Times New Roman" w:eastAsia="Times New Roman" w:hAnsi="Times New Roman" w:cs="Times New Roman"/>
          <w:iCs/>
          <w:noProof/>
          <w:lang w:eastAsia="en-GB"/>
        </w:rPr>
        <w:t>challenge. The implementation of the Trans-European Transport Network policy on the construction of road and rail infrastructure and building the links to the Western Balkans would allow Bulgaria to benefit from being a transit country on the future Alpine-West Balkans Rail Freight Corridor. The priority is still to develop the corridors ‘Orient/East-Med’, as well as connections with Western Balkan countries. Therefore, projects intended to extend the access to the core TEN-T network should be</w:t>
      </w:r>
      <w:r w:rsidR="00CE0FD0">
        <w:rPr>
          <w:rFonts w:ascii="Times New Roman" w:eastAsia="Times New Roman" w:hAnsi="Times New Roman" w:cs="Times New Roman"/>
          <w:iCs/>
          <w:noProof/>
          <w:lang w:eastAsia="en-GB"/>
        </w:rPr>
        <w:t xml:space="preserve"> addressed with high priority.</w:t>
      </w:r>
    </w:p>
    <w:p w14:paraId="49A029AC" w14:textId="77777777" w:rsidR="003D4A25" w:rsidRDefault="00FE154A" w:rsidP="003D4A2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val="en-US" w:eastAsia="en-GB"/>
        </w:rPr>
      </w:pPr>
      <w:r w:rsidRPr="00D25C66">
        <w:rPr>
          <w:rFonts w:ascii="Times New Roman" w:eastAsia="Times New Roman" w:hAnsi="Times New Roman" w:cs="Times New Roman"/>
          <w:iCs/>
          <w:noProof/>
          <w:lang w:val="en-US" w:eastAsia="en-GB"/>
        </w:rPr>
        <w:t>T</w:t>
      </w:r>
      <w:r w:rsidR="004E7590" w:rsidRPr="00D25C66">
        <w:rPr>
          <w:rFonts w:ascii="Times New Roman" w:eastAsia="Times New Roman" w:hAnsi="Times New Roman" w:cs="Times New Roman"/>
          <w:iCs/>
          <w:noProof/>
          <w:lang w:val="en-US" w:eastAsia="en-GB"/>
        </w:rPr>
        <w:t xml:space="preserve">he lack of railway, high-speed road and/or highway connection </w:t>
      </w:r>
      <w:r w:rsidR="00D17DA1" w:rsidRPr="00D25C66">
        <w:rPr>
          <w:rFonts w:ascii="Times New Roman" w:eastAsia="Times New Roman" w:hAnsi="Times New Roman" w:cs="Times New Roman"/>
          <w:iCs/>
          <w:noProof/>
          <w:lang w:val="en-US" w:eastAsia="en-GB"/>
        </w:rPr>
        <w:t xml:space="preserve">between the two countries, the increasing cross-border traffic, the prospects of expanding the access to core TEN-T network result in insufficient border-crossing possibilities and hamper freight and passenger transport. </w:t>
      </w:r>
      <w:r w:rsidR="00E1777B" w:rsidRPr="00D25C66">
        <w:rPr>
          <w:rFonts w:ascii="Times New Roman" w:eastAsia="Times New Roman" w:hAnsi="Times New Roman" w:cs="Times New Roman"/>
          <w:iCs/>
          <w:noProof/>
          <w:lang w:val="en-US" w:eastAsia="en-GB"/>
        </w:rPr>
        <w:t xml:space="preserve">There are only </w:t>
      </w:r>
      <w:r w:rsidR="00E1777B" w:rsidRPr="00D25C66">
        <w:rPr>
          <w:rFonts w:ascii="Times New Roman" w:eastAsia="Times New Roman" w:hAnsi="Times New Roman" w:cs="Times New Roman"/>
          <w:iCs/>
          <w:noProof/>
          <w:lang w:val="bg-BG" w:eastAsia="en-GB"/>
        </w:rPr>
        <w:t>3</w:t>
      </w:r>
      <w:r w:rsidR="00E1777B" w:rsidRPr="00D25C66">
        <w:rPr>
          <w:rFonts w:ascii="Times New Roman" w:eastAsia="Times New Roman" w:hAnsi="Times New Roman" w:cs="Times New Roman"/>
          <w:iCs/>
          <w:noProof/>
          <w:lang w:val="en-US" w:eastAsia="en-GB"/>
        </w:rPr>
        <w:t xml:space="preserve"> operational border checkpoints along the border, servicing a population of about 1 million people</w:t>
      </w:r>
      <w:r w:rsidR="00AF2E99" w:rsidRPr="00D25C66">
        <w:rPr>
          <w:rFonts w:ascii="Times New Roman" w:eastAsia="Times New Roman" w:hAnsi="Times New Roman" w:cs="Times New Roman"/>
          <w:iCs/>
          <w:noProof/>
          <w:lang w:val="en-US" w:eastAsia="en-GB"/>
        </w:rPr>
        <w:t xml:space="preserve">. </w:t>
      </w:r>
      <w:r w:rsidR="00D17DA1" w:rsidRPr="00D25C66">
        <w:rPr>
          <w:rFonts w:ascii="Times New Roman" w:eastAsia="Times New Roman" w:hAnsi="Times New Roman" w:cs="Times New Roman"/>
          <w:iCs/>
          <w:noProof/>
          <w:lang w:val="en-US" w:eastAsia="en-GB"/>
        </w:rPr>
        <w:t>All these missing links</w:t>
      </w:r>
      <w:r w:rsidR="00F50275" w:rsidRPr="00D25C66">
        <w:rPr>
          <w:rFonts w:ascii="Times New Roman" w:eastAsia="Times New Roman" w:hAnsi="Times New Roman" w:cs="Times New Roman"/>
          <w:iCs/>
          <w:noProof/>
          <w:lang w:val="en-US" w:eastAsia="en-GB"/>
        </w:rPr>
        <w:t xml:space="preserve"> and the untapped mobility potential</w:t>
      </w:r>
      <w:r w:rsidR="00D17DA1" w:rsidRPr="00D25C66">
        <w:rPr>
          <w:rFonts w:ascii="Times New Roman" w:eastAsia="Times New Roman" w:hAnsi="Times New Roman" w:cs="Times New Roman"/>
          <w:iCs/>
          <w:noProof/>
          <w:lang w:val="en-US" w:eastAsia="en-GB"/>
        </w:rPr>
        <w:t xml:space="preserve"> in the scope of connectivity</w:t>
      </w:r>
      <w:r w:rsidR="003D4A25" w:rsidRPr="00D25C66">
        <w:rPr>
          <w:rFonts w:ascii="Times New Roman" w:eastAsia="Times New Roman" w:hAnsi="Times New Roman" w:cs="Times New Roman"/>
          <w:iCs/>
          <w:noProof/>
          <w:lang w:val="en-US" w:eastAsia="en-GB"/>
        </w:rPr>
        <w:t xml:space="preserve"> have urged the need to </w:t>
      </w:r>
      <w:r w:rsidR="003A3553" w:rsidRPr="00D25C66">
        <w:rPr>
          <w:rFonts w:ascii="Times New Roman" w:eastAsia="Times New Roman" w:hAnsi="Times New Roman" w:cs="Times New Roman"/>
          <w:iCs/>
          <w:noProof/>
          <w:lang w:val="en-US" w:eastAsia="en-GB"/>
        </w:rPr>
        <w:t>improvе border and TEN-T access</w:t>
      </w:r>
      <w:r w:rsidR="003A3553" w:rsidRPr="00D25C66">
        <w:rPr>
          <w:rFonts w:ascii="Times New Roman" w:eastAsia="Times New Roman" w:hAnsi="Times New Roman" w:cs="Times New Roman"/>
          <w:iCs/>
          <w:noProof/>
          <w:lang w:val="bg-BG" w:eastAsia="en-GB"/>
        </w:rPr>
        <w:t>р</w:t>
      </w:r>
      <w:r w:rsidR="003D4A25" w:rsidRPr="00D25C66">
        <w:rPr>
          <w:rFonts w:ascii="Times New Roman" w:eastAsia="Times New Roman" w:hAnsi="Times New Roman" w:cs="Times New Roman"/>
          <w:iCs/>
          <w:noProof/>
          <w:lang w:val="en-US" w:eastAsia="en-GB"/>
        </w:rPr>
        <w:t xml:space="preserve"> taking also into account the prospects of the accelerated EU enlargement.</w:t>
      </w:r>
      <w:r w:rsidR="003D4A25" w:rsidRPr="003D4A25">
        <w:rPr>
          <w:rFonts w:ascii="Times New Roman" w:eastAsia="Times New Roman" w:hAnsi="Times New Roman" w:cs="Times New Roman"/>
          <w:iCs/>
          <w:noProof/>
          <w:lang w:val="en-US" w:eastAsia="en-GB"/>
        </w:rPr>
        <w:t xml:space="preserve"> </w:t>
      </w:r>
    </w:p>
    <w:p w14:paraId="206B925D" w14:textId="77777777" w:rsidR="00375456" w:rsidRDefault="00CE15F5" w:rsidP="003D4A2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val="en-US" w:eastAsia="en-GB"/>
        </w:rPr>
      </w:pPr>
      <w:r>
        <w:rPr>
          <w:rFonts w:ascii="Times New Roman" w:eastAsia="Times New Roman" w:hAnsi="Times New Roman" w:cs="Times New Roman"/>
          <w:iCs/>
          <w:noProof/>
          <w:lang w:val="en-US" w:eastAsia="en-GB"/>
        </w:rPr>
        <w:lastRenderedPageBreak/>
        <w:t xml:space="preserve">In terms of </w:t>
      </w:r>
      <w:r w:rsidRPr="00CE15F5">
        <w:rPr>
          <w:rFonts w:ascii="Times New Roman" w:eastAsia="Times New Roman" w:hAnsi="Times New Roman" w:cs="Times New Roman"/>
          <w:iCs/>
          <w:noProof/>
          <w:lang w:val="en-US" w:eastAsia="en-GB"/>
        </w:rPr>
        <w:t>intraregional mobility</w:t>
      </w:r>
      <w:r>
        <w:rPr>
          <w:rFonts w:ascii="Times New Roman" w:eastAsia="Times New Roman" w:hAnsi="Times New Roman" w:cs="Times New Roman"/>
          <w:iCs/>
          <w:noProof/>
          <w:lang w:val="en-US" w:eastAsia="en-GB"/>
        </w:rPr>
        <w:t>,</w:t>
      </w:r>
      <w:r w:rsidRPr="00CE15F5">
        <w:rPr>
          <w:rFonts w:ascii="Times New Roman" w:eastAsia="Times New Roman" w:hAnsi="Times New Roman" w:cs="Times New Roman"/>
          <w:iCs/>
          <w:noProof/>
          <w:lang w:val="en-US" w:eastAsia="en-GB"/>
        </w:rPr>
        <w:t xml:space="preserve"> roads in the mountain area</w:t>
      </w:r>
      <w:r>
        <w:rPr>
          <w:rFonts w:ascii="Times New Roman" w:eastAsia="Times New Roman" w:hAnsi="Times New Roman" w:cs="Times New Roman"/>
          <w:iCs/>
          <w:noProof/>
          <w:lang w:val="en-US" w:eastAsia="en-GB"/>
        </w:rPr>
        <w:t>s</w:t>
      </w:r>
      <w:r w:rsidRPr="00CE15F5">
        <w:rPr>
          <w:rFonts w:ascii="Times New Roman" w:eastAsia="Times New Roman" w:hAnsi="Times New Roman" w:cs="Times New Roman"/>
          <w:iCs/>
          <w:noProof/>
          <w:lang w:val="en-US" w:eastAsia="en-GB"/>
        </w:rPr>
        <w:t xml:space="preserve"> </w:t>
      </w:r>
      <w:r>
        <w:rPr>
          <w:rFonts w:ascii="Times New Roman" w:eastAsia="Times New Roman" w:hAnsi="Times New Roman" w:cs="Times New Roman"/>
          <w:iCs/>
          <w:noProof/>
          <w:lang w:val="en-US" w:eastAsia="en-GB"/>
        </w:rPr>
        <w:t>contunious to be in</w:t>
      </w:r>
      <w:r w:rsidRPr="00CE15F5">
        <w:rPr>
          <w:rFonts w:ascii="Times New Roman" w:eastAsia="Times New Roman" w:hAnsi="Times New Roman" w:cs="Times New Roman"/>
          <w:iCs/>
          <w:noProof/>
          <w:lang w:val="en-US" w:eastAsia="en-GB"/>
        </w:rPr>
        <w:t xml:space="preserve"> a bad condition and make interconnections difficult, thus reducing mobility</w:t>
      </w:r>
      <w:r>
        <w:rPr>
          <w:rFonts w:ascii="Times New Roman" w:eastAsia="Times New Roman" w:hAnsi="Times New Roman" w:cs="Times New Roman"/>
          <w:iCs/>
          <w:noProof/>
          <w:lang w:val="en-US" w:eastAsia="en-GB"/>
        </w:rPr>
        <w:t xml:space="preserve">. </w:t>
      </w:r>
      <w:r w:rsidR="00B7258B" w:rsidRPr="00B7258B">
        <w:rPr>
          <w:rFonts w:ascii="Times New Roman" w:eastAsia="Times New Roman" w:hAnsi="Times New Roman" w:cs="Times New Roman"/>
          <w:iCs/>
          <w:noProof/>
          <w:lang w:val="en-US" w:eastAsia="en-GB"/>
        </w:rPr>
        <w:t>The difficult transport access in the less-developed peripheral regions leads to a lack of effective economic activity, high levels of unemployment, depopulation of the settlements, and insufficient provision of public services.</w:t>
      </w:r>
      <w:r w:rsidR="00B7258B">
        <w:rPr>
          <w:rFonts w:ascii="Times New Roman" w:eastAsia="Times New Roman" w:hAnsi="Times New Roman" w:cs="Times New Roman"/>
          <w:iCs/>
          <w:noProof/>
          <w:lang w:val="en-US" w:eastAsia="en-GB"/>
        </w:rPr>
        <w:t xml:space="preserve"> This </w:t>
      </w:r>
      <w:r w:rsidR="00B7258B" w:rsidRPr="00B7258B">
        <w:rPr>
          <w:rFonts w:ascii="Times New Roman" w:eastAsia="Times New Roman" w:hAnsi="Times New Roman" w:cs="Times New Roman"/>
          <w:iCs/>
          <w:noProof/>
          <w:lang w:val="en-US" w:eastAsia="en-GB"/>
        </w:rPr>
        <w:t>"shrinks" the communications on the territory to a smaller perimeter and limits the opportunities for development</w:t>
      </w:r>
      <w:r w:rsidR="00B7258B">
        <w:rPr>
          <w:rFonts w:ascii="Times New Roman" w:eastAsia="Times New Roman" w:hAnsi="Times New Roman" w:cs="Times New Roman"/>
          <w:iCs/>
          <w:noProof/>
          <w:lang w:val="en-US" w:eastAsia="en-GB"/>
        </w:rPr>
        <w:t>. Therefore,</w:t>
      </w:r>
      <w:r w:rsidR="00B7258B" w:rsidRPr="00B7258B">
        <w:rPr>
          <w:rFonts w:ascii="Times New Roman" w:eastAsia="Times New Roman" w:hAnsi="Times New Roman" w:cs="Times New Roman"/>
          <w:iCs/>
          <w:noProof/>
          <w:lang w:val="en-US" w:eastAsia="en-GB"/>
        </w:rPr>
        <w:t xml:space="preserve"> </w:t>
      </w:r>
      <w:r w:rsidR="00B7258B">
        <w:rPr>
          <w:rFonts w:ascii="Times New Roman" w:eastAsia="Times New Roman" w:hAnsi="Times New Roman" w:cs="Times New Roman"/>
          <w:iCs/>
          <w:noProof/>
          <w:lang w:val="en-US" w:eastAsia="en-GB"/>
        </w:rPr>
        <w:t>c</w:t>
      </w:r>
      <w:r w:rsidR="00893359">
        <w:rPr>
          <w:rFonts w:ascii="Times New Roman" w:eastAsia="Times New Roman" w:hAnsi="Times New Roman" w:cs="Times New Roman"/>
          <w:iCs/>
          <w:noProof/>
          <w:lang w:val="en-US" w:eastAsia="en-GB"/>
        </w:rPr>
        <w:t xml:space="preserve">onnections </w:t>
      </w:r>
      <w:r w:rsidR="00986319">
        <w:rPr>
          <w:rFonts w:ascii="Times New Roman" w:eastAsia="Times New Roman" w:hAnsi="Times New Roman" w:cs="Times New Roman"/>
          <w:iCs/>
          <w:noProof/>
          <w:lang w:val="en-US" w:eastAsia="en-GB"/>
        </w:rPr>
        <w:t xml:space="preserve">and services </w:t>
      </w:r>
      <w:r w:rsidR="00893359">
        <w:rPr>
          <w:rFonts w:ascii="Times New Roman" w:eastAsia="Times New Roman" w:hAnsi="Times New Roman" w:cs="Times New Roman"/>
          <w:iCs/>
          <w:noProof/>
          <w:lang w:val="en-US" w:eastAsia="en-GB"/>
        </w:rPr>
        <w:t xml:space="preserve">between urban and remote/rural areas need to be </w:t>
      </w:r>
      <w:r w:rsidR="00893359" w:rsidRPr="00893359">
        <w:rPr>
          <w:rFonts w:ascii="Times New Roman" w:eastAsia="Times New Roman" w:hAnsi="Times New Roman" w:cs="Times New Roman"/>
          <w:iCs/>
          <w:noProof/>
          <w:lang w:val="en-US" w:eastAsia="en-GB"/>
        </w:rPr>
        <w:t>strengthened</w:t>
      </w:r>
      <w:r w:rsidR="00986319">
        <w:rPr>
          <w:rFonts w:ascii="Times New Roman" w:eastAsia="Times New Roman" w:hAnsi="Times New Roman" w:cs="Times New Roman"/>
          <w:iCs/>
          <w:noProof/>
          <w:lang w:val="en-US" w:eastAsia="en-GB"/>
        </w:rPr>
        <w:t xml:space="preserve"> to to build up </w:t>
      </w:r>
      <w:r w:rsidR="00986319" w:rsidRPr="00986319">
        <w:rPr>
          <w:rFonts w:ascii="Times New Roman" w:eastAsia="Times New Roman" w:hAnsi="Times New Roman" w:cs="Times New Roman"/>
          <w:iCs/>
          <w:noProof/>
          <w:lang w:val="en-US" w:eastAsia="en-GB"/>
        </w:rPr>
        <w:t>fair, inclusive and full of opportunity</w:t>
      </w:r>
      <w:r w:rsidR="00986319">
        <w:rPr>
          <w:rFonts w:ascii="Times New Roman" w:eastAsia="Times New Roman" w:hAnsi="Times New Roman" w:cs="Times New Roman"/>
          <w:iCs/>
          <w:noProof/>
          <w:lang w:val="en-US" w:eastAsia="en-GB"/>
        </w:rPr>
        <w:t xml:space="preserve"> coherent CB territory. </w:t>
      </w:r>
      <w:r w:rsidR="00893359">
        <w:rPr>
          <w:rFonts w:ascii="Times New Roman" w:eastAsia="Times New Roman" w:hAnsi="Times New Roman" w:cs="Times New Roman"/>
          <w:iCs/>
          <w:noProof/>
          <w:lang w:val="en-US" w:eastAsia="en-GB"/>
        </w:rPr>
        <w:t xml:space="preserve"> </w:t>
      </w:r>
    </w:p>
    <w:p w14:paraId="59DABC52" w14:textId="77777777" w:rsidR="00C32111" w:rsidRPr="00C32111" w:rsidRDefault="00D35272" w:rsidP="003D4A2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val="en-US" w:eastAsia="en-GB"/>
        </w:rPr>
      </w:pPr>
      <w:r>
        <w:rPr>
          <w:rFonts w:ascii="Times New Roman" w:eastAsia="Times New Roman" w:hAnsi="Times New Roman" w:cs="Times New Roman"/>
          <w:iCs/>
          <w:noProof/>
          <w:lang w:val="en-US" w:eastAsia="en-GB"/>
        </w:rPr>
        <w:t>O</w:t>
      </w:r>
      <w:r w:rsidRPr="00D35272">
        <w:rPr>
          <w:rFonts w:ascii="Times New Roman" w:eastAsia="Times New Roman" w:hAnsi="Times New Roman" w:cs="Times New Roman"/>
          <w:iCs/>
          <w:noProof/>
          <w:lang w:val="en-US" w:eastAsia="en-GB"/>
        </w:rPr>
        <w:t>ne of the European cycling routes, namely the EuroVelo 13 Trail Iron Curtain Trail runs in the CBC region.</w:t>
      </w:r>
      <w:r w:rsidRPr="00D35272">
        <w:t xml:space="preserve"> </w:t>
      </w:r>
      <w:r w:rsidRPr="00D35272">
        <w:rPr>
          <w:rFonts w:ascii="Times New Roman" w:eastAsia="Times New Roman" w:hAnsi="Times New Roman" w:cs="Times New Roman"/>
          <w:iCs/>
          <w:noProof/>
          <w:lang w:val="en-US" w:eastAsia="en-GB"/>
        </w:rPr>
        <w:t xml:space="preserve">The EuroVelo routes have a tourist purpose, so they do not connect large cities, but </w:t>
      </w:r>
      <w:r>
        <w:rPr>
          <w:rFonts w:ascii="Times New Roman" w:eastAsia="Times New Roman" w:hAnsi="Times New Roman" w:cs="Times New Roman"/>
          <w:iCs/>
          <w:noProof/>
          <w:lang w:val="en-US" w:eastAsia="en-GB"/>
        </w:rPr>
        <w:t xml:space="preserve">they facilitate tourism mobility, which has an impact on the overall economic growth of the border region. </w:t>
      </w:r>
      <w:r w:rsidR="005E2A0D">
        <w:rPr>
          <w:rFonts w:ascii="Times New Roman" w:eastAsia="Times New Roman" w:hAnsi="Times New Roman" w:cs="Times New Roman"/>
          <w:iCs/>
          <w:noProof/>
          <w:lang w:val="en-US" w:eastAsia="en-GB"/>
        </w:rPr>
        <w:t>N</w:t>
      </w:r>
      <w:r w:rsidR="005E2A0D" w:rsidRPr="005E2A0D">
        <w:rPr>
          <w:rFonts w:ascii="Times New Roman" w:eastAsia="Times New Roman" w:hAnsi="Times New Roman" w:cs="Times New Roman"/>
          <w:iCs/>
          <w:noProof/>
          <w:lang w:val="en-US" w:eastAsia="en-GB"/>
        </w:rPr>
        <w:t xml:space="preserve">one of the segments of the EuroVelo corridor passing through the </w:t>
      </w:r>
      <w:r w:rsidR="00B802AF">
        <w:rPr>
          <w:rFonts w:ascii="Times New Roman" w:eastAsia="Times New Roman" w:hAnsi="Times New Roman" w:cs="Times New Roman"/>
          <w:iCs/>
          <w:noProof/>
          <w:lang w:val="en-US" w:eastAsia="en-GB"/>
        </w:rPr>
        <w:t>[Republic of North Macedonia]</w:t>
      </w:r>
      <w:r w:rsidR="005E2A0D" w:rsidRPr="005E2A0D">
        <w:rPr>
          <w:rFonts w:ascii="Times New Roman" w:eastAsia="Times New Roman" w:hAnsi="Times New Roman" w:cs="Times New Roman"/>
          <w:iCs/>
          <w:noProof/>
          <w:lang w:val="en-US" w:eastAsia="en-GB"/>
        </w:rPr>
        <w:t xml:space="preserve"> and the Republic of Bulgaria</w:t>
      </w:r>
      <w:r w:rsidR="005E2A0D">
        <w:rPr>
          <w:rFonts w:ascii="Times New Roman" w:eastAsia="Times New Roman" w:hAnsi="Times New Roman" w:cs="Times New Roman"/>
          <w:iCs/>
          <w:noProof/>
          <w:lang w:val="en-US" w:eastAsia="en-GB"/>
        </w:rPr>
        <w:t>, however,</w:t>
      </w:r>
      <w:r w:rsidR="005E2A0D" w:rsidRPr="005E2A0D">
        <w:rPr>
          <w:rFonts w:ascii="Times New Roman" w:eastAsia="Times New Roman" w:hAnsi="Times New Roman" w:cs="Times New Roman"/>
          <w:iCs/>
          <w:noProof/>
          <w:lang w:val="en-US" w:eastAsia="en-GB"/>
        </w:rPr>
        <w:t xml:space="preserve"> is developed or at least marked</w:t>
      </w:r>
      <w:r w:rsidR="005E2A0D">
        <w:rPr>
          <w:rFonts w:ascii="Times New Roman" w:eastAsia="Times New Roman" w:hAnsi="Times New Roman" w:cs="Times New Roman"/>
          <w:iCs/>
          <w:noProof/>
          <w:lang w:val="en-US" w:eastAsia="en-GB"/>
        </w:rPr>
        <w:t>.</w:t>
      </w:r>
      <w:r w:rsidRPr="00D35272">
        <w:rPr>
          <w:rFonts w:ascii="Times New Roman" w:eastAsia="Times New Roman" w:hAnsi="Times New Roman" w:cs="Times New Roman"/>
          <w:iCs/>
          <w:noProof/>
          <w:lang w:val="en-US" w:eastAsia="en-GB"/>
        </w:rPr>
        <w:t xml:space="preserve"> </w:t>
      </w:r>
      <w:r w:rsidR="00105206">
        <w:rPr>
          <w:rFonts w:ascii="Times New Roman" w:eastAsia="Times New Roman" w:hAnsi="Times New Roman" w:cs="Times New Roman"/>
          <w:iCs/>
          <w:noProof/>
          <w:lang w:val="en-US" w:eastAsia="en-GB"/>
        </w:rPr>
        <w:t xml:space="preserve"> </w:t>
      </w:r>
      <w:r w:rsidR="00EC002D">
        <w:rPr>
          <w:rFonts w:ascii="Times New Roman" w:eastAsia="Times New Roman" w:hAnsi="Times New Roman" w:cs="Times New Roman"/>
          <w:iCs/>
          <w:noProof/>
          <w:lang w:val="en-US" w:eastAsia="en-GB"/>
        </w:rPr>
        <w:t xml:space="preserve"> </w:t>
      </w:r>
    </w:p>
    <w:p w14:paraId="37777B05" w14:textId="77777777" w:rsidR="00D85FE3" w:rsidRPr="00BA7B95" w:rsidRDefault="00CE0FD0" w:rsidP="00D85FE3">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u w:val="single"/>
          <w:lang w:eastAsia="en-GB"/>
        </w:rPr>
      </w:pPr>
      <w:r>
        <w:rPr>
          <w:rFonts w:ascii="Times New Roman" w:eastAsia="Times New Roman" w:hAnsi="Times New Roman" w:cs="Times New Roman"/>
          <w:i/>
          <w:iCs/>
          <w:noProof/>
          <w:u w:val="single"/>
          <w:lang w:eastAsia="en-GB"/>
        </w:rPr>
        <w:t>Joint challenges in a nutshell</w:t>
      </w:r>
    </w:p>
    <w:p w14:paraId="7DB73180" w14:textId="77777777" w:rsidR="00D85FE3" w:rsidRPr="00D85FE3" w:rsidRDefault="00D85FE3" w:rsidP="00D85FE3">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D85FE3">
        <w:rPr>
          <w:rFonts w:ascii="Times New Roman" w:eastAsia="Times New Roman" w:hAnsi="Times New Roman" w:cs="Times New Roman"/>
          <w:iCs/>
          <w:noProof/>
          <w:lang w:eastAsia="en-GB"/>
        </w:rPr>
        <w:t xml:space="preserve">- </w:t>
      </w:r>
      <w:r w:rsidRPr="00D85FE3">
        <w:rPr>
          <w:rFonts w:ascii="Times New Roman" w:eastAsia="Times New Roman" w:hAnsi="Times New Roman" w:cs="Times New Roman"/>
          <w:iCs/>
          <w:noProof/>
          <w:lang w:val="en-US" w:eastAsia="en-GB"/>
        </w:rPr>
        <w:t>The following territorial divergence pattern across the CBC area can be outlined: a tendency for higher scores on the efficiency dimension (GDP, GVA, export), but lower scores on the basic dimension (infrastructure, health and education), the innovation dimension (digital readiness, business dynamisms and innovation), environment</w:t>
      </w:r>
      <w:r w:rsidR="00CE0FD0">
        <w:rPr>
          <w:rFonts w:ascii="Times New Roman" w:eastAsia="Times New Roman" w:hAnsi="Times New Roman" w:cs="Times New Roman"/>
          <w:iCs/>
          <w:noProof/>
          <w:lang w:val="en-US" w:eastAsia="en-GB"/>
        </w:rPr>
        <w:t>al dimension and connectivity.</w:t>
      </w:r>
    </w:p>
    <w:p w14:paraId="77F2EEA9" w14:textId="77777777" w:rsidR="00D85FE3" w:rsidRPr="00D85FE3" w:rsidRDefault="00D85FE3" w:rsidP="00D85FE3">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D85FE3">
        <w:rPr>
          <w:rFonts w:ascii="Times New Roman" w:eastAsia="Times New Roman" w:hAnsi="Times New Roman" w:cs="Times New Roman"/>
          <w:iCs/>
          <w:noProof/>
          <w:lang w:eastAsia="en-GB"/>
        </w:rPr>
        <w:t>- If current demographic and educational trends persist, there will be an increasing mismatch, with fewer low-skill jobs on offer to growing numbers of low-skilled workers and fewer qualified candidates to meet increasing demand for high-skilled labour;</w:t>
      </w:r>
      <w:r w:rsidR="00773DE5">
        <w:rPr>
          <w:rFonts w:ascii="Times New Roman" w:eastAsia="Times New Roman" w:hAnsi="Times New Roman" w:cs="Times New Roman"/>
          <w:iCs/>
          <w:noProof/>
          <w:lang w:eastAsia="en-GB"/>
        </w:rPr>
        <w:t xml:space="preserve"> </w:t>
      </w:r>
    </w:p>
    <w:p w14:paraId="3DBAD0A4" w14:textId="77777777" w:rsidR="00D85FE3" w:rsidRPr="00D85FE3" w:rsidRDefault="00D85FE3" w:rsidP="00D85FE3">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val="bg-BG" w:eastAsia="en-GB"/>
        </w:rPr>
      </w:pPr>
      <w:r w:rsidRPr="00D85FE3">
        <w:rPr>
          <w:rFonts w:ascii="Times New Roman" w:eastAsia="Times New Roman" w:hAnsi="Times New Roman" w:cs="Times New Roman"/>
          <w:iCs/>
          <w:noProof/>
          <w:lang w:eastAsia="en-GB"/>
        </w:rPr>
        <w:t>- Content of elective classes, extracurricular activities and adult education needs be</w:t>
      </w:r>
      <w:r w:rsidRPr="00D85FE3">
        <w:rPr>
          <w:rFonts w:ascii="Times New Roman" w:eastAsia="Times New Roman" w:hAnsi="Times New Roman" w:cs="Times New Roman"/>
          <w:iCs/>
          <w:noProof/>
          <w:lang w:val="bg-BG" w:eastAsia="en-GB"/>
        </w:rPr>
        <w:t xml:space="preserve"> </w:t>
      </w:r>
      <w:r w:rsidRPr="00D85FE3">
        <w:rPr>
          <w:rFonts w:ascii="Times New Roman" w:eastAsia="Times New Roman" w:hAnsi="Times New Roman" w:cs="Times New Roman"/>
          <w:iCs/>
          <w:noProof/>
          <w:lang w:val="en-US" w:eastAsia="en-GB"/>
        </w:rPr>
        <w:t>convincingly</w:t>
      </w:r>
      <w:r w:rsidRPr="00D85FE3">
        <w:rPr>
          <w:rFonts w:ascii="Times New Roman" w:eastAsia="Times New Roman" w:hAnsi="Times New Roman" w:cs="Times New Roman"/>
          <w:iCs/>
          <w:noProof/>
          <w:lang w:eastAsia="en-GB"/>
        </w:rPr>
        <w:t xml:space="preserve"> linked with labour market needs so as to address the shrinking workforce challenge and the increasing </w:t>
      </w:r>
      <w:r w:rsidR="00CE0FD0">
        <w:rPr>
          <w:rFonts w:ascii="Times New Roman" w:eastAsia="Times New Roman" w:hAnsi="Times New Roman" w:cs="Times New Roman"/>
          <w:iCs/>
          <w:noProof/>
          <w:lang w:eastAsia="en-GB"/>
        </w:rPr>
        <w:t>mismatch in the labour market;</w:t>
      </w:r>
    </w:p>
    <w:p w14:paraId="42E2F82C" w14:textId="77777777" w:rsidR="00D85FE3" w:rsidRPr="00D85FE3" w:rsidRDefault="00D85FE3" w:rsidP="00D85FE3">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D85FE3">
        <w:rPr>
          <w:rFonts w:ascii="Times New Roman" w:eastAsia="Times New Roman" w:hAnsi="Times New Roman" w:cs="Times New Roman"/>
          <w:iCs/>
          <w:noProof/>
          <w:lang w:eastAsia="en-GB"/>
        </w:rPr>
        <w:t xml:space="preserve">- The social and economic gap between the socio-economically advantaged and disadvantaged persons (incl. in terms of income distribution) has been increasing in </w:t>
      </w:r>
      <w:r w:rsidR="00972BF2">
        <w:rPr>
          <w:rFonts w:ascii="Times New Roman" w:eastAsia="Times New Roman" w:hAnsi="Times New Roman" w:cs="Times New Roman"/>
          <w:iCs/>
          <w:noProof/>
          <w:lang w:eastAsia="en-GB"/>
        </w:rPr>
        <w:t>the Republic of</w:t>
      </w:r>
      <w:r w:rsidRPr="00D85FE3">
        <w:rPr>
          <w:rFonts w:ascii="Times New Roman" w:eastAsia="Times New Roman" w:hAnsi="Times New Roman" w:cs="Times New Roman"/>
          <w:iCs/>
          <w:noProof/>
          <w:lang w:eastAsia="en-GB"/>
        </w:rPr>
        <w:t xml:space="preserve"> Bulgaria, while opposite trend has been observed in the </w:t>
      </w:r>
      <w:r w:rsidR="00B802AF">
        <w:rPr>
          <w:rFonts w:ascii="Times New Roman" w:eastAsia="Times New Roman" w:hAnsi="Times New Roman" w:cs="Times New Roman"/>
          <w:iCs/>
          <w:noProof/>
          <w:lang w:eastAsia="en-GB"/>
        </w:rPr>
        <w:t>[Republic of North Macedonia]</w:t>
      </w:r>
      <w:r w:rsidRPr="00D85FE3">
        <w:rPr>
          <w:rFonts w:ascii="Times New Roman" w:eastAsia="Times New Roman" w:hAnsi="Times New Roman" w:cs="Times New Roman"/>
          <w:iCs/>
          <w:noProof/>
          <w:lang w:eastAsia="en-GB"/>
        </w:rPr>
        <w:t>, yet the income gap and the relatively high poverty and social inclusion risk remains a challenge to overcome in both countries;</w:t>
      </w:r>
    </w:p>
    <w:p w14:paraId="18578C99" w14:textId="77777777" w:rsidR="00D85FE3" w:rsidRPr="00D85FE3" w:rsidRDefault="00D85FE3" w:rsidP="00D85FE3">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D85FE3">
        <w:rPr>
          <w:rFonts w:ascii="Times New Roman" w:eastAsia="Times New Roman" w:hAnsi="Times New Roman" w:cs="Times New Roman"/>
          <w:iCs/>
          <w:noProof/>
          <w:lang w:eastAsia="en-GB"/>
        </w:rPr>
        <w:t>- More economic incentives are needed to tackle unempl</w:t>
      </w:r>
      <w:r w:rsidR="00973063">
        <w:rPr>
          <w:rFonts w:ascii="Times New Roman" w:eastAsia="Times New Roman" w:hAnsi="Times New Roman" w:cs="Times New Roman"/>
          <w:iCs/>
          <w:noProof/>
          <w:lang w:eastAsia="en-GB"/>
        </w:rPr>
        <w:t>oyment, particularly youth one;</w:t>
      </w:r>
    </w:p>
    <w:p w14:paraId="71B99089" w14:textId="77777777" w:rsidR="00D85FE3" w:rsidRPr="00D85FE3" w:rsidRDefault="00D85FE3" w:rsidP="00D85FE3">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D85FE3">
        <w:rPr>
          <w:rFonts w:ascii="Times New Roman" w:eastAsia="Times New Roman" w:hAnsi="Times New Roman" w:cs="Times New Roman"/>
          <w:iCs/>
          <w:noProof/>
          <w:lang w:eastAsia="en-GB"/>
        </w:rPr>
        <w:t>- Vulnerable and disadvantaged groups of people continue to have limited access to services of general interest, therefore integrated measures for service quality enhancement and active economic inclusion of vulnerable persons should be determined with priority and of ICT perspective allowing for more digital solutions;</w:t>
      </w:r>
    </w:p>
    <w:p w14:paraId="76EAD87E" w14:textId="77777777" w:rsidR="00D85FE3" w:rsidRPr="00D85FE3" w:rsidRDefault="00D85FE3" w:rsidP="00D85FE3">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D85FE3">
        <w:rPr>
          <w:rFonts w:ascii="Times New Roman" w:eastAsia="Times New Roman" w:hAnsi="Times New Roman" w:cs="Times New Roman"/>
          <w:iCs/>
          <w:noProof/>
          <w:lang w:eastAsia="en-GB"/>
        </w:rPr>
        <w:t>- ICT adoption remains one of the variables on which both countries performs relatively well, yet in a less digitally transformed environment – that opens room for development of more digitalized solutions</w:t>
      </w:r>
      <w:r w:rsidR="00973063">
        <w:rPr>
          <w:rFonts w:ascii="Times New Roman" w:eastAsia="Times New Roman" w:hAnsi="Times New Roman" w:cs="Times New Roman"/>
          <w:iCs/>
          <w:noProof/>
          <w:lang w:eastAsia="en-GB"/>
        </w:rPr>
        <w:t xml:space="preserve"> across various policy domains.</w:t>
      </w:r>
    </w:p>
    <w:p w14:paraId="2A805C60" w14:textId="77777777" w:rsidR="00D85FE3" w:rsidRPr="00D85FE3" w:rsidRDefault="00D85FE3" w:rsidP="00D85FE3">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D85FE3">
        <w:rPr>
          <w:rFonts w:ascii="Times New Roman" w:eastAsia="Times New Roman" w:hAnsi="Times New Roman" w:cs="Times New Roman"/>
          <w:iCs/>
          <w:noProof/>
          <w:lang w:eastAsia="en-GB"/>
        </w:rPr>
        <w:t>- Main challenges for the CBC area lie in upskilling its workforce, encouraging SME investments in innovation, fostering growth in entrepreneurship and public and private R&amp;I investment, and strengthening science-business links to support knowledge and technology transfer;</w:t>
      </w:r>
    </w:p>
    <w:p w14:paraId="1964996E" w14:textId="77777777" w:rsidR="00D85FE3" w:rsidRPr="00D85FE3" w:rsidRDefault="00D85FE3" w:rsidP="00D85FE3">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D85FE3">
        <w:rPr>
          <w:rFonts w:ascii="Times New Roman" w:eastAsia="Times New Roman" w:hAnsi="Times New Roman" w:cs="Times New Roman"/>
          <w:iCs/>
          <w:noProof/>
          <w:lang w:eastAsia="en-GB"/>
        </w:rPr>
        <w:t xml:space="preserve">- </w:t>
      </w:r>
      <w:r w:rsidR="00316314">
        <w:rPr>
          <w:rFonts w:ascii="Times New Roman" w:eastAsia="Times New Roman" w:hAnsi="Times New Roman" w:cs="Times New Roman"/>
          <w:iCs/>
          <w:noProof/>
          <w:lang w:eastAsia="en-GB"/>
        </w:rPr>
        <w:t>T</w:t>
      </w:r>
      <w:r w:rsidRPr="00D85FE3">
        <w:rPr>
          <w:rFonts w:ascii="Times New Roman" w:eastAsia="Times New Roman" w:hAnsi="Times New Roman" w:cs="Times New Roman"/>
          <w:iCs/>
          <w:noProof/>
          <w:lang w:eastAsia="en-GB"/>
        </w:rPr>
        <w:t xml:space="preserve">he lack of cross-border competitive </w:t>
      </w:r>
      <w:r w:rsidRPr="00D85FE3">
        <w:rPr>
          <w:rFonts w:ascii="Times New Roman" w:eastAsia="Times New Roman" w:hAnsi="Times New Roman" w:cs="Times New Roman"/>
          <w:iCs/>
          <w:noProof/>
          <w:lang w:val="en-US" w:eastAsia="en-GB"/>
        </w:rPr>
        <w:t xml:space="preserve">year-round </w:t>
      </w:r>
      <w:r w:rsidRPr="00D85FE3">
        <w:rPr>
          <w:rFonts w:ascii="Times New Roman" w:eastAsia="Times New Roman" w:hAnsi="Times New Roman" w:cs="Times New Roman"/>
          <w:iCs/>
          <w:noProof/>
          <w:lang w:eastAsia="en-GB"/>
        </w:rPr>
        <w:t xml:space="preserve">tourist products, </w:t>
      </w:r>
      <w:r w:rsidRPr="00D85FE3">
        <w:rPr>
          <w:rFonts w:ascii="Times New Roman" w:eastAsia="Times New Roman" w:hAnsi="Times New Roman" w:cs="Times New Roman"/>
          <w:iCs/>
          <w:noProof/>
          <w:lang w:val="en-US" w:eastAsia="en-GB"/>
        </w:rPr>
        <w:t>hinders</w:t>
      </w:r>
      <w:r w:rsidRPr="00D85FE3">
        <w:rPr>
          <w:rFonts w:ascii="Times New Roman" w:eastAsia="Times New Roman" w:hAnsi="Times New Roman" w:cs="Times New Roman"/>
          <w:iCs/>
          <w:noProof/>
          <w:lang w:eastAsia="en-GB"/>
        </w:rPr>
        <w:t xml:space="preserve"> the tourism industry development</w:t>
      </w:r>
      <w:r w:rsidR="00316314">
        <w:rPr>
          <w:rFonts w:ascii="Times New Roman" w:eastAsia="Times New Roman" w:hAnsi="Times New Roman" w:cs="Times New Roman"/>
          <w:iCs/>
          <w:noProof/>
          <w:lang w:eastAsia="en-GB"/>
        </w:rPr>
        <w:t xml:space="preserve">, </w:t>
      </w:r>
      <w:r w:rsidR="00316314" w:rsidRPr="00316314">
        <w:rPr>
          <w:rFonts w:ascii="Times New Roman" w:eastAsia="Times New Roman" w:hAnsi="Times New Roman" w:cs="Times New Roman"/>
          <w:iCs/>
          <w:noProof/>
          <w:lang w:eastAsia="en-GB"/>
        </w:rPr>
        <w:t>additional attention should be paid to tourism marketing and promotion</w:t>
      </w:r>
      <w:r w:rsidRPr="00D85FE3">
        <w:rPr>
          <w:rFonts w:ascii="Times New Roman" w:eastAsia="Times New Roman" w:hAnsi="Times New Roman" w:cs="Times New Roman"/>
          <w:iCs/>
          <w:noProof/>
          <w:lang w:eastAsia="en-GB"/>
        </w:rPr>
        <w:t>;</w:t>
      </w:r>
    </w:p>
    <w:p w14:paraId="435EE089" w14:textId="77777777" w:rsidR="00D85FE3" w:rsidRPr="00D85FE3" w:rsidRDefault="00D85FE3" w:rsidP="00D85FE3">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D85FE3">
        <w:rPr>
          <w:rFonts w:ascii="Times New Roman" w:eastAsia="Times New Roman" w:hAnsi="Times New Roman" w:cs="Times New Roman"/>
          <w:iCs/>
          <w:noProof/>
          <w:lang w:eastAsia="en-GB"/>
        </w:rPr>
        <w:t>- Lack of ecosystem-based practices and services to limit biodiversity loss and occurrence of natural hazards;</w:t>
      </w:r>
    </w:p>
    <w:p w14:paraId="29D8BDDD" w14:textId="77777777" w:rsidR="00D85FE3" w:rsidRPr="00D85FE3" w:rsidRDefault="00D85FE3" w:rsidP="00D85FE3">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D85FE3">
        <w:rPr>
          <w:rFonts w:ascii="Times New Roman" w:eastAsia="Times New Roman" w:hAnsi="Times New Roman" w:cs="Times New Roman"/>
          <w:iCs/>
          <w:noProof/>
          <w:lang w:eastAsia="en-GB"/>
        </w:rPr>
        <w:lastRenderedPageBreak/>
        <w:t xml:space="preserve">- </w:t>
      </w:r>
      <w:r w:rsidR="00F54E39">
        <w:rPr>
          <w:rFonts w:ascii="Times New Roman" w:eastAsia="Times New Roman" w:hAnsi="Times New Roman" w:cs="Times New Roman"/>
          <w:iCs/>
          <w:noProof/>
          <w:lang w:eastAsia="en-GB"/>
        </w:rPr>
        <w:t>H</w:t>
      </w:r>
      <w:r w:rsidRPr="00D85FE3">
        <w:rPr>
          <w:rFonts w:ascii="Times New Roman" w:eastAsia="Times New Roman" w:hAnsi="Times New Roman" w:cs="Times New Roman"/>
          <w:iCs/>
          <w:noProof/>
          <w:lang w:eastAsia="en-GB"/>
        </w:rPr>
        <w:t>igh energy consumption and GHG emissions, low clean energy investments, underdeveloped circularity models slower the pace of the CBC area to contribute to climate-neutral competitiveness and carbon-free transformation;</w:t>
      </w:r>
    </w:p>
    <w:p w14:paraId="7AF895CF" w14:textId="77777777" w:rsidR="00D85FE3" w:rsidRPr="00D85FE3" w:rsidRDefault="00D85FE3" w:rsidP="00D85FE3">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D85FE3">
        <w:rPr>
          <w:rFonts w:ascii="Times New Roman" w:eastAsia="Times New Roman" w:hAnsi="Times New Roman" w:cs="Times New Roman"/>
          <w:iCs/>
          <w:noProof/>
          <w:lang w:eastAsia="en-GB"/>
        </w:rPr>
        <w:t xml:space="preserve">- Underdeveloped </w:t>
      </w:r>
      <w:r w:rsidR="00551738">
        <w:rPr>
          <w:rFonts w:ascii="Times New Roman" w:eastAsia="Times New Roman" w:hAnsi="Times New Roman" w:cs="Times New Roman"/>
          <w:iCs/>
          <w:noProof/>
          <w:lang w:eastAsia="en-GB"/>
        </w:rPr>
        <w:t>basic transport and service infrastructure</w:t>
      </w:r>
      <w:r w:rsidR="00551738">
        <w:rPr>
          <w:rFonts w:ascii="Times New Roman" w:eastAsia="Times New Roman" w:hAnsi="Times New Roman" w:cs="Times New Roman"/>
          <w:iCs/>
          <w:noProof/>
          <w:lang w:val="en-US" w:eastAsia="en-GB"/>
        </w:rPr>
        <w:t xml:space="preserve"> results</w:t>
      </w:r>
      <w:r w:rsidRPr="00D85FE3">
        <w:rPr>
          <w:rFonts w:ascii="Times New Roman" w:eastAsia="Times New Roman" w:hAnsi="Times New Roman" w:cs="Times New Roman"/>
          <w:iCs/>
          <w:noProof/>
          <w:lang w:val="en-US" w:eastAsia="en-GB"/>
        </w:rPr>
        <w:t xml:space="preserve"> in </w:t>
      </w:r>
      <w:r w:rsidRPr="00D85FE3">
        <w:rPr>
          <w:rFonts w:ascii="Times New Roman" w:eastAsia="Times New Roman" w:hAnsi="Times New Roman" w:cs="Times New Roman"/>
          <w:iCs/>
          <w:noProof/>
          <w:lang w:eastAsia="en-GB"/>
        </w:rPr>
        <w:t>limited regional connectivity</w:t>
      </w:r>
      <w:r>
        <w:rPr>
          <w:rFonts w:ascii="Times New Roman" w:eastAsia="Times New Roman" w:hAnsi="Times New Roman" w:cs="Times New Roman"/>
          <w:iCs/>
          <w:noProof/>
          <w:lang w:eastAsia="en-GB"/>
        </w:rPr>
        <w:t xml:space="preserve"> </w:t>
      </w:r>
      <w:r w:rsidR="0088561E">
        <w:rPr>
          <w:rFonts w:ascii="Times New Roman" w:eastAsia="Times New Roman" w:hAnsi="Times New Roman" w:cs="Times New Roman"/>
          <w:iCs/>
          <w:noProof/>
          <w:lang w:eastAsia="en-GB"/>
        </w:rPr>
        <w:t xml:space="preserve">which may </w:t>
      </w:r>
      <w:r w:rsidR="001D6469">
        <w:rPr>
          <w:rFonts w:ascii="Times New Roman" w:eastAsia="Times New Roman" w:hAnsi="Times New Roman" w:cs="Times New Roman"/>
          <w:iCs/>
          <w:noProof/>
          <w:lang w:eastAsia="en-GB"/>
        </w:rPr>
        <w:t xml:space="preserve">further </w:t>
      </w:r>
      <w:r w:rsidR="0088561E">
        <w:rPr>
          <w:rFonts w:ascii="Times New Roman" w:eastAsia="Times New Roman" w:hAnsi="Times New Roman" w:cs="Times New Roman"/>
          <w:iCs/>
          <w:noProof/>
          <w:lang w:eastAsia="en-GB"/>
        </w:rPr>
        <w:t>deepen</w:t>
      </w:r>
      <w:r>
        <w:rPr>
          <w:rFonts w:ascii="Times New Roman" w:eastAsia="Times New Roman" w:hAnsi="Times New Roman" w:cs="Times New Roman"/>
          <w:iCs/>
          <w:noProof/>
          <w:lang w:eastAsia="en-GB"/>
        </w:rPr>
        <w:t xml:space="preserve"> cross-border mobility obstacles</w:t>
      </w:r>
      <w:r w:rsidRPr="00D85FE3">
        <w:rPr>
          <w:rFonts w:ascii="Times New Roman" w:eastAsia="Times New Roman" w:hAnsi="Times New Roman" w:cs="Times New Roman"/>
          <w:iCs/>
          <w:noProof/>
          <w:lang w:eastAsia="en-GB"/>
        </w:rPr>
        <w:t>;</w:t>
      </w:r>
    </w:p>
    <w:p w14:paraId="2D980DD4" w14:textId="77777777" w:rsidR="00AC7767" w:rsidRPr="00AC7767" w:rsidRDefault="00AC7767" w:rsidP="00AC7767">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b/>
          <w:iCs/>
          <w:noProof/>
          <w:lang w:eastAsia="en-GB"/>
        </w:rPr>
      </w:pPr>
      <w:r w:rsidRPr="00AC7767">
        <w:rPr>
          <w:rFonts w:ascii="Times New Roman" w:eastAsia="Times New Roman" w:hAnsi="Times New Roman" w:cs="Times New Roman"/>
          <w:b/>
          <w:iCs/>
          <w:noProof/>
          <w:lang w:eastAsia="en-GB"/>
        </w:rPr>
        <w:t>2. D</w:t>
      </w:r>
      <w:r w:rsidR="00A93DC4">
        <w:rPr>
          <w:rFonts w:ascii="Times New Roman" w:eastAsia="Times New Roman" w:hAnsi="Times New Roman" w:cs="Times New Roman"/>
          <w:b/>
          <w:iCs/>
          <w:noProof/>
          <w:lang w:eastAsia="en-GB"/>
        </w:rPr>
        <w:t>RIVING FORCES</w:t>
      </w:r>
    </w:p>
    <w:p w14:paraId="3D573996" w14:textId="77777777" w:rsidR="00F54E39" w:rsidRPr="00BA7B95" w:rsidRDefault="00AC7767">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u w:val="single"/>
          <w:lang w:eastAsia="en-GB"/>
        </w:rPr>
      </w:pPr>
      <w:r w:rsidRPr="00BA7B95">
        <w:rPr>
          <w:rFonts w:ascii="Times New Roman" w:eastAsia="Times New Roman" w:hAnsi="Times New Roman" w:cs="Times New Roman"/>
          <w:i/>
          <w:iCs/>
          <w:noProof/>
          <w:u w:val="single"/>
          <w:lang w:eastAsia="en-GB"/>
        </w:rPr>
        <w:t>2.1 Favourable macroeconomic background and SME performance</w:t>
      </w:r>
    </w:p>
    <w:p w14:paraId="5648F27A" w14:textId="77777777" w:rsidR="008E6F25" w:rsidRPr="008E6F25" w:rsidRDefault="000E5323" w:rsidP="008E6F2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Pr>
          <w:rFonts w:ascii="Times New Roman" w:eastAsia="Times New Roman" w:hAnsi="Times New Roman" w:cs="Times New Roman"/>
          <w:iCs/>
          <w:noProof/>
          <w:lang w:eastAsia="en-GB"/>
        </w:rPr>
        <w:t>Both countries</w:t>
      </w:r>
      <w:r w:rsidR="008E6F25" w:rsidRPr="008E6F25">
        <w:rPr>
          <w:rFonts w:ascii="Times New Roman" w:eastAsia="Times New Roman" w:hAnsi="Times New Roman" w:cs="Times New Roman"/>
          <w:iCs/>
          <w:noProof/>
          <w:lang w:eastAsia="en-GB"/>
        </w:rPr>
        <w:t xml:space="preserve"> enjoy macroeconomic stability and growth potential. In terms of </w:t>
      </w:r>
      <w:r>
        <w:rPr>
          <w:rFonts w:ascii="Times New Roman" w:eastAsia="Times New Roman" w:hAnsi="Times New Roman" w:cs="Times New Roman"/>
          <w:iCs/>
          <w:noProof/>
          <w:lang w:eastAsia="en-GB"/>
        </w:rPr>
        <w:t xml:space="preserve">Republic of </w:t>
      </w:r>
      <w:r w:rsidR="008E6F25" w:rsidRPr="008E6F25">
        <w:rPr>
          <w:rFonts w:ascii="Times New Roman" w:eastAsia="Times New Roman" w:hAnsi="Times New Roman" w:cs="Times New Roman"/>
          <w:iCs/>
          <w:noProof/>
          <w:lang w:eastAsia="en-GB"/>
        </w:rPr>
        <w:t xml:space="preserve">Bulgaria, the latter has hovered around 3% since 2016, with total factor productivity the main factor behind its expansion, alongside with growing export market share, increasing cost of labour per unit of output produced and continued integration in global value chains, have underpinned </w:t>
      </w:r>
      <w:r>
        <w:rPr>
          <w:rFonts w:ascii="Times New Roman" w:eastAsia="Times New Roman" w:hAnsi="Times New Roman" w:cs="Times New Roman"/>
          <w:iCs/>
          <w:noProof/>
          <w:lang w:eastAsia="en-GB"/>
        </w:rPr>
        <w:t xml:space="preserve">Republic of </w:t>
      </w:r>
      <w:r w:rsidR="008E6F25" w:rsidRPr="008E6F25">
        <w:rPr>
          <w:rFonts w:ascii="Times New Roman" w:eastAsia="Times New Roman" w:hAnsi="Times New Roman" w:cs="Times New Roman"/>
          <w:iCs/>
          <w:noProof/>
          <w:lang w:eastAsia="en-GB"/>
        </w:rPr>
        <w:t xml:space="preserve">Bulgaria’s competitive position. Driven by strong exports and increased domestic demand, GDP of the </w:t>
      </w:r>
      <w:r w:rsidR="00B802AF">
        <w:rPr>
          <w:rFonts w:ascii="Times New Roman" w:eastAsia="Times New Roman" w:hAnsi="Times New Roman" w:cs="Times New Roman"/>
          <w:iCs/>
          <w:noProof/>
          <w:lang w:eastAsia="en-GB"/>
        </w:rPr>
        <w:t>[Republic of North Macedonia]</w:t>
      </w:r>
      <w:r w:rsidR="008E6F25" w:rsidRPr="008E6F25">
        <w:rPr>
          <w:rFonts w:ascii="Times New Roman" w:eastAsia="Times New Roman" w:hAnsi="Times New Roman" w:cs="Times New Roman"/>
          <w:iCs/>
          <w:noProof/>
          <w:lang w:eastAsia="en-GB"/>
        </w:rPr>
        <w:t xml:space="preserve"> increased by 2.7% in 2018. Investment, however, continued to </w:t>
      </w:r>
      <w:r w:rsidR="00973063">
        <w:rPr>
          <w:rFonts w:ascii="Times New Roman" w:eastAsia="Times New Roman" w:hAnsi="Times New Roman" w:cs="Times New Roman"/>
          <w:iCs/>
          <w:noProof/>
          <w:lang w:eastAsia="en-GB"/>
        </w:rPr>
        <w:t>decrease.</w:t>
      </w:r>
    </w:p>
    <w:p w14:paraId="478B1AFF" w14:textId="77777777" w:rsidR="008E6F25" w:rsidRPr="008E6F25" w:rsidRDefault="008E6F25" w:rsidP="008E6F2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8E6F25">
        <w:rPr>
          <w:rFonts w:ascii="Times New Roman" w:eastAsia="Times New Roman" w:hAnsi="Times New Roman" w:cs="Times New Roman"/>
          <w:iCs/>
          <w:noProof/>
          <w:lang w:eastAsia="en-GB"/>
        </w:rPr>
        <w:t xml:space="preserve">At the CBC level, some discrepancies in regional GDP shares for 2018 shape the current economic outlook of the area mainly due to limited market size of the </w:t>
      </w:r>
      <w:r w:rsidR="00B802AF">
        <w:rPr>
          <w:rFonts w:ascii="Times New Roman" w:eastAsia="Times New Roman" w:hAnsi="Times New Roman" w:cs="Times New Roman"/>
          <w:iCs/>
          <w:noProof/>
          <w:lang w:eastAsia="en-GB"/>
        </w:rPr>
        <w:t>[Republic of North Macedonia]</w:t>
      </w:r>
      <w:r w:rsidR="00972BF2">
        <w:rPr>
          <w:rFonts w:ascii="Times New Roman" w:eastAsia="Times New Roman" w:hAnsi="Times New Roman" w:cs="Times New Roman"/>
          <w:iCs/>
          <w:noProof/>
          <w:lang w:eastAsia="en-GB"/>
        </w:rPr>
        <w:t>:</w:t>
      </w:r>
      <w:r w:rsidRPr="008E6F25">
        <w:rPr>
          <w:rFonts w:ascii="Times New Roman" w:eastAsia="Times New Roman" w:hAnsi="Times New Roman" w:cs="Times New Roman"/>
          <w:iCs/>
          <w:noProof/>
          <w:lang w:eastAsia="en-GB"/>
        </w:rPr>
        <w:t xml:space="preserve"> - Blagoevgrad district (2.7%), </w:t>
      </w:r>
      <w:r w:rsidRPr="008E6F25">
        <w:rPr>
          <w:rFonts w:ascii="Times New Roman" w:eastAsia="Times New Roman" w:hAnsi="Times New Roman" w:cs="Times New Roman"/>
          <w:iCs/>
          <w:noProof/>
          <w:lang w:val="en-US" w:eastAsia="en-GB"/>
        </w:rPr>
        <w:t>Kyustendil</w:t>
      </w:r>
      <w:r w:rsidRPr="008E6F25">
        <w:rPr>
          <w:rFonts w:ascii="Times New Roman" w:eastAsia="Times New Roman" w:hAnsi="Times New Roman" w:cs="Times New Roman"/>
          <w:iCs/>
          <w:noProof/>
          <w:lang w:eastAsia="en-GB"/>
        </w:rPr>
        <w:t xml:space="preserve"> district (1.0%), Southeast</w:t>
      </w:r>
      <w:r w:rsidR="00586CF0">
        <w:rPr>
          <w:rFonts w:ascii="Times New Roman" w:eastAsia="Times New Roman" w:hAnsi="Times New Roman" w:cs="Times New Roman"/>
          <w:iCs/>
          <w:noProof/>
          <w:lang w:eastAsia="en-GB"/>
        </w:rPr>
        <w:t>ern</w:t>
      </w:r>
      <w:r w:rsidRPr="008E6F25">
        <w:rPr>
          <w:rFonts w:ascii="Times New Roman" w:eastAsia="Times New Roman" w:hAnsi="Times New Roman" w:cs="Times New Roman"/>
          <w:iCs/>
          <w:noProof/>
          <w:lang w:eastAsia="en-GB"/>
        </w:rPr>
        <w:t xml:space="preserve"> region (9.37%), East</w:t>
      </w:r>
      <w:r w:rsidR="00586CF0">
        <w:rPr>
          <w:rFonts w:ascii="Times New Roman" w:eastAsia="Times New Roman" w:hAnsi="Times New Roman" w:cs="Times New Roman"/>
          <w:iCs/>
          <w:noProof/>
          <w:lang w:eastAsia="en-GB"/>
        </w:rPr>
        <w:t>ern</w:t>
      </w:r>
      <w:r w:rsidRPr="008E6F25">
        <w:rPr>
          <w:rFonts w:ascii="Times New Roman" w:eastAsia="Times New Roman" w:hAnsi="Times New Roman" w:cs="Times New Roman"/>
          <w:iCs/>
          <w:noProof/>
          <w:lang w:eastAsia="en-GB"/>
        </w:rPr>
        <w:t xml:space="preserve"> region (8.</w:t>
      </w:r>
      <w:r w:rsidR="00973063">
        <w:rPr>
          <w:rFonts w:ascii="Times New Roman" w:eastAsia="Times New Roman" w:hAnsi="Times New Roman" w:cs="Times New Roman"/>
          <w:iCs/>
          <w:noProof/>
          <w:lang w:eastAsia="en-GB"/>
        </w:rPr>
        <w:t>25%), Northeast</w:t>
      </w:r>
      <w:r w:rsidR="00586CF0">
        <w:rPr>
          <w:rFonts w:ascii="Times New Roman" w:eastAsia="Times New Roman" w:hAnsi="Times New Roman" w:cs="Times New Roman"/>
          <w:iCs/>
          <w:noProof/>
          <w:lang w:eastAsia="en-GB"/>
        </w:rPr>
        <w:t>ern</w:t>
      </w:r>
      <w:r w:rsidR="00973063">
        <w:rPr>
          <w:rFonts w:ascii="Times New Roman" w:eastAsia="Times New Roman" w:hAnsi="Times New Roman" w:cs="Times New Roman"/>
          <w:iCs/>
          <w:noProof/>
          <w:lang w:eastAsia="en-GB"/>
        </w:rPr>
        <w:t xml:space="preserve"> region (4.91%).</w:t>
      </w:r>
    </w:p>
    <w:p w14:paraId="3E9778F6" w14:textId="77777777" w:rsidR="008E6F25" w:rsidRPr="008E6F25" w:rsidRDefault="008E6F25" w:rsidP="008E6F2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8E6F25">
        <w:rPr>
          <w:rFonts w:ascii="Times New Roman" w:eastAsia="Times New Roman" w:hAnsi="Times New Roman" w:cs="Times New Roman"/>
          <w:iCs/>
          <w:noProof/>
          <w:lang w:eastAsia="en-GB"/>
        </w:rPr>
        <w:t>In nominal values, all 5 regions depict an increase in GDP with a rate clo</w:t>
      </w:r>
      <w:r w:rsidR="00973063">
        <w:rPr>
          <w:rFonts w:ascii="Times New Roman" w:eastAsia="Times New Roman" w:hAnsi="Times New Roman" w:cs="Times New Roman"/>
          <w:iCs/>
          <w:noProof/>
          <w:lang w:eastAsia="en-GB"/>
        </w:rPr>
        <w:t>se to the national average one.</w:t>
      </w:r>
    </w:p>
    <w:p w14:paraId="5408446A" w14:textId="77777777" w:rsidR="00F54E39" w:rsidRDefault="008E6F2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8E6F25">
        <w:rPr>
          <w:rFonts w:ascii="Times New Roman" w:eastAsia="Times New Roman" w:hAnsi="Times New Roman" w:cs="Times New Roman"/>
          <w:iCs/>
          <w:noProof/>
          <w:lang w:eastAsia="en-GB"/>
        </w:rPr>
        <w:t>The Gross Value Added (GVA) is another important indicator for the economic output of the CBC area.</w:t>
      </w:r>
      <w:r>
        <w:rPr>
          <w:rFonts w:ascii="Times New Roman" w:eastAsia="Times New Roman" w:hAnsi="Times New Roman" w:cs="Times New Roman"/>
          <w:iCs/>
          <w:noProof/>
          <w:lang w:eastAsia="en-GB"/>
        </w:rPr>
        <w:t xml:space="preserve"> </w:t>
      </w:r>
      <w:r w:rsidRPr="008E6F25">
        <w:rPr>
          <w:rFonts w:ascii="Times New Roman" w:eastAsia="Times New Roman" w:hAnsi="Times New Roman" w:cs="Times New Roman"/>
          <w:iCs/>
          <w:noProof/>
          <w:lang w:eastAsia="en-GB"/>
        </w:rPr>
        <w:t xml:space="preserve">In the </w:t>
      </w:r>
      <w:r w:rsidR="00B802AF">
        <w:rPr>
          <w:rFonts w:ascii="Times New Roman" w:eastAsia="Times New Roman" w:hAnsi="Times New Roman" w:cs="Times New Roman"/>
          <w:iCs/>
          <w:noProof/>
          <w:lang w:eastAsia="en-GB"/>
        </w:rPr>
        <w:t>[Republic of North Macedonia]</w:t>
      </w:r>
      <w:r w:rsidRPr="008E6F25">
        <w:rPr>
          <w:rFonts w:ascii="Times New Roman" w:eastAsia="Times New Roman" w:hAnsi="Times New Roman" w:cs="Times New Roman"/>
          <w:iCs/>
          <w:noProof/>
          <w:lang w:eastAsia="en-GB"/>
        </w:rPr>
        <w:t xml:space="preserve"> SME value added increased by 28.0 % in 2012-2017 and SME employment grew by 12.3 % in the same period. In </w:t>
      </w:r>
      <w:r w:rsidR="000E5323">
        <w:rPr>
          <w:rFonts w:ascii="Times New Roman" w:eastAsia="Times New Roman" w:hAnsi="Times New Roman" w:cs="Times New Roman"/>
          <w:iCs/>
          <w:noProof/>
          <w:lang w:eastAsia="en-GB"/>
        </w:rPr>
        <w:t xml:space="preserve">Republic of </w:t>
      </w:r>
      <w:r w:rsidRPr="008E6F25">
        <w:rPr>
          <w:rFonts w:ascii="Times New Roman" w:eastAsia="Times New Roman" w:hAnsi="Times New Roman" w:cs="Times New Roman"/>
          <w:iCs/>
          <w:noProof/>
          <w:lang w:eastAsia="en-GB"/>
        </w:rPr>
        <w:t xml:space="preserve">Bulgaria SMEs generate two thirds of total value added and three quarters of total employment in the country, far exceeding the respective EU averages of 56.4% and 66.6%. In 2014-2018, SMEs in the ‘non-financial business economy’ generated a substantial increase of 50.7% in SME value added. In contrast, SME employment rose only moderately, by 8.6%. Wholesale and retail shape the sector specialization in the </w:t>
      </w:r>
      <w:r w:rsidR="00B802AF">
        <w:rPr>
          <w:rFonts w:ascii="Times New Roman" w:eastAsia="Times New Roman" w:hAnsi="Times New Roman" w:cs="Times New Roman"/>
          <w:iCs/>
          <w:noProof/>
          <w:lang w:eastAsia="en-GB"/>
        </w:rPr>
        <w:t>[Republic of North Macedonia]</w:t>
      </w:r>
      <w:r w:rsidRPr="008E6F25">
        <w:rPr>
          <w:rFonts w:ascii="Times New Roman" w:eastAsia="Times New Roman" w:hAnsi="Times New Roman" w:cs="Times New Roman"/>
          <w:iCs/>
          <w:noProof/>
          <w:lang w:eastAsia="en-GB"/>
        </w:rPr>
        <w:t xml:space="preserve"> as well, accounting for 40.7 % share of SMEs, 30.3 % of total SME employment and almost one-third (31.6 %) of total SME value added. One of the fastest growing SME sectors in the country in 2012-2017 was information and communication. SMEs in this sector generated striking value added growth of 64.4 %, and even higher employment growth of 65.9 %. Although </w:t>
      </w:r>
      <w:r w:rsidR="000E5323">
        <w:rPr>
          <w:rFonts w:ascii="Times New Roman" w:eastAsia="Times New Roman" w:hAnsi="Times New Roman" w:cs="Times New Roman"/>
          <w:iCs/>
          <w:noProof/>
          <w:lang w:eastAsia="en-GB"/>
        </w:rPr>
        <w:t>the</w:t>
      </w:r>
      <w:r w:rsidR="000E5323" w:rsidRPr="008E6F25">
        <w:rPr>
          <w:rFonts w:ascii="Times New Roman" w:eastAsia="Times New Roman" w:hAnsi="Times New Roman" w:cs="Times New Roman"/>
          <w:iCs/>
          <w:noProof/>
          <w:lang w:eastAsia="en-GB"/>
        </w:rPr>
        <w:t xml:space="preserve"> </w:t>
      </w:r>
      <w:r w:rsidRPr="008E6F25">
        <w:rPr>
          <w:rFonts w:ascii="Times New Roman" w:eastAsia="Times New Roman" w:hAnsi="Times New Roman" w:cs="Times New Roman"/>
          <w:iCs/>
          <w:noProof/>
          <w:lang w:eastAsia="en-GB"/>
        </w:rPr>
        <w:t xml:space="preserve">economy </w:t>
      </w:r>
      <w:r w:rsidR="000E5323">
        <w:rPr>
          <w:rFonts w:ascii="Times New Roman" w:eastAsia="Times New Roman" w:hAnsi="Times New Roman" w:cs="Times New Roman"/>
          <w:iCs/>
          <w:noProof/>
          <w:lang w:eastAsia="en-GB"/>
        </w:rPr>
        <w:t xml:space="preserve">of the Republic of Bulgaria </w:t>
      </w:r>
      <w:r w:rsidRPr="008E6F25">
        <w:rPr>
          <w:rFonts w:ascii="Times New Roman" w:eastAsia="Times New Roman" w:hAnsi="Times New Roman" w:cs="Times New Roman"/>
          <w:iCs/>
          <w:noProof/>
          <w:lang w:eastAsia="en-GB"/>
        </w:rPr>
        <w:t>is very service oriented, the recent healthy growth of SME value added was partly driven by manufacturing. SME value added in this sector rose by 41.1% in 2014-2018, whereas SME employment increased by 4.9%.</w:t>
      </w:r>
    </w:p>
    <w:p w14:paraId="5C35888C" w14:textId="77777777" w:rsidR="008E6F25" w:rsidRDefault="008E6F2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Pr>
          <w:rFonts w:ascii="Times New Roman" w:eastAsia="Times New Roman" w:hAnsi="Times New Roman" w:cs="Times New Roman"/>
          <w:iCs/>
          <w:noProof/>
          <w:lang w:eastAsia="en-GB"/>
        </w:rPr>
        <w:t xml:space="preserve">On a CBC level, highest share of </w:t>
      </w:r>
      <w:r w:rsidR="00B90747">
        <w:rPr>
          <w:rFonts w:ascii="Times New Roman" w:eastAsia="Times New Roman" w:hAnsi="Times New Roman" w:cs="Times New Roman"/>
          <w:iCs/>
          <w:noProof/>
          <w:lang w:eastAsia="en-GB"/>
        </w:rPr>
        <w:t>produced economic output</w:t>
      </w:r>
      <w:r>
        <w:rPr>
          <w:rFonts w:ascii="Times New Roman" w:eastAsia="Times New Roman" w:hAnsi="Times New Roman" w:cs="Times New Roman"/>
          <w:iCs/>
          <w:noProof/>
          <w:lang w:eastAsia="en-GB"/>
        </w:rPr>
        <w:t xml:space="preserve"> is recorded </w:t>
      </w:r>
      <w:r w:rsidR="00C83190">
        <w:rPr>
          <w:rFonts w:ascii="Times New Roman" w:eastAsia="Times New Roman" w:hAnsi="Times New Roman" w:cs="Times New Roman"/>
          <w:iCs/>
          <w:noProof/>
          <w:lang w:eastAsia="en-GB"/>
        </w:rPr>
        <w:t xml:space="preserve">in Blagoevgrad disrtict </w:t>
      </w:r>
      <w:r>
        <w:rPr>
          <w:rFonts w:ascii="Times New Roman" w:eastAsia="Times New Roman" w:hAnsi="Times New Roman" w:cs="Times New Roman"/>
          <w:iCs/>
          <w:noProof/>
          <w:lang w:eastAsia="en-GB"/>
        </w:rPr>
        <w:t>in the service</w:t>
      </w:r>
      <w:r w:rsidR="00C83190">
        <w:rPr>
          <w:rFonts w:ascii="Times New Roman" w:eastAsia="Times New Roman" w:hAnsi="Times New Roman" w:cs="Times New Roman"/>
          <w:iCs/>
          <w:noProof/>
          <w:lang w:eastAsia="en-GB"/>
        </w:rPr>
        <w:t xml:space="preserve"> sector, followed by </w:t>
      </w:r>
      <w:r w:rsidR="00C83190" w:rsidRPr="00BA7B95">
        <w:rPr>
          <w:rFonts w:ascii="Times New Roman" w:eastAsia="Times New Roman" w:hAnsi="Times New Roman" w:cs="Times New Roman"/>
          <w:iCs/>
          <w:noProof/>
          <w:lang w:val="en-US" w:eastAsia="en-GB"/>
        </w:rPr>
        <w:t>East</w:t>
      </w:r>
      <w:r w:rsidR="00586CF0">
        <w:rPr>
          <w:rFonts w:ascii="Times New Roman" w:eastAsia="Times New Roman" w:hAnsi="Times New Roman" w:cs="Times New Roman"/>
          <w:iCs/>
          <w:noProof/>
          <w:lang w:val="en-US" w:eastAsia="en-GB"/>
        </w:rPr>
        <w:t>ern</w:t>
      </w:r>
      <w:r w:rsidR="00C83190">
        <w:rPr>
          <w:rFonts w:ascii="Times New Roman" w:eastAsia="Times New Roman" w:hAnsi="Times New Roman" w:cs="Times New Roman"/>
          <w:iCs/>
          <w:noProof/>
          <w:lang w:val="en-US" w:eastAsia="en-GB"/>
        </w:rPr>
        <w:t xml:space="preserve"> and</w:t>
      </w:r>
      <w:r w:rsidR="00C83190" w:rsidRPr="00BA7B95">
        <w:rPr>
          <w:rFonts w:ascii="Times New Roman" w:eastAsia="Times New Roman" w:hAnsi="Times New Roman" w:cs="Times New Roman"/>
          <w:iCs/>
          <w:noProof/>
          <w:lang w:val="en-US" w:eastAsia="en-GB"/>
        </w:rPr>
        <w:t xml:space="preserve"> Southeast</w:t>
      </w:r>
      <w:r w:rsidR="00586CF0">
        <w:rPr>
          <w:rFonts w:ascii="Times New Roman" w:eastAsia="Times New Roman" w:hAnsi="Times New Roman" w:cs="Times New Roman"/>
          <w:iCs/>
          <w:noProof/>
          <w:lang w:val="en-US" w:eastAsia="en-GB"/>
        </w:rPr>
        <w:t>ern</w:t>
      </w:r>
      <w:r w:rsidR="00C83190" w:rsidRPr="00BA7B95">
        <w:rPr>
          <w:rFonts w:ascii="Times New Roman" w:eastAsia="Times New Roman" w:hAnsi="Times New Roman" w:cs="Times New Roman"/>
          <w:iCs/>
          <w:noProof/>
          <w:lang w:val="en-US" w:eastAsia="en-GB"/>
        </w:rPr>
        <w:t xml:space="preserve"> Region</w:t>
      </w:r>
      <w:r w:rsidR="00C83190" w:rsidRPr="00C83190">
        <w:rPr>
          <w:rFonts w:ascii="Times New Roman" w:eastAsia="Times New Roman" w:hAnsi="Times New Roman" w:cs="Times New Roman"/>
          <w:b/>
          <w:iCs/>
          <w:noProof/>
          <w:lang w:val="en-US" w:eastAsia="en-GB"/>
        </w:rPr>
        <w:t xml:space="preserve"> </w:t>
      </w:r>
      <w:r w:rsidR="00C83190" w:rsidRPr="00BA7B95">
        <w:rPr>
          <w:rFonts w:ascii="Times New Roman" w:eastAsia="Times New Roman" w:hAnsi="Times New Roman" w:cs="Times New Roman"/>
          <w:iCs/>
          <w:noProof/>
          <w:lang w:val="en-US" w:eastAsia="en-GB"/>
        </w:rPr>
        <w:t xml:space="preserve">of the </w:t>
      </w:r>
      <w:r w:rsidR="00B802AF">
        <w:rPr>
          <w:rFonts w:ascii="Times New Roman" w:eastAsia="Times New Roman" w:hAnsi="Times New Roman" w:cs="Times New Roman"/>
          <w:iCs/>
          <w:noProof/>
          <w:lang w:val="en-US" w:eastAsia="en-GB"/>
        </w:rPr>
        <w:t>[Republic of North Macedonia]</w:t>
      </w:r>
      <w:r w:rsidR="00C83190" w:rsidRPr="00BA7B95">
        <w:rPr>
          <w:rFonts w:ascii="Times New Roman" w:eastAsia="Times New Roman" w:hAnsi="Times New Roman" w:cs="Times New Roman"/>
          <w:iCs/>
          <w:noProof/>
          <w:lang w:val="en-US" w:eastAsia="en-GB"/>
        </w:rPr>
        <w:t xml:space="preserve"> </w:t>
      </w:r>
      <w:r w:rsidR="00B90747">
        <w:rPr>
          <w:rFonts w:ascii="Times New Roman" w:eastAsia="Times New Roman" w:hAnsi="Times New Roman" w:cs="Times New Roman"/>
          <w:iCs/>
          <w:noProof/>
          <w:lang w:val="en-US" w:eastAsia="en-GB"/>
        </w:rPr>
        <w:t xml:space="preserve">having </w:t>
      </w:r>
      <w:r w:rsidR="00C83190" w:rsidRPr="00BA7B95">
        <w:rPr>
          <w:rFonts w:ascii="Times New Roman" w:eastAsia="Times New Roman" w:hAnsi="Times New Roman" w:cs="Times New Roman"/>
          <w:iCs/>
          <w:noProof/>
          <w:lang w:val="en-US" w:eastAsia="en-GB"/>
        </w:rPr>
        <w:t>specialized in</w:t>
      </w:r>
      <w:r w:rsidR="00C83190">
        <w:rPr>
          <w:rFonts w:ascii="Times New Roman" w:eastAsia="Times New Roman" w:hAnsi="Times New Roman" w:cs="Times New Roman"/>
          <w:b/>
          <w:iCs/>
          <w:noProof/>
          <w:lang w:val="en-US" w:eastAsia="en-GB"/>
        </w:rPr>
        <w:t xml:space="preserve"> </w:t>
      </w:r>
      <w:r w:rsidR="00B90747">
        <w:rPr>
          <w:rFonts w:ascii="Times New Roman" w:eastAsia="Times New Roman" w:hAnsi="Times New Roman" w:cs="Times New Roman"/>
          <w:iCs/>
          <w:noProof/>
          <w:lang w:eastAsia="en-GB"/>
        </w:rPr>
        <w:t>agriculture.</w:t>
      </w:r>
      <w:r w:rsidR="00C83190">
        <w:rPr>
          <w:rFonts w:ascii="Times New Roman" w:eastAsia="Times New Roman" w:hAnsi="Times New Roman" w:cs="Times New Roman"/>
          <w:iCs/>
          <w:noProof/>
          <w:lang w:eastAsia="en-GB"/>
        </w:rPr>
        <w:t xml:space="preserve"> </w:t>
      </w:r>
      <w:r w:rsidR="00B90747">
        <w:rPr>
          <w:rFonts w:ascii="Times New Roman" w:eastAsia="Times New Roman" w:hAnsi="Times New Roman" w:cs="Times New Roman"/>
          <w:iCs/>
          <w:noProof/>
          <w:lang w:eastAsia="en-GB"/>
        </w:rPr>
        <w:t xml:space="preserve">Industry is the sector with the lowest cumulative share of GVA. </w:t>
      </w:r>
      <w:r w:rsidR="003828FD">
        <w:rPr>
          <w:rFonts w:ascii="Times New Roman" w:eastAsia="Times New Roman" w:hAnsi="Times New Roman" w:cs="Times New Roman"/>
          <w:iCs/>
          <w:noProof/>
          <w:lang w:eastAsia="en-GB"/>
        </w:rPr>
        <w:t>However, it takes</w:t>
      </w:r>
      <w:r w:rsidR="003828FD" w:rsidRPr="003828FD">
        <w:rPr>
          <w:rFonts w:ascii="Times New Roman" w:eastAsia="Times New Roman" w:hAnsi="Times New Roman" w:cs="Times New Roman"/>
          <w:iCs/>
          <w:noProof/>
          <w:lang w:eastAsia="en-GB"/>
        </w:rPr>
        <w:t xml:space="preserve"> the second place in</w:t>
      </w:r>
      <w:r w:rsidR="000E5323">
        <w:rPr>
          <w:rFonts w:ascii="Times New Roman" w:eastAsia="Times New Roman" w:hAnsi="Times New Roman" w:cs="Times New Roman"/>
          <w:iCs/>
          <w:noProof/>
          <w:lang w:eastAsia="en-GB"/>
        </w:rPr>
        <w:t xml:space="preserve"> the economy of</w:t>
      </w:r>
      <w:r w:rsidR="003828FD" w:rsidRPr="003828FD">
        <w:rPr>
          <w:rFonts w:ascii="Times New Roman" w:eastAsia="Times New Roman" w:hAnsi="Times New Roman" w:cs="Times New Roman"/>
          <w:iCs/>
          <w:noProof/>
          <w:lang w:eastAsia="en-GB"/>
        </w:rPr>
        <w:t xml:space="preserve"> </w:t>
      </w:r>
      <w:r w:rsidR="000E5323">
        <w:rPr>
          <w:rFonts w:ascii="Times New Roman" w:eastAsia="Times New Roman" w:hAnsi="Times New Roman" w:cs="Times New Roman"/>
          <w:iCs/>
          <w:noProof/>
          <w:lang w:eastAsia="en-GB"/>
        </w:rPr>
        <w:t xml:space="preserve">the Republic of </w:t>
      </w:r>
      <w:r w:rsidR="003828FD" w:rsidRPr="003828FD">
        <w:rPr>
          <w:rFonts w:ascii="Times New Roman" w:eastAsia="Times New Roman" w:hAnsi="Times New Roman" w:cs="Times New Roman"/>
          <w:iCs/>
          <w:noProof/>
          <w:lang w:eastAsia="en-GB"/>
        </w:rPr>
        <w:t xml:space="preserve">Bulgaria and third place in the </w:t>
      </w:r>
      <w:r w:rsidR="00DD6985">
        <w:rPr>
          <w:rFonts w:ascii="Times New Roman" w:eastAsia="Times New Roman" w:hAnsi="Times New Roman" w:cs="Times New Roman"/>
          <w:iCs/>
          <w:noProof/>
          <w:lang w:eastAsia="en-GB"/>
        </w:rPr>
        <w:t xml:space="preserve">economy of the </w:t>
      </w:r>
      <w:r w:rsidR="00B802AF">
        <w:rPr>
          <w:rFonts w:ascii="Times New Roman" w:eastAsia="Times New Roman" w:hAnsi="Times New Roman" w:cs="Times New Roman"/>
          <w:iCs/>
          <w:noProof/>
          <w:lang w:eastAsia="en-GB"/>
        </w:rPr>
        <w:t>[Republic of North Macedonia]</w:t>
      </w:r>
      <w:r w:rsidR="003828FD" w:rsidRPr="003828FD">
        <w:rPr>
          <w:rFonts w:ascii="Times New Roman" w:eastAsia="Times New Roman" w:hAnsi="Times New Roman" w:cs="Times New Roman"/>
          <w:iCs/>
          <w:noProof/>
          <w:lang w:eastAsia="en-GB"/>
        </w:rPr>
        <w:t xml:space="preserve"> in the CBC area, </w:t>
      </w:r>
      <w:r w:rsidR="003828FD">
        <w:rPr>
          <w:rFonts w:ascii="Times New Roman" w:eastAsia="Times New Roman" w:hAnsi="Times New Roman" w:cs="Times New Roman"/>
          <w:iCs/>
          <w:noProof/>
          <w:lang w:eastAsia="en-GB"/>
        </w:rPr>
        <w:t xml:space="preserve">and it </w:t>
      </w:r>
      <w:r w:rsidR="003828FD" w:rsidRPr="003828FD">
        <w:rPr>
          <w:rFonts w:ascii="Times New Roman" w:eastAsia="Times New Roman" w:hAnsi="Times New Roman" w:cs="Times New Roman"/>
          <w:iCs/>
          <w:noProof/>
          <w:lang w:eastAsia="en-GB"/>
        </w:rPr>
        <w:t>is mainly represented by mining, being a leading sector in the past and still keeping its most important part in the regional industrial production</w:t>
      </w:r>
      <w:r w:rsidR="003828FD">
        <w:rPr>
          <w:rFonts w:ascii="Times New Roman" w:eastAsia="Times New Roman" w:hAnsi="Times New Roman" w:cs="Times New Roman"/>
          <w:iCs/>
          <w:noProof/>
          <w:lang w:eastAsia="en-GB"/>
        </w:rPr>
        <w:t>. In overall, t</w:t>
      </w:r>
      <w:r w:rsidR="00B90747">
        <w:rPr>
          <w:rFonts w:ascii="Times New Roman" w:eastAsia="Times New Roman" w:hAnsi="Times New Roman" w:cs="Times New Roman"/>
          <w:iCs/>
          <w:noProof/>
          <w:lang w:eastAsia="en-GB"/>
        </w:rPr>
        <w:t xml:space="preserve">hat CBC regional specialization resembles low economic development and uncompetitive economic performance with limited opportunities for domestic companies to join global value chains. </w:t>
      </w:r>
      <w:r w:rsidR="00907306">
        <w:rPr>
          <w:rFonts w:ascii="Times New Roman" w:eastAsia="Times New Roman" w:hAnsi="Times New Roman" w:cs="Times New Roman"/>
          <w:iCs/>
          <w:noProof/>
          <w:lang w:eastAsia="en-GB"/>
        </w:rPr>
        <w:t>Nevertheless, one positive trend has been observed: t</w:t>
      </w:r>
      <w:r w:rsidR="00907306" w:rsidRPr="00907306">
        <w:rPr>
          <w:rFonts w:ascii="Times New Roman" w:eastAsia="Times New Roman" w:hAnsi="Times New Roman" w:cs="Times New Roman"/>
          <w:iCs/>
          <w:noProof/>
          <w:lang w:eastAsia="en-GB"/>
        </w:rPr>
        <w:t>he strong share of services continued to grow at the expense of shrinking secto</w:t>
      </w:r>
      <w:r w:rsidR="00973063">
        <w:rPr>
          <w:rFonts w:ascii="Times New Roman" w:eastAsia="Times New Roman" w:hAnsi="Times New Roman" w:cs="Times New Roman"/>
          <w:iCs/>
          <w:noProof/>
          <w:lang w:eastAsia="en-GB"/>
        </w:rPr>
        <w:t>rs of industry and agriculture.</w:t>
      </w:r>
    </w:p>
    <w:p w14:paraId="0CC44E3C" w14:textId="77777777" w:rsidR="003828FD" w:rsidRDefault="00683B36">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683B36">
        <w:rPr>
          <w:rFonts w:ascii="Times New Roman" w:eastAsia="Times New Roman" w:hAnsi="Times New Roman" w:cs="Times New Roman"/>
          <w:iCs/>
          <w:noProof/>
          <w:lang w:eastAsia="en-GB"/>
        </w:rPr>
        <w:t xml:space="preserve">According to the Commission Assessment of the Economic reform Programme of the </w:t>
      </w:r>
      <w:r w:rsidR="00B802AF">
        <w:rPr>
          <w:rFonts w:ascii="Times New Roman" w:eastAsia="Times New Roman" w:hAnsi="Times New Roman" w:cs="Times New Roman"/>
          <w:iCs/>
          <w:noProof/>
          <w:lang w:eastAsia="en-GB"/>
        </w:rPr>
        <w:t>[Republic of North Macedonia]</w:t>
      </w:r>
      <w:r w:rsidRPr="00683B36">
        <w:rPr>
          <w:rFonts w:ascii="Times New Roman" w:eastAsia="Times New Roman" w:hAnsi="Times New Roman" w:cs="Times New Roman"/>
          <w:iCs/>
          <w:noProof/>
          <w:lang w:eastAsia="en-GB"/>
        </w:rPr>
        <w:t xml:space="preserve"> (2019-2021) the national economy recovered in 2018 on the back of strong exports. </w:t>
      </w:r>
      <w:r w:rsidR="00DD6985">
        <w:rPr>
          <w:rFonts w:ascii="Times New Roman" w:eastAsia="Times New Roman" w:hAnsi="Times New Roman" w:cs="Times New Roman"/>
          <w:iCs/>
          <w:noProof/>
          <w:lang w:eastAsia="en-GB"/>
        </w:rPr>
        <w:t xml:space="preserve">Republic of </w:t>
      </w:r>
      <w:r w:rsidRPr="00683B36">
        <w:rPr>
          <w:rFonts w:ascii="Times New Roman" w:eastAsia="Times New Roman" w:hAnsi="Times New Roman" w:cs="Times New Roman"/>
          <w:iCs/>
          <w:noProof/>
          <w:lang w:eastAsia="en-GB"/>
        </w:rPr>
        <w:t xml:space="preserve">Bulgaria is among the biggest trading partners, and that is a key enabling prerequisite for building regional </w:t>
      </w:r>
      <w:r w:rsidRPr="00683B36">
        <w:rPr>
          <w:rFonts w:ascii="Times New Roman" w:eastAsia="Times New Roman" w:hAnsi="Times New Roman" w:cs="Times New Roman"/>
          <w:iCs/>
          <w:noProof/>
          <w:lang w:eastAsia="en-GB"/>
        </w:rPr>
        <w:lastRenderedPageBreak/>
        <w:t>value chains. According to data of the Bulgarian Customs Agency the freight traffic and movement of people between two countries has been annually increased by an average of 10%. To further emphasize on this positive tendency, here come the performance outcomes of the two countries in the field of internalization who go in line with the EU average (2019 SBA Fact Sheets for</w:t>
      </w:r>
      <w:r w:rsidR="00DD6985">
        <w:rPr>
          <w:rFonts w:ascii="Times New Roman" w:eastAsia="Times New Roman" w:hAnsi="Times New Roman" w:cs="Times New Roman"/>
          <w:iCs/>
          <w:noProof/>
          <w:lang w:eastAsia="en-GB"/>
        </w:rPr>
        <w:t xml:space="preserve"> Republic of</w:t>
      </w:r>
      <w:r w:rsidRPr="00683B36">
        <w:rPr>
          <w:rFonts w:ascii="Times New Roman" w:eastAsia="Times New Roman" w:hAnsi="Times New Roman" w:cs="Times New Roman"/>
          <w:iCs/>
          <w:noProof/>
          <w:lang w:eastAsia="en-GB"/>
        </w:rPr>
        <w:t xml:space="preserve"> Bulgaria and </w:t>
      </w:r>
      <w:r w:rsidR="00B802AF">
        <w:rPr>
          <w:rFonts w:ascii="Times New Roman" w:eastAsia="Times New Roman" w:hAnsi="Times New Roman" w:cs="Times New Roman"/>
          <w:iCs/>
          <w:noProof/>
          <w:lang w:eastAsia="en-GB"/>
        </w:rPr>
        <w:t>[Republic of North Macedonia]</w:t>
      </w:r>
      <w:r w:rsidRPr="00683B36">
        <w:rPr>
          <w:rFonts w:ascii="Times New Roman" w:eastAsia="Times New Roman" w:hAnsi="Times New Roman" w:cs="Times New Roman"/>
          <w:iCs/>
          <w:noProof/>
          <w:lang w:eastAsia="en-GB"/>
        </w:rPr>
        <w:t>).</w:t>
      </w:r>
    </w:p>
    <w:p w14:paraId="61FA126F" w14:textId="77777777" w:rsidR="00411F5A" w:rsidRDefault="00411F5A">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411F5A">
        <w:rPr>
          <w:rFonts w:ascii="Times New Roman" w:eastAsia="Times New Roman" w:hAnsi="Times New Roman" w:cs="Times New Roman"/>
          <w:iCs/>
          <w:noProof/>
          <w:lang w:eastAsia="en-GB"/>
        </w:rPr>
        <w:t>The favourable geographical location and the proximity of the capitals of the two countries may influence positively for developing potential of the region.</w:t>
      </w:r>
    </w:p>
    <w:p w14:paraId="51A226D5" w14:textId="77777777" w:rsidR="00CB54E9" w:rsidRPr="00BA7B95" w:rsidRDefault="00CB54E9">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u w:val="single"/>
          <w:lang w:eastAsia="en-GB"/>
        </w:rPr>
      </w:pPr>
      <w:r w:rsidRPr="00BA7B95">
        <w:rPr>
          <w:rFonts w:ascii="Times New Roman" w:eastAsia="Times New Roman" w:hAnsi="Times New Roman" w:cs="Times New Roman"/>
          <w:i/>
          <w:iCs/>
          <w:noProof/>
          <w:u w:val="single"/>
          <w:lang w:eastAsia="en-GB"/>
        </w:rPr>
        <w:t>2.2 Rich biodiversity with a strong impact on economic growth</w:t>
      </w:r>
    </w:p>
    <w:p w14:paraId="54B8928B" w14:textId="0C0AD2A1" w:rsidR="00907306" w:rsidRPr="00907306" w:rsidRDefault="00907306" w:rsidP="00907306">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val="en-US" w:eastAsia="en-GB"/>
        </w:rPr>
      </w:pPr>
      <w:r w:rsidRPr="00907306">
        <w:rPr>
          <w:rFonts w:ascii="Times New Roman" w:eastAsia="Times New Roman" w:hAnsi="Times New Roman" w:cs="Times New Roman"/>
          <w:iCs/>
          <w:noProof/>
          <w:lang w:eastAsia="en-GB"/>
        </w:rPr>
        <w:t xml:space="preserve">The programme area enjoys a very rich and diverse natural heritage. </w:t>
      </w:r>
      <w:r w:rsidR="00DD6985">
        <w:rPr>
          <w:rFonts w:ascii="Times New Roman" w:eastAsia="Times New Roman" w:hAnsi="Times New Roman" w:cs="Times New Roman"/>
          <w:iCs/>
          <w:noProof/>
          <w:lang w:eastAsia="en-GB"/>
        </w:rPr>
        <w:t xml:space="preserve">The Republic of </w:t>
      </w:r>
      <w:r w:rsidRPr="00907306">
        <w:rPr>
          <w:rFonts w:ascii="Times New Roman" w:eastAsia="Times New Roman" w:hAnsi="Times New Roman" w:cs="Times New Roman"/>
          <w:iCs/>
          <w:noProof/>
          <w:lang w:eastAsia="en-GB"/>
        </w:rPr>
        <w:t xml:space="preserve">Bulgaria ranks third EU country in the National Ecological Network (NEN) having covered 34.4% of its national territory under Natura 2000 network. The Bulgarian part of the CBC area </w:t>
      </w:r>
      <w:r w:rsidRPr="00907306">
        <w:rPr>
          <w:rFonts w:ascii="Times New Roman" w:eastAsia="Times New Roman" w:hAnsi="Times New Roman" w:cs="Times New Roman"/>
          <w:iCs/>
          <w:noProof/>
          <w:lang w:val="en-US" w:eastAsia="en-GB"/>
        </w:rPr>
        <w:t xml:space="preserve">abounds of natural parks and reserves that enjoy various forms of protection. </w:t>
      </w:r>
      <w:r w:rsidRPr="00907306">
        <w:rPr>
          <w:rFonts w:ascii="Times New Roman" w:eastAsia="Times New Roman" w:hAnsi="Times New Roman" w:cs="Times New Roman"/>
          <w:iCs/>
          <w:noProof/>
          <w:lang w:eastAsia="en-GB"/>
        </w:rPr>
        <w:t xml:space="preserve">A number of natural habitats, on the border side of the </w:t>
      </w:r>
      <w:r w:rsidR="00B802AF">
        <w:rPr>
          <w:rFonts w:ascii="Times New Roman" w:eastAsia="Times New Roman" w:hAnsi="Times New Roman" w:cs="Times New Roman"/>
          <w:iCs/>
          <w:noProof/>
          <w:lang w:eastAsia="en-GB"/>
        </w:rPr>
        <w:t>[Republic of North Macedonia]</w:t>
      </w:r>
      <w:r w:rsidRPr="00907306">
        <w:rPr>
          <w:rFonts w:ascii="Times New Roman" w:eastAsia="Times New Roman" w:hAnsi="Times New Roman" w:cs="Times New Roman"/>
          <w:iCs/>
          <w:noProof/>
          <w:lang w:eastAsia="en-GB"/>
        </w:rPr>
        <w:t xml:space="preserve">, have been officially nominated as candidate Emerald Network sites. </w:t>
      </w:r>
      <w:r w:rsidR="00B836AD" w:rsidRPr="00914468">
        <w:rPr>
          <w:rFonts w:ascii="Times New Roman" w:hAnsi="Times New Roman" w:cs="Times New Roman"/>
          <w:lang w:val="en-US"/>
        </w:rPr>
        <w:t xml:space="preserve">The National Emerald Network in the </w:t>
      </w:r>
      <w:r w:rsidR="00B802AF">
        <w:rPr>
          <w:rFonts w:ascii="Times New Roman" w:hAnsi="Times New Roman" w:cs="Times New Roman"/>
          <w:lang w:val="en-US"/>
        </w:rPr>
        <w:t>[Republic of North Macedonia]</w:t>
      </w:r>
      <w:r w:rsidR="00B836AD" w:rsidRPr="00914468">
        <w:rPr>
          <w:rFonts w:ascii="Times New Roman" w:hAnsi="Times New Roman" w:cs="Times New Roman"/>
          <w:lang w:val="en-US"/>
        </w:rPr>
        <w:t xml:space="preserve"> includes 16 sites which represent about 80% of the whole network</w:t>
      </w:r>
      <w:r w:rsidR="00B836AD" w:rsidRPr="00B836AD">
        <w:rPr>
          <w:rFonts w:ascii="Times New Roman" w:hAnsi="Times New Roman" w:cs="Times New Roman"/>
          <w:lang w:val="en-US"/>
        </w:rPr>
        <w:t>.</w:t>
      </w:r>
      <w:r w:rsidR="00B836AD">
        <w:rPr>
          <w:rFonts w:ascii="Times New Roman" w:hAnsi="Times New Roman" w:cs="Times New Roman"/>
          <w:lang w:val="en-US"/>
        </w:rPr>
        <w:t xml:space="preserve"> </w:t>
      </w:r>
      <w:r w:rsidRPr="00907306">
        <w:rPr>
          <w:rFonts w:ascii="Times New Roman" w:eastAsia="Times New Roman" w:hAnsi="Times New Roman" w:cs="Times New Roman"/>
          <w:iCs/>
          <w:noProof/>
          <w:lang w:eastAsia="en-GB"/>
        </w:rPr>
        <w:t xml:space="preserve">Important </w:t>
      </w:r>
      <w:r w:rsidRPr="00907306">
        <w:rPr>
          <w:rFonts w:ascii="Times New Roman" w:eastAsia="Times New Roman" w:hAnsi="Times New Roman" w:cs="Times New Roman"/>
          <w:iCs/>
          <w:noProof/>
          <w:lang w:val="en-US" w:eastAsia="en-GB"/>
        </w:rPr>
        <w:t xml:space="preserve">ecological corridors of geomorphological, ornithological and botanical importance pass through the border side of the </w:t>
      </w:r>
      <w:r w:rsidR="00B802AF">
        <w:rPr>
          <w:rFonts w:ascii="Times New Roman" w:eastAsia="Times New Roman" w:hAnsi="Times New Roman" w:cs="Times New Roman"/>
          <w:iCs/>
          <w:noProof/>
          <w:lang w:eastAsia="en-GB"/>
        </w:rPr>
        <w:t>[Republic of North Macedonia]</w:t>
      </w:r>
      <w:r w:rsidRPr="00907306">
        <w:rPr>
          <w:rFonts w:ascii="Times New Roman" w:eastAsia="Times New Roman" w:hAnsi="Times New Roman" w:cs="Times New Roman"/>
          <w:iCs/>
          <w:noProof/>
          <w:lang w:val="en-US" w:eastAsia="en-GB"/>
        </w:rPr>
        <w:t xml:space="preserve">. </w:t>
      </w:r>
      <w:r w:rsidR="00B836AD" w:rsidRPr="0001247A">
        <w:rPr>
          <w:rFonts w:ascii="Times New Roman" w:hAnsi="Times New Roman" w:cs="Times New Roman"/>
          <w:lang w:val="en-US"/>
        </w:rPr>
        <w:t>As of September 2021,</w:t>
      </w:r>
      <w:r w:rsidR="00B836AD" w:rsidRPr="0001247A">
        <w:rPr>
          <w:rFonts w:ascii="Times New Roman" w:hAnsi="Times New Roman" w:cs="Times New Roman"/>
          <w:color w:val="141415"/>
          <w:lang w:val="en-US"/>
        </w:rPr>
        <w:t xml:space="preserve"> </w:t>
      </w:r>
      <w:proofErr w:type="spellStart"/>
      <w:r w:rsidR="00B836AD" w:rsidRPr="0001247A">
        <w:rPr>
          <w:rFonts w:ascii="Times New Roman" w:hAnsi="Times New Roman" w:cs="Times New Roman"/>
          <w:color w:val="141415"/>
          <w:lang w:val="en-US"/>
        </w:rPr>
        <w:t>Osogovski</w:t>
      </w:r>
      <w:proofErr w:type="spellEnd"/>
      <w:r w:rsidR="00B836AD" w:rsidRPr="0001247A">
        <w:rPr>
          <w:rFonts w:ascii="Times New Roman" w:hAnsi="Times New Roman" w:cs="Times New Roman"/>
          <w:color w:val="141415"/>
          <w:lang w:val="en-US"/>
        </w:rPr>
        <w:t xml:space="preserve"> Mountains</w:t>
      </w:r>
      <w:r w:rsidR="00B836AD" w:rsidRPr="0001247A">
        <w:rPr>
          <w:rFonts w:ascii="Times New Roman" w:hAnsi="Times New Roman" w:cs="Times New Roman"/>
          <w:lang w:val="en-US"/>
        </w:rPr>
        <w:t xml:space="preserve"> has been gained protection status </w:t>
      </w:r>
      <w:r w:rsidR="00B836AD" w:rsidRPr="0001247A">
        <w:rPr>
          <w:rFonts w:ascii="Times New Roman" w:hAnsi="Times New Roman" w:cs="Times New Roman"/>
          <w:color w:val="141415"/>
          <w:lang w:val="en-US"/>
        </w:rPr>
        <w:t xml:space="preserve">covering an area of 48 829.26 hectares. </w:t>
      </w:r>
      <w:r w:rsidR="00B836AD" w:rsidRPr="0001247A">
        <w:rPr>
          <w:rFonts w:ascii="Times New Roman" w:hAnsi="Times New Roman" w:cs="Times New Roman"/>
          <w:lang w:val="en-US"/>
        </w:rPr>
        <w:t>Few more areas are on their way to become protected under the Emerald Network</w:t>
      </w:r>
      <w:r w:rsidR="00B836AD">
        <w:rPr>
          <w:rFonts w:ascii="Times New Roman" w:hAnsi="Times New Roman" w:cs="Times New Roman"/>
          <w:color w:val="141415"/>
          <w:lang w:val="en-US"/>
        </w:rPr>
        <w:t xml:space="preserve">. </w:t>
      </w:r>
      <w:r w:rsidRPr="00B836AD">
        <w:rPr>
          <w:rFonts w:ascii="Times New Roman" w:eastAsia="Times New Roman" w:hAnsi="Times New Roman" w:cs="Times New Roman"/>
          <w:iCs/>
          <w:noProof/>
          <w:lang w:val="en-US" w:eastAsia="en-GB"/>
        </w:rPr>
        <w:t>T</w:t>
      </w:r>
      <w:r w:rsidRPr="00907306">
        <w:rPr>
          <w:rFonts w:ascii="Times New Roman" w:eastAsia="Times New Roman" w:hAnsi="Times New Roman" w:cs="Times New Roman"/>
          <w:iCs/>
          <w:noProof/>
          <w:lang w:val="en-US" w:eastAsia="en-GB"/>
        </w:rPr>
        <w:t>he programme area also belongs to the Balkan Green Belt which is the southernmost section of the European Green Belt. In addition to the natural diversity of the region there are also forests, covering around 46.5% of the total border area territory that provide raw materials for the wood-processing industries as well as opportunities for recre</w:t>
      </w:r>
      <w:r w:rsidR="00973063">
        <w:rPr>
          <w:rFonts w:ascii="Times New Roman" w:eastAsia="Times New Roman" w:hAnsi="Times New Roman" w:cs="Times New Roman"/>
          <w:iCs/>
          <w:noProof/>
          <w:lang w:val="en-US" w:eastAsia="en-GB"/>
        </w:rPr>
        <w:t>ational and hunting activities.</w:t>
      </w:r>
    </w:p>
    <w:p w14:paraId="47DABE2E" w14:textId="77777777" w:rsidR="00907306" w:rsidRPr="00907306" w:rsidRDefault="00907306" w:rsidP="00907306">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val="en-US" w:eastAsia="en-GB"/>
        </w:rPr>
      </w:pPr>
      <w:r w:rsidRPr="00907306">
        <w:rPr>
          <w:rFonts w:ascii="Times New Roman" w:eastAsia="Times New Roman" w:hAnsi="Times New Roman" w:cs="Times New Roman"/>
          <w:iCs/>
          <w:noProof/>
          <w:lang w:val="en-US" w:eastAsia="en-GB"/>
        </w:rPr>
        <w:t xml:space="preserve">The 2019 </w:t>
      </w:r>
      <w:r w:rsidRPr="00907306">
        <w:rPr>
          <w:rFonts w:ascii="Times New Roman" w:eastAsia="Times New Roman" w:hAnsi="Times New Roman" w:cs="Times New Roman"/>
          <w:iCs/>
          <w:noProof/>
          <w:lang w:eastAsia="en-GB"/>
        </w:rPr>
        <w:t>OECD Environmental Performance Review highlights that</w:t>
      </w:r>
      <w:r w:rsidRPr="00907306">
        <w:rPr>
          <w:rFonts w:ascii="Times New Roman" w:eastAsia="Times New Roman" w:hAnsi="Times New Roman" w:cs="Times New Roman"/>
          <w:iCs/>
          <w:noProof/>
          <w:lang w:val="en-US" w:eastAsia="en-GB"/>
        </w:rPr>
        <w:t xml:space="preserve"> the </w:t>
      </w:r>
      <w:r w:rsidR="00B802AF">
        <w:rPr>
          <w:rFonts w:ascii="Times New Roman" w:eastAsia="Times New Roman" w:hAnsi="Times New Roman" w:cs="Times New Roman"/>
          <w:iCs/>
          <w:noProof/>
          <w:lang w:val="en-US" w:eastAsia="en-GB"/>
        </w:rPr>
        <w:t>[Republic of North Macedonia]</w:t>
      </w:r>
      <w:r w:rsidRPr="00907306">
        <w:rPr>
          <w:rFonts w:ascii="Times New Roman" w:eastAsia="Times New Roman" w:hAnsi="Times New Roman" w:cs="Times New Roman"/>
          <w:iCs/>
          <w:noProof/>
          <w:lang w:val="en-US" w:eastAsia="en-GB"/>
        </w:rPr>
        <w:t xml:space="preserve"> has successfully preserved the abundance of wild native species of fauna, fungi and flora, including numerous species categorized by the International Union for Conservation of Nature (IUCN) as globally</w:t>
      </w:r>
      <w:r w:rsidRPr="00907306">
        <w:rPr>
          <w:rFonts w:ascii="Times New Roman" w:eastAsia="Times New Roman" w:hAnsi="Times New Roman" w:cs="Times New Roman"/>
          <w:iCs/>
          <w:noProof/>
          <w:lang w:val="bg-BG" w:eastAsia="en-GB"/>
        </w:rPr>
        <w:t xml:space="preserve"> </w:t>
      </w:r>
      <w:r w:rsidRPr="00907306">
        <w:rPr>
          <w:rFonts w:ascii="Times New Roman" w:eastAsia="Times New Roman" w:hAnsi="Times New Roman" w:cs="Times New Roman"/>
          <w:iCs/>
          <w:noProof/>
          <w:lang w:val="en-US" w:eastAsia="en-GB"/>
        </w:rPr>
        <w:t>threatened by extinction and species included in the European Red List, as</w:t>
      </w:r>
      <w:r w:rsidR="00973063">
        <w:rPr>
          <w:rFonts w:ascii="Times New Roman" w:eastAsia="Times New Roman" w:hAnsi="Times New Roman" w:cs="Times New Roman"/>
          <w:iCs/>
          <w:noProof/>
          <w:lang w:val="en-US" w:eastAsia="en-GB"/>
        </w:rPr>
        <w:t xml:space="preserve"> well as many endemic species.</w:t>
      </w:r>
    </w:p>
    <w:p w14:paraId="2DBEC2D4" w14:textId="77777777" w:rsidR="00167E63" w:rsidRDefault="00907306">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907306">
        <w:rPr>
          <w:rFonts w:ascii="Times New Roman" w:eastAsia="Times New Roman" w:hAnsi="Times New Roman" w:cs="Times New Roman"/>
          <w:iCs/>
          <w:noProof/>
          <w:lang w:val="en-US" w:eastAsia="en-GB"/>
        </w:rPr>
        <w:t xml:space="preserve">Despite the various ecological protection that the CBC area enjoys, </w:t>
      </w:r>
      <w:r w:rsidRPr="00907306">
        <w:rPr>
          <w:rFonts w:ascii="Times New Roman" w:eastAsia="Times New Roman" w:hAnsi="Times New Roman" w:cs="Times New Roman"/>
          <w:iCs/>
          <w:noProof/>
          <w:lang w:eastAsia="en-GB"/>
        </w:rPr>
        <w:t>there are areas in the region with loss, fragmentation and modification of habitats, reduced or destructed ecosystems. Basic reasons for that are: weak control systems, low level of education, lack of information, high vulnerability to natural and man-made hazards, lack of integrated planning and ecosystem-based practices and services etc. According to the Commission and the EU 2020 biodiversity strategy, development of green infrastructure (GI) is best example for ecosystem-based practices that contribute to resilient communities and result in multiple benefits for a given territory. These ancillary benefits include improved human health and wellbeing, enhanced environmental services and economic growth. GI aims at strengthening and restoring degraded ecosystems by strengthening integrated land management. As highlighted in the EU Green Infrastructure Strategy, investments in GI have significant potential to strengthen regional and urban development, including by maintaining or creating jobs.</w:t>
      </w:r>
      <w:r w:rsidR="00411F5A" w:rsidRPr="00411F5A">
        <w:t xml:space="preserve"> </w:t>
      </w:r>
      <w:r w:rsidR="00411F5A" w:rsidRPr="00411F5A">
        <w:rPr>
          <w:rFonts w:ascii="Times New Roman" w:eastAsia="Times New Roman" w:hAnsi="Times New Roman" w:cs="Times New Roman"/>
          <w:iCs/>
          <w:noProof/>
          <w:lang w:eastAsia="en-GB"/>
        </w:rPr>
        <w:t>The rich biodiversity of the region is a base for development and diversification of different forms of tourism.</w:t>
      </w:r>
    </w:p>
    <w:p w14:paraId="0A4509DF" w14:textId="77777777" w:rsidR="00167E63" w:rsidRDefault="00AB7D62">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Pr>
          <w:rFonts w:ascii="Times New Roman" w:eastAsia="Times New Roman" w:hAnsi="Times New Roman" w:cs="Times New Roman"/>
          <w:b/>
          <w:iCs/>
          <w:noProof/>
          <w:lang w:eastAsia="en-GB"/>
        </w:rPr>
        <w:t xml:space="preserve">3. </w:t>
      </w:r>
      <w:r w:rsidRPr="00AB7D62">
        <w:rPr>
          <w:rFonts w:ascii="Times New Roman" w:eastAsia="Times New Roman" w:hAnsi="Times New Roman" w:cs="Times New Roman"/>
          <w:b/>
          <w:iCs/>
          <w:noProof/>
          <w:lang w:eastAsia="en-GB"/>
        </w:rPr>
        <w:t>JOINT INVESTMENT NEEDS</w:t>
      </w:r>
    </w:p>
    <w:p w14:paraId="15987519" w14:textId="77777777" w:rsidR="00760139" w:rsidRPr="00760139" w:rsidRDefault="00760139" w:rsidP="00760139">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760139">
        <w:rPr>
          <w:rFonts w:ascii="Times New Roman" w:eastAsia="Times New Roman" w:hAnsi="Times New Roman" w:cs="Times New Roman"/>
          <w:iCs/>
          <w:noProof/>
          <w:lang w:eastAsia="en-GB"/>
        </w:rPr>
        <w:t>The identified joint investment needs reflect outlined territorial disparities, challenges and assets as well as objectives of the Territorial Agenda 2030 which seeks to reinforce solidarity in promotion convergence and reducing inequalities between better off places and those with less prosperous prospe</w:t>
      </w:r>
      <w:r w:rsidR="00973063">
        <w:rPr>
          <w:rFonts w:ascii="Times New Roman" w:eastAsia="Times New Roman" w:hAnsi="Times New Roman" w:cs="Times New Roman"/>
          <w:iCs/>
          <w:noProof/>
          <w:lang w:eastAsia="en-GB"/>
        </w:rPr>
        <w:t>cts or that are lagging behind.</w:t>
      </w:r>
    </w:p>
    <w:p w14:paraId="14D105B2" w14:textId="77777777" w:rsidR="00760139" w:rsidRPr="00760139" w:rsidRDefault="00760139" w:rsidP="00760139">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760139">
        <w:rPr>
          <w:rFonts w:ascii="Times New Roman" w:eastAsia="Times New Roman" w:hAnsi="Times New Roman" w:cs="Times New Roman"/>
          <w:iCs/>
          <w:noProof/>
          <w:lang w:eastAsia="en-GB"/>
        </w:rPr>
        <w:t>- Investments for multidimensional integrated territorial measures addressing income gap, the relatively high poverty risk, social inclusion through community-based services and integrated employment, improved access to and quality of general services for people and enterprises;</w:t>
      </w:r>
    </w:p>
    <w:p w14:paraId="31D42753" w14:textId="77777777" w:rsidR="00C36842" w:rsidRPr="00760139" w:rsidRDefault="00760139" w:rsidP="00760139">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760139">
        <w:rPr>
          <w:rFonts w:ascii="Times New Roman" w:eastAsia="Times New Roman" w:hAnsi="Times New Roman" w:cs="Times New Roman"/>
          <w:iCs/>
          <w:noProof/>
          <w:lang w:eastAsia="en-GB"/>
        </w:rPr>
        <w:lastRenderedPageBreak/>
        <w:t xml:space="preserve">- Investments for development and implementation of attractive job prospects and comprehensive digital upskilling programmes, including </w:t>
      </w:r>
      <w:r w:rsidR="00C36842">
        <w:rPr>
          <w:rFonts w:ascii="Times New Roman" w:eastAsia="Times New Roman" w:hAnsi="Times New Roman" w:cs="Times New Roman"/>
          <w:iCs/>
          <w:noProof/>
          <w:lang w:eastAsia="en-GB"/>
        </w:rPr>
        <w:t>measures of the silver economy;</w:t>
      </w:r>
    </w:p>
    <w:p w14:paraId="32F574B1" w14:textId="77777777" w:rsidR="00760139" w:rsidRPr="00760139" w:rsidRDefault="00760139" w:rsidP="00760139">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760139">
        <w:rPr>
          <w:rFonts w:ascii="Times New Roman" w:eastAsia="Times New Roman" w:hAnsi="Times New Roman" w:cs="Times New Roman"/>
          <w:iCs/>
          <w:noProof/>
          <w:lang w:eastAsia="en-GB"/>
        </w:rPr>
        <w:t>- Investments for improving the quality, labour market relevance, and inclusiveness of education and training;</w:t>
      </w:r>
    </w:p>
    <w:p w14:paraId="0D8A8677" w14:textId="77777777" w:rsidR="00760139" w:rsidRPr="00760139" w:rsidRDefault="00760139" w:rsidP="00760139">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760139">
        <w:rPr>
          <w:rFonts w:ascii="Times New Roman" w:eastAsia="Times New Roman" w:hAnsi="Times New Roman" w:cs="Times New Roman"/>
          <w:iCs/>
          <w:noProof/>
          <w:lang w:eastAsia="en-GB"/>
        </w:rPr>
        <w:t>- Investments f</w:t>
      </w:r>
      <w:r w:rsidR="00D91774">
        <w:rPr>
          <w:rFonts w:ascii="Times New Roman" w:eastAsia="Times New Roman" w:hAnsi="Times New Roman" w:cs="Times New Roman"/>
          <w:iCs/>
          <w:noProof/>
          <w:lang w:eastAsia="en-GB"/>
        </w:rPr>
        <w:t xml:space="preserve">or technological modernization, adoption of circularity models, </w:t>
      </w:r>
      <w:r w:rsidR="00765A6B">
        <w:rPr>
          <w:rFonts w:ascii="Times New Roman" w:eastAsia="Times New Roman" w:hAnsi="Times New Roman" w:cs="Times New Roman"/>
          <w:iCs/>
          <w:noProof/>
          <w:lang w:eastAsia="en-GB"/>
        </w:rPr>
        <w:t xml:space="preserve">giditalization, </w:t>
      </w:r>
      <w:r w:rsidR="00C36842">
        <w:rPr>
          <w:rFonts w:ascii="Times New Roman" w:eastAsia="Times New Roman" w:hAnsi="Times New Roman" w:cs="Times New Roman"/>
          <w:iCs/>
          <w:noProof/>
          <w:lang w:eastAsia="en-GB"/>
        </w:rPr>
        <w:t>internalization</w:t>
      </w:r>
      <w:r w:rsidRPr="00760139">
        <w:rPr>
          <w:rFonts w:ascii="Times New Roman" w:eastAsia="Times New Roman" w:hAnsi="Times New Roman" w:cs="Times New Roman"/>
          <w:iCs/>
          <w:noProof/>
          <w:lang w:eastAsia="en-GB"/>
        </w:rPr>
        <w:t xml:space="preserve">, </w:t>
      </w:r>
      <w:r w:rsidR="00C36842" w:rsidRPr="00C36842">
        <w:rPr>
          <w:rFonts w:ascii="Times New Roman" w:eastAsia="Times New Roman" w:hAnsi="Times New Roman" w:cs="Times New Roman"/>
          <w:iCs/>
          <w:noProof/>
          <w:lang w:eastAsia="en-GB"/>
        </w:rPr>
        <w:t>entrepreneurship</w:t>
      </w:r>
      <w:r w:rsidR="00C36842">
        <w:rPr>
          <w:rFonts w:ascii="Times New Roman" w:eastAsia="Times New Roman" w:hAnsi="Times New Roman" w:cs="Times New Roman"/>
          <w:iCs/>
          <w:noProof/>
          <w:lang w:eastAsia="en-GB"/>
        </w:rPr>
        <w:t xml:space="preserve">, </w:t>
      </w:r>
      <w:r w:rsidRPr="00760139">
        <w:rPr>
          <w:rFonts w:ascii="Times New Roman" w:eastAsia="Times New Roman" w:hAnsi="Times New Roman" w:cs="Times New Roman"/>
          <w:iCs/>
          <w:noProof/>
          <w:lang w:eastAsia="en-GB"/>
        </w:rPr>
        <w:t xml:space="preserve">accessing </w:t>
      </w:r>
      <w:r w:rsidR="00C36842">
        <w:rPr>
          <w:rFonts w:ascii="Times New Roman" w:eastAsia="Times New Roman" w:hAnsi="Times New Roman" w:cs="Times New Roman"/>
          <w:iCs/>
          <w:noProof/>
          <w:lang w:eastAsia="en-GB"/>
        </w:rPr>
        <w:t xml:space="preserve">and setting up regional </w:t>
      </w:r>
      <w:r w:rsidRPr="00760139">
        <w:rPr>
          <w:rFonts w:ascii="Times New Roman" w:eastAsia="Times New Roman" w:hAnsi="Times New Roman" w:cs="Times New Roman"/>
          <w:iCs/>
          <w:noProof/>
          <w:lang w:eastAsia="en-GB"/>
        </w:rPr>
        <w:t xml:space="preserve">value chains, </w:t>
      </w:r>
      <w:r w:rsidR="00C36842">
        <w:rPr>
          <w:rFonts w:ascii="Times New Roman" w:eastAsia="Times New Roman" w:hAnsi="Times New Roman" w:cs="Times New Roman"/>
          <w:iCs/>
          <w:noProof/>
          <w:lang w:eastAsia="en-GB"/>
        </w:rPr>
        <w:t>facilitating</w:t>
      </w:r>
      <w:r w:rsidRPr="00760139">
        <w:rPr>
          <w:rFonts w:ascii="Times New Roman" w:eastAsia="Times New Roman" w:hAnsi="Times New Roman" w:cs="Times New Roman"/>
          <w:iCs/>
          <w:noProof/>
          <w:lang w:eastAsia="en-GB"/>
        </w:rPr>
        <w:t xml:space="preserve"> cross-border enterprise </w:t>
      </w:r>
      <w:r w:rsidR="00C36842">
        <w:rPr>
          <w:rFonts w:ascii="Times New Roman" w:eastAsia="Times New Roman" w:hAnsi="Times New Roman" w:cs="Times New Roman"/>
          <w:iCs/>
          <w:noProof/>
          <w:lang w:eastAsia="en-GB"/>
        </w:rPr>
        <w:t>networking, etc</w:t>
      </w:r>
      <w:r w:rsidRPr="00760139">
        <w:rPr>
          <w:rFonts w:ascii="Times New Roman" w:eastAsia="Times New Roman" w:hAnsi="Times New Roman" w:cs="Times New Roman"/>
          <w:iCs/>
          <w:noProof/>
          <w:lang w:eastAsia="en-GB"/>
        </w:rPr>
        <w:t>.</w:t>
      </w:r>
    </w:p>
    <w:p w14:paraId="165546BE" w14:textId="77777777" w:rsidR="00760139" w:rsidRPr="00760139" w:rsidRDefault="00760139" w:rsidP="00760139">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760139">
        <w:rPr>
          <w:rFonts w:ascii="Times New Roman" w:eastAsia="Times New Roman" w:hAnsi="Times New Roman" w:cs="Times New Roman"/>
          <w:iCs/>
          <w:noProof/>
          <w:lang w:eastAsia="en-GB"/>
        </w:rPr>
        <w:t>- Investments for introduction and dissemination of the ‘tech-with-a-purpose’ approach who would leverage R&amp;I to create the solutions that match the urgency of the CBC environmental and social challenges;</w:t>
      </w:r>
    </w:p>
    <w:p w14:paraId="6087B3C0" w14:textId="77777777" w:rsidR="00760139" w:rsidRDefault="00760139" w:rsidP="00760139">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760139">
        <w:rPr>
          <w:rFonts w:ascii="Times New Roman" w:eastAsia="Times New Roman" w:hAnsi="Times New Roman" w:cs="Times New Roman"/>
          <w:iCs/>
          <w:noProof/>
          <w:lang w:eastAsia="en-GB"/>
        </w:rPr>
        <w:t xml:space="preserve">- Investments for development of ecosystem-based approaches </w:t>
      </w:r>
      <w:r w:rsidR="007B4341">
        <w:rPr>
          <w:rFonts w:ascii="Times New Roman" w:eastAsia="Times New Roman" w:hAnsi="Times New Roman" w:cs="Times New Roman"/>
          <w:iCs/>
          <w:noProof/>
          <w:lang w:eastAsia="en-GB"/>
        </w:rPr>
        <w:t>and greening solutions</w:t>
      </w:r>
      <w:r w:rsidR="00D91774">
        <w:rPr>
          <w:rFonts w:ascii="Times New Roman" w:eastAsia="Times New Roman" w:hAnsi="Times New Roman" w:cs="Times New Roman"/>
          <w:iCs/>
          <w:noProof/>
          <w:lang w:eastAsia="en-GB"/>
        </w:rPr>
        <w:t xml:space="preserve"> </w:t>
      </w:r>
      <w:r w:rsidRPr="00760139">
        <w:rPr>
          <w:rFonts w:ascii="Times New Roman" w:eastAsia="Times New Roman" w:hAnsi="Times New Roman" w:cs="Times New Roman"/>
          <w:iCs/>
          <w:noProof/>
          <w:lang w:eastAsia="en-GB"/>
        </w:rPr>
        <w:t>in handling environmental is</w:t>
      </w:r>
      <w:r w:rsidR="00973063">
        <w:rPr>
          <w:rFonts w:ascii="Times New Roman" w:eastAsia="Times New Roman" w:hAnsi="Times New Roman" w:cs="Times New Roman"/>
          <w:iCs/>
          <w:noProof/>
          <w:lang w:eastAsia="en-GB"/>
        </w:rPr>
        <w:t>sues</w:t>
      </w:r>
      <w:r w:rsidR="00AA2367">
        <w:rPr>
          <w:rFonts w:ascii="Times New Roman" w:eastAsia="Times New Roman" w:hAnsi="Times New Roman" w:cs="Times New Roman"/>
          <w:iCs/>
          <w:noProof/>
          <w:lang w:val="bg-BG" w:eastAsia="en-GB"/>
        </w:rPr>
        <w:t xml:space="preserve"> </w:t>
      </w:r>
      <w:r w:rsidR="00AA2367">
        <w:rPr>
          <w:rFonts w:ascii="Times New Roman" w:eastAsia="Times New Roman" w:hAnsi="Times New Roman" w:cs="Times New Roman"/>
          <w:iCs/>
          <w:noProof/>
          <w:lang w:val="en-US" w:eastAsia="en-GB"/>
        </w:rPr>
        <w:t>as well as for j</w:t>
      </w:r>
      <w:r w:rsidR="00AA2367" w:rsidRPr="00AA2367">
        <w:rPr>
          <w:rFonts w:ascii="Times New Roman" w:eastAsia="Times New Roman" w:hAnsi="Times New Roman" w:cs="Times New Roman"/>
          <w:iCs/>
          <w:noProof/>
          <w:lang w:eastAsia="en-GB"/>
        </w:rPr>
        <w:t>oint conservation</w:t>
      </w:r>
      <w:r w:rsidR="00AA2367">
        <w:rPr>
          <w:rFonts w:ascii="Times New Roman" w:eastAsia="Times New Roman" w:hAnsi="Times New Roman" w:cs="Times New Roman"/>
          <w:iCs/>
          <w:noProof/>
          <w:lang w:eastAsia="en-GB"/>
        </w:rPr>
        <w:t xml:space="preserve"> and preservation techniques</w:t>
      </w:r>
      <w:r w:rsidR="00973063">
        <w:rPr>
          <w:rFonts w:ascii="Times New Roman" w:eastAsia="Times New Roman" w:hAnsi="Times New Roman" w:cs="Times New Roman"/>
          <w:iCs/>
          <w:noProof/>
          <w:lang w:eastAsia="en-GB"/>
        </w:rPr>
        <w:t>;</w:t>
      </w:r>
    </w:p>
    <w:p w14:paraId="5107A697" w14:textId="77777777" w:rsidR="00355636" w:rsidRPr="00760139" w:rsidRDefault="00355636" w:rsidP="00760139">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Pr>
          <w:rFonts w:ascii="Times New Roman" w:eastAsia="Times New Roman" w:hAnsi="Times New Roman" w:cs="Times New Roman"/>
          <w:iCs/>
          <w:noProof/>
          <w:lang w:eastAsia="en-GB"/>
        </w:rPr>
        <w:t>- Investments for integrated development of sustainable tourism practices;</w:t>
      </w:r>
    </w:p>
    <w:p w14:paraId="2D8EC087" w14:textId="77777777" w:rsidR="00760139" w:rsidRPr="00760139" w:rsidRDefault="00760139" w:rsidP="00760139">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760139">
        <w:rPr>
          <w:rFonts w:ascii="Times New Roman" w:eastAsia="Times New Roman" w:hAnsi="Times New Roman" w:cs="Times New Roman"/>
          <w:iCs/>
          <w:noProof/>
          <w:lang w:eastAsia="en-GB"/>
        </w:rPr>
        <w:t>- Investments in i</w:t>
      </w:r>
      <w:r w:rsidR="00973063">
        <w:rPr>
          <w:rFonts w:ascii="Times New Roman" w:eastAsia="Times New Roman" w:hAnsi="Times New Roman" w:cs="Times New Roman"/>
          <w:iCs/>
          <w:noProof/>
          <w:lang w:eastAsia="en-GB"/>
        </w:rPr>
        <w:t xml:space="preserve">mproving cross-border </w:t>
      </w:r>
      <w:r w:rsidR="003D504F">
        <w:rPr>
          <w:rFonts w:ascii="Times New Roman" w:eastAsia="Times New Roman" w:hAnsi="Times New Roman" w:cs="Times New Roman"/>
          <w:iCs/>
          <w:noProof/>
          <w:lang w:eastAsia="en-GB"/>
        </w:rPr>
        <w:t xml:space="preserve">connectivity and </w:t>
      </w:r>
      <w:r w:rsidR="00973063">
        <w:rPr>
          <w:rFonts w:ascii="Times New Roman" w:eastAsia="Times New Roman" w:hAnsi="Times New Roman" w:cs="Times New Roman"/>
          <w:iCs/>
          <w:noProof/>
          <w:lang w:eastAsia="en-GB"/>
        </w:rPr>
        <w:t>mobility.</w:t>
      </w:r>
    </w:p>
    <w:p w14:paraId="587CD46E" w14:textId="77777777" w:rsidR="00AB7D62" w:rsidRDefault="000A2C6A">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Pr>
          <w:rFonts w:ascii="Times New Roman" w:eastAsia="Times New Roman" w:hAnsi="Times New Roman" w:cs="Times New Roman"/>
          <w:b/>
          <w:iCs/>
          <w:noProof/>
          <w:lang w:eastAsia="en-GB"/>
        </w:rPr>
        <w:t xml:space="preserve">4. </w:t>
      </w:r>
      <w:r w:rsidRPr="000A2C6A">
        <w:rPr>
          <w:rFonts w:ascii="Times New Roman" w:eastAsia="Times New Roman" w:hAnsi="Times New Roman" w:cs="Times New Roman"/>
          <w:b/>
          <w:iCs/>
          <w:noProof/>
          <w:lang w:eastAsia="en-GB"/>
        </w:rPr>
        <w:t>COMPLIMENTARY AND SYNERGIES WITH OTHER FUNDING PROGRAMMES AND INSTRUMENTS</w:t>
      </w:r>
    </w:p>
    <w:p w14:paraId="47EE748D" w14:textId="77777777" w:rsidR="005D5CC5" w:rsidRPr="00BA7B95" w:rsidRDefault="005D5CC5" w:rsidP="005D5CC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val="bg-BG" w:eastAsia="en-GB"/>
        </w:rPr>
      </w:pPr>
      <w:r w:rsidRPr="005D5CC5">
        <w:rPr>
          <w:rFonts w:ascii="Times New Roman" w:eastAsia="Times New Roman" w:hAnsi="Times New Roman" w:cs="Times New Roman"/>
          <w:iCs/>
          <w:noProof/>
          <w:lang w:eastAsia="en-GB"/>
        </w:rPr>
        <w:t xml:space="preserve">The CBC-IPA III programme between Republic of Bulgaria and </w:t>
      </w:r>
      <w:r w:rsidR="00B802AF">
        <w:rPr>
          <w:rFonts w:ascii="Times New Roman" w:eastAsia="Times New Roman" w:hAnsi="Times New Roman" w:cs="Times New Roman"/>
          <w:iCs/>
          <w:noProof/>
          <w:lang w:eastAsia="en-GB"/>
        </w:rPr>
        <w:t>[Republic of North Macedonia]</w:t>
      </w:r>
      <w:r w:rsidRPr="005D5CC5">
        <w:rPr>
          <w:rFonts w:ascii="Times New Roman" w:eastAsia="Times New Roman" w:hAnsi="Times New Roman" w:cs="Times New Roman"/>
          <w:iCs/>
          <w:noProof/>
          <w:lang w:eastAsia="en-GB"/>
        </w:rPr>
        <w:t xml:space="preserve"> compliments with other funding programmes and instruments. The synergy and cumulative effect of this complementarity can be outlined per CBC-IPA III programme’s priorities, as follows:</w:t>
      </w:r>
    </w:p>
    <w:p w14:paraId="21FA10FA" w14:textId="77777777" w:rsidR="005D5CC5" w:rsidRPr="005D5CC5" w:rsidRDefault="005D5CC5" w:rsidP="005D5CC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b/>
          <w:i/>
          <w:iCs/>
          <w:noProof/>
          <w:lang w:val="bg-BG" w:eastAsia="en-GB"/>
        </w:rPr>
      </w:pPr>
      <w:r w:rsidRPr="005D5CC5">
        <w:rPr>
          <w:rFonts w:ascii="Times New Roman" w:eastAsia="Times New Roman" w:hAnsi="Times New Roman" w:cs="Times New Roman"/>
          <w:b/>
          <w:i/>
          <w:iCs/>
          <w:noProof/>
          <w:lang w:val="bg-BG" w:eastAsia="en-GB"/>
        </w:rPr>
        <w:t xml:space="preserve">PRIORITY 1 GREENER BORDER REGION </w:t>
      </w:r>
      <w:r>
        <w:rPr>
          <w:rFonts w:ascii="Times New Roman" w:eastAsia="Times New Roman" w:hAnsi="Times New Roman" w:cs="Times New Roman"/>
          <w:i/>
          <w:iCs/>
          <w:noProof/>
          <w:lang w:val="bg-BG" w:eastAsia="en-GB"/>
        </w:rPr>
        <w:t>(green infrastructure</w:t>
      </w:r>
      <w:r w:rsidRPr="00BA7B95">
        <w:rPr>
          <w:rFonts w:ascii="Times New Roman" w:eastAsia="Times New Roman" w:hAnsi="Times New Roman" w:cs="Times New Roman"/>
          <w:i/>
          <w:iCs/>
          <w:noProof/>
          <w:lang w:val="bg-BG" w:eastAsia="en-GB"/>
        </w:rPr>
        <w:t>)</w:t>
      </w:r>
    </w:p>
    <w:p w14:paraId="116A12CD" w14:textId="77777777" w:rsidR="005D5CC5" w:rsidRPr="00820BA4" w:rsidRDefault="005D5CC5" w:rsidP="00532680">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val="en-US" w:eastAsia="en-GB"/>
        </w:rPr>
      </w:pPr>
      <w:r w:rsidRPr="005D5CC5">
        <w:rPr>
          <w:rFonts w:ascii="Times New Roman" w:eastAsia="Times New Roman" w:hAnsi="Times New Roman" w:cs="Times New Roman"/>
          <w:iCs/>
          <w:noProof/>
          <w:lang w:val="bg-BG" w:eastAsia="en-GB"/>
        </w:rPr>
        <w:t xml:space="preserve">Those topics are covered in </w:t>
      </w:r>
      <w:r w:rsidRPr="00BA7B95">
        <w:rPr>
          <w:rFonts w:ascii="Times New Roman" w:eastAsia="Times New Roman" w:hAnsi="Times New Roman" w:cs="Times New Roman"/>
          <w:i/>
          <w:iCs/>
          <w:noProof/>
          <w:lang w:val="bg-BG" w:eastAsia="en-GB"/>
        </w:rPr>
        <w:t>Environmental Programme</w:t>
      </w:r>
      <w:r w:rsidRPr="005D5CC5">
        <w:rPr>
          <w:rFonts w:ascii="Times New Roman" w:eastAsia="Times New Roman" w:hAnsi="Times New Roman" w:cs="Times New Roman"/>
          <w:iCs/>
          <w:noProof/>
          <w:lang w:val="bg-BG" w:eastAsia="en-GB"/>
        </w:rPr>
        <w:t xml:space="preserve"> and </w:t>
      </w:r>
      <w:r w:rsidRPr="00BA7B95">
        <w:rPr>
          <w:rFonts w:ascii="Times New Roman" w:eastAsia="Times New Roman" w:hAnsi="Times New Roman" w:cs="Times New Roman"/>
          <w:i/>
          <w:iCs/>
          <w:noProof/>
          <w:lang w:val="bg-BG" w:eastAsia="en-GB"/>
        </w:rPr>
        <w:t>National Priority Framework for Action for Natura 2000</w:t>
      </w:r>
      <w:r w:rsidRPr="005D5CC5">
        <w:rPr>
          <w:rFonts w:ascii="Times New Roman" w:eastAsia="Times New Roman" w:hAnsi="Times New Roman" w:cs="Times New Roman"/>
          <w:iCs/>
          <w:noProof/>
          <w:lang w:val="bg-BG" w:eastAsia="en-GB"/>
        </w:rPr>
        <w:t xml:space="preserve"> for programming period 2021-2027. In order to provide a lasting impact on the ecological infrastructure, the current Programme interacts with the </w:t>
      </w:r>
      <w:r w:rsidRPr="00BA7B95">
        <w:rPr>
          <w:rFonts w:ascii="Times New Roman" w:eastAsia="Times New Roman" w:hAnsi="Times New Roman" w:cs="Times New Roman"/>
          <w:i/>
          <w:iCs/>
          <w:noProof/>
          <w:lang w:val="bg-BG" w:eastAsia="en-GB"/>
        </w:rPr>
        <w:t>Environmental Programme 2021-2027</w:t>
      </w:r>
      <w:r w:rsidRPr="005D5CC5">
        <w:rPr>
          <w:rFonts w:ascii="Times New Roman" w:eastAsia="Times New Roman" w:hAnsi="Times New Roman" w:cs="Times New Roman"/>
          <w:iCs/>
          <w:noProof/>
          <w:lang w:val="bg-BG" w:eastAsia="en-GB"/>
        </w:rPr>
        <w:t xml:space="preserve"> in fostering strengthening biodiversity, "green"  infrastructure in the urban areas and reducing pollution. the </w:t>
      </w:r>
      <w:r w:rsidRPr="00BA7B95">
        <w:rPr>
          <w:rFonts w:ascii="Times New Roman" w:eastAsia="Times New Roman" w:hAnsi="Times New Roman" w:cs="Times New Roman"/>
          <w:i/>
          <w:iCs/>
          <w:noProof/>
          <w:lang w:val="bg-BG" w:eastAsia="en-GB"/>
        </w:rPr>
        <w:t>National Priority Framework for Action for Natura 2000</w:t>
      </w:r>
      <w:r w:rsidRPr="005D5CC5">
        <w:rPr>
          <w:rFonts w:ascii="Times New Roman" w:eastAsia="Times New Roman" w:hAnsi="Times New Roman" w:cs="Times New Roman"/>
          <w:iCs/>
          <w:noProof/>
          <w:lang w:val="bg-BG" w:eastAsia="en-GB"/>
        </w:rPr>
        <w:t xml:space="preserve"> focuses efforts on ensureing effective management of the </w:t>
      </w:r>
      <w:r w:rsidRPr="005D5CC5">
        <w:rPr>
          <w:rFonts w:ascii="Times New Roman" w:eastAsia="Times New Roman" w:hAnsi="Times New Roman" w:cs="Times New Roman"/>
          <w:i/>
          <w:iCs/>
          <w:noProof/>
          <w:lang w:val="bg-BG" w:eastAsia="en-GB"/>
        </w:rPr>
        <w:t>National Ecological Network and protection of natural habitats and species</w:t>
      </w:r>
      <w:r w:rsidRPr="005D5CC5">
        <w:rPr>
          <w:rFonts w:ascii="Times New Roman" w:eastAsia="Times New Roman" w:hAnsi="Times New Roman" w:cs="Times New Roman"/>
          <w:iCs/>
          <w:noProof/>
          <w:lang w:val="bg-BG" w:eastAsia="en-GB"/>
        </w:rPr>
        <w:t xml:space="preserve"> of European and national importance to halt biodiversity loss by improving the nature protection and conservation, biodiversity and green infrastructure.</w:t>
      </w:r>
      <w:r w:rsidR="00A77BA6">
        <w:rPr>
          <w:rFonts w:ascii="Times New Roman" w:eastAsia="Times New Roman" w:hAnsi="Times New Roman" w:cs="Times New Roman"/>
          <w:iCs/>
          <w:noProof/>
          <w:lang w:val="bg-BG" w:eastAsia="en-GB"/>
        </w:rPr>
        <w:t xml:space="preserve"> </w:t>
      </w:r>
      <w:r w:rsidR="00A77BA6" w:rsidRPr="00A77BA6">
        <w:rPr>
          <w:rFonts w:ascii="Times New Roman" w:eastAsia="Times New Roman" w:hAnsi="Times New Roman" w:cs="Times New Roman"/>
          <w:iCs/>
          <w:noProof/>
          <w:lang w:val="bg-BG" w:eastAsia="en-GB"/>
        </w:rPr>
        <w:t xml:space="preserve">The new Euro-Med Transnational programme 2021-2027 that has been recently joined by </w:t>
      </w:r>
      <w:r w:rsidR="00B802AF">
        <w:rPr>
          <w:rFonts w:ascii="Times New Roman" w:eastAsia="Times New Roman" w:hAnsi="Times New Roman" w:cs="Times New Roman"/>
          <w:iCs/>
          <w:noProof/>
          <w:lang w:val="bg-BG" w:eastAsia="en-GB"/>
        </w:rPr>
        <w:t>[Republic of North Macedonia]</w:t>
      </w:r>
      <w:r w:rsidR="00A77BA6" w:rsidRPr="00A77BA6">
        <w:rPr>
          <w:rFonts w:ascii="Times New Roman" w:eastAsia="Times New Roman" w:hAnsi="Times New Roman" w:cs="Times New Roman"/>
          <w:iCs/>
          <w:noProof/>
          <w:lang w:val="bg-BG" w:eastAsia="en-GB"/>
        </w:rPr>
        <w:t xml:space="preserve"> and Republic of Bulgaria envisages implementing a green infrastructure concept that can gradually improve the availability of ecosystem services and support the vision of the biodiversity conservation as an economic value for the regions.</w:t>
      </w:r>
      <w:r w:rsidR="00B72309">
        <w:rPr>
          <w:rFonts w:ascii="Times New Roman" w:eastAsia="Times New Roman" w:hAnsi="Times New Roman" w:cs="Times New Roman"/>
          <w:iCs/>
          <w:noProof/>
          <w:lang w:val="en-US" w:eastAsia="en-GB"/>
        </w:rPr>
        <w:t xml:space="preserve"> Same purposes are also pursued by the ADRION programme, in which the </w:t>
      </w:r>
      <w:r w:rsidR="00B802AF">
        <w:rPr>
          <w:rFonts w:ascii="Times New Roman" w:eastAsia="Times New Roman" w:hAnsi="Times New Roman" w:cs="Times New Roman"/>
          <w:iCs/>
          <w:noProof/>
          <w:lang w:val="en-US" w:eastAsia="en-GB"/>
        </w:rPr>
        <w:t>[Republic of North Macedonia]</w:t>
      </w:r>
      <w:r w:rsidR="00B72309">
        <w:rPr>
          <w:rFonts w:ascii="Times New Roman" w:eastAsia="Times New Roman" w:hAnsi="Times New Roman" w:cs="Times New Roman"/>
          <w:iCs/>
          <w:noProof/>
          <w:lang w:val="en-US" w:eastAsia="en-GB"/>
        </w:rPr>
        <w:t xml:space="preserve"> also takes part. Thus, the individual particitpation of the Republic of Bulgaria and the </w:t>
      </w:r>
      <w:r w:rsidR="00B802AF">
        <w:rPr>
          <w:rFonts w:ascii="Times New Roman" w:eastAsia="Times New Roman" w:hAnsi="Times New Roman" w:cs="Times New Roman"/>
          <w:iCs/>
          <w:noProof/>
          <w:lang w:val="en-US" w:eastAsia="en-GB"/>
        </w:rPr>
        <w:t>[Republic of North Macedonia]</w:t>
      </w:r>
      <w:r w:rsidR="00B72309">
        <w:rPr>
          <w:rFonts w:ascii="Times New Roman" w:eastAsia="Times New Roman" w:hAnsi="Times New Roman" w:cs="Times New Roman"/>
          <w:iCs/>
          <w:noProof/>
          <w:lang w:val="en-US" w:eastAsia="en-GB"/>
        </w:rPr>
        <w:t xml:space="preserve"> in different, wide-ranging EU funded programmes, creates important synergies with the CBC-IPA III programme</w:t>
      </w:r>
      <w:r w:rsidR="00532680">
        <w:rPr>
          <w:rFonts w:ascii="Times New Roman" w:eastAsia="Times New Roman" w:hAnsi="Times New Roman" w:cs="Times New Roman"/>
          <w:iCs/>
          <w:noProof/>
          <w:lang w:val="en-US" w:eastAsia="en-GB"/>
        </w:rPr>
        <w:t xml:space="preserve">. </w:t>
      </w:r>
      <w:r w:rsidR="00A2038F">
        <w:rPr>
          <w:rFonts w:ascii="Times New Roman" w:eastAsia="Times New Roman" w:hAnsi="Times New Roman" w:cs="Times New Roman"/>
          <w:iCs/>
          <w:noProof/>
          <w:lang w:val="en-US" w:eastAsia="en-GB"/>
        </w:rPr>
        <w:t>Most</w:t>
      </w:r>
      <w:r w:rsidR="00532680">
        <w:rPr>
          <w:rFonts w:ascii="Times New Roman" w:eastAsia="Times New Roman" w:hAnsi="Times New Roman" w:cs="Times New Roman"/>
          <w:iCs/>
          <w:noProof/>
          <w:lang w:val="en-US" w:eastAsia="en-GB"/>
        </w:rPr>
        <w:t xml:space="preserve"> cross-programmes synergies </w:t>
      </w:r>
      <w:r w:rsidR="00A2038F">
        <w:rPr>
          <w:rFonts w:ascii="Times New Roman" w:eastAsia="Times New Roman" w:hAnsi="Times New Roman" w:cs="Times New Roman"/>
          <w:iCs/>
          <w:noProof/>
          <w:lang w:val="en-US" w:eastAsia="en-GB"/>
        </w:rPr>
        <w:t>take place in</w:t>
      </w:r>
      <w:r w:rsidR="00B72309">
        <w:rPr>
          <w:rFonts w:ascii="Times New Roman" w:eastAsia="Times New Roman" w:hAnsi="Times New Roman" w:cs="Times New Roman"/>
          <w:iCs/>
          <w:noProof/>
          <w:lang w:val="en-US" w:eastAsia="en-GB"/>
        </w:rPr>
        <w:t xml:space="preserve"> the environmental domain </w:t>
      </w:r>
      <w:r w:rsidR="00532680">
        <w:rPr>
          <w:rFonts w:ascii="Times New Roman" w:eastAsia="Times New Roman" w:hAnsi="Times New Roman" w:cs="Times New Roman"/>
          <w:iCs/>
          <w:noProof/>
          <w:lang w:val="en-US" w:eastAsia="en-GB"/>
        </w:rPr>
        <w:t xml:space="preserve">where </w:t>
      </w:r>
      <w:r w:rsidR="00532680" w:rsidRPr="00532680">
        <w:rPr>
          <w:rFonts w:ascii="Times New Roman" w:eastAsia="Times New Roman" w:hAnsi="Times New Roman" w:cs="Times New Roman"/>
          <w:iCs/>
          <w:noProof/>
          <w:lang w:val="en-US" w:eastAsia="en-GB"/>
        </w:rPr>
        <w:t xml:space="preserve">joint efforts to </w:t>
      </w:r>
      <w:r w:rsidR="00532680">
        <w:rPr>
          <w:rFonts w:ascii="Times New Roman" w:eastAsia="Times New Roman" w:hAnsi="Times New Roman" w:cs="Times New Roman"/>
          <w:iCs/>
          <w:noProof/>
          <w:lang w:val="en-US" w:eastAsia="en-GB"/>
        </w:rPr>
        <w:t>improve</w:t>
      </w:r>
      <w:r w:rsidR="00B72309">
        <w:rPr>
          <w:rFonts w:ascii="Times New Roman" w:eastAsia="Times New Roman" w:hAnsi="Times New Roman" w:cs="Times New Roman"/>
          <w:iCs/>
          <w:noProof/>
          <w:lang w:val="en-US" w:eastAsia="en-GB"/>
        </w:rPr>
        <w:t xml:space="preserve"> the ecological aspect of the </w:t>
      </w:r>
      <w:r w:rsidR="00532680">
        <w:rPr>
          <w:rFonts w:ascii="Times New Roman" w:eastAsia="Times New Roman" w:hAnsi="Times New Roman" w:cs="Times New Roman"/>
          <w:iCs/>
          <w:noProof/>
          <w:lang w:val="en-US" w:eastAsia="en-GB"/>
        </w:rPr>
        <w:t>socio-economic development and to sustain</w:t>
      </w:r>
      <w:r w:rsidR="00B72309">
        <w:rPr>
          <w:rFonts w:ascii="Times New Roman" w:eastAsia="Times New Roman" w:hAnsi="Times New Roman" w:cs="Times New Roman"/>
          <w:iCs/>
          <w:noProof/>
          <w:lang w:val="en-US" w:eastAsia="en-GB"/>
        </w:rPr>
        <w:t xml:space="preserve"> healthy and protected environment</w:t>
      </w:r>
      <w:r w:rsidR="00532680">
        <w:rPr>
          <w:rFonts w:ascii="Times New Roman" w:eastAsia="Times New Roman" w:hAnsi="Times New Roman" w:cs="Times New Roman"/>
          <w:iCs/>
          <w:noProof/>
          <w:lang w:val="en-US" w:eastAsia="en-GB"/>
        </w:rPr>
        <w:t xml:space="preserve"> collide and thus produce greater impact,</w:t>
      </w:r>
      <w:r w:rsidR="00532680" w:rsidRPr="00532680">
        <w:rPr>
          <w:rFonts w:ascii="Times New Roman" w:eastAsia="Times New Roman" w:hAnsi="Times New Roman" w:cs="Times New Roman"/>
          <w:iCs/>
          <w:noProof/>
          <w:lang w:val="en-US" w:eastAsia="en-GB"/>
        </w:rPr>
        <w:t xml:space="preserve"> efficiency</w:t>
      </w:r>
      <w:r w:rsidR="00532680">
        <w:rPr>
          <w:rFonts w:ascii="Times New Roman" w:eastAsia="Times New Roman" w:hAnsi="Times New Roman" w:cs="Times New Roman"/>
          <w:iCs/>
          <w:noProof/>
          <w:lang w:val="en-US" w:eastAsia="en-GB"/>
        </w:rPr>
        <w:t xml:space="preserve"> and</w:t>
      </w:r>
      <w:r w:rsidR="00532680" w:rsidRPr="00532680">
        <w:rPr>
          <w:rFonts w:ascii="Times New Roman" w:eastAsia="Times New Roman" w:hAnsi="Times New Roman" w:cs="Times New Roman"/>
          <w:iCs/>
          <w:noProof/>
          <w:lang w:val="en-US" w:eastAsia="en-GB"/>
        </w:rPr>
        <w:t xml:space="preserve"> </w:t>
      </w:r>
      <w:r w:rsidR="00532680">
        <w:rPr>
          <w:rFonts w:ascii="Times New Roman" w:eastAsia="Times New Roman" w:hAnsi="Times New Roman" w:cs="Times New Roman"/>
          <w:iCs/>
          <w:noProof/>
          <w:lang w:val="en-US" w:eastAsia="en-GB"/>
        </w:rPr>
        <w:t>positive footprint on the enviroment</w:t>
      </w:r>
      <w:r w:rsidR="00B72309">
        <w:rPr>
          <w:rFonts w:ascii="Times New Roman" w:eastAsia="Times New Roman" w:hAnsi="Times New Roman" w:cs="Times New Roman"/>
          <w:iCs/>
          <w:noProof/>
          <w:lang w:val="en-US" w:eastAsia="en-GB"/>
        </w:rPr>
        <w:t xml:space="preserve">.  </w:t>
      </w:r>
    </w:p>
    <w:p w14:paraId="2D5FFCFE" w14:textId="77777777" w:rsidR="005D5CC5" w:rsidRPr="005D5CC5" w:rsidRDefault="005D5CC5" w:rsidP="005D5CC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b/>
          <w:i/>
          <w:iCs/>
          <w:noProof/>
          <w:lang w:val="bg-BG" w:eastAsia="en-GB"/>
        </w:rPr>
      </w:pPr>
      <w:r w:rsidRPr="005D5CC5">
        <w:rPr>
          <w:rFonts w:ascii="Times New Roman" w:eastAsia="Times New Roman" w:hAnsi="Times New Roman" w:cs="Times New Roman"/>
          <w:b/>
          <w:i/>
          <w:iCs/>
          <w:noProof/>
          <w:lang w:val="bg-BG" w:eastAsia="en-GB"/>
        </w:rPr>
        <w:t xml:space="preserve">PRIORITY 2 MORE CONNECTED BORDER REGION </w:t>
      </w:r>
      <w:r w:rsidRPr="00BA7B95">
        <w:rPr>
          <w:rFonts w:ascii="Times New Roman" w:eastAsia="Times New Roman" w:hAnsi="Times New Roman" w:cs="Times New Roman"/>
          <w:i/>
          <w:iCs/>
          <w:noProof/>
          <w:lang w:val="bg-BG" w:eastAsia="en-GB"/>
        </w:rPr>
        <w:t>(communication links, extended access to core TEN-T)</w:t>
      </w:r>
      <w:r w:rsidRPr="005D5CC5">
        <w:rPr>
          <w:rFonts w:ascii="Times New Roman" w:eastAsia="Times New Roman" w:hAnsi="Times New Roman" w:cs="Times New Roman"/>
          <w:b/>
          <w:i/>
          <w:iCs/>
          <w:noProof/>
          <w:lang w:val="bg-BG" w:eastAsia="en-GB"/>
        </w:rPr>
        <w:t xml:space="preserve"> </w:t>
      </w:r>
    </w:p>
    <w:p w14:paraId="567970CB" w14:textId="77777777" w:rsidR="005D5CC5" w:rsidRPr="005D5CC5" w:rsidRDefault="005D5CC5" w:rsidP="005D5CC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val="bg-BG" w:eastAsia="en-GB"/>
        </w:rPr>
      </w:pPr>
      <w:r w:rsidRPr="005D5CC5">
        <w:rPr>
          <w:rFonts w:ascii="Times New Roman" w:eastAsia="Times New Roman" w:hAnsi="Times New Roman" w:cs="Times New Roman"/>
          <w:iCs/>
          <w:noProof/>
          <w:lang w:val="bg-BG" w:eastAsia="en-GB"/>
        </w:rPr>
        <w:t xml:space="preserve">The project for </w:t>
      </w:r>
      <w:r w:rsidRPr="005D5CC5">
        <w:rPr>
          <w:rFonts w:ascii="Times New Roman" w:eastAsia="Times New Roman" w:hAnsi="Times New Roman" w:cs="Times New Roman"/>
          <w:i/>
          <w:iCs/>
          <w:noProof/>
          <w:lang w:val="bg-BG" w:eastAsia="en-GB"/>
        </w:rPr>
        <w:t>“Establishment of a new Border crossing check point (BCCP) Klepalo”</w:t>
      </w:r>
      <w:r w:rsidRPr="005D5CC5">
        <w:rPr>
          <w:rFonts w:ascii="Times New Roman" w:eastAsia="Times New Roman" w:hAnsi="Times New Roman" w:cs="Times New Roman"/>
          <w:iCs/>
          <w:noProof/>
          <w:lang w:val="bg-BG" w:eastAsia="en-GB"/>
        </w:rPr>
        <w:t xml:space="preserve"> between the Republic of Bulgaria and the </w:t>
      </w:r>
      <w:r w:rsidR="00B802AF">
        <w:rPr>
          <w:rFonts w:ascii="Times New Roman" w:eastAsia="Times New Roman" w:hAnsi="Times New Roman" w:cs="Times New Roman"/>
          <w:iCs/>
          <w:noProof/>
          <w:lang w:val="bg-BG" w:eastAsia="en-GB"/>
        </w:rPr>
        <w:t>[Republic of North Macedonia]</w:t>
      </w:r>
      <w:r w:rsidRPr="005D5CC5">
        <w:rPr>
          <w:rFonts w:ascii="Times New Roman" w:eastAsia="Times New Roman" w:hAnsi="Times New Roman" w:cs="Times New Roman"/>
          <w:iCs/>
          <w:noProof/>
          <w:lang w:val="bg-BG" w:eastAsia="en-GB"/>
        </w:rPr>
        <w:t xml:space="preserve"> under the current Programme supplements the interventions under the </w:t>
      </w:r>
      <w:r w:rsidRPr="00BA7B95">
        <w:rPr>
          <w:rFonts w:ascii="Times New Roman" w:eastAsia="Times New Roman" w:hAnsi="Times New Roman" w:cs="Times New Roman"/>
          <w:i/>
          <w:iCs/>
          <w:noProof/>
          <w:lang w:val="bg-BG" w:eastAsia="en-GB"/>
        </w:rPr>
        <w:t>Transport Security Programme 2021-2027</w:t>
      </w:r>
      <w:r w:rsidRPr="005D5CC5">
        <w:rPr>
          <w:rFonts w:ascii="Times New Roman" w:eastAsia="Times New Roman" w:hAnsi="Times New Roman" w:cs="Times New Roman"/>
          <w:iCs/>
          <w:noProof/>
          <w:lang w:val="bg-BG" w:eastAsia="en-GB"/>
        </w:rPr>
        <w:t xml:space="preserve"> for the development of relations with neighboring countries. Implementation of a railway connection is set between the Republic of Bulgaria and </w:t>
      </w:r>
      <w:r w:rsidRPr="005D5CC5">
        <w:rPr>
          <w:rFonts w:ascii="Times New Roman" w:eastAsia="Times New Roman" w:hAnsi="Times New Roman" w:cs="Times New Roman"/>
          <w:iCs/>
          <w:noProof/>
          <w:lang w:val="bg-BG" w:eastAsia="en-GB"/>
        </w:rPr>
        <w:lastRenderedPageBreak/>
        <w:t xml:space="preserve">the </w:t>
      </w:r>
      <w:r w:rsidR="00B802AF">
        <w:rPr>
          <w:rFonts w:ascii="Times New Roman" w:eastAsia="Times New Roman" w:hAnsi="Times New Roman" w:cs="Times New Roman"/>
          <w:iCs/>
          <w:noProof/>
          <w:lang w:val="bg-BG" w:eastAsia="en-GB"/>
        </w:rPr>
        <w:t>[Republic of North Macedonia]</w:t>
      </w:r>
      <w:r w:rsidRPr="005D5CC5">
        <w:rPr>
          <w:rFonts w:ascii="Times New Roman" w:eastAsia="Times New Roman" w:hAnsi="Times New Roman" w:cs="Times New Roman"/>
          <w:iCs/>
          <w:noProof/>
          <w:lang w:val="bg-BG" w:eastAsia="en-GB"/>
        </w:rPr>
        <w:t xml:space="preserve">, as well as modernization of section Sofia-Pernik-Radomir and completion of modernization of section Elin Pelin-Kostenets. The envisaged expansion of access to the main TEN-T network by providing a direct road connection to the Struma Motorway in Bulgaria, as part of the main </w:t>
      </w:r>
      <w:r w:rsidRPr="005D5CC5">
        <w:rPr>
          <w:rFonts w:ascii="Times New Roman" w:eastAsia="Times New Roman" w:hAnsi="Times New Roman" w:cs="Times New Roman"/>
          <w:i/>
          <w:iCs/>
          <w:noProof/>
          <w:lang w:val="bg-BG" w:eastAsia="en-GB"/>
        </w:rPr>
        <w:t>Orient/East-Med Corridor</w:t>
      </w:r>
      <w:r w:rsidRPr="005D5CC5">
        <w:rPr>
          <w:rFonts w:ascii="Times New Roman" w:eastAsia="Times New Roman" w:hAnsi="Times New Roman" w:cs="Times New Roman"/>
          <w:iCs/>
          <w:noProof/>
          <w:lang w:val="bg-BG" w:eastAsia="en-GB"/>
        </w:rPr>
        <w:t xml:space="preserve"> will strengthen regional connectivity and cross-border mobility.</w:t>
      </w:r>
    </w:p>
    <w:p w14:paraId="0BE8F165" w14:textId="77777777" w:rsidR="005D5CC5" w:rsidRPr="005D5CC5" w:rsidRDefault="005D5CC5" w:rsidP="005D5CC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b/>
          <w:i/>
          <w:iCs/>
          <w:noProof/>
          <w:lang w:val="bg-BG" w:eastAsia="en-GB"/>
        </w:rPr>
      </w:pPr>
      <w:r w:rsidRPr="005D5CC5">
        <w:rPr>
          <w:rFonts w:ascii="Times New Roman" w:eastAsia="Times New Roman" w:hAnsi="Times New Roman" w:cs="Times New Roman"/>
          <w:b/>
          <w:i/>
          <w:iCs/>
          <w:noProof/>
          <w:lang w:val="bg-BG" w:eastAsia="en-GB"/>
        </w:rPr>
        <w:t xml:space="preserve">PRIORITY 3 INTEGRATED DEVELOPMENT OF THE CORSS-BORDER REGION </w:t>
      </w:r>
      <w:r w:rsidRPr="00BA7B95">
        <w:rPr>
          <w:rFonts w:ascii="Times New Roman" w:eastAsia="Times New Roman" w:hAnsi="Times New Roman" w:cs="Times New Roman"/>
          <w:i/>
          <w:iCs/>
          <w:noProof/>
          <w:lang w:val="bg-BG" w:eastAsia="en-GB"/>
        </w:rPr>
        <w:t>(Integrated territorial development of the regions)</w:t>
      </w:r>
    </w:p>
    <w:p w14:paraId="02815469" w14:textId="77777777" w:rsidR="008E7630" w:rsidRDefault="005D5CC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val="bg-BG" w:eastAsia="en-GB"/>
        </w:rPr>
      </w:pPr>
      <w:r w:rsidRPr="005D5CC5">
        <w:rPr>
          <w:rFonts w:ascii="Times New Roman" w:eastAsia="Times New Roman" w:hAnsi="Times New Roman" w:cs="Times New Roman"/>
          <w:iCs/>
          <w:noProof/>
          <w:lang w:val="bg-BG" w:eastAsia="en-GB"/>
        </w:rPr>
        <w:t>Intervention in the</w:t>
      </w:r>
      <w:r w:rsidRPr="00BA7B95">
        <w:rPr>
          <w:rFonts w:ascii="Times New Roman" w:eastAsia="Times New Roman" w:hAnsi="Times New Roman" w:cs="Times New Roman"/>
          <w:i/>
          <w:iCs/>
          <w:noProof/>
          <w:lang w:val="bg-BG" w:eastAsia="en-GB"/>
        </w:rPr>
        <w:t xml:space="preserve"> Regional Development Programme 2021-2027</w:t>
      </w:r>
      <w:r w:rsidRPr="005D5CC5">
        <w:rPr>
          <w:rFonts w:ascii="Times New Roman" w:eastAsia="Times New Roman" w:hAnsi="Times New Roman" w:cs="Times New Roman"/>
          <w:iCs/>
          <w:noProof/>
          <w:lang w:val="bg-BG" w:eastAsia="en-GB"/>
        </w:rPr>
        <w:t xml:space="preserve"> under </w:t>
      </w:r>
      <w:r w:rsidRPr="005D5CC5">
        <w:rPr>
          <w:rFonts w:ascii="Times New Roman" w:eastAsia="Times New Roman" w:hAnsi="Times New Roman" w:cs="Times New Roman"/>
          <w:i/>
          <w:iCs/>
          <w:noProof/>
          <w:lang w:val="bg-BG" w:eastAsia="en-GB"/>
        </w:rPr>
        <w:t>Priority 1: Integrated urban development</w:t>
      </w:r>
      <w:r w:rsidRPr="005D5CC5">
        <w:rPr>
          <w:rFonts w:ascii="Times New Roman" w:eastAsia="Times New Roman" w:hAnsi="Times New Roman" w:cs="Times New Roman"/>
          <w:iCs/>
          <w:noProof/>
          <w:lang w:val="bg-BG" w:eastAsia="en-GB"/>
        </w:rPr>
        <w:t xml:space="preserve"> and </w:t>
      </w:r>
      <w:r w:rsidRPr="005D5CC5">
        <w:rPr>
          <w:rFonts w:ascii="Times New Roman" w:eastAsia="Times New Roman" w:hAnsi="Times New Roman" w:cs="Times New Roman"/>
          <w:i/>
          <w:iCs/>
          <w:noProof/>
          <w:lang w:val="bg-BG" w:eastAsia="en-GB"/>
        </w:rPr>
        <w:t>Priority 2:Integrated territorial development of the regions</w:t>
      </w:r>
      <w:r w:rsidRPr="005D5CC5">
        <w:rPr>
          <w:rFonts w:ascii="Times New Roman" w:eastAsia="Times New Roman" w:hAnsi="Times New Roman" w:cs="Times New Roman"/>
          <w:iCs/>
          <w:noProof/>
          <w:lang w:val="bg-BG" w:eastAsia="en-GB"/>
        </w:rPr>
        <w:t xml:space="preserve"> for the implementation of infrastructure measures aimed at improving and developing culture, tourism, sustainable urban mobility, digital and safe transport connectivity, measures to improve the quality of the environment such as green infrastructure, measures to foster economic activity investments in technical infrastructure for the development of industrial zones or other infrastructure for the development of economic activities and support for innovation and development of SMEs. The </w:t>
      </w:r>
      <w:r w:rsidRPr="00BA7B95">
        <w:rPr>
          <w:rFonts w:ascii="Times New Roman" w:eastAsia="Times New Roman" w:hAnsi="Times New Roman" w:cs="Times New Roman"/>
          <w:i/>
          <w:iCs/>
          <w:noProof/>
          <w:lang w:val="bg-BG" w:eastAsia="en-GB"/>
        </w:rPr>
        <w:t xml:space="preserve">INTERREG-IPA CBC Greece - </w:t>
      </w:r>
      <w:r w:rsidR="00B802AF">
        <w:rPr>
          <w:rFonts w:ascii="Times New Roman" w:eastAsia="Times New Roman" w:hAnsi="Times New Roman" w:cs="Times New Roman"/>
          <w:i/>
          <w:iCs/>
          <w:noProof/>
          <w:lang w:val="bg-BG" w:eastAsia="en-GB"/>
        </w:rPr>
        <w:t>[Republic of North Macedonia]</w:t>
      </w:r>
      <w:r w:rsidRPr="00BA7B95">
        <w:rPr>
          <w:rFonts w:ascii="Times New Roman" w:eastAsia="Times New Roman" w:hAnsi="Times New Roman" w:cs="Times New Roman"/>
          <w:i/>
          <w:iCs/>
          <w:noProof/>
          <w:lang w:val="bg-BG" w:eastAsia="en-GB"/>
        </w:rPr>
        <w:t xml:space="preserve"> 2021-2027</w:t>
      </w:r>
      <w:r w:rsidRPr="005D5CC5">
        <w:rPr>
          <w:rFonts w:ascii="Times New Roman" w:eastAsia="Times New Roman" w:hAnsi="Times New Roman" w:cs="Times New Roman"/>
          <w:iCs/>
          <w:noProof/>
          <w:lang w:val="bg-BG" w:eastAsia="en-GB"/>
        </w:rPr>
        <w:t xml:space="preserve"> (</w:t>
      </w:r>
      <w:r w:rsidR="003F0B54" w:rsidRPr="003F0B54">
        <w:rPr>
          <w:rFonts w:ascii="Times New Roman" w:eastAsia="Times New Roman" w:hAnsi="Times New Roman" w:cs="Times New Roman"/>
          <w:iCs/>
          <w:noProof/>
          <w:lang w:val="bg-BG" w:eastAsia="en-GB"/>
        </w:rPr>
        <w:t>South-East</w:t>
      </w:r>
      <w:r w:rsidR="008645B6">
        <w:rPr>
          <w:rFonts w:ascii="Times New Roman" w:eastAsia="Times New Roman" w:hAnsi="Times New Roman" w:cs="Times New Roman"/>
          <w:iCs/>
          <w:noProof/>
          <w:lang w:val="en-US" w:eastAsia="en-GB"/>
        </w:rPr>
        <w:t>ern</w:t>
      </w:r>
      <w:r w:rsidR="003F0B54" w:rsidRPr="003F0B54">
        <w:rPr>
          <w:rFonts w:ascii="Times New Roman" w:eastAsia="Times New Roman" w:hAnsi="Times New Roman" w:cs="Times New Roman"/>
          <w:iCs/>
          <w:noProof/>
          <w:lang w:val="bg-BG" w:eastAsia="en-GB"/>
        </w:rPr>
        <w:t xml:space="preserve"> planning region </w:t>
      </w:r>
      <w:r w:rsidR="003F0B54">
        <w:rPr>
          <w:rFonts w:ascii="Times New Roman" w:eastAsia="Times New Roman" w:hAnsi="Times New Roman" w:cs="Times New Roman"/>
          <w:iCs/>
          <w:noProof/>
          <w:lang w:val="en-US" w:eastAsia="en-GB"/>
        </w:rPr>
        <w:t xml:space="preserve">of [Republic of </w:t>
      </w:r>
      <w:r w:rsidRPr="005D5CC5">
        <w:rPr>
          <w:rFonts w:ascii="Times New Roman" w:eastAsia="Times New Roman" w:hAnsi="Times New Roman" w:cs="Times New Roman"/>
          <w:iCs/>
          <w:noProof/>
          <w:lang w:val="bg-BG" w:eastAsia="en-GB"/>
        </w:rPr>
        <w:t>North Macedonia</w:t>
      </w:r>
      <w:r w:rsidR="003F0B54">
        <w:rPr>
          <w:rFonts w:ascii="Times New Roman" w:eastAsia="Times New Roman" w:hAnsi="Times New Roman" w:cs="Times New Roman"/>
          <w:iCs/>
          <w:noProof/>
          <w:lang w:val="en-US" w:eastAsia="en-GB"/>
        </w:rPr>
        <w:t>]</w:t>
      </w:r>
      <w:r w:rsidRPr="005D5CC5">
        <w:rPr>
          <w:rFonts w:ascii="Times New Roman" w:eastAsia="Times New Roman" w:hAnsi="Times New Roman" w:cs="Times New Roman"/>
          <w:iCs/>
          <w:noProof/>
          <w:lang w:val="bg-BG" w:eastAsia="en-GB"/>
        </w:rPr>
        <w:t xml:space="preserve">) envisages measures focused on supporting entrepreneurship and startups, oriented toward cross-border products and services, tourism, knowledge transfer and ICT. </w:t>
      </w:r>
    </w:p>
    <w:p w14:paraId="368FF3C5" w14:textId="77777777" w:rsidR="00F83A55" w:rsidRPr="00820BA4" w:rsidRDefault="00F83A55" w:rsidP="00F83A5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val="en-US" w:eastAsia="en-GB"/>
        </w:rPr>
      </w:pPr>
      <w:r w:rsidRPr="00F83A55">
        <w:rPr>
          <w:rFonts w:ascii="Times New Roman" w:eastAsia="Times New Roman" w:hAnsi="Times New Roman" w:cs="Times New Roman"/>
          <w:iCs/>
          <w:noProof/>
          <w:lang w:val="bg-BG" w:eastAsia="en-GB"/>
        </w:rPr>
        <w:t xml:space="preserve">The IPA III Instrument for the </w:t>
      </w:r>
      <w:r w:rsidR="00B802AF">
        <w:rPr>
          <w:rFonts w:ascii="Times New Roman" w:eastAsia="Times New Roman" w:hAnsi="Times New Roman" w:cs="Times New Roman"/>
          <w:iCs/>
          <w:noProof/>
          <w:lang w:val="bg-BG" w:eastAsia="en-GB"/>
        </w:rPr>
        <w:t>[Republic of North Macedonia]</w:t>
      </w:r>
      <w:r w:rsidRPr="00F83A55">
        <w:rPr>
          <w:rFonts w:ascii="Times New Roman" w:eastAsia="Times New Roman" w:hAnsi="Times New Roman" w:cs="Times New Roman"/>
          <w:iCs/>
          <w:noProof/>
          <w:lang w:val="bg-BG" w:eastAsia="en-GB"/>
        </w:rPr>
        <w:t xml:space="preserve"> provides important assistance complementing the vast EU funded support in the region. In the context of the CBC-IPA III programme, the EU for Prespa programme is seen as </w:t>
      </w:r>
      <w:r>
        <w:rPr>
          <w:rFonts w:ascii="Times New Roman" w:eastAsia="Times New Roman" w:hAnsi="Times New Roman" w:cs="Times New Roman"/>
          <w:iCs/>
          <w:noProof/>
          <w:lang w:val="en-US" w:eastAsia="en-GB"/>
        </w:rPr>
        <w:t>a</w:t>
      </w:r>
      <w:r w:rsidRPr="00F83A55">
        <w:rPr>
          <w:rFonts w:ascii="Times New Roman" w:eastAsia="Times New Roman" w:hAnsi="Times New Roman" w:cs="Times New Roman"/>
          <w:iCs/>
          <w:noProof/>
          <w:lang w:val="bg-BG" w:eastAsia="en-GB"/>
        </w:rPr>
        <w:t xml:space="preserve"> instrument </w:t>
      </w:r>
      <w:r>
        <w:rPr>
          <w:rFonts w:ascii="Times New Roman" w:eastAsia="Times New Roman" w:hAnsi="Times New Roman" w:cs="Times New Roman"/>
          <w:iCs/>
          <w:noProof/>
          <w:lang w:val="en-US" w:eastAsia="en-GB"/>
        </w:rPr>
        <w:t>intensifying</w:t>
      </w:r>
      <w:r w:rsidRPr="00F83A55">
        <w:rPr>
          <w:rFonts w:ascii="Times New Roman" w:eastAsia="Times New Roman" w:hAnsi="Times New Roman" w:cs="Times New Roman"/>
          <w:iCs/>
          <w:noProof/>
          <w:lang w:val="bg-BG" w:eastAsia="en-GB"/>
        </w:rPr>
        <w:t xml:space="preserve"> the joint engagement of the two countries to accelerate the Green Agenda on their territories. Despite the fact that the geographical coverage of the EU for Prespa programme does not overlap with the CBC programme area, the added value of the Prespa initiative complements the ongoing work in the entire neighboring region and the created synergies are of a benefit for the whole area. The policy domain</w:t>
      </w:r>
      <w:r>
        <w:rPr>
          <w:rFonts w:ascii="Times New Roman" w:eastAsia="Times New Roman" w:hAnsi="Times New Roman" w:cs="Times New Roman"/>
          <w:iCs/>
          <w:noProof/>
          <w:lang w:val="en-US" w:eastAsia="en-GB"/>
        </w:rPr>
        <w:t>,</w:t>
      </w:r>
      <w:r w:rsidRPr="00F83A55">
        <w:rPr>
          <w:rFonts w:ascii="Times New Roman" w:eastAsia="Times New Roman" w:hAnsi="Times New Roman" w:cs="Times New Roman"/>
          <w:iCs/>
          <w:noProof/>
          <w:lang w:val="bg-BG" w:eastAsia="en-GB"/>
        </w:rPr>
        <w:t xml:space="preserve"> where the two programmes complement the most</w:t>
      </w:r>
      <w:r>
        <w:rPr>
          <w:rFonts w:ascii="Times New Roman" w:eastAsia="Times New Roman" w:hAnsi="Times New Roman" w:cs="Times New Roman"/>
          <w:iCs/>
          <w:noProof/>
          <w:lang w:val="en-US" w:eastAsia="en-GB"/>
        </w:rPr>
        <w:t>,</w:t>
      </w:r>
      <w:r w:rsidRPr="00F83A55">
        <w:rPr>
          <w:rFonts w:ascii="Times New Roman" w:eastAsia="Times New Roman" w:hAnsi="Times New Roman" w:cs="Times New Roman"/>
          <w:iCs/>
          <w:noProof/>
          <w:lang w:val="bg-BG" w:eastAsia="en-GB"/>
        </w:rPr>
        <w:t xml:space="preserve"> is the Green Agenda where various pillars of biodiversity are put on central. A proper instrument of building the synergies between the two programmes might be the implementation of parallel or successive actions on different, but neighboring territories, with the aim to improve ecological permeability and extend ecological corridors from east to west, and to support the development of sustainable tourist products</w:t>
      </w:r>
      <w:r>
        <w:rPr>
          <w:rFonts w:ascii="Times New Roman" w:eastAsia="Times New Roman" w:hAnsi="Times New Roman" w:cs="Times New Roman"/>
          <w:iCs/>
          <w:noProof/>
          <w:lang w:val="en-US" w:eastAsia="en-GB"/>
        </w:rPr>
        <w:t>.</w:t>
      </w:r>
    </w:p>
    <w:p w14:paraId="4B87AC2D" w14:textId="77777777" w:rsidR="00F83A55" w:rsidRPr="00F83A55" w:rsidRDefault="00F83A55" w:rsidP="00F83A5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val="bg-BG" w:eastAsia="en-GB"/>
        </w:rPr>
      </w:pPr>
      <w:r w:rsidRPr="00F83A55">
        <w:rPr>
          <w:rFonts w:ascii="Times New Roman" w:eastAsia="Times New Roman" w:hAnsi="Times New Roman" w:cs="Times New Roman"/>
          <w:iCs/>
          <w:noProof/>
          <w:lang w:val="bg-BG" w:eastAsia="en-GB"/>
        </w:rPr>
        <w:t xml:space="preserve">Further to the seeking of EU funded inter-programmes complementarity, consistency on EU policy level was also sought, particularly between the policy domains of external borders and enlargement in the context of the Berlin process. The Programme has a potentially strong impact on the progress of implementation of 5 out of 6 flagship initiatives of the EU-Western Balkans Strategy. Business development is seen by large the most favorable area for cumulative EU policy and funding interventions in the Western Balkans (the so called WB6) and the CBC area to take place. By providing support to border businesses to internalize and join international value chains, the Programme complements the efforts of the Western Balkans 6 Chamber Investment Forum (WB6 CIF) to facilitate inter-business contacts and promote the Western Balkans as one investment destination. Therefore, the programme enlarges the opportunities for networking of business communities between the CBC area and the WB region and thus create prospects of emerging Balkan value chains (highlighted in the Border orientation paper, as well). The Programme plays crucial role in the WP6 Connectivity agenda, and partially on the security and migration flagship initiative, by laying the foundations for easier and faster movement of citizens, businesses and capitals between Western Balkans and EU through the construction of new border crosscheck point (BCCP Klepalo) at the border of Republic of Bulgaria and </w:t>
      </w:r>
      <w:r w:rsidR="00B802AF">
        <w:rPr>
          <w:rFonts w:ascii="Times New Roman" w:eastAsia="Times New Roman" w:hAnsi="Times New Roman" w:cs="Times New Roman"/>
          <w:iCs/>
          <w:noProof/>
          <w:lang w:val="bg-BG" w:eastAsia="en-GB"/>
        </w:rPr>
        <w:t>[Republic of North Macedonia]</w:t>
      </w:r>
      <w:r w:rsidRPr="00F83A55">
        <w:rPr>
          <w:rFonts w:ascii="Times New Roman" w:eastAsia="Times New Roman" w:hAnsi="Times New Roman" w:cs="Times New Roman"/>
          <w:iCs/>
          <w:noProof/>
          <w:lang w:val="bg-BG" w:eastAsia="en-GB"/>
        </w:rPr>
        <w:t xml:space="preserve">. Under Priority 3 Integrated development of the cross-border region, the Programme will seek to expand the land connectivity by supporting the development of alternative mobility, including a grid of bicycle lanes, ‘dirt’ forest and country roads, helipads, etc. The Programme touches upon priorities of the Green agenda of WB6 in relation to protection and restoration of ecosystems. The contribution of the Programme on that objective go under the form of small projects supporting the development of green infrastructure with the aim to increase ecological permeability and prevent biodiversity loss. The strategic </w:t>
      </w:r>
      <w:r w:rsidRPr="00F83A55">
        <w:rPr>
          <w:rFonts w:ascii="Times New Roman" w:eastAsia="Times New Roman" w:hAnsi="Times New Roman" w:cs="Times New Roman"/>
          <w:iCs/>
          <w:noProof/>
          <w:lang w:val="bg-BG" w:eastAsia="en-GB"/>
        </w:rPr>
        <w:lastRenderedPageBreak/>
        <w:t xml:space="preserve">foundations (Digital Agenda for the Western Balkans) and the Programme concentration build strong synergies (in the area of digital economy and society) and take on identical paths to make citizens of WP6 region and CBC area capable of fully reaping the benefits of the fast-paced and inevitable digital transformation. Last, but not least, despite the continuous political disputes between the Republic of Bulgaria and </w:t>
      </w:r>
      <w:r w:rsidR="00B802AF">
        <w:rPr>
          <w:rFonts w:ascii="Times New Roman" w:eastAsia="Times New Roman" w:hAnsi="Times New Roman" w:cs="Times New Roman"/>
          <w:iCs/>
          <w:noProof/>
          <w:lang w:val="bg-BG" w:eastAsia="en-GB"/>
        </w:rPr>
        <w:t>[Republic of North Macedonia]</w:t>
      </w:r>
      <w:r w:rsidRPr="00F83A55">
        <w:rPr>
          <w:rFonts w:ascii="Times New Roman" w:eastAsia="Times New Roman" w:hAnsi="Times New Roman" w:cs="Times New Roman"/>
          <w:iCs/>
          <w:noProof/>
          <w:lang w:val="bg-BG" w:eastAsia="en-GB"/>
        </w:rPr>
        <w:t xml:space="preserve">, the Programme sends a positive message to all concerned that when maintaining good neighborly relations on a territorial level, bilateral disputes are no longer obstacles to growth and prosperity.    </w:t>
      </w:r>
    </w:p>
    <w:p w14:paraId="2EE52280" w14:textId="77777777" w:rsidR="00C167C2" w:rsidRDefault="00F83A55" w:rsidP="00F83A5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val="bg-BG" w:eastAsia="en-GB"/>
        </w:rPr>
      </w:pPr>
      <w:r w:rsidRPr="00F6522B">
        <w:rPr>
          <w:rFonts w:ascii="Times New Roman" w:eastAsia="Times New Roman" w:hAnsi="Times New Roman" w:cs="Times New Roman"/>
          <w:iCs/>
          <w:noProof/>
          <w:lang w:val="bg-BG" w:eastAsia="en-GB"/>
        </w:rPr>
        <w:t xml:space="preserve">In terms of implementation of an interprogramme coordination approach to address geographical and thematic challenges and to facilitate interprogramme synergies, the </w:t>
      </w:r>
      <w:r w:rsidR="00B209A0" w:rsidRPr="00F6522B">
        <w:rPr>
          <w:rFonts w:ascii="Times New Roman" w:eastAsia="Times New Roman" w:hAnsi="Times New Roman" w:cs="Times New Roman"/>
          <w:iCs/>
          <w:noProof/>
          <w:lang w:val="en-US" w:eastAsia="en-GB"/>
        </w:rPr>
        <w:t>managing bodies</w:t>
      </w:r>
      <w:r w:rsidRPr="00F6522B">
        <w:rPr>
          <w:rFonts w:ascii="Times New Roman" w:eastAsia="Times New Roman" w:hAnsi="Times New Roman" w:cs="Times New Roman"/>
          <w:iCs/>
          <w:noProof/>
          <w:lang w:val="bg-BG" w:eastAsia="en-GB"/>
        </w:rPr>
        <w:t xml:space="preserve"> will take on two paths: 1) Invite representatives of managing bodies of all relevant (those whose geographical coverage overlaps with the CBC area) EU funding programmes to the JMC/JWG of the Programme; and 2) Set up interprogramme thematic working groups and staff/experts exchange</w:t>
      </w:r>
      <w:r w:rsidR="00B209A0" w:rsidRPr="00F6522B">
        <w:rPr>
          <w:rFonts w:ascii="Times New Roman" w:eastAsia="Times New Roman" w:hAnsi="Times New Roman" w:cs="Times New Roman"/>
          <w:iCs/>
          <w:noProof/>
          <w:lang w:val="en-US" w:eastAsia="en-GB"/>
        </w:rPr>
        <w:t xml:space="preserve"> at the stage of development of Guidelines for applicants</w:t>
      </w:r>
      <w:r w:rsidRPr="00F6522B">
        <w:rPr>
          <w:rFonts w:ascii="Times New Roman" w:eastAsia="Times New Roman" w:hAnsi="Times New Roman" w:cs="Times New Roman"/>
          <w:iCs/>
          <w:noProof/>
          <w:lang w:val="bg-BG" w:eastAsia="en-GB"/>
        </w:rPr>
        <w:t>.</w:t>
      </w:r>
    </w:p>
    <w:p w14:paraId="27694E69" w14:textId="77777777" w:rsidR="00754475" w:rsidRDefault="0075447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Pr>
          <w:rFonts w:ascii="Times New Roman" w:eastAsia="Times New Roman" w:hAnsi="Times New Roman" w:cs="Times New Roman"/>
          <w:b/>
          <w:iCs/>
          <w:noProof/>
          <w:lang w:eastAsia="en-GB"/>
        </w:rPr>
        <w:t xml:space="preserve">5. </w:t>
      </w:r>
      <w:r w:rsidRPr="00754475">
        <w:rPr>
          <w:rFonts w:ascii="Times New Roman" w:eastAsia="Times New Roman" w:hAnsi="Times New Roman" w:cs="Times New Roman"/>
          <w:b/>
          <w:iCs/>
          <w:noProof/>
          <w:lang w:eastAsia="en-GB"/>
        </w:rPr>
        <w:t>LESSONS-LEARNT FROM PAST EXPERIENCE</w:t>
      </w:r>
    </w:p>
    <w:p w14:paraId="0DF1D7AE" w14:textId="77777777" w:rsidR="00754475" w:rsidRPr="00754475" w:rsidRDefault="00754475" w:rsidP="0075447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val="bg-BG" w:eastAsia="en-GB"/>
        </w:rPr>
      </w:pPr>
      <w:r w:rsidRPr="00754475">
        <w:rPr>
          <w:rFonts w:ascii="Times New Roman" w:eastAsia="Times New Roman" w:hAnsi="Times New Roman" w:cs="Times New Roman"/>
          <w:iCs/>
          <w:noProof/>
          <w:lang w:eastAsia="en-GB"/>
        </w:rPr>
        <w:t>Despite the thematic concentration imposed by the EU Regulations in 2014 -2020 period, the areas of intervention defined under INTERREG-IPA CBC Programme 2014 -2020 still remained quite diverse and without any interdependence</w:t>
      </w:r>
      <w:r w:rsidRPr="00754475">
        <w:rPr>
          <w:rFonts w:ascii="Times New Roman" w:eastAsia="Times New Roman" w:hAnsi="Times New Roman" w:cs="Times New Roman"/>
          <w:iCs/>
          <w:noProof/>
          <w:lang w:val="bg-BG" w:eastAsia="en-GB"/>
        </w:rPr>
        <w:t>.</w:t>
      </w:r>
      <w:r w:rsidRPr="00754475">
        <w:rPr>
          <w:rFonts w:ascii="Times New Roman" w:eastAsia="Times New Roman" w:hAnsi="Times New Roman" w:cs="Times New Roman"/>
          <w:iCs/>
          <w:noProof/>
          <w:lang w:eastAsia="en-GB"/>
        </w:rPr>
        <w:t xml:space="preserve"> Opposite to limited (even reduced in 2014-2020 period) financial resources, the interest in the programme remained high during both programming periods. In 2007-2013 period – under the 3 open calls 320 projects were submitted and 100 contracts signed while in 2014-2020 period – under the 2 open calls 379 projects were submitted and 73 project signed. This comes to show that more than 75 % of the project proposals were not financed and that the scattered sectoral investments based on open calls have led on one hand to severe competition and high expectations of potential beneficiaries and on the other hand to fragmented and dot-like interventions, some of which were not directly linked to the actual needs and potential of the cross-border region</w:t>
      </w:r>
      <w:r w:rsidRPr="00754475">
        <w:rPr>
          <w:rFonts w:ascii="Times New Roman" w:eastAsia="Times New Roman" w:hAnsi="Times New Roman" w:cs="Times New Roman"/>
          <w:iCs/>
          <w:noProof/>
          <w:lang w:val="en-US" w:eastAsia="en-GB"/>
        </w:rPr>
        <w:t xml:space="preserve">. </w:t>
      </w:r>
      <w:r w:rsidRPr="00754475">
        <w:rPr>
          <w:rFonts w:ascii="Times New Roman" w:eastAsia="Times New Roman" w:hAnsi="Times New Roman" w:cs="Times New Roman"/>
          <w:iCs/>
          <w:noProof/>
          <w:lang w:eastAsia="en-GB"/>
        </w:rPr>
        <w:t>Despite the demonstrated high interest, the low competence of some beneficiaries in terms of project implementation of certain measures and the low level of partnership between public and non-governmental sectors contributed to insufficient capitalization of the project results. In addition exhaustion in generation of project ideas was observed – e.g. increased number of projects, with already financed similar ideas/objectives and in all calls most of the applicants are one and the same organizations/institutions.</w:t>
      </w:r>
      <w:r w:rsidRPr="00754475">
        <w:rPr>
          <w:rFonts w:ascii="Times New Roman" w:eastAsia="Times New Roman" w:hAnsi="Times New Roman" w:cs="Times New Roman"/>
          <w:iCs/>
          <w:noProof/>
          <w:lang w:val="bg-BG" w:eastAsia="en-GB"/>
        </w:rPr>
        <w:t xml:space="preserve">  </w:t>
      </w:r>
    </w:p>
    <w:p w14:paraId="11EBF745" w14:textId="77777777" w:rsidR="00754475" w:rsidRPr="00AF51CE" w:rsidRDefault="0075447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val="en-US" w:eastAsia="en-GB"/>
        </w:rPr>
      </w:pPr>
      <w:r w:rsidRPr="00754475">
        <w:rPr>
          <w:rFonts w:ascii="Times New Roman" w:eastAsia="Times New Roman" w:hAnsi="Times New Roman" w:cs="Times New Roman"/>
          <w:iCs/>
          <w:noProof/>
          <w:lang w:eastAsia="en-GB"/>
        </w:rPr>
        <w:t>The Impact Evaluation of the 2007-2013 Programme, as well as the Midterm evaluation of 2014-2020 Programme, showed that, in correspondence to the diversity of the spheres of intervention, a wide number and range of outputs were delivered. From a financial perspective, it was observed a drastic discrepancy</w:t>
      </w:r>
      <w:r w:rsidRPr="00754475" w:rsidDel="00676A61">
        <w:rPr>
          <w:rFonts w:ascii="Times New Roman" w:eastAsia="Times New Roman" w:hAnsi="Times New Roman" w:cs="Times New Roman"/>
          <w:iCs/>
          <w:noProof/>
          <w:lang w:eastAsia="en-GB"/>
        </w:rPr>
        <w:t xml:space="preserve"> </w:t>
      </w:r>
      <w:r w:rsidRPr="00754475">
        <w:rPr>
          <w:rFonts w:ascii="Times New Roman" w:eastAsia="Times New Roman" w:hAnsi="Times New Roman" w:cs="Times New Roman"/>
          <w:iCs/>
          <w:noProof/>
          <w:lang w:eastAsia="en-GB"/>
        </w:rPr>
        <w:t xml:space="preserve">between available, requested and contracted funds - in average, the total budget of all applications exceeds with </w:t>
      </w:r>
      <w:r w:rsidRPr="00754475">
        <w:rPr>
          <w:rFonts w:ascii="Times New Roman" w:eastAsia="Times New Roman" w:hAnsi="Times New Roman" w:cs="Times New Roman"/>
          <w:iCs/>
          <w:noProof/>
          <w:lang w:val="bg-BG" w:eastAsia="en-GB"/>
        </w:rPr>
        <w:t>345</w:t>
      </w:r>
      <w:r w:rsidRPr="00754475">
        <w:rPr>
          <w:rFonts w:ascii="Times New Roman" w:eastAsia="Times New Roman" w:hAnsi="Times New Roman" w:cs="Times New Roman"/>
          <w:iCs/>
          <w:noProof/>
          <w:lang w:eastAsia="en-GB"/>
        </w:rPr>
        <w:t xml:space="preserve"> % the available one, while only </w:t>
      </w:r>
      <w:r w:rsidRPr="00754475">
        <w:rPr>
          <w:rFonts w:ascii="Times New Roman" w:eastAsia="Times New Roman" w:hAnsi="Times New Roman" w:cs="Times New Roman"/>
          <w:iCs/>
          <w:noProof/>
          <w:lang w:val="bg-BG" w:eastAsia="en-GB"/>
        </w:rPr>
        <w:t>20</w:t>
      </w:r>
      <w:r w:rsidRPr="00754475">
        <w:rPr>
          <w:rFonts w:ascii="Times New Roman" w:eastAsia="Times New Roman" w:hAnsi="Times New Roman" w:cs="Times New Roman"/>
          <w:iCs/>
          <w:noProof/>
          <w:lang w:eastAsia="en-GB"/>
        </w:rPr>
        <w:t xml:space="preserve"> % of the total requested funding has been contracted. Often, such financial disproportion is a precondition for weak programme effects in terms of efficiency and sustainability. That is why it is difficult for the programme to bring out benefits for the communities, to intensify its effects for the region and especially its value added achieved through cooperation. In that respect, in order a visible impact to be achieved, a new, more results-oriented approach in the implementation of the future programmes was recommended. It is expected that a better programme focus would strengthen linkages between needs and resources (through concentrating more funds to most demanded intervention areas) thus generating proportionate and sustainable effects on the territory</w:t>
      </w:r>
      <w:r w:rsidR="00AF51CE">
        <w:rPr>
          <w:rFonts w:ascii="Times New Roman" w:eastAsia="Times New Roman" w:hAnsi="Times New Roman" w:cs="Times New Roman"/>
          <w:iCs/>
          <w:noProof/>
          <w:lang w:val="en-US" w:eastAsia="en-GB"/>
        </w:rPr>
        <w:t>.</w:t>
      </w:r>
    </w:p>
    <w:p w14:paraId="2479C95E" w14:textId="77777777" w:rsidR="00754475" w:rsidRDefault="0075447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b/>
          <w:iCs/>
          <w:noProof/>
          <w:lang w:eastAsia="en-GB"/>
        </w:rPr>
      </w:pPr>
      <w:r w:rsidRPr="00BA7B95">
        <w:rPr>
          <w:rFonts w:ascii="Times New Roman" w:eastAsia="Times New Roman" w:hAnsi="Times New Roman" w:cs="Times New Roman"/>
          <w:b/>
          <w:iCs/>
          <w:noProof/>
          <w:lang w:eastAsia="en-GB"/>
        </w:rPr>
        <w:t>6.</w:t>
      </w:r>
      <w:r>
        <w:rPr>
          <w:rFonts w:ascii="Times New Roman" w:eastAsia="Times New Roman" w:hAnsi="Times New Roman" w:cs="Times New Roman"/>
          <w:iCs/>
          <w:noProof/>
          <w:lang w:eastAsia="en-GB"/>
        </w:rPr>
        <w:t xml:space="preserve"> </w:t>
      </w:r>
      <w:r w:rsidR="007D7238">
        <w:rPr>
          <w:rFonts w:ascii="Times New Roman" w:eastAsia="Times New Roman" w:hAnsi="Times New Roman" w:cs="Times New Roman"/>
          <w:b/>
          <w:iCs/>
          <w:noProof/>
          <w:lang w:eastAsia="en-GB"/>
        </w:rPr>
        <w:t>MACRO-REGIONAL STRATEGIES</w:t>
      </w:r>
      <w:r w:rsidR="00321441">
        <w:rPr>
          <w:rFonts w:ascii="Times New Roman" w:eastAsia="Times New Roman" w:hAnsi="Times New Roman" w:cs="Times New Roman"/>
          <w:b/>
          <w:iCs/>
          <w:noProof/>
          <w:lang w:eastAsia="en-GB"/>
        </w:rPr>
        <w:t xml:space="preserve"> (MRSs)</w:t>
      </w:r>
    </w:p>
    <w:p w14:paraId="6F2ED092" w14:textId="77777777" w:rsidR="001E34BA" w:rsidRDefault="000304BC" w:rsidP="00EE6298">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Pr>
          <w:rFonts w:ascii="Times New Roman" w:eastAsia="Times New Roman" w:hAnsi="Times New Roman" w:cs="Times New Roman"/>
          <w:iCs/>
          <w:noProof/>
          <w:lang w:val="en-US" w:eastAsia="en-GB"/>
        </w:rPr>
        <w:t xml:space="preserve">The </w:t>
      </w:r>
      <w:r w:rsidR="00DB556C">
        <w:rPr>
          <w:rFonts w:ascii="Times New Roman" w:eastAsia="Times New Roman" w:hAnsi="Times New Roman" w:cs="Times New Roman"/>
          <w:iCs/>
          <w:noProof/>
          <w:lang w:val="en-US" w:eastAsia="en-GB"/>
        </w:rPr>
        <w:t xml:space="preserve">territorial challenges that the CBC </w:t>
      </w:r>
      <w:r>
        <w:rPr>
          <w:rFonts w:ascii="Times New Roman" w:eastAsia="Times New Roman" w:hAnsi="Times New Roman" w:cs="Times New Roman"/>
          <w:iCs/>
          <w:noProof/>
          <w:lang w:val="en-US" w:eastAsia="en-GB"/>
        </w:rPr>
        <w:t xml:space="preserve">programme </w:t>
      </w:r>
      <w:r w:rsidR="001109AD" w:rsidRPr="001109AD">
        <w:rPr>
          <w:rFonts w:ascii="Times New Roman" w:eastAsia="Times New Roman" w:hAnsi="Times New Roman" w:cs="Times New Roman"/>
          <w:iCs/>
          <w:noProof/>
          <w:lang w:eastAsia="en-GB"/>
        </w:rPr>
        <w:t>address</w:t>
      </w:r>
      <w:r>
        <w:rPr>
          <w:rFonts w:ascii="Times New Roman" w:eastAsia="Times New Roman" w:hAnsi="Times New Roman" w:cs="Times New Roman"/>
          <w:iCs/>
          <w:noProof/>
          <w:lang w:eastAsia="en-GB"/>
        </w:rPr>
        <w:t>es</w:t>
      </w:r>
      <w:r w:rsidR="001109AD" w:rsidRPr="001109AD">
        <w:rPr>
          <w:rFonts w:ascii="Times New Roman" w:eastAsia="Times New Roman" w:hAnsi="Times New Roman" w:cs="Times New Roman"/>
          <w:iCs/>
          <w:noProof/>
          <w:lang w:eastAsia="en-GB"/>
        </w:rPr>
        <w:t xml:space="preserve"> </w:t>
      </w:r>
      <w:r w:rsidR="00D7418B">
        <w:rPr>
          <w:rFonts w:ascii="Times New Roman" w:eastAsia="Times New Roman" w:hAnsi="Times New Roman" w:cs="Times New Roman"/>
          <w:iCs/>
          <w:noProof/>
          <w:lang w:eastAsia="en-GB"/>
        </w:rPr>
        <w:t>(</w:t>
      </w:r>
      <w:r w:rsidR="00DB556C">
        <w:rPr>
          <w:rFonts w:ascii="Times New Roman" w:eastAsia="Times New Roman" w:hAnsi="Times New Roman" w:cs="Times New Roman"/>
          <w:iCs/>
          <w:noProof/>
          <w:lang w:eastAsia="en-GB"/>
        </w:rPr>
        <w:t xml:space="preserve">e.g. </w:t>
      </w:r>
      <w:r w:rsidR="00D7418B" w:rsidRPr="00D7418B">
        <w:rPr>
          <w:rFonts w:ascii="Times New Roman" w:eastAsia="Times New Roman" w:hAnsi="Times New Roman" w:cs="Times New Roman"/>
          <w:iCs/>
          <w:noProof/>
          <w:lang w:eastAsia="en-GB"/>
        </w:rPr>
        <w:t>environmental threats</w:t>
      </w:r>
      <w:r w:rsidR="00D7418B">
        <w:rPr>
          <w:rFonts w:ascii="Times New Roman" w:eastAsia="Times New Roman" w:hAnsi="Times New Roman" w:cs="Times New Roman"/>
          <w:iCs/>
          <w:noProof/>
          <w:lang w:eastAsia="en-GB"/>
        </w:rPr>
        <w:t xml:space="preserve">, </w:t>
      </w:r>
      <w:r w:rsidR="00D7418B" w:rsidRPr="00D7418B">
        <w:rPr>
          <w:rFonts w:ascii="Times New Roman" w:eastAsia="Times New Roman" w:hAnsi="Times New Roman" w:cs="Times New Roman"/>
          <w:iCs/>
          <w:noProof/>
          <w:lang w:eastAsia="en-GB"/>
        </w:rPr>
        <w:t>uneven socio-economic development</w:t>
      </w:r>
      <w:r w:rsidR="00D7418B">
        <w:rPr>
          <w:rFonts w:ascii="Times New Roman" w:eastAsia="Times New Roman" w:hAnsi="Times New Roman" w:cs="Times New Roman"/>
          <w:iCs/>
          <w:noProof/>
          <w:lang w:eastAsia="en-GB"/>
        </w:rPr>
        <w:t xml:space="preserve">, </w:t>
      </w:r>
      <w:r w:rsidR="00D7418B" w:rsidRPr="00D7418B">
        <w:rPr>
          <w:rFonts w:ascii="Times New Roman" w:eastAsia="Times New Roman" w:hAnsi="Times New Roman" w:cs="Times New Roman"/>
          <w:iCs/>
          <w:noProof/>
          <w:lang w:eastAsia="en-GB"/>
        </w:rPr>
        <w:t>uncoordinated education, research and innovation systems</w:t>
      </w:r>
      <w:r w:rsidR="00D7418B">
        <w:rPr>
          <w:rFonts w:ascii="Times New Roman" w:eastAsia="Times New Roman" w:hAnsi="Times New Roman" w:cs="Times New Roman"/>
          <w:iCs/>
          <w:noProof/>
          <w:lang w:eastAsia="en-GB"/>
        </w:rPr>
        <w:t>)</w:t>
      </w:r>
      <w:r>
        <w:rPr>
          <w:rFonts w:ascii="Times New Roman" w:eastAsia="Times New Roman" w:hAnsi="Times New Roman" w:cs="Times New Roman"/>
          <w:iCs/>
          <w:noProof/>
          <w:lang w:eastAsia="en-GB"/>
        </w:rPr>
        <w:t xml:space="preserve"> </w:t>
      </w:r>
      <w:r w:rsidR="00DB556C">
        <w:rPr>
          <w:rFonts w:ascii="Times New Roman" w:eastAsia="Times New Roman" w:hAnsi="Times New Roman" w:cs="Times New Roman"/>
          <w:iCs/>
          <w:noProof/>
          <w:lang w:eastAsia="en-GB"/>
        </w:rPr>
        <w:t>have been also recognized</w:t>
      </w:r>
      <w:r w:rsidR="004B2C8E">
        <w:rPr>
          <w:rFonts w:ascii="Times New Roman" w:eastAsia="Times New Roman" w:hAnsi="Times New Roman" w:cs="Times New Roman"/>
          <w:iCs/>
          <w:noProof/>
          <w:lang w:eastAsia="en-GB"/>
        </w:rPr>
        <w:t xml:space="preserve"> as such</w:t>
      </w:r>
      <w:r w:rsidR="00DB556C">
        <w:rPr>
          <w:rFonts w:ascii="Times New Roman" w:eastAsia="Times New Roman" w:hAnsi="Times New Roman" w:cs="Times New Roman"/>
          <w:iCs/>
          <w:noProof/>
          <w:lang w:eastAsia="en-GB"/>
        </w:rPr>
        <w:t xml:space="preserve"> in</w:t>
      </w:r>
      <w:r>
        <w:rPr>
          <w:rFonts w:ascii="Times New Roman" w:eastAsia="Times New Roman" w:hAnsi="Times New Roman" w:cs="Times New Roman"/>
          <w:iCs/>
          <w:noProof/>
          <w:lang w:eastAsia="en-GB"/>
        </w:rPr>
        <w:t xml:space="preserve"> </w:t>
      </w:r>
      <w:r w:rsidR="00BC2926">
        <w:rPr>
          <w:rFonts w:ascii="Times New Roman" w:eastAsia="Times New Roman" w:hAnsi="Times New Roman" w:cs="Times New Roman"/>
          <w:iCs/>
          <w:noProof/>
          <w:lang w:eastAsia="en-GB"/>
        </w:rPr>
        <w:t xml:space="preserve">the Danube Region Strategy </w:t>
      </w:r>
      <w:r w:rsidR="00A8646B">
        <w:rPr>
          <w:rFonts w:ascii="Times New Roman" w:eastAsia="Times New Roman" w:hAnsi="Times New Roman" w:cs="Times New Roman"/>
          <w:iCs/>
          <w:noProof/>
          <w:lang w:eastAsia="en-GB"/>
        </w:rPr>
        <w:t xml:space="preserve">(EUSDR) </w:t>
      </w:r>
      <w:r w:rsidR="002701AB">
        <w:rPr>
          <w:rFonts w:ascii="Times New Roman" w:eastAsia="Times New Roman" w:hAnsi="Times New Roman" w:cs="Times New Roman"/>
          <w:iCs/>
          <w:noProof/>
          <w:lang w:eastAsia="en-GB"/>
        </w:rPr>
        <w:t xml:space="preserve">(Republic of Bulgaria) </w:t>
      </w:r>
      <w:r w:rsidR="00BC2926">
        <w:rPr>
          <w:rFonts w:ascii="Times New Roman" w:eastAsia="Times New Roman" w:hAnsi="Times New Roman" w:cs="Times New Roman"/>
          <w:iCs/>
          <w:noProof/>
          <w:lang w:eastAsia="en-GB"/>
        </w:rPr>
        <w:t xml:space="preserve">and </w:t>
      </w:r>
      <w:r w:rsidR="00DB556C">
        <w:rPr>
          <w:rFonts w:ascii="Times New Roman" w:eastAsia="Times New Roman" w:hAnsi="Times New Roman" w:cs="Times New Roman"/>
          <w:iCs/>
          <w:noProof/>
          <w:lang w:eastAsia="en-GB"/>
        </w:rPr>
        <w:t xml:space="preserve">in </w:t>
      </w:r>
      <w:r w:rsidR="00BC2926">
        <w:rPr>
          <w:rFonts w:ascii="Times New Roman" w:eastAsia="Times New Roman" w:hAnsi="Times New Roman" w:cs="Times New Roman"/>
          <w:iCs/>
          <w:noProof/>
          <w:lang w:eastAsia="en-GB"/>
        </w:rPr>
        <w:t>the Adriatic and Ionian Region Strategy</w:t>
      </w:r>
      <w:r w:rsidR="002701AB">
        <w:rPr>
          <w:rFonts w:ascii="Times New Roman" w:eastAsia="Times New Roman" w:hAnsi="Times New Roman" w:cs="Times New Roman"/>
          <w:iCs/>
          <w:noProof/>
          <w:lang w:eastAsia="en-GB"/>
        </w:rPr>
        <w:t xml:space="preserve"> </w:t>
      </w:r>
      <w:r w:rsidR="00A8646B">
        <w:rPr>
          <w:rFonts w:ascii="Times New Roman" w:eastAsia="Times New Roman" w:hAnsi="Times New Roman" w:cs="Times New Roman"/>
          <w:iCs/>
          <w:noProof/>
          <w:lang w:eastAsia="en-GB"/>
        </w:rPr>
        <w:t xml:space="preserve">(EUAIRS) </w:t>
      </w:r>
      <w:r w:rsidR="002701AB">
        <w:rPr>
          <w:rFonts w:ascii="Times New Roman" w:eastAsia="Times New Roman" w:hAnsi="Times New Roman" w:cs="Times New Roman"/>
          <w:iCs/>
          <w:noProof/>
          <w:lang w:eastAsia="en-GB"/>
        </w:rPr>
        <w:t>(</w:t>
      </w:r>
      <w:r w:rsidR="00B802AF">
        <w:rPr>
          <w:rFonts w:ascii="Times New Roman" w:eastAsia="Times New Roman" w:hAnsi="Times New Roman" w:cs="Times New Roman"/>
          <w:iCs/>
          <w:noProof/>
          <w:lang w:eastAsia="en-GB"/>
        </w:rPr>
        <w:t>[Republic of North Macedonia]</w:t>
      </w:r>
      <w:r w:rsidR="002701AB">
        <w:rPr>
          <w:rFonts w:ascii="Times New Roman" w:eastAsia="Times New Roman" w:hAnsi="Times New Roman" w:cs="Times New Roman"/>
          <w:iCs/>
          <w:noProof/>
          <w:lang w:eastAsia="en-GB"/>
        </w:rPr>
        <w:t>).</w:t>
      </w:r>
      <w:r w:rsidR="001E34BA">
        <w:rPr>
          <w:rFonts w:ascii="Times New Roman" w:eastAsia="Times New Roman" w:hAnsi="Times New Roman" w:cs="Times New Roman"/>
          <w:iCs/>
          <w:noProof/>
          <w:lang w:eastAsia="en-GB"/>
        </w:rPr>
        <w:t xml:space="preserve"> </w:t>
      </w:r>
      <w:r w:rsidR="00321441">
        <w:rPr>
          <w:rFonts w:ascii="Times New Roman" w:eastAsia="Times New Roman" w:hAnsi="Times New Roman" w:cs="Times New Roman"/>
          <w:iCs/>
          <w:noProof/>
          <w:lang w:eastAsia="en-GB"/>
        </w:rPr>
        <w:t>This opens up possibilities to align</w:t>
      </w:r>
      <w:r w:rsidR="00321441" w:rsidRPr="00321441">
        <w:rPr>
          <w:rFonts w:ascii="Times New Roman" w:eastAsia="Times New Roman" w:hAnsi="Times New Roman" w:cs="Times New Roman"/>
          <w:iCs/>
          <w:noProof/>
          <w:lang w:eastAsia="en-GB"/>
        </w:rPr>
        <w:t xml:space="preserve"> relevant priorities</w:t>
      </w:r>
      <w:r w:rsidR="00321441">
        <w:rPr>
          <w:rFonts w:ascii="Times New Roman" w:eastAsia="Times New Roman" w:hAnsi="Times New Roman" w:cs="Times New Roman"/>
          <w:iCs/>
          <w:noProof/>
          <w:lang w:eastAsia="en-GB"/>
        </w:rPr>
        <w:t xml:space="preserve"> of the CBC programme with the two MRSs and to embed the latter into the strategic framework of the </w:t>
      </w:r>
      <w:r w:rsidR="00DB556C">
        <w:rPr>
          <w:rFonts w:ascii="Times New Roman" w:eastAsia="Times New Roman" w:hAnsi="Times New Roman" w:cs="Times New Roman"/>
          <w:iCs/>
          <w:noProof/>
          <w:lang w:eastAsia="en-GB"/>
        </w:rPr>
        <w:t xml:space="preserve">reference </w:t>
      </w:r>
      <w:r w:rsidR="00321441">
        <w:rPr>
          <w:rFonts w:ascii="Times New Roman" w:eastAsia="Times New Roman" w:hAnsi="Times New Roman" w:cs="Times New Roman"/>
          <w:iCs/>
          <w:noProof/>
          <w:lang w:eastAsia="en-GB"/>
        </w:rPr>
        <w:t xml:space="preserve">programme. </w:t>
      </w:r>
      <w:r w:rsidR="00272D50" w:rsidRPr="00272D50">
        <w:rPr>
          <w:rFonts w:ascii="Times New Roman" w:eastAsia="Times New Roman" w:hAnsi="Times New Roman" w:cs="Times New Roman"/>
          <w:iCs/>
          <w:noProof/>
          <w:lang w:eastAsia="en-GB"/>
        </w:rPr>
        <w:t xml:space="preserve">The programme area, however is not in proximity to either Danube or </w:t>
      </w:r>
      <w:r w:rsidR="00500818">
        <w:rPr>
          <w:rFonts w:ascii="Times New Roman" w:eastAsia="Times New Roman" w:hAnsi="Times New Roman" w:cs="Times New Roman"/>
          <w:iCs/>
          <w:noProof/>
          <w:lang w:eastAsia="en-GB"/>
        </w:rPr>
        <w:t>Adriatic and Ionian seas</w:t>
      </w:r>
      <w:r w:rsidR="00AC7962">
        <w:rPr>
          <w:rFonts w:ascii="Times New Roman" w:eastAsia="Times New Roman" w:hAnsi="Times New Roman" w:cs="Times New Roman"/>
          <w:iCs/>
          <w:noProof/>
          <w:lang w:eastAsia="en-GB"/>
        </w:rPr>
        <w:t xml:space="preserve"> basins</w:t>
      </w:r>
      <w:r w:rsidR="00500818">
        <w:rPr>
          <w:rFonts w:ascii="Times New Roman" w:eastAsia="Times New Roman" w:hAnsi="Times New Roman" w:cs="Times New Roman"/>
          <w:iCs/>
          <w:noProof/>
          <w:lang w:eastAsia="en-GB"/>
        </w:rPr>
        <w:t xml:space="preserve">. </w:t>
      </w:r>
      <w:r w:rsidR="00500818" w:rsidRPr="00500818">
        <w:rPr>
          <w:rFonts w:ascii="Times New Roman" w:eastAsia="Times New Roman" w:hAnsi="Times New Roman" w:cs="Times New Roman"/>
          <w:iCs/>
          <w:noProof/>
          <w:lang w:eastAsia="en-GB"/>
        </w:rPr>
        <w:t xml:space="preserve">This circumstance allows for MRSs embedding mainly from the perspective of indirect synergies and </w:t>
      </w:r>
      <w:r w:rsidR="00500818" w:rsidRPr="00500818">
        <w:rPr>
          <w:rFonts w:ascii="Times New Roman" w:eastAsia="Times New Roman" w:hAnsi="Times New Roman" w:cs="Times New Roman"/>
          <w:iCs/>
          <w:noProof/>
          <w:lang w:eastAsia="en-GB"/>
        </w:rPr>
        <w:lastRenderedPageBreak/>
        <w:t>contributions</w:t>
      </w:r>
      <w:r w:rsidR="00637F8A">
        <w:rPr>
          <w:rFonts w:ascii="Times New Roman" w:eastAsia="Times New Roman" w:hAnsi="Times New Roman" w:cs="Times New Roman"/>
          <w:iCs/>
          <w:noProof/>
          <w:lang w:eastAsia="en-GB"/>
        </w:rPr>
        <w:t xml:space="preserve">. </w:t>
      </w:r>
      <w:r w:rsidR="00930E80">
        <w:rPr>
          <w:rFonts w:ascii="Times New Roman" w:eastAsia="Times New Roman" w:hAnsi="Times New Roman" w:cs="Times New Roman"/>
          <w:iCs/>
          <w:noProof/>
          <w:lang w:eastAsia="en-GB"/>
        </w:rPr>
        <w:t xml:space="preserve">In particular, the synergies and </w:t>
      </w:r>
      <w:r w:rsidR="001E34BA" w:rsidRPr="00EE6298">
        <w:rPr>
          <w:rFonts w:ascii="Times New Roman" w:eastAsia="Times New Roman" w:hAnsi="Times New Roman" w:cs="Times New Roman"/>
          <w:iCs/>
          <w:noProof/>
          <w:lang w:eastAsia="en-GB"/>
        </w:rPr>
        <w:t>coordination of actions</w:t>
      </w:r>
      <w:r w:rsidR="001E34BA">
        <w:rPr>
          <w:rFonts w:ascii="Times New Roman" w:eastAsia="Times New Roman" w:hAnsi="Times New Roman" w:cs="Times New Roman"/>
          <w:iCs/>
          <w:noProof/>
          <w:lang w:eastAsia="en-GB"/>
        </w:rPr>
        <w:t xml:space="preserve"> between the CBC programme and the two MRSs </w:t>
      </w:r>
      <w:r w:rsidR="0010393A">
        <w:rPr>
          <w:rFonts w:ascii="Times New Roman" w:eastAsia="Times New Roman" w:hAnsi="Times New Roman" w:cs="Times New Roman"/>
          <w:iCs/>
          <w:noProof/>
          <w:lang w:eastAsia="en-GB"/>
        </w:rPr>
        <w:t xml:space="preserve">can be potentially projected in the area of institutional capacity and </w:t>
      </w:r>
      <w:r w:rsidR="003462A7">
        <w:rPr>
          <w:rFonts w:ascii="Times New Roman" w:eastAsia="Times New Roman" w:hAnsi="Times New Roman" w:cs="Times New Roman"/>
          <w:iCs/>
          <w:noProof/>
          <w:lang w:eastAsia="en-GB"/>
        </w:rPr>
        <w:t>exchange of practices/</w:t>
      </w:r>
      <w:r w:rsidR="0010393A">
        <w:rPr>
          <w:rFonts w:ascii="Times New Roman" w:eastAsia="Times New Roman" w:hAnsi="Times New Roman" w:cs="Times New Roman"/>
          <w:iCs/>
          <w:noProof/>
          <w:lang w:eastAsia="en-GB"/>
        </w:rPr>
        <w:t>knoweldge</w:t>
      </w:r>
      <w:r w:rsidR="00D92F9E">
        <w:rPr>
          <w:rFonts w:ascii="Times New Roman" w:eastAsia="Times New Roman" w:hAnsi="Times New Roman" w:cs="Times New Roman"/>
          <w:iCs/>
          <w:noProof/>
          <w:lang w:eastAsia="en-GB"/>
        </w:rPr>
        <w:t>/solutions</w:t>
      </w:r>
      <w:r w:rsidR="0010393A">
        <w:rPr>
          <w:rFonts w:ascii="Times New Roman" w:eastAsia="Times New Roman" w:hAnsi="Times New Roman" w:cs="Times New Roman"/>
          <w:iCs/>
          <w:noProof/>
          <w:lang w:eastAsia="en-GB"/>
        </w:rPr>
        <w:t xml:space="preserve"> in</w:t>
      </w:r>
      <w:r w:rsidR="00930E80">
        <w:rPr>
          <w:rFonts w:ascii="Times New Roman" w:eastAsia="Times New Roman" w:hAnsi="Times New Roman" w:cs="Times New Roman"/>
          <w:iCs/>
          <w:noProof/>
          <w:lang w:eastAsia="en-GB"/>
        </w:rPr>
        <w:t xml:space="preserve"> the following </w:t>
      </w:r>
      <w:r w:rsidR="00DA7AC2">
        <w:rPr>
          <w:rFonts w:ascii="Times New Roman" w:eastAsia="Times New Roman" w:hAnsi="Times New Roman" w:cs="Times New Roman"/>
          <w:iCs/>
          <w:noProof/>
          <w:lang w:eastAsia="en-GB"/>
        </w:rPr>
        <w:t>MRSs</w:t>
      </w:r>
      <w:r w:rsidR="001C161B">
        <w:rPr>
          <w:rFonts w:ascii="Times New Roman" w:eastAsia="Times New Roman" w:hAnsi="Times New Roman" w:cs="Times New Roman"/>
          <w:iCs/>
          <w:noProof/>
          <w:lang w:eastAsia="en-GB"/>
        </w:rPr>
        <w:t xml:space="preserve"> </w:t>
      </w:r>
      <w:r w:rsidR="00DA7AC2">
        <w:rPr>
          <w:rFonts w:ascii="Times New Roman" w:eastAsia="Times New Roman" w:hAnsi="Times New Roman" w:cs="Times New Roman"/>
          <w:iCs/>
          <w:noProof/>
          <w:lang w:eastAsia="en-GB"/>
        </w:rPr>
        <w:t>priorities</w:t>
      </w:r>
      <w:r w:rsidR="00930E80">
        <w:rPr>
          <w:rFonts w:ascii="Times New Roman" w:eastAsia="Times New Roman" w:hAnsi="Times New Roman" w:cs="Times New Roman"/>
          <w:iCs/>
          <w:noProof/>
          <w:lang w:eastAsia="en-GB"/>
        </w:rPr>
        <w:t xml:space="preserve">: </w:t>
      </w:r>
    </w:p>
    <w:p w14:paraId="72045E6E" w14:textId="77777777" w:rsidR="00930E80" w:rsidRDefault="00C7340D" w:rsidP="00EE6298">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b/>
          <w:i/>
          <w:iCs/>
          <w:noProof/>
          <w:lang w:eastAsia="en-GB"/>
        </w:rPr>
      </w:pPr>
      <w:r w:rsidRPr="00C7340D">
        <w:rPr>
          <w:rFonts w:ascii="Times New Roman" w:eastAsia="Times New Roman" w:hAnsi="Times New Roman" w:cs="Times New Roman"/>
          <w:b/>
          <w:i/>
          <w:iCs/>
          <w:noProof/>
          <w:lang w:eastAsia="en-GB"/>
        </w:rPr>
        <w:t>Priority Area 3 “To promote culture and tourism, people to people contacts”</w:t>
      </w:r>
      <w:r w:rsidR="00650121">
        <w:rPr>
          <w:rFonts w:ascii="Times New Roman" w:eastAsia="Times New Roman" w:hAnsi="Times New Roman" w:cs="Times New Roman"/>
          <w:b/>
          <w:i/>
          <w:iCs/>
          <w:noProof/>
          <w:lang w:eastAsia="en-GB"/>
        </w:rPr>
        <w:t xml:space="preserve"> (EUSDR) and Pillar 4 “Sustainable tourism” (</w:t>
      </w:r>
      <w:r w:rsidR="00650121" w:rsidRPr="00650121">
        <w:rPr>
          <w:rFonts w:ascii="Times New Roman" w:eastAsia="Times New Roman" w:hAnsi="Times New Roman" w:cs="Times New Roman"/>
          <w:b/>
          <w:i/>
          <w:iCs/>
          <w:noProof/>
          <w:lang w:eastAsia="en-GB"/>
        </w:rPr>
        <w:t>EUAIRS</w:t>
      </w:r>
      <w:r w:rsidR="00650121">
        <w:rPr>
          <w:rFonts w:ascii="Times New Roman" w:eastAsia="Times New Roman" w:hAnsi="Times New Roman" w:cs="Times New Roman"/>
          <w:b/>
          <w:i/>
          <w:iCs/>
          <w:noProof/>
          <w:lang w:eastAsia="en-GB"/>
        </w:rPr>
        <w:t xml:space="preserve">) </w:t>
      </w:r>
    </w:p>
    <w:p w14:paraId="2CA7A9A8" w14:textId="77777777" w:rsidR="004A4AE5" w:rsidRDefault="00DB556C" w:rsidP="00440C8A">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Pr>
          <w:rFonts w:ascii="Times New Roman" w:eastAsia="Times New Roman" w:hAnsi="Times New Roman" w:cs="Times New Roman"/>
          <w:iCs/>
          <w:noProof/>
          <w:lang w:eastAsia="en-GB"/>
        </w:rPr>
        <w:t xml:space="preserve">A substantial scope of </w:t>
      </w:r>
      <w:r w:rsidR="00ED6ED0">
        <w:rPr>
          <w:rFonts w:ascii="Times New Roman" w:eastAsia="Times New Roman" w:hAnsi="Times New Roman" w:cs="Times New Roman"/>
          <w:iCs/>
          <w:noProof/>
          <w:lang w:eastAsia="en-GB"/>
        </w:rPr>
        <w:t xml:space="preserve">the </w:t>
      </w:r>
      <w:r>
        <w:rPr>
          <w:rFonts w:ascii="Times New Roman" w:eastAsia="Times New Roman" w:hAnsi="Times New Roman" w:cs="Times New Roman"/>
          <w:iCs/>
          <w:noProof/>
          <w:lang w:eastAsia="en-GB"/>
        </w:rPr>
        <w:t>CBC programme actions</w:t>
      </w:r>
      <w:r w:rsidR="00ED6ED0">
        <w:rPr>
          <w:rFonts w:ascii="Times New Roman" w:eastAsia="Times New Roman" w:hAnsi="Times New Roman" w:cs="Times New Roman"/>
          <w:iCs/>
          <w:noProof/>
          <w:lang w:eastAsia="en-GB"/>
        </w:rPr>
        <w:t>,</w:t>
      </w:r>
      <w:r>
        <w:rPr>
          <w:rFonts w:ascii="Times New Roman" w:eastAsia="Times New Roman" w:hAnsi="Times New Roman" w:cs="Times New Roman"/>
          <w:iCs/>
          <w:noProof/>
          <w:lang w:eastAsia="en-GB"/>
        </w:rPr>
        <w:t xml:space="preserve"> that are going to be supported under priority ‘</w:t>
      </w:r>
      <w:r w:rsidR="00672F96" w:rsidRPr="00672F96">
        <w:rPr>
          <w:rFonts w:ascii="Times New Roman" w:eastAsia="Times New Roman" w:hAnsi="Times New Roman" w:cs="Times New Roman"/>
          <w:iCs/>
          <w:noProof/>
          <w:lang w:eastAsia="en-GB"/>
        </w:rPr>
        <w:t>Integrated development of the border region</w:t>
      </w:r>
      <w:r>
        <w:rPr>
          <w:rFonts w:ascii="Times New Roman" w:eastAsia="Times New Roman" w:hAnsi="Times New Roman" w:cs="Times New Roman"/>
          <w:iCs/>
          <w:noProof/>
          <w:lang w:eastAsia="en-GB"/>
        </w:rPr>
        <w:t>’</w:t>
      </w:r>
      <w:r w:rsidR="00ED6ED0">
        <w:rPr>
          <w:rFonts w:ascii="Times New Roman" w:eastAsia="Times New Roman" w:hAnsi="Times New Roman" w:cs="Times New Roman"/>
          <w:iCs/>
          <w:noProof/>
          <w:lang w:eastAsia="en-GB"/>
        </w:rPr>
        <w:t>,</w:t>
      </w:r>
      <w:r>
        <w:rPr>
          <w:rFonts w:ascii="Times New Roman" w:eastAsia="Times New Roman" w:hAnsi="Times New Roman" w:cs="Times New Roman"/>
          <w:iCs/>
          <w:noProof/>
          <w:lang w:eastAsia="en-GB"/>
        </w:rPr>
        <w:t xml:space="preserve"> will be focused on </w:t>
      </w:r>
      <w:r w:rsidR="00672F96">
        <w:rPr>
          <w:rFonts w:ascii="Times New Roman" w:eastAsia="Times New Roman" w:hAnsi="Times New Roman" w:cs="Times New Roman"/>
          <w:iCs/>
          <w:noProof/>
          <w:lang w:eastAsia="en-GB"/>
        </w:rPr>
        <w:t xml:space="preserve">tourism. </w:t>
      </w:r>
      <w:r w:rsidR="005E1F5C" w:rsidRPr="005E1F5C">
        <w:rPr>
          <w:rFonts w:ascii="Times New Roman" w:eastAsia="Times New Roman" w:hAnsi="Times New Roman" w:cs="Times New Roman"/>
          <w:iCs/>
          <w:noProof/>
          <w:lang w:val="en-US" w:eastAsia="en-GB"/>
        </w:rPr>
        <w:t>Investments are expected to improve tourism-related infrastructure and services</w:t>
      </w:r>
      <w:r w:rsidR="00702B25">
        <w:rPr>
          <w:rFonts w:ascii="Times New Roman" w:eastAsia="Times New Roman" w:hAnsi="Times New Roman" w:cs="Times New Roman"/>
          <w:iCs/>
          <w:noProof/>
          <w:lang w:val="en-US" w:eastAsia="en-GB"/>
        </w:rPr>
        <w:t>, branding and marketing</w:t>
      </w:r>
      <w:r w:rsidR="005E1F5C" w:rsidRPr="005E1F5C">
        <w:rPr>
          <w:rFonts w:ascii="Times New Roman" w:eastAsia="Times New Roman" w:hAnsi="Times New Roman" w:cs="Times New Roman"/>
          <w:iCs/>
          <w:noProof/>
          <w:lang w:val="en-US" w:eastAsia="en-GB"/>
        </w:rPr>
        <w:t xml:space="preserve"> as well as to strengthen inter-institutional coordination and policy development</w:t>
      </w:r>
      <w:r w:rsidR="00DC19B1">
        <w:rPr>
          <w:rFonts w:ascii="Times New Roman" w:eastAsia="Times New Roman" w:hAnsi="Times New Roman" w:cs="Times New Roman"/>
          <w:iCs/>
          <w:noProof/>
          <w:lang w:val="en-US" w:eastAsia="en-GB"/>
        </w:rPr>
        <w:t xml:space="preserve"> </w:t>
      </w:r>
      <w:r w:rsidR="00DC19B1" w:rsidRPr="00DC19B1">
        <w:rPr>
          <w:rFonts w:ascii="Times New Roman" w:eastAsia="Times New Roman" w:hAnsi="Times New Roman" w:cs="Times New Roman"/>
          <w:iCs/>
          <w:noProof/>
          <w:lang w:val="en-US" w:eastAsia="en-GB"/>
        </w:rPr>
        <w:t>while fo</w:t>
      </w:r>
      <w:r w:rsidR="00DC19B1">
        <w:rPr>
          <w:rFonts w:ascii="Times New Roman" w:eastAsia="Times New Roman" w:hAnsi="Times New Roman" w:cs="Times New Roman"/>
          <w:iCs/>
          <w:noProof/>
          <w:lang w:val="en-US" w:eastAsia="en-GB"/>
        </w:rPr>
        <w:t xml:space="preserve">stering the preservation of </w:t>
      </w:r>
      <w:r w:rsidR="00516798">
        <w:rPr>
          <w:rFonts w:ascii="Times New Roman" w:eastAsia="Times New Roman" w:hAnsi="Times New Roman" w:cs="Times New Roman"/>
          <w:iCs/>
          <w:noProof/>
          <w:lang w:val="en-US" w:eastAsia="en-GB"/>
        </w:rPr>
        <w:t xml:space="preserve">and re-connecting with natural </w:t>
      </w:r>
      <w:r w:rsidR="00DC19B1" w:rsidRPr="00DC19B1">
        <w:rPr>
          <w:rFonts w:ascii="Times New Roman" w:eastAsia="Times New Roman" w:hAnsi="Times New Roman" w:cs="Times New Roman"/>
          <w:iCs/>
          <w:noProof/>
          <w:lang w:val="en-US" w:eastAsia="en-GB"/>
        </w:rPr>
        <w:t>ecosystem</w:t>
      </w:r>
      <w:r w:rsidR="00DC19B1">
        <w:rPr>
          <w:rFonts w:ascii="Times New Roman" w:eastAsia="Times New Roman" w:hAnsi="Times New Roman" w:cs="Times New Roman"/>
          <w:iCs/>
          <w:noProof/>
          <w:lang w:val="en-US" w:eastAsia="en-GB"/>
        </w:rPr>
        <w:t>s</w:t>
      </w:r>
      <w:r w:rsidR="00204C46">
        <w:rPr>
          <w:rFonts w:ascii="Times New Roman" w:eastAsia="Times New Roman" w:hAnsi="Times New Roman" w:cs="Times New Roman"/>
          <w:iCs/>
          <w:noProof/>
          <w:lang w:val="en-US" w:eastAsia="en-GB"/>
        </w:rPr>
        <w:t xml:space="preserve"> </w:t>
      </w:r>
      <w:r w:rsidR="00FE56E3">
        <w:rPr>
          <w:rFonts w:ascii="Times New Roman" w:eastAsia="Times New Roman" w:hAnsi="Times New Roman" w:cs="Times New Roman"/>
          <w:iCs/>
          <w:noProof/>
          <w:lang w:val="en-US" w:eastAsia="en-GB"/>
        </w:rPr>
        <w:t>in pursuit of a</w:t>
      </w:r>
      <w:r w:rsidR="00204C46">
        <w:rPr>
          <w:rFonts w:ascii="Times New Roman" w:eastAsia="Times New Roman" w:hAnsi="Times New Roman" w:cs="Times New Roman"/>
          <w:iCs/>
          <w:noProof/>
          <w:lang w:val="en-US" w:eastAsia="en-GB"/>
        </w:rPr>
        <w:t xml:space="preserve"> sustainable tourism cross-border community</w:t>
      </w:r>
      <w:r w:rsidR="008338B2">
        <w:rPr>
          <w:rFonts w:ascii="Times New Roman" w:eastAsia="Times New Roman" w:hAnsi="Times New Roman" w:cs="Times New Roman"/>
          <w:iCs/>
          <w:noProof/>
          <w:lang w:val="en-US" w:eastAsia="en-GB"/>
        </w:rPr>
        <w:t>.</w:t>
      </w:r>
      <w:r w:rsidR="00204C46">
        <w:rPr>
          <w:rFonts w:ascii="Times New Roman" w:eastAsia="Times New Roman" w:hAnsi="Times New Roman" w:cs="Times New Roman"/>
          <w:iCs/>
          <w:noProof/>
          <w:lang w:val="en-US" w:eastAsia="en-GB"/>
        </w:rPr>
        <w:t xml:space="preserve"> People to people relations are at the heart of this community. </w:t>
      </w:r>
      <w:r w:rsidR="00DC19B1">
        <w:rPr>
          <w:rFonts w:ascii="Times New Roman" w:eastAsia="Times New Roman" w:hAnsi="Times New Roman" w:cs="Times New Roman"/>
          <w:iCs/>
          <w:noProof/>
          <w:lang w:val="en-US" w:eastAsia="en-GB"/>
        </w:rPr>
        <w:t xml:space="preserve"> </w:t>
      </w:r>
      <w:r w:rsidR="00B02CBD">
        <w:rPr>
          <w:rFonts w:ascii="Times New Roman" w:eastAsia="Times New Roman" w:hAnsi="Times New Roman" w:cs="Times New Roman"/>
          <w:iCs/>
          <w:noProof/>
          <w:lang w:val="en-US" w:eastAsia="en-GB"/>
        </w:rPr>
        <w:t xml:space="preserve"> </w:t>
      </w:r>
      <w:r w:rsidR="008338B2">
        <w:rPr>
          <w:rFonts w:ascii="Times New Roman" w:eastAsia="Times New Roman" w:hAnsi="Times New Roman" w:cs="Times New Roman"/>
          <w:iCs/>
          <w:noProof/>
          <w:lang w:val="en-US" w:eastAsia="en-GB"/>
        </w:rPr>
        <w:t xml:space="preserve"> </w:t>
      </w:r>
      <w:r w:rsidR="00672F96">
        <w:rPr>
          <w:rFonts w:ascii="Times New Roman" w:eastAsia="Times New Roman" w:hAnsi="Times New Roman" w:cs="Times New Roman"/>
          <w:iCs/>
          <w:noProof/>
          <w:lang w:eastAsia="en-GB"/>
        </w:rPr>
        <w:t xml:space="preserve"> </w:t>
      </w:r>
      <w:r>
        <w:rPr>
          <w:rFonts w:ascii="Times New Roman" w:eastAsia="Times New Roman" w:hAnsi="Times New Roman" w:cs="Times New Roman"/>
          <w:iCs/>
          <w:noProof/>
          <w:lang w:eastAsia="en-GB"/>
        </w:rPr>
        <w:t xml:space="preserve"> </w:t>
      </w:r>
    </w:p>
    <w:p w14:paraId="37246A13" w14:textId="77777777" w:rsidR="00FE56E3" w:rsidRDefault="0086006C" w:rsidP="00440C8A">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C7340D">
        <w:rPr>
          <w:rFonts w:ascii="Times New Roman" w:eastAsia="Times New Roman" w:hAnsi="Times New Roman" w:cs="Times New Roman"/>
          <w:b/>
          <w:i/>
          <w:iCs/>
          <w:noProof/>
          <w:lang w:eastAsia="en-GB"/>
        </w:rPr>
        <w:t>Priority Area</w:t>
      </w:r>
      <w:r w:rsidR="00083681">
        <w:rPr>
          <w:rFonts w:ascii="Times New Roman" w:eastAsia="Times New Roman" w:hAnsi="Times New Roman" w:cs="Times New Roman"/>
          <w:b/>
          <w:i/>
          <w:iCs/>
          <w:noProof/>
          <w:lang w:eastAsia="en-GB"/>
        </w:rPr>
        <w:t>s</w:t>
      </w:r>
      <w:r w:rsidR="006D01B7">
        <w:rPr>
          <w:rFonts w:ascii="Times New Roman" w:eastAsia="Times New Roman" w:hAnsi="Times New Roman" w:cs="Times New Roman"/>
          <w:b/>
          <w:i/>
          <w:iCs/>
          <w:noProof/>
          <w:lang w:eastAsia="en-GB"/>
        </w:rPr>
        <w:t xml:space="preserve"> 5 “</w:t>
      </w:r>
      <w:r w:rsidR="006D01B7" w:rsidRPr="006D01B7">
        <w:rPr>
          <w:rFonts w:ascii="Times New Roman" w:eastAsia="Times New Roman" w:hAnsi="Times New Roman" w:cs="Times New Roman"/>
          <w:b/>
          <w:i/>
          <w:iCs/>
          <w:noProof/>
          <w:lang w:eastAsia="en-GB"/>
        </w:rPr>
        <w:t>Environmental Risks</w:t>
      </w:r>
      <w:r w:rsidR="006D01B7">
        <w:rPr>
          <w:rFonts w:ascii="Times New Roman" w:eastAsia="Times New Roman" w:hAnsi="Times New Roman" w:cs="Times New Roman"/>
          <w:b/>
          <w:i/>
          <w:iCs/>
          <w:noProof/>
          <w:lang w:eastAsia="en-GB"/>
        </w:rPr>
        <w:t>”</w:t>
      </w:r>
      <w:r w:rsidR="0098638B">
        <w:rPr>
          <w:rFonts w:ascii="Times New Roman" w:eastAsia="Times New Roman" w:hAnsi="Times New Roman" w:cs="Times New Roman"/>
          <w:b/>
          <w:i/>
          <w:iCs/>
          <w:noProof/>
          <w:lang w:eastAsia="en-GB"/>
        </w:rPr>
        <w:t>,</w:t>
      </w:r>
      <w:r w:rsidR="00083681">
        <w:rPr>
          <w:rFonts w:ascii="Times New Roman" w:eastAsia="Times New Roman" w:hAnsi="Times New Roman" w:cs="Times New Roman"/>
          <w:b/>
          <w:i/>
          <w:iCs/>
          <w:noProof/>
          <w:lang w:eastAsia="en-GB"/>
        </w:rPr>
        <w:t xml:space="preserve"> 6 “</w:t>
      </w:r>
      <w:r w:rsidR="00083681" w:rsidRPr="00083681">
        <w:rPr>
          <w:rFonts w:ascii="Times New Roman" w:eastAsia="Times New Roman" w:hAnsi="Times New Roman" w:cs="Times New Roman"/>
          <w:b/>
          <w:i/>
          <w:iCs/>
          <w:noProof/>
          <w:lang w:eastAsia="en-GB"/>
        </w:rPr>
        <w:t>Biodiversity, landscapes, quality of air and soils</w:t>
      </w:r>
      <w:r w:rsidR="00083681">
        <w:rPr>
          <w:rFonts w:ascii="Times New Roman" w:eastAsia="Times New Roman" w:hAnsi="Times New Roman" w:cs="Times New Roman"/>
          <w:b/>
          <w:i/>
          <w:iCs/>
          <w:noProof/>
          <w:lang w:eastAsia="en-GB"/>
        </w:rPr>
        <w:t>”</w:t>
      </w:r>
      <w:r w:rsidR="0098638B">
        <w:rPr>
          <w:rFonts w:ascii="Times New Roman" w:eastAsia="Times New Roman" w:hAnsi="Times New Roman" w:cs="Times New Roman"/>
          <w:b/>
          <w:i/>
          <w:iCs/>
          <w:noProof/>
          <w:lang w:eastAsia="en-GB"/>
        </w:rPr>
        <w:t xml:space="preserve"> and </w:t>
      </w:r>
      <w:r w:rsidR="00B83C0D">
        <w:rPr>
          <w:rFonts w:ascii="Times New Roman" w:eastAsia="Times New Roman" w:hAnsi="Times New Roman" w:cs="Times New Roman"/>
          <w:b/>
          <w:i/>
          <w:iCs/>
          <w:noProof/>
          <w:lang w:eastAsia="en-GB"/>
        </w:rPr>
        <w:t xml:space="preserve">10 </w:t>
      </w:r>
      <w:r w:rsidR="0098638B">
        <w:rPr>
          <w:rFonts w:ascii="Times New Roman" w:eastAsia="Times New Roman" w:hAnsi="Times New Roman" w:cs="Times New Roman"/>
          <w:b/>
          <w:i/>
          <w:iCs/>
          <w:noProof/>
          <w:lang w:eastAsia="en-GB"/>
        </w:rPr>
        <w:t>“</w:t>
      </w:r>
      <w:r w:rsidR="0098638B" w:rsidRPr="0098638B">
        <w:rPr>
          <w:rFonts w:ascii="Times New Roman" w:eastAsia="Times New Roman" w:hAnsi="Times New Roman" w:cs="Times New Roman"/>
          <w:b/>
          <w:i/>
          <w:iCs/>
          <w:noProof/>
          <w:lang w:eastAsia="en-GB"/>
        </w:rPr>
        <w:t>Institutional capacity and cooperation</w:t>
      </w:r>
      <w:r w:rsidR="0098638B">
        <w:rPr>
          <w:rFonts w:ascii="Times New Roman" w:eastAsia="Times New Roman" w:hAnsi="Times New Roman" w:cs="Times New Roman"/>
          <w:b/>
          <w:i/>
          <w:iCs/>
          <w:noProof/>
          <w:lang w:eastAsia="en-GB"/>
        </w:rPr>
        <w:t>”</w:t>
      </w:r>
      <w:r w:rsidR="00650121">
        <w:rPr>
          <w:rFonts w:ascii="Times New Roman" w:eastAsia="Times New Roman" w:hAnsi="Times New Roman" w:cs="Times New Roman"/>
          <w:b/>
          <w:i/>
          <w:iCs/>
          <w:noProof/>
          <w:lang w:eastAsia="en-GB"/>
        </w:rPr>
        <w:t xml:space="preserve"> (EUSDR) and </w:t>
      </w:r>
      <w:r w:rsidR="00C953A6">
        <w:rPr>
          <w:rFonts w:ascii="Times New Roman" w:eastAsia="Times New Roman" w:hAnsi="Times New Roman" w:cs="Times New Roman"/>
          <w:b/>
          <w:i/>
          <w:iCs/>
          <w:noProof/>
          <w:lang w:eastAsia="en-GB"/>
        </w:rPr>
        <w:t>Pillar 3 “Environmental Quality”</w:t>
      </w:r>
      <w:r w:rsidR="005F1D08">
        <w:rPr>
          <w:rFonts w:ascii="Times New Roman" w:eastAsia="Times New Roman" w:hAnsi="Times New Roman" w:cs="Times New Roman"/>
          <w:b/>
          <w:i/>
          <w:iCs/>
          <w:noProof/>
          <w:lang w:eastAsia="en-GB"/>
        </w:rPr>
        <w:t xml:space="preserve"> (</w:t>
      </w:r>
      <w:r w:rsidR="005F1D08" w:rsidRPr="00650121">
        <w:rPr>
          <w:rFonts w:ascii="Times New Roman" w:eastAsia="Times New Roman" w:hAnsi="Times New Roman" w:cs="Times New Roman"/>
          <w:b/>
          <w:i/>
          <w:iCs/>
          <w:noProof/>
          <w:lang w:eastAsia="en-GB"/>
        </w:rPr>
        <w:t>EUAIRS</w:t>
      </w:r>
      <w:r w:rsidR="005F1D08">
        <w:rPr>
          <w:rFonts w:ascii="Times New Roman" w:eastAsia="Times New Roman" w:hAnsi="Times New Roman" w:cs="Times New Roman"/>
          <w:b/>
          <w:i/>
          <w:iCs/>
          <w:noProof/>
          <w:lang w:eastAsia="en-GB"/>
        </w:rPr>
        <w:t>)</w:t>
      </w:r>
    </w:p>
    <w:p w14:paraId="0B061ECA" w14:textId="77777777" w:rsidR="00440C8A" w:rsidRDefault="006D01B7" w:rsidP="00440C8A">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Pr>
          <w:rFonts w:ascii="Times New Roman" w:eastAsia="Times New Roman" w:hAnsi="Times New Roman" w:cs="Times New Roman"/>
          <w:iCs/>
          <w:noProof/>
          <w:lang w:eastAsia="en-GB"/>
        </w:rPr>
        <w:t xml:space="preserve">Under priority </w:t>
      </w:r>
      <w:r w:rsidR="001F0F44">
        <w:rPr>
          <w:rFonts w:ascii="Times New Roman" w:eastAsia="Times New Roman" w:hAnsi="Times New Roman" w:cs="Times New Roman"/>
          <w:iCs/>
          <w:noProof/>
          <w:lang w:eastAsia="en-GB"/>
        </w:rPr>
        <w:t>1 “</w:t>
      </w:r>
      <w:r w:rsidR="001F0F44" w:rsidRPr="001F0F44">
        <w:rPr>
          <w:rFonts w:ascii="Times New Roman" w:eastAsia="Times New Roman" w:hAnsi="Times New Roman" w:cs="Times New Roman"/>
          <w:iCs/>
          <w:noProof/>
          <w:lang w:eastAsia="en-GB"/>
        </w:rPr>
        <w:t>Greener border region</w:t>
      </w:r>
      <w:r w:rsidR="001F0F44">
        <w:rPr>
          <w:rFonts w:ascii="Times New Roman" w:eastAsia="Times New Roman" w:hAnsi="Times New Roman" w:cs="Times New Roman"/>
          <w:iCs/>
          <w:noProof/>
          <w:lang w:eastAsia="en-GB"/>
        </w:rPr>
        <w:t>”</w:t>
      </w:r>
      <w:r>
        <w:rPr>
          <w:rFonts w:ascii="Times New Roman" w:eastAsia="Times New Roman" w:hAnsi="Times New Roman" w:cs="Times New Roman"/>
          <w:iCs/>
          <w:noProof/>
          <w:lang w:eastAsia="en-GB"/>
        </w:rPr>
        <w:t xml:space="preserve"> </w:t>
      </w:r>
      <w:r w:rsidR="001F0F44">
        <w:rPr>
          <w:rFonts w:ascii="Times New Roman" w:eastAsia="Times New Roman" w:hAnsi="Times New Roman" w:cs="Times New Roman"/>
          <w:iCs/>
          <w:noProof/>
          <w:lang w:eastAsia="en-GB"/>
        </w:rPr>
        <w:t xml:space="preserve">the </w:t>
      </w:r>
      <w:r>
        <w:rPr>
          <w:rFonts w:ascii="Times New Roman" w:eastAsia="Times New Roman" w:hAnsi="Times New Roman" w:cs="Times New Roman"/>
          <w:iCs/>
          <w:noProof/>
          <w:lang w:eastAsia="en-GB"/>
        </w:rPr>
        <w:t>CBC</w:t>
      </w:r>
      <w:r w:rsidR="00440C8A">
        <w:rPr>
          <w:rFonts w:ascii="Times New Roman" w:eastAsia="Times New Roman" w:hAnsi="Times New Roman" w:cs="Times New Roman"/>
          <w:iCs/>
          <w:noProof/>
          <w:lang w:eastAsia="en-GB"/>
        </w:rPr>
        <w:t xml:space="preserve"> </w:t>
      </w:r>
      <w:r w:rsidR="005C2DEC">
        <w:rPr>
          <w:rFonts w:ascii="Times New Roman" w:eastAsia="Times New Roman" w:hAnsi="Times New Roman" w:cs="Times New Roman"/>
          <w:iCs/>
          <w:noProof/>
          <w:lang w:eastAsia="en-GB"/>
        </w:rPr>
        <w:t>programme will seek to improve</w:t>
      </w:r>
      <w:r w:rsidR="00440C8A">
        <w:rPr>
          <w:rFonts w:ascii="Times New Roman" w:eastAsia="Times New Roman" w:hAnsi="Times New Roman" w:cs="Times New Roman"/>
          <w:iCs/>
          <w:noProof/>
          <w:lang w:eastAsia="en-GB"/>
        </w:rPr>
        <w:t xml:space="preserve"> </w:t>
      </w:r>
      <w:r w:rsidR="007C2CBE">
        <w:rPr>
          <w:rFonts w:ascii="Times New Roman" w:eastAsia="Times New Roman" w:hAnsi="Times New Roman" w:cs="Times New Roman"/>
          <w:iCs/>
          <w:noProof/>
          <w:lang w:eastAsia="en-GB"/>
        </w:rPr>
        <w:t xml:space="preserve">green infrastructure as a means to protect and expand </w:t>
      </w:r>
      <w:r w:rsidR="00440C8A" w:rsidRPr="00440C8A">
        <w:rPr>
          <w:rFonts w:ascii="Times New Roman" w:eastAsia="Times New Roman" w:hAnsi="Times New Roman" w:cs="Times New Roman"/>
          <w:iCs/>
          <w:noProof/>
          <w:lang w:eastAsia="en-GB"/>
        </w:rPr>
        <w:t xml:space="preserve">ecological connectivity </w:t>
      </w:r>
      <w:r w:rsidR="007C2CBE">
        <w:rPr>
          <w:rFonts w:ascii="Times New Roman" w:eastAsia="Times New Roman" w:hAnsi="Times New Roman" w:cs="Times New Roman"/>
          <w:iCs/>
          <w:noProof/>
          <w:lang w:eastAsia="en-GB"/>
        </w:rPr>
        <w:t>as well as</w:t>
      </w:r>
      <w:r w:rsidR="00111433">
        <w:rPr>
          <w:rFonts w:ascii="Times New Roman" w:eastAsia="Times New Roman" w:hAnsi="Times New Roman" w:cs="Times New Roman"/>
          <w:iCs/>
          <w:noProof/>
          <w:lang w:eastAsia="en-GB"/>
        </w:rPr>
        <w:t xml:space="preserve"> to prevent</w:t>
      </w:r>
      <w:r w:rsidR="005C2DEC">
        <w:rPr>
          <w:rFonts w:ascii="Times New Roman" w:eastAsia="Times New Roman" w:hAnsi="Times New Roman" w:cs="Times New Roman"/>
          <w:iCs/>
          <w:noProof/>
          <w:lang w:eastAsia="en-GB"/>
        </w:rPr>
        <w:t xml:space="preserve"> </w:t>
      </w:r>
      <w:r w:rsidR="00111433" w:rsidRPr="00111433">
        <w:rPr>
          <w:rFonts w:ascii="Times New Roman" w:eastAsia="Times New Roman" w:hAnsi="Times New Roman" w:cs="Times New Roman"/>
          <w:iCs/>
          <w:noProof/>
          <w:lang w:eastAsia="en-GB"/>
        </w:rPr>
        <w:t>biodiversity loss and ecosystem collapse</w:t>
      </w:r>
      <w:r w:rsidR="00111433">
        <w:rPr>
          <w:rFonts w:ascii="Times New Roman" w:eastAsia="Times New Roman" w:hAnsi="Times New Roman" w:cs="Times New Roman"/>
          <w:iCs/>
          <w:noProof/>
          <w:lang w:eastAsia="en-GB"/>
        </w:rPr>
        <w:t xml:space="preserve">. </w:t>
      </w:r>
      <w:r w:rsidR="007C2CBE">
        <w:rPr>
          <w:rFonts w:ascii="Times New Roman" w:eastAsia="Times New Roman" w:hAnsi="Times New Roman" w:cs="Times New Roman"/>
          <w:iCs/>
          <w:noProof/>
          <w:lang w:eastAsia="en-GB"/>
        </w:rPr>
        <w:t>Public</w:t>
      </w:r>
      <w:r w:rsidR="007C2CBE" w:rsidRPr="007C2CBE">
        <w:rPr>
          <w:rFonts w:ascii="Times New Roman" w:eastAsia="Times New Roman" w:hAnsi="Times New Roman" w:cs="Times New Roman"/>
          <w:iCs/>
          <w:noProof/>
          <w:lang w:eastAsia="en-GB"/>
        </w:rPr>
        <w:t xml:space="preserve"> authorities have been increasingly recognized as key providers of ecosystem services in building and restoring green spaces</w:t>
      </w:r>
      <w:r w:rsidR="007C2CBE">
        <w:rPr>
          <w:rFonts w:ascii="Times New Roman" w:eastAsia="Times New Roman" w:hAnsi="Times New Roman" w:cs="Times New Roman"/>
          <w:iCs/>
          <w:noProof/>
          <w:lang w:eastAsia="en-GB"/>
        </w:rPr>
        <w:t xml:space="preserve">, therefore </w:t>
      </w:r>
      <w:r w:rsidR="00A22A2C">
        <w:rPr>
          <w:rFonts w:ascii="Times New Roman" w:eastAsia="Times New Roman" w:hAnsi="Times New Roman" w:cs="Times New Roman"/>
          <w:iCs/>
          <w:noProof/>
          <w:lang w:eastAsia="en-GB"/>
        </w:rPr>
        <w:t xml:space="preserve">putting forward </w:t>
      </w:r>
      <w:r w:rsidR="007C2CBE">
        <w:rPr>
          <w:rFonts w:ascii="Times New Roman" w:eastAsia="Times New Roman" w:hAnsi="Times New Roman" w:cs="Times New Roman"/>
          <w:iCs/>
          <w:noProof/>
          <w:lang w:eastAsia="en-GB"/>
        </w:rPr>
        <w:t xml:space="preserve">practicies for strenghtening institutional capacity </w:t>
      </w:r>
      <w:r w:rsidR="00A22A2C">
        <w:rPr>
          <w:rFonts w:ascii="Times New Roman" w:eastAsia="Times New Roman" w:hAnsi="Times New Roman" w:cs="Times New Roman"/>
          <w:iCs/>
          <w:noProof/>
          <w:lang w:eastAsia="en-GB"/>
        </w:rPr>
        <w:t xml:space="preserve">for climate change adaptation </w:t>
      </w:r>
      <w:r w:rsidR="00526EB9">
        <w:rPr>
          <w:rFonts w:ascii="Times New Roman" w:eastAsia="Times New Roman" w:hAnsi="Times New Roman" w:cs="Times New Roman"/>
          <w:iCs/>
          <w:noProof/>
          <w:lang w:eastAsia="en-GB"/>
        </w:rPr>
        <w:t xml:space="preserve">along with </w:t>
      </w:r>
      <w:r w:rsidR="00805E7B">
        <w:rPr>
          <w:rFonts w:ascii="Times New Roman" w:eastAsia="Times New Roman" w:hAnsi="Times New Roman" w:cs="Times New Roman"/>
          <w:iCs/>
          <w:noProof/>
          <w:lang w:eastAsia="en-GB"/>
        </w:rPr>
        <w:t>the dissemination of greening</w:t>
      </w:r>
      <w:r w:rsidR="00526EB9">
        <w:rPr>
          <w:rFonts w:ascii="Times New Roman" w:eastAsia="Times New Roman" w:hAnsi="Times New Roman" w:cs="Times New Roman"/>
          <w:iCs/>
          <w:noProof/>
          <w:lang w:eastAsia="en-GB"/>
        </w:rPr>
        <w:t xml:space="preserve"> solutions </w:t>
      </w:r>
      <w:r w:rsidR="00A22A2C">
        <w:rPr>
          <w:rFonts w:ascii="Times New Roman" w:eastAsia="Times New Roman" w:hAnsi="Times New Roman" w:cs="Times New Roman"/>
          <w:iCs/>
          <w:noProof/>
          <w:lang w:eastAsia="en-GB"/>
        </w:rPr>
        <w:t xml:space="preserve">would add on valuable </w:t>
      </w:r>
      <w:r w:rsidR="00083681">
        <w:rPr>
          <w:rFonts w:ascii="Times New Roman" w:eastAsia="Times New Roman" w:hAnsi="Times New Roman" w:cs="Times New Roman"/>
          <w:iCs/>
          <w:noProof/>
          <w:lang w:eastAsia="en-GB"/>
        </w:rPr>
        <w:t xml:space="preserve">impact </w:t>
      </w:r>
      <w:r w:rsidR="00F356B0">
        <w:rPr>
          <w:rFonts w:ascii="Times New Roman" w:eastAsia="Times New Roman" w:hAnsi="Times New Roman" w:cs="Times New Roman"/>
          <w:iCs/>
          <w:noProof/>
          <w:lang w:eastAsia="en-GB"/>
        </w:rPr>
        <w:t>to</w:t>
      </w:r>
      <w:r w:rsidR="00083681">
        <w:rPr>
          <w:rFonts w:ascii="Times New Roman" w:eastAsia="Times New Roman" w:hAnsi="Times New Roman" w:cs="Times New Roman"/>
          <w:iCs/>
          <w:noProof/>
          <w:lang w:eastAsia="en-GB"/>
        </w:rPr>
        <w:t xml:space="preserve"> the achievement of </w:t>
      </w:r>
      <w:r w:rsidR="00083681" w:rsidRPr="00083681">
        <w:rPr>
          <w:rFonts w:ascii="Times New Roman" w:eastAsia="Times New Roman" w:hAnsi="Times New Roman" w:cs="Times New Roman"/>
          <w:iCs/>
          <w:noProof/>
          <w:lang w:eastAsia="en-GB"/>
        </w:rPr>
        <w:t>EUSDR</w:t>
      </w:r>
      <w:r w:rsidR="00083681">
        <w:rPr>
          <w:rFonts w:ascii="Times New Roman" w:eastAsia="Times New Roman" w:hAnsi="Times New Roman" w:cs="Times New Roman"/>
          <w:iCs/>
          <w:noProof/>
          <w:lang w:eastAsia="en-GB"/>
        </w:rPr>
        <w:t xml:space="preserve"> </w:t>
      </w:r>
      <w:r w:rsidR="005F1D08">
        <w:rPr>
          <w:rFonts w:ascii="Times New Roman" w:eastAsia="Times New Roman" w:hAnsi="Times New Roman" w:cs="Times New Roman"/>
          <w:iCs/>
          <w:noProof/>
          <w:lang w:eastAsia="en-GB"/>
        </w:rPr>
        <w:t xml:space="preserve">and </w:t>
      </w:r>
      <w:r w:rsidR="005F1D08" w:rsidRPr="005F1D08">
        <w:rPr>
          <w:rFonts w:ascii="Times New Roman" w:eastAsia="Times New Roman" w:hAnsi="Times New Roman" w:cs="Times New Roman"/>
          <w:iCs/>
          <w:noProof/>
          <w:lang w:eastAsia="en-GB"/>
        </w:rPr>
        <w:t>EUAIRS</w:t>
      </w:r>
      <w:r w:rsidR="005F1D08">
        <w:rPr>
          <w:rFonts w:ascii="Times New Roman" w:eastAsia="Times New Roman" w:hAnsi="Times New Roman" w:cs="Times New Roman"/>
          <w:iCs/>
          <w:noProof/>
          <w:lang w:eastAsia="en-GB"/>
        </w:rPr>
        <w:t xml:space="preserve"> </w:t>
      </w:r>
      <w:r w:rsidR="00083681">
        <w:rPr>
          <w:rFonts w:ascii="Times New Roman" w:eastAsia="Times New Roman" w:hAnsi="Times New Roman" w:cs="Times New Roman"/>
          <w:iCs/>
          <w:noProof/>
          <w:lang w:eastAsia="en-GB"/>
        </w:rPr>
        <w:t xml:space="preserve">targets. </w:t>
      </w:r>
      <w:r w:rsidR="00A22A2C">
        <w:rPr>
          <w:rFonts w:ascii="Times New Roman" w:eastAsia="Times New Roman" w:hAnsi="Times New Roman" w:cs="Times New Roman"/>
          <w:iCs/>
          <w:noProof/>
          <w:lang w:eastAsia="en-GB"/>
        </w:rPr>
        <w:t xml:space="preserve"> </w:t>
      </w:r>
    </w:p>
    <w:p w14:paraId="04D7F497" w14:textId="77777777" w:rsidR="005658DF" w:rsidRDefault="005658DF" w:rsidP="00A10ECC">
      <w:pPr>
        <w:spacing w:after="200" w:line="276" w:lineRule="auto"/>
        <w:jc w:val="both"/>
        <w:rPr>
          <w:rFonts w:ascii="Times New Roman" w:eastAsia="Times New Roman" w:hAnsi="Times New Roman" w:cs="Times New Roman"/>
          <w:b/>
          <w:noProof/>
          <w:color w:val="000000"/>
          <w:sz w:val="24"/>
          <w:szCs w:val="24"/>
          <w:lang w:eastAsia="en-GB"/>
        </w:rPr>
      </w:pPr>
    </w:p>
    <w:p w14:paraId="6BCF0A16" w14:textId="77777777" w:rsidR="005658DF" w:rsidRDefault="005658DF" w:rsidP="00A10ECC">
      <w:pPr>
        <w:spacing w:after="200" w:line="276" w:lineRule="auto"/>
        <w:jc w:val="both"/>
        <w:rPr>
          <w:rFonts w:ascii="Times New Roman" w:eastAsia="Times New Roman" w:hAnsi="Times New Roman" w:cs="Times New Roman"/>
          <w:b/>
          <w:noProof/>
          <w:color w:val="000000"/>
          <w:sz w:val="24"/>
          <w:szCs w:val="24"/>
          <w:lang w:eastAsia="en-GB"/>
        </w:rPr>
      </w:pPr>
      <w:r>
        <w:rPr>
          <w:rFonts w:ascii="Times New Roman" w:eastAsia="Times New Roman" w:hAnsi="Times New Roman" w:cs="Times New Roman"/>
          <w:b/>
          <w:noProof/>
          <w:color w:val="000000"/>
          <w:sz w:val="24"/>
          <w:szCs w:val="24"/>
          <w:lang w:eastAsia="en-GB"/>
        </w:rPr>
        <w:t>1.3.</w:t>
      </w:r>
      <w:r w:rsidR="00773B45">
        <w:rPr>
          <w:rFonts w:ascii="Times New Roman" w:eastAsia="Times New Roman" w:hAnsi="Times New Roman" w:cs="Times New Roman"/>
          <w:b/>
          <w:noProof/>
          <w:color w:val="000000"/>
          <w:sz w:val="24"/>
          <w:szCs w:val="24"/>
          <w:lang w:eastAsia="en-GB"/>
        </w:rPr>
        <w:t xml:space="preserve"> </w:t>
      </w:r>
      <w:r w:rsidRPr="00A10ECC">
        <w:rPr>
          <w:rFonts w:ascii="Times New Roman" w:eastAsia="Times New Roman" w:hAnsi="Times New Roman" w:cs="Times New Roman"/>
          <w:b/>
          <w:noProof/>
          <w:color w:val="000000"/>
          <w:sz w:val="24"/>
          <w:szCs w:val="24"/>
          <w:lang w:eastAsia="en-GB"/>
        </w:rPr>
        <w:t>Justification for the selection of policy objectives and the Interreg specific objectives, corresponding priorities, specific objectives and the forms of support, addressing, where appropriate, missing links in cross-border infrastructure</w:t>
      </w:r>
    </w:p>
    <w:p w14:paraId="00C2E7E8" w14:textId="77777777" w:rsidR="00A10ECC" w:rsidRPr="003B229D" w:rsidRDefault="00A10ECC" w:rsidP="00A10ECC">
      <w:pPr>
        <w:spacing w:after="200" w:line="276" w:lineRule="auto"/>
        <w:jc w:val="both"/>
        <w:rPr>
          <w:rFonts w:ascii="Times New Roman" w:eastAsia="Times New Roman" w:hAnsi="Times New Roman" w:cs="Times New Roman"/>
          <w:i/>
          <w:noProof/>
          <w:color w:val="000000"/>
          <w:sz w:val="24"/>
          <w:szCs w:val="24"/>
          <w:lang w:val="bg-BG" w:eastAsia="en-GB"/>
        </w:rPr>
      </w:pPr>
      <w:r w:rsidRPr="00A10ECC">
        <w:rPr>
          <w:rFonts w:ascii="Times New Roman" w:eastAsia="Times New Roman" w:hAnsi="Times New Roman" w:cs="Times New Roman"/>
          <w:i/>
          <w:noProof/>
          <w:color w:val="000000"/>
          <w:sz w:val="24"/>
          <w:szCs w:val="24"/>
          <w:lang w:eastAsia="en-GB"/>
        </w:rPr>
        <w:t>Reference: point (c) of Article 17(3)</w:t>
      </w:r>
    </w:p>
    <w:p w14:paraId="504750C6" w14:textId="77777777" w:rsidR="00A10ECC" w:rsidRPr="00A10ECC" w:rsidRDefault="00A10ECC" w:rsidP="00A10ECC">
      <w:pPr>
        <w:spacing w:after="0" w:line="240" w:lineRule="auto"/>
        <w:rPr>
          <w:rFonts w:ascii="Times New Roman" w:eastAsia="Times New Roman" w:hAnsi="Times New Roman" w:cs="Times New Roman"/>
          <w:i/>
          <w:noProof/>
          <w:color w:val="000000"/>
          <w:sz w:val="24"/>
          <w:szCs w:val="24"/>
          <w:lang w:eastAsia="en-GB"/>
        </w:rPr>
      </w:pPr>
      <w:r w:rsidRPr="00A10ECC">
        <w:rPr>
          <w:rFonts w:ascii="Times New Roman" w:eastAsia="Times New Roman" w:hAnsi="Times New Roman" w:cs="Times New Roman"/>
          <w:i/>
          <w:noProof/>
          <w:color w:val="000000"/>
          <w:sz w:val="24"/>
          <w:szCs w:val="24"/>
          <w:lang w:eastAsia="en-GB"/>
        </w:rPr>
        <w:t>Table 1</w:t>
      </w:r>
    </w:p>
    <w:p w14:paraId="5AF29D30" w14:textId="77777777" w:rsidR="00A10ECC" w:rsidRPr="00A10ECC" w:rsidRDefault="00A10ECC" w:rsidP="00A10ECC">
      <w:pPr>
        <w:spacing w:after="0" w:line="240" w:lineRule="auto"/>
        <w:jc w:val="center"/>
        <w:rPr>
          <w:rFonts w:ascii="Times New Roman" w:eastAsia="Times New Roman" w:hAnsi="Times New Roman" w:cs="Times New Roman"/>
          <w:i/>
          <w:noProof/>
          <w:color w:val="000000"/>
          <w:sz w:val="24"/>
          <w:szCs w:val="24"/>
          <w:lang w:eastAsia="en-GB"/>
        </w:rPr>
      </w:pPr>
    </w:p>
    <w:tbl>
      <w:tblPr>
        <w:tblStyle w:val="TableGrid1"/>
        <w:tblW w:w="5077" w:type="pct"/>
        <w:tblLook w:val="04A0" w:firstRow="1" w:lastRow="0" w:firstColumn="1" w:lastColumn="0" w:noHBand="0" w:noVBand="1"/>
      </w:tblPr>
      <w:tblGrid>
        <w:gridCol w:w="1396"/>
        <w:gridCol w:w="1511"/>
        <w:gridCol w:w="1353"/>
        <w:gridCol w:w="5516"/>
      </w:tblGrid>
      <w:tr w:rsidR="00A10ECC" w:rsidRPr="00807A9F" w14:paraId="7C7FDFA6" w14:textId="77777777" w:rsidTr="00DE386A">
        <w:tc>
          <w:tcPr>
            <w:tcW w:w="714" w:type="pct"/>
          </w:tcPr>
          <w:p w14:paraId="288516E7" w14:textId="77777777" w:rsidR="00A10ECC" w:rsidRPr="00BA7B95" w:rsidRDefault="00A10ECC" w:rsidP="00A10ECC">
            <w:pPr>
              <w:rPr>
                <w:rFonts w:ascii="Times New Roman" w:eastAsia="Times New Roman" w:hAnsi="Times New Roman" w:cs="Times New Roman"/>
                <w:b/>
                <w:iCs/>
                <w:noProof/>
                <w:lang w:eastAsia="en-GB"/>
              </w:rPr>
            </w:pPr>
            <w:r w:rsidRPr="00BA7B95">
              <w:rPr>
                <w:rFonts w:ascii="Times New Roman" w:eastAsia="Times New Roman" w:hAnsi="Times New Roman" w:cs="Times New Roman"/>
                <w:b/>
                <w:iCs/>
                <w:noProof/>
                <w:lang w:eastAsia="en-GB"/>
              </w:rPr>
              <w:t>Selected policy objective or selected Interreg-specific objective</w:t>
            </w:r>
          </w:p>
        </w:tc>
        <w:tc>
          <w:tcPr>
            <w:tcW w:w="773" w:type="pct"/>
          </w:tcPr>
          <w:p w14:paraId="14CC54F1" w14:textId="77777777" w:rsidR="00A10ECC" w:rsidRPr="00BA7B95" w:rsidRDefault="00A10ECC" w:rsidP="00A10ECC">
            <w:pPr>
              <w:rPr>
                <w:rFonts w:ascii="Times New Roman" w:eastAsia="Times New Roman" w:hAnsi="Times New Roman" w:cs="Times New Roman"/>
                <w:b/>
                <w:iCs/>
                <w:noProof/>
                <w:lang w:eastAsia="en-GB"/>
              </w:rPr>
            </w:pPr>
            <w:r w:rsidRPr="00BA7B95">
              <w:rPr>
                <w:rFonts w:ascii="Times New Roman" w:eastAsia="Times New Roman" w:hAnsi="Times New Roman" w:cs="Times New Roman"/>
                <w:b/>
                <w:iCs/>
                <w:noProof/>
                <w:lang w:eastAsia="en-GB"/>
              </w:rPr>
              <w:t xml:space="preserve">Selected specific objective </w:t>
            </w:r>
          </w:p>
        </w:tc>
        <w:tc>
          <w:tcPr>
            <w:tcW w:w="692" w:type="pct"/>
          </w:tcPr>
          <w:p w14:paraId="7DE35DCA" w14:textId="77777777" w:rsidR="00A10ECC" w:rsidRPr="00BA7B95" w:rsidRDefault="00A10ECC" w:rsidP="00A10ECC">
            <w:pPr>
              <w:rPr>
                <w:rFonts w:ascii="Times New Roman" w:eastAsia="Times New Roman" w:hAnsi="Times New Roman" w:cs="Times New Roman"/>
                <w:b/>
                <w:iCs/>
                <w:noProof/>
                <w:lang w:eastAsia="en-GB"/>
              </w:rPr>
            </w:pPr>
            <w:r w:rsidRPr="00BA7B95">
              <w:rPr>
                <w:rFonts w:ascii="Times New Roman" w:eastAsia="Times New Roman" w:hAnsi="Times New Roman" w:cs="Times New Roman"/>
                <w:b/>
                <w:iCs/>
                <w:noProof/>
                <w:lang w:eastAsia="en-GB"/>
              </w:rPr>
              <w:t>Priority</w:t>
            </w:r>
          </w:p>
        </w:tc>
        <w:tc>
          <w:tcPr>
            <w:tcW w:w="2821" w:type="pct"/>
          </w:tcPr>
          <w:p w14:paraId="16921016" w14:textId="77777777" w:rsidR="00A10ECC" w:rsidRPr="00BA7B95" w:rsidRDefault="00A10ECC" w:rsidP="00A10ECC">
            <w:pPr>
              <w:rPr>
                <w:rFonts w:ascii="Times New Roman" w:eastAsia="Times New Roman" w:hAnsi="Times New Roman" w:cs="Times New Roman"/>
                <w:b/>
                <w:iCs/>
                <w:noProof/>
                <w:lang w:eastAsia="en-GB"/>
              </w:rPr>
            </w:pPr>
            <w:r w:rsidRPr="00BA7B95">
              <w:rPr>
                <w:rFonts w:ascii="Times New Roman" w:eastAsia="Times New Roman" w:hAnsi="Times New Roman" w:cs="Times New Roman"/>
                <w:b/>
                <w:iCs/>
                <w:noProof/>
                <w:lang w:eastAsia="en-GB"/>
              </w:rPr>
              <w:t xml:space="preserve">Justification for selection </w:t>
            </w:r>
          </w:p>
        </w:tc>
      </w:tr>
      <w:tr w:rsidR="00A10ECC" w:rsidRPr="00807A9F" w14:paraId="3EBCE3AF" w14:textId="77777777" w:rsidTr="00DE386A">
        <w:tc>
          <w:tcPr>
            <w:tcW w:w="714" w:type="pct"/>
          </w:tcPr>
          <w:p w14:paraId="50B3E455" w14:textId="77777777" w:rsidR="00BD64D9" w:rsidRDefault="004E06E4" w:rsidP="00BD64D9">
            <w:r w:rsidRPr="00BA7B95">
              <w:rPr>
                <w:rFonts w:ascii="Times New Roman" w:eastAsia="Times New Roman" w:hAnsi="Times New Roman" w:cs="Times New Roman"/>
                <w:i/>
                <w:iCs/>
                <w:noProof/>
                <w:lang w:val="en-US" w:eastAsia="en-GB"/>
              </w:rPr>
              <w:t>PO2</w:t>
            </w:r>
            <w:r w:rsidR="00BD64D9">
              <w:t xml:space="preserve"> </w:t>
            </w:r>
          </w:p>
          <w:p w14:paraId="204B62A1" w14:textId="77777777" w:rsidR="00BD64D9" w:rsidRPr="00BD64D9" w:rsidRDefault="004E06E4" w:rsidP="00BD64D9">
            <w:pPr>
              <w:rPr>
                <w:rFonts w:ascii="Times New Roman" w:eastAsia="Times New Roman" w:hAnsi="Times New Roman" w:cs="Times New Roman"/>
                <w:i/>
                <w:iCs/>
                <w:noProof/>
                <w:lang w:val="en-US" w:eastAsia="en-GB"/>
              </w:rPr>
            </w:pPr>
            <w:r w:rsidRPr="00BA7B95">
              <w:rPr>
                <w:rFonts w:ascii="Times New Roman" w:eastAsia="Times New Roman" w:hAnsi="Times New Roman" w:cs="Times New Roman"/>
                <w:i/>
                <w:iCs/>
                <w:noProof/>
                <w:lang w:val="en-US" w:eastAsia="en-GB"/>
              </w:rPr>
              <w:t xml:space="preserve">A greener, low-carbon </w:t>
            </w:r>
            <w:r w:rsidR="00BD64D9" w:rsidRPr="00BD64D9">
              <w:rPr>
                <w:rFonts w:ascii="Times New Roman" w:eastAsia="Times New Roman" w:hAnsi="Times New Roman" w:cs="Times New Roman"/>
                <w:i/>
                <w:iCs/>
                <w:noProof/>
                <w:lang w:val="en-US" w:eastAsia="en-GB"/>
              </w:rPr>
              <w:t xml:space="preserve">transitioning towards a net zero carbon economy and resilient </w:t>
            </w:r>
            <w:r w:rsidRPr="00BA7B95">
              <w:rPr>
                <w:rFonts w:ascii="Times New Roman" w:eastAsia="Times New Roman" w:hAnsi="Times New Roman" w:cs="Times New Roman"/>
                <w:i/>
                <w:iCs/>
                <w:noProof/>
                <w:lang w:val="en-US" w:eastAsia="en-GB"/>
              </w:rPr>
              <w:t>Europe</w:t>
            </w:r>
            <w:r w:rsidR="00BD64D9" w:rsidRPr="00BD64D9">
              <w:rPr>
                <w:rFonts w:ascii="Times New Roman" w:eastAsia="Times New Roman" w:hAnsi="Times New Roman" w:cs="Times New Roman"/>
                <w:i/>
                <w:iCs/>
                <w:noProof/>
                <w:lang w:val="en-US" w:eastAsia="en-GB"/>
              </w:rPr>
              <w:t xml:space="preserve"> by promoting clean and</w:t>
            </w:r>
          </w:p>
          <w:p w14:paraId="0713747D" w14:textId="77777777" w:rsidR="00BD64D9" w:rsidRPr="00BD64D9" w:rsidRDefault="00BD64D9" w:rsidP="00BD64D9">
            <w:pPr>
              <w:rPr>
                <w:rFonts w:ascii="Times New Roman" w:eastAsia="Times New Roman" w:hAnsi="Times New Roman" w:cs="Times New Roman"/>
                <w:i/>
                <w:iCs/>
                <w:noProof/>
                <w:lang w:val="en-US" w:eastAsia="en-GB"/>
              </w:rPr>
            </w:pPr>
            <w:r w:rsidRPr="00BD64D9">
              <w:rPr>
                <w:rFonts w:ascii="Times New Roman" w:eastAsia="Times New Roman" w:hAnsi="Times New Roman" w:cs="Times New Roman"/>
                <w:i/>
                <w:iCs/>
                <w:noProof/>
                <w:lang w:val="en-US" w:eastAsia="en-GB"/>
              </w:rPr>
              <w:lastRenderedPageBreak/>
              <w:t>fair energy transition, green and blue investment, the circular economy, climate change mitigation and adaptation, risk</w:t>
            </w:r>
          </w:p>
          <w:p w14:paraId="10688327" w14:textId="77777777" w:rsidR="00A10ECC" w:rsidRPr="00BA7B95" w:rsidRDefault="00BD64D9" w:rsidP="00A10ECC">
            <w:pPr>
              <w:rPr>
                <w:rFonts w:ascii="Times New Roman" w:eastAsia="Times New Roman" w:hAnsi="Times New Roman" w:cs="Times New Roman"/>
                <w:iCs/>
                <w:noProof/>
                <w:lang w:eastAsia="en-GB"/>
              </w:rPr>
            </w:pPr>
            <w:r w:rsidRPr="00BD64D9">
              <w:rPr>
                <w:rFonts w:ascii="Times New Roman" w:eastAsia="Times New Roman" w:hAnsi="Times New Roman" w:cs="Times New Roman"/>
                <w:i/>
                <w:iCs/>
                <w:noProof/>
                <w:lang w:val="en-US" w:eastAsia="en-GB"/>
              </w:rPr>
              <w:t>prevention and management, and sustainable urban mobility</w:t>
            </w:r>
          </w:p>
        </w:tc>
        <w:tc>
          <w:tcPr>
            <w:tcW w:w="773" w:type="pct"/>
          </w:tcPr>
          <w:p w14:paraId="147C3B4C" w14:textId="77777777" w:rsidR="00A10ECC" w:rsidRPr="00BA7B95" w:rsidRDefault="004E06E4" w:rsidP="004E06E4">
            <w:pPr>
              <w:rPr>
                <w:rFonts w:ascii="Times New Roman" w:eastAsia="Times New Roman" w:hAnsi="Times New Roman" w:cs="Times New Roman"/>
                <w:i/>
                <w:iCs/>
                <w:noProof/>
                <w:lang w:eastAsia="en-GB"/>
              </w:rPr>
            </w:pPr>
            <w:r w:rsidRPr="00BA7B95">
              <w:rPr>
                <w:rFonts w:ascii="Times New Roman" w:eastAsia="Times New Roman" w:hAnsi="Times New Roman" w:cs="Times New Roman"/>
                <w:i/>
                <w:iCs/>
                <w:noProof/>
                <w:lang w:val="en-US" w:eastAsia="en-GB"/>
              </w:rPr>
              <w:lastRenderedPageBreak/>
              <w:t>Enhancing protection and preservation of nature, biodiversity, and green infrastructure, including in urban areas, and reducing all forms of pollution</w:t>
            </w:r>
          </w:p>
        </w:tc>
        <w:tc>
          <w:tcPr>
            <w:tcW w:w="692" w:type="pct"/>
          </w:tcPr>
          <w:p w14:paraId="7CFB9B10" w14:textId="77777777" w:rsidR="00A10ECC" w:rsidRPr="0032243D" w:rsidRDefault="004E06E4" w:rsidP="00A10ECC">
            <w:pPr>
              <w:rPr>
                <w:rFonts w:ascii="Times New Roman" w:eastAsia="Times New Roman" w:hAnsi="Times New Roman" w:cs="Times New Roman"/>
                <w:b/>
                <w:iCs/>
                <w:noProof/>
                <w:lang w:eastAsia="en-GB"/>
              </w:rPr>
            </w:pPr>
            <w:r w:rsidRPr="0032243D">
              <w:rPr>
                <w:rFonts w:ascii="Times New Roman" w:eastAsia="Times New Roman" w:hAnsi="Times New Roman" w:cs="Times New Roman"/>
                <w:b/>
                <w:i/>
                <w:iCs/>
                <w:noProof/>
                <w:lang w:val="en-US" w:eastAsia="en-GB"/>
              </w:rPr>
              <w:t>Greener border region</w:t>
            </w:r>
          </w:p>
        </w:tc>
        <w:tc>
          <w:tcPr>
            <w:tcW w:w="2821" w:type="pct"/>
          </w:tcPr>
          <w:p w14:paraId="5B78A774" w14:textId="77777777" w:rsidR="00CD1943" w:rsidRPr="00807A9F" w:rsidRDefault="007931F9" w:rsidP="004E7C10">
            <w:pPr>
              <w:jc w:val="both"/>
              <w:rPr>
                <w:rFonts w:ascii="Times New Roman" w:eastAsia="Calibri" w:hAnsi="Times New Roman" w:cs="Times New Roman"/>
                <w:i/>
                <w:lang w:eastAsia="en-GB"/>
              </w:rPr>
            </w:pPr>
            <w:r w:rsidRPr="00807A9F">
              <w:rPr>
                <w:rFonts w:ascii="Times New Roman" w:eastAsia="Calibri" w:hAnsi="Times New Roman" w:cs="Times New Roman"/>
                <w:i/>
                <w:lang w:eastAsia="en-GB"/>
              </w:rPr>
              <w:t xml:space="preserve">The programme area enjoys a great biological diversity. However, due to its highly varied geological, topographic and hydrologic conditions, the area is vulnerable to biodiversity harmful practices. According to the EU 2030 Biodiversity Strategy, biodiversity loss and ecosystem collapse are one of the biggest threats facing humanity in the next decade. That makes preserving nature and restoring healthy ecosystems a European priority. </w:t>
            </w:r>
            <w:r w:rsidRPr="00807A9F">
              <w:rPr>
                <w:rFonts w:ascii="Times New Roman" w:eastAsia="Calibri" w:hAnsi="Times New Roman" w:cs="Times New Roman"/>
                <w:i/>
                <w:lang w:val="en-US" w:eastAsia="en-GB"/>
              </w:rPr>
              <w:t xml:space="preserve">Central to this priority is the establishment </w:t>
            </w:r>
            <w:r w:rsidRPr="00807A9F">
              <w:rPr>
                <w:rFonts w:ascii="Times New Roman" w:eastAsia="Calibri" w:hAnsi="Times New Roman" w:cs="Times New Roman"/>
                <w:i/>
                <w:lang w:eastAsia="en-GB"/>
              </w:rPr>
              <w:t xml:space="preserve">of green infrastructure (GI) whose wide effects positively impact human health and wellbeing, support a green economy, create job opportunities and enhance biodiversity. While the EU 2030 Biodiversity Strategy calls on national authorities to further </w:t>
            </w:r>
            <w:r w:rsidRPr="00807A9F">
              <w:rPr>
                <w:rFonts w:ascii="Times New Roman" w:eastAsia="Calibri" w:hAnsi="Times New Roman" w:cs="Times New Roman"/>
                <w:i/>
                <w:lang w:eastAsia="en-GB"/>
              </w:rPr>
              <w:lastRenderedPageBreak/>
              <w:t xml:space="preserve">strengthen and widen protection practices of natural sites, the regional and local authorities have been increasingly recognized as key providers of ecosystem services in building and restoring green spaces. The 2019 ESPON interim report ‘State of the European Territory’ highlights that the CBC area enjoys high potential GI network coverage. That assessment entails policies and practices promoting sustainable land use and increased biodiversity. As the green space coverage on urban scale is generally decreasing, policies addressing that deficit should focus on greening urban and </w:t>
            </w:r>
            <w:proofErr w:type="spellStart"/>
            <w:r w:rsidRPr="00807A9F">
              <w:rPr>
                <w:rFonts w:ascii="Times New Roman" w:eastAsia="Calibri" w:hAnsi="Times New Roman" w:cs="Times New Roman"/>
                <w:i/>
                <w:lang w:eastAsia="en-GB"/>
              </w:rPr>
              <w:t>peri</w:t>
            </w:r>
            <w:proofErr w:type="spellEnd"/>
            <w:r w:rsidRPr="00807A9F">
              <w:rPr>
                <w:rFonts w:ascii="Times New Roman" w:eastAsia="Calibri" w:hAnsi="Times New Roman" w:cs="Times New Roman"/>
                <w:i/>
                <w:lang w:eastAsia="en-GB"/>
              </w:rPr>
              <w:t>-urban areas, improving the connectivity of urban spaces and on transforming land uses, dominated by non-vegetated open spaces (e.g. former industrial platforms, parking lots, brownfields), into green spaces with improved ecological qualities. These are only part of the measures the programme will seek to support in order to enhance biodiversity by setting up ecological corridors to prevent genetic isolation, allow for species migration, and maintain and enhance healthy ecosystems. In this context, the EU 2030 Biodiversity Strategy encourages investments in green infrastructure to be implemented through cross-border cooperation among Member States, including through the European Territorial Cooperation. The EU strategy for promoting GI has also underlined the regional/cohesion dimension of the GI promotion</w:t>
            </w:r>
            <w:r>
              <w:rPr>
                <w:rFonts w:ascii="Times New Roman" w:eastAsia="Calibri" w:hAnsi="Times New Roman" w:cs="Times New Roman"/>
                <w:i/>
                <w:lang w:eastAsia="en-GB"/>
              </w:rPr>
              <w:t>. Furthermore, t</w:t>
            </w:r>
            <w:r w:rsidRPr="00807A9F">
              <w:rPr>
                <w:rFonts w:ascii="Times New Roman" w:eastAsia="Calibri" w:hAnsi="Times New Roman" w:cs="Times New Roman"/>
                <w:i/>
                <w:lang w:eastAsia="en-GB"/>
              </w:rPr>
              <w:t>he CB cooperation in the field of GI is</w:t>
            </w:r>
            <w:r>
              <w:rPr>
                <w:rFonts w:ascii="Times New Roman" w:eastAsia="Calibri" w:hAnsi="Times New Roman" w:cs="Times New Roman"/>
                <w:i/>
                <w:lang w:eastAsia="en-GB"/>
              </w:rPr>
              <w:t xml:space="preserve"> also</w:t>
            </w:r>
            <w:r w:rsidRPr="00807A9F">
              <w:rPr>
                <w:rFonts w:ascii="Times New Roman" w:eastAsia="Calibri" w:hAnsi="Times New Roman" w:cs="Times New Roman"/>
                <w:i/>
                <w:lang w:eastAsia="en-GB"/>
              </w:rPr>
              <w:t xml:space="preserve"> in line with the recommendation of the Border Orientation Paper to put a strong focus on sustainable and eco-friendly measures. </w:t>
            </w:r>
          </w:p>
        </w:tc>
      </w:tr>
      <w:tr w:rsidR="0037389C" w:rsidRPr="00807A9F" w14:paraId="2813D02A" w14:textId="77777777" w:rsidTr="00DE386A">
        <w:tc>
          <w:tcPr>
            <w:tcW w:w="714" w:type="pct"/>
          </w:tcPr>
          <w:p w14:paraId="6F77828B" w14:textId="77777777" w:rsidR="0004174B" w:rsidRPr="0004174B" w:rsidRDefault="0004174B" w:rsidP="0004174B">
            <w:pPr>
              <w:rPr>
                <w:rFonts w:ascii="Times New Roman" w:eastAsia="Times New Roman" w:hAnsi="Times New Roman" w:cs="Times New Roman"/>
                <w:i/>
                <w:iCs/>
                <w:noProof/>
                <w:lang w:val="en-US" w:eastAsia="en-GB"/>
              </w:rPr>
            </w:pPr>
            <w:r w:rsidRPr="00BA7B95">
              <w:rPr>
                <w:rFonts w:ascii="Times New Roman" w:eastAsia="Times New Roman" w:hAnsi="Times New Roman" w:cs="Times New Roman"/>
                <w:i/>
                <w:iCs/>
                <w:noProof/>
                <w:lang w:val="en-US" w:eastAsia="en-GB"/>
              </w:rPr>
              <w:lastRenderedPageBreak/>
              <w:t>PO3</w:t>
            </w:r>
            <w:r w:rsidRPr="0004174B">
              <w:rPr>
                <w:rFonts w:ascii="Times New Roman" w:eastAsia="Times New Roman" w:hAnsi="Times New Roman" w:cs="Times New Roman"/>
                <w:i/>
                <w:iCs/>
                <w:noProof/>
                <w:lang w:val="en-US" w:eastAsia="en-GB"/>
              </w:rPr>
              <w:t xml:space="preserve"> </w:t>
            </w:r>
          </w:p>
          <w:p w14:paraId="56D803C2" w14:textId="77777777" w:rsidR="0037389C" w:rsidRPr="007A7F73" w:rsidRDefault="0004174B" w:rsidP="0004174B">
            <w:pPr>
              <w:rPr>
                <w:rFonts w:ascii="Times New Roman" w:hAnsi="Times New Roman"/>
                <w:i/>
                <w:lang w:val="en-US"/>
              </w:rPr>
            </w:pPr>
            <w:r w:rsidRPr="0004174B">
              <w:rPr>
                <w:rFonts w:ascii="Times New Roman" w:eastAsia="Times New Roman" w:hAnsi="Times New Roman" w:cs="Times New Roman"/>
                <w:i/>
                <w:iCs/>
                <w:noProof/>
                <w:lang w:val="en-US" w:eastAsia="en-GB"/>
              </w:rPr>
              <w:t>A more connected Europe</w:t>
            </w:r>
            <w:r w:rsidR="00D17221" w:rsidRPr="004E27AE">
              <w:rPr>
                <w:rFonts w:ascii="Times New Roman" w:eastAsia="Times New Roman" w:hAnsi="Times New Roman" w:cs="Times New Roman"/>
                <w:i/>
                <w:iCs/>
                <w:noProof/>
                <w:lang w:val="en-US" w:eastAsia="en-GB"/>
              </w:rPr>
              <w:t xml:space="preserve"> </w:t>
            </w:r>
            <w:r w:rsidR="00D17221">
              <w:rPr>
                <w:rFonts w:ascii="Times New Roman" w:eastAsia="Times New Roman" w:hAnsi="Times New Roman" w:cs="Times New Roman"/>
                <w:i/>
                <w:iCs/>
                <w:noProof/>
                <w:lang w:val="en-US" w:eastAsia="en-GB"/>
              </w:rPr>
              <w:t>by enhancing mobility</w:t>
            </w:r>
          </w:p>
        </w:tc>
        <w:tc>
          <w:tcPr>
            <w:tcW w:w="773" w:type="pct"/>
          </w:tcPr>
          <w:p w14:paraId="38150DA8" w14:textId="77777777" w:rsidR="0037389C" w:rsidRPr="00807A9F" w:rsidRDefault="0004174B" w:rsidP="00CD1943">
            <w:pPr>
              <w:rPr>
                <w:rFonts w:ascii="Times New Roman" w:eastAsia="Times New Roman" w:hAnsi="Times New Roman" w:cs="Times New Roman"/>
                <w:i/>
                <w:iCs/>
                <w:noProof/>
                <w:lang w:eastAsia="en-GB"/>
              </w:rPr>
            </w:pPr>
            <w:r w:rsidRPr="0004174B">
              <w:rPr>
                <w:rFonts w:ascii="Times New Roman" w:eastAsia="Times New Roman" w:hAnsi="Times New Roman" w:cs="Times New Roman"/>
                <w:i/>
                <w:iCs/>
                <w:noProof/>
                <w:lang w:val="en-US" w:eastAsia="en-GB"/>
              </w:rPr>
              <w:t>Developing sustainable, climate resilient, intelligent and intermodal national, regional and local mobility, including improved access to TEN-T and cross-border mobility</w:t>
            </w:r>
          </w:p>
        </w:tc>
        <w:tc>
          <w:tcPr>
            <w:tcW w:w="692" w:type="pct"/>
          </w:tcPr>
          <w:p w14:paraId="1AB9BA41" w14:textId="77777777" w:rsidR="0037389C" w:rsidRPr="0032243D" w:rsidRDefault="0004174B" w:rsidP="00A10ECC">
            <w:pPr>
              <w:rPr>
                <w:rFonts w:ascii="Times New Roman" w:eastAsia="Times New Roman" w:hAnsi="Times New Roman" w:cs="Times New Roman"/>
                <w:b/>
                <w:iCs/>
                <w:noProof/>
                <w:lang w:eastAsia="en-GB"/>
              </w:rPr>
            </w:pPr>
            <w:r w:rsidRPr="0032243D">
              <w:rPr>
                <w:rFonts w:ascii="Times New Roman" w:eastAsia="Times New Roman" w:hAnsi="Times New Roman" w:cs="Times New Roman"/>
                <w:b/>
                <w:i/>
                <w:iCs/>
                <w:noProof/>
                <w:lang w:val="en-US" w:eastAsia="en-GB"/>
              </w:rPr>
              <w:t>More connected border region</w:t>
            </w:r>
          </w:p>
        </w:tc>
        <w:tc>
          <w:tcPr>
            <w:tcW w:w="2821" w:type="pct"/>
          </w:tcPr>
          <w:p w14:paraId="622B0962" w14:textId="77777777" w:rsidR="0037389C" w:rsidRPr="00AA3D01" w:rsidRDefault="000A4031" w:rsidP="005C4DC8">
            <w:pPr>
              <w:jc w:val="both"/>
              <w:rPr>
                <w:rFonts w:ascii="Times New Roman" w:eastAsia="Times New Roman" w:hAnsi="Times New Roman" w:cs="Times New Roman"/>
                <w:i/>
                <w:iCs/>
                <w:noProof/>
                <w:lang w:val="bg-BG" w:eastAsia="en-GB"/>
              </w:rPr>
            </w:pPr>
            <w:r w:rsidRPr="00EE7201">
              <w:rPr>
                <w:rFonts w:ascii="Times New Roman" w:eastAsia="Times New Roman" w:hAnsi="Times New Roman" w:cs="Times New Roman"/>
                <w:i/>
                <w:iCs/>
                <w:noProof/>
                <w:lang w:eastAsia="en-GB"/>
              </w:rPr>
              <w:t>In the CBC area there are currently 3 BCCP operating, servicing a population of nearly 1 mln</w:t>
            </w:r>
            <w:r w:rsidRPr="00EE7201">
              <w:rPr>
                <w:rFonts w:ascii="Times New Roman" w:eastAsia="Times New Roman" w:hAnsi="Times New Roman" w:cs="Times New Roman"/>
                <w:i/>
                <w:iCs/>
                <w:noProof/>
                <w:lang w:val="bg-BG" w:eastAsia="en-GB"/>
              </w:rPr>
              <w:t>.</w:t>
            </w:r>
            <w:r w:rsidRPr="00EE7201">
              <w:rPr>
                <w:rFonts w:ascii="Times New Roman" w:eastAsia="Times New Roman" w:hAnsi="Times New Roman" w:cs="Times New Roman"/>
                <w:i/>
                <w:iCs/>
                <w:noProof/>
                <w:lang w:eastAsia="en-GB"/>
              </w:rPr>
              <w:t xml:space="preserve"> people by providing direct access to Struma highway in Bulgaria which is part of the core TEN-T Orient/East-Med Corridor. The enhanced EU enlargement process has called on the Republic of Bulgaria and the </w:t>
            </w:r>
            <w:r w:rsidR="00B802AF">
              <w:rPr>
                <w:rFonts w:ascii="Times New Roman" w:eastAsia="Times New Roman" w:hAnsi="Times New Roman" w:cs="Times New Roman"/>
                <w:i/>
                <w:iCs/>
                <w:noProof/>
                <w:lang w:eastAsia="en-GB"/>
              </w:rPr>
              <w:t>[Republic of North Macedonia]</w:t>
            </w:r>
            <w:r w:rsidRPr="00EE7201">
              <w:rPr>
                <w:rFonts w:ascii="Times New Roman" w:eastAsia="Times New Roman" w:hAnsi="Times New Roman" w:cs="Times New Roman"/>
                <w:i/>
                <w:iCs/>
                <w:noProof/>
                <w:lang w:eastAsia="en-GB"/>
              </w:rPr>
              <w:t xml:space="preserve"> to rise to the challenge of facilitating the annually increasing traffic of freight and movement of people between the two countries, either by enlarging the service capacity of the current border check-points or by opening a new BCCP between the two countries whose need for that has been recognized back in 1999 when the Republic of Bulgaria and the </w:t>
            </w:r>
            <w:r w:rsidR="00B802AF">
              <w:rPr>
                <w:rFonts w:ascii="Times New Roman" w:eastAsia="Times New Roman" w:hAnsi="Times New Roman" w:cs="Times New Roman"/>
                <w:i/>
                <w:iCs/>
                <w:noProof/>
                <w:lang w:eastAsia="en-GB"/>
              </w:rPr>
              <w:t>[Republic of North Macedonia]</w:t>
            </w:r>
            <w:r w:rsidRPr="00EE7201">
              <w:rPr>
                <w:rFonts w:ascii="Times New Roman" w:eastAsia="Times New Roman" w:hAnsi="Times New Roman" w:cs="Times New Roman"/>
                <w:i/>
                <w:iCs/>
                <w:noProof/>
                <w:lang w:eastAsia="en-GB"/>
              </w:rPr>
              <w:t xml:space="preserve"> have signed a Bilateral Agreement for establishment of a new BCCP at the village of Klepalo connecting the municipalities of </w:t>
            </w:r>
            <w:r w:rsidR="005C4DC8" w:rsidRPr="00EE7201">
              <w:rPr>
                <w:rFonts w:ascii="Times New Roman" w:eastAsia="Times New Roman" w:hAnsi="Times New Roman" w:cs="Times New Roman"/>
                <w:i/>
                <w:iCs/>
                <w:noProof/>
                <w:lang w:eastAsia="en-GB"/>
              </w:rPr>
              <w:t>Strum</w:t>
            </w:r>
            <w:r w:rsidR="005C4DC8">
              <w:rPr>
                <w:rFonts w:ascii="Times New Roman" w:eastAsia="Times New Roman" w:hAnsi="Times New Roman" w:cs="Times New Roman"/>
                <w:i/>
                <w:iCs/>
                <w:noProof/>
                <w:lang w:eastAsia="en-GB"/>
              </w:rPr>
              <w:t>y</w:t>
            </w:r>
            <w:r w:rsidR="005C4DC8" w:rsidRPr="00EE7201">
              <w:rPr>
                <w:rFonts w:ascii="Times New Roman" w:eastAsia="Times New Roman" w:hAnsi="Times New Roman" w:cs="Times New Roman"/>
                <w:i/>
                <w:iCs/>
                <w:noProof/>
                <w:lang w:eastAsia="en-GB"/>
              </w:rPr>
              <w:t xml:space="preserve">ani </w:t>
            </w:r>
            <w:r w:rsidRPr="00EE7201">
              <w:rPr>
                <w:rFonts w:ascii="Times New Roman" w:eastAsia="Times New Roman" w:hAnsi="Times New Roman" w:cs="Times New Roman"/>
                <w:i/>
                <w:iCs/>
                <w:noProof/>
                <w:lang w:eastAsia="en-GB"/>
              </w:rPr>
              <w:t>(Republic of Bulgaria) and Berovo (</w:t>
            </w:r>
            <w:r w:rsidR="00B802AF">
              <w:rPr>
                <w:rFonts w:ascii="Times New Roman" w:eastAsia="Times New Roman" w:hAnsi="Times New Roman" w:cs="Times New Roman"/>
                <w:i/>
                <w:iCs/>
                <w:noProof/>
                <w:lang w:eastAsia="en-GB"/>
              </w:rPr>
              <w:t>[Republic of North Macedonia]</w:t>
            </w:r>
            <w:r w:rsidRPr="00EE7201">
              <w:rPr>
                <w:rFonts w:ascii="Times New Roman" w:eastAsia="Times New Roman" w:hAnsi="Times New Roman" w:cs="Times New Roman"/>
                <w:i/>
                <w:iCs/>
                <w:noProof/>
                <w:lang w:eastAsia="en-GB"/>
              </w:rPr>
              <w:t>).</w:t>
            </w:r>
            <w:r w:rsidRPr="00EE7201">
              <w:rPr>
                <w:rFonts w:ascii="Times New Roman" w:eastAsia="Times New Roman" w:hAnsi="Times New Roman" w:cs="Times New Roman"/>
                <w:i/>
                <w:iCs/>
                <w:noProof/>
                <w:lang w:val="bg-BG" w:eastAsia="en-GB"/>
              </w:rPr>
              <w:t xml:space="preserve"> </w:t>
            </w:r>
            <w:r w:rsidRPr="00EE7201">
              <w:rPr>
                <w:rFonts w:ascii="Times New Roman" w:eastAsia="Times New Roman" w:hAnsi="Times New Roman" w:cs="Times New Roman"/>
                <w:i/>
                <w:iCs/>
                <w:noProof/>
                <w:lang w:val="en-US" w:eastAsia="en-GB"/>
              </w:rPr>
              <w:t xml:space="preserve">The Commission's recent proposals envisage further integration of Western Balkan countries into EU policies, programmes and markets, and if border mobility obstacles persist, the speed up of the EU enlargement process may be jeopardized by the lack of basic connectivity factors. </w:t>
            </w:r>
            <w:r w:rsidRPr="00EE7201">
              <w:rPr>
                <w:rFonts w:ascii="Times New Roman" w:eastAsia="Times New Roman" w:hAnsi="Times New Roman" w:cs="Times New Roman"/>
                <w:i/>
                <w:iCs/>
                <w:noProof/>
                <w:lang w:eastAsia="en-GB"/>
              </w:rPr>
              <w:t xml:space="preserve">To best unlock the potential of interlinked production networks and value chains between </w:t>
            </w:r>
            <w:r w:rsidRPr="00EE7201">
              <w:rPr>
                <w:rFonts w:ascii="Times New Roman" w:eastAsia="Times New Roman" w:hAnsi="Times New Roman" w:cs="Times New Roman"/>
                <w:i/>
                <w:iCs/>
                <w:noProof/>
                <w:lang w:val="en-US" w:eastAsia="en-GB"/>
              </w:rPr>
              <w:t>Western and East Balkan countries</w:t>
            </w:r>
            <w:r w:rsidRPr="00EE7201">
              <w:rPr>
                <w:rFonts w:ascii="Times New Roman" w:eastAsia="Times New Roman" w:hAnsi="Times New Roman" w:cs="Times New Roman"/>
                <w:i/>
                <w:iCs/>
                <w:noProof/>
                <w:lang w:eastAsia="en-GB"/>
              </w:rPr>
              <w:t xml:space="preserve">, providing the footing for connectivity will be key. The faciliated and enlarged border and TEN-T access between the two countries has a political importance and multi-sectoral impact on various EU policy strands, highlighting also the Interreg role in bridging West and East Europe. In </w:t>
            </w:r>
            <w:r w:rsidRPr="00EE7201">
              <w:rPr>
                <w:rFonts w:ascii="Times New Roman" w:eastAsia="Times New Roman" w:hAnsi="Times New Roman" w:cs="Times New Roman"/>
                <w:i/>
                <w:iCs/>
                <w:noProof/>
                <w:lang w:eastAsia="en-GB"/>
              </w:rPr>
              <w:lastRenderedPageBreak/>
              <w:t>addition to that, the faciliated and enlarged border and TEN-T access will create added value in a broader economic perspective spreading the spillovers to and facilitating the interlinkages in the transport and tourism sector. Expected investments for improved border and TEN-T access will produce considerable time travel savings, shortening also the time for accessing the very popular Bansko ski resort in Bulgaria (among the first ten in any topical rankings). The PO3 is selected as a leading policy due to the large impact of the improved border and TEN-T access on the regional connectivity and cross-border mobility.</w:t>
            </w:r>
          </w:p>
        </w:tc>
      </w:tr>
      <w:tr w:rsidR="0037389C" w:rsidRPr="00807A9F" w14:paraId="502D84E8" w14:textId="77777777" w:rsidTr="00DE386A">
        <w:tc>
          <w:tcPr>
            <w:tcW w:w="714" w:type="pct"/>
          </w:tcPr>
          <w:p w14:paraId="1B25B3C0" w14:textId="77777777" w:rsidR="00EE685F" w:rsidRPr="00BA7B95" w:rsidRDefault="00EE685F" w:rsidP="00EE685F">
            <w:pPr>
              <w:rPr>
                <w:rFonts w:ascii="Times New Roman" w:eastAsia="Times New Roman" w:hAnsi="Times New Roman" w:cs="Times New Roman"/>
                <w:i/>
                <w:iCs/>
                <w:noProof/>
                <w:lang w:val="en-US" w:eastAsia="en-GB"/>
              </w:rPr>
            </w:pPr>
            <w:r w:rsidRPr="00BA7B95">
              <w:rPr>
                <w:rFonts w:ascii="Times New Roman" w:eastAsia="Times New Roman" w:hAnsi="Times New Roman" w:cs="Times New Roman"/>
                <w:i/>
                <w:iCs/>
                <w:noProof/>
                <w:lang w:val="en-US" w:eastAsia="en-GB"/>
              </w:rPr>
              <w:lastRenderedPageBreak/>
              <w:t>PO 5</w:t>
            </w:r>
          </w:p>
          <w:p w14:paraId="106D9416" w14:textId="77777777" w:rsidR="00BD64D9" w:rsidRPr="00BD64D9" w:rsidRDefault="00EE685F" w:rsidP="00BD64D9">
            <w:pPr>
              <w:rPr>
                <w:rFonts w:ascii="Times New Roman" w:eastAsia="Times New Roman" w:hAnsi="Times New Roman" w:cs="Times New Roman"/>
                <w:i/>
                <w:iCs/>
                <w:noProof/>
                <w:lang w:val="en-US" w:eastAsia="en-GB"/>
              </w:rPr>
            </w:pPr>
            <w:r w:rsidRPr="00EE685F">
              <w:rPr>
                <w:rFonts w:ascii="Times New Roman" w:eastAsia="Times New Roman" w:hAnsi="Times New Roman" w:cs="Times New Roman"/>
                <w:i/>
                <w:iCs/>
                <w:noProof/>
                <w:lang w:val="en-US" w:eastAsia="en-GB"/>
              </w:rPr>
              <w:t>A Europe closer to citizens</w:t>
            </w:r>
            <w:r w:rsidR="00BD64D9" w:rsidRPr="00BD64D9">
              <w:rPr>
                <w:rFonts w:ascii="Times New Roman" w:eastAsia="Times New Roman" w:hAnsi="Times New Roman" w:cs="Times New Roman"/>
                <w:i/>
                <w:iCs/>
                <w:noProof/>
                <w:lang w:val="en-US" w:eastAsia="en-GB"/>
              </w:rPr>
              <w:t xml:space="preserve"> by fostering the sustainable and integrated development of all types of territories and local</w:t>
            </w:r>
          </w:p>
          <w:p w14:paraId="56D6C078" w14:textId="77777777" w:rsidR="0037389C" w:rsidRPr="00BA7B95" w:rsidRDefault="00BD64D9" w:rsidP="00EE685F">
            <w:pPr>
              <w:rPr>
                <w:rFonts w:ascii="Times New Roman" w:eastAsia="Times New Roman" w:hAnsi="Times New Roman" w:cs="Times New Roman"/>
                <w:iCs/>
                <w:noProof/>
                <w:lang w:eastAsia="en-GB"/>
              </w:rPr>
            </w:pPr>
            <w:r w:rsidRPr="00BD64D9">
              <w:rPr>
                <w:rFonts w:ascii="Times New Roman" w:eastAsia="Times New Roman" w:hAnsi="Times New Roman" w:cs="Times New Roman"/>
                <w:i/>
                <w:iCs/>
                <w:noProof/>
                <w:lang w:val="en-US" w:eastAsia="en-GB"/>
              </w:rPr>
              <w:t>initiatives</w:t>
            </w:r>
          </w:p>
        </w:tc>
        <w:tc>
          <w:tcPr>
            <w:tcW w:w="773" w:type="pct"/>
          </w:tcPr>
          <w:p w14:paraId="07A2A971" w14:textId="77777777" w:rsidR="0037389C" w:rsidRPr="00BA7B95" w:rsidRDefault="00EE685F" w:rsidP="00CD1943">
            <w:pPr>
              <w:rPr>
                <w:rFonts w:ascii="Times New Roman" w:eastAsia="Times New Roman" w:hAnsi="Times New Roman" w:cs="Times New Roman"/>
                <w:i/>
                <w:iCs/>
                <w:noProof/>
                <w:lang w:eastAsia="en-GB"/>
              </w:rPr>
            </w:pPr>
            <w:r w:rsidRPr="00EE685F">
              <w:rPr>
                <w:rFonts w:ascii="Times New Roman" w:eastAsia="Times New Roman" w:hAnsi="Times New Roman" w:cs="Times New Roman"/>
                <w:i/>
                <w:iCs/>
                <w:noProof/>
                <w:lang w:val="en-US" w:eastAsia="en-GB"/>
              </w:rPr>
              <w:t>Fostering the integrated social, economic and environmental development, cultural heritage and security in areas other than urban</w:t>
            </w:r>
          </w:p>
        </w:tc>
        <w:tc>
          <w:tcPr>
            <w:tcW w:w="692" w:type="pct"/>
          </w:tcPr>
          <w:p w14:paraId="064B1278" w14:textId="77777777" w:rsidR="0037389C" w:rsidRPr="0032243D" w:rsidRDefault="00EE685F" w:rsidP="0037389C">
            <w:pPr>
              <w:rPr>
                <w:rFonts w:ascii="Times New Roman" w:eastAsia="Times New Roman" w:hAnsi="Times New Roman" w:cs="Times New Roman"/>
                <w:b/>
                <w:iCs/>
                <w:noProof/>
                <w:lang w:eastAsia="en-GB"/>
              </w:rPr>
            </w:pPr>
            <w:r w:rsidRPr="0032243D">
              <w:rPr>
                <w:rFonts w:ascii="Times New Roman" w:eastAsia="Times New Roman" w:hAnsi="Times New Roman" w:cs="Times New Roman"/>
                <w:b/>
                <w:i/>
                <w:iCs/>
                <w:noProof/>
                <w:lang w:val="en-US" w:eastAsia="en-GB"/>
              </w:rPr>
              <w:t>Integrated development of the cross-border region</w:t>
            </w:r>
          </w:p>
        </w:tc>
        <w:tc>
          <w:tcPr>
            <w:tcW w:w="2821" w:type="pct"/>
          </w:tcPr>
          <w:p w14:paraId="091044D6" w14:textId="77777777" w:rsidR="0037389C" w:rsidRPr="003E3585" w:rsidRDefault="003E3585" w:rsidP="004E7C10">
            <w:pPr>
              <w:jc w:val="both"/>
              <w:rPr>
                <w:rFonts w:ascii="Times New Roman" w:eastAsia="Times New Roman" w:hAnsi="Times New Roman" w:cs="Times New Roman"/>
                <w:i/>
                <w:iCs/>
                <w:noProof/>
                <w:lang w:eastAsia="en-GB"/>
              </w:rPr>
            </w:pPr>
            <w:r w:rsidRPr="00CD6EC7">
              <w:rPr>
                <w:rFonts w:ascii="Times New Roman" w:eastAsia="Times New Roman" w:hAnsi="Times New Roman" w:cs="Times New Roman"/>
                <w:i/>
                <w:iCs/>
                <w:noProof/>
                <w:lang w:val="en-US" w:eastAsia="en-GB"/>
              </w:rPr>
              <w:t xml:space="preserve">The expected increase in regional disparities and peripheralization, the urban-rural divide and the need to foster the implementation of the ‘Leave no one behind’ </w:t>
            </w:r>
            <w:r>
              <w:rPr>
                <w:rFonts w:ascii="Times New Roman" w:eastAsia="Times New Roman" w:hAnsi="Times New Roman" w:cs="Times New Roman"/>
                <w:i/>
                <w:iCs/>
                <w:noProof/>
                <w:lang w:val="en-US" w:eastAsia="en-GB"/>
              </w:rPr>
              <w:t>sustainable development g</w:t>
            </w:r>
            <w:r w:rsidR="00502272">
              <w:rPr>
                <w:rFonts w:ascii="Times New Roman" w:eastAsia="Times New Roman" w:hAnsi="Times New Roman" w:cs="Times New Roman"/>
                <w:i/>
                <w:iCs/>
                <w:noProof/>
                <w:lang w:val="en-US" w:eastAsia="en-GB"/>
              </w:rPr>
              <w:t>oal</w:t>
            </w:r>
            <w:r w:rsidRPr="00CD6EC7">
              <w:rPr>
                <w:rFonts w:ascii="Times New Roman" w:eastAsia="Times New Roman" w:hAnsi="Times New Roman" w:cs="Times New Roman"/>
                <w:i/>
                <w:iCs/>
                <w:noProof/>
                <w:lang w:val="en-US" w:eastAsia="en-GB"/>
              </w:rPr>
              <w:t xml:space="preserve"> ask for integrated policies on local level as a contrast to the sectoral approach who still dominates in local development practicies in the CBC area</w:t>
            </w:r>
            <w:r>
              <w:rPr>
                <w:rFonts w:ascii="Times New Roman" w:eastAsia="Times New Roman" w:hAnsi="Times New Roman" w:cs="Times New Roman"/>
                <w:i/>
                <w:iCs/>
                <w:noProof/>
                <w:lang w:val="en-US" w:eastAsia="en-GB"/>
              </w:rPr>
              <w:t xml:space="preserve">. </w:t>
            </w:r>
            <w:r w:rsidRPr="00EE685F">
              <w:rPr>
                <w:rFonts w:ascii="Times New Roman" w:eastAsia="Times New Roman" w:hAnsi="Times New Roman" w:cs="Times New Roman"/>
                <w:i/>
                <w:iCs/>
                <w:noProof/>
                <w:lang w:val="en-US" w:eastAsia="en-GB"/>
              </w:rPr>
              <w:t xml:space="preserve">This emphasises the importance of tailored place-based approaches rather than territorially blind policies with little relation to territorial reality. </w:t>
            </w:r>
            <w:r w:rsidRPr="00FF7B44">
              <w:rPr>
                <w:rFonts w:ascii="Times New Roman" w:eastAsia="Times New Roman" w:hAnsi="Times New Roman" w:cs="Times New Roman"/>
                <w:i/>
                <w:iCs/>
                <w:noProof/>
                <w:lang w:eastAsia="en-GB"/>
              </w:rPr>
              <w:t>The need to combat unevenly dispersed economic effects of isolated and sporadic interventions gave rise to the concept of participative and integrated territorial development that is able to boos</w:t>
            </w:r>
            <w:r>
              <w:rPr>
                <w:rFonts w:ascii="Times New Roman" w:eastAsia="Times New Roman" w:hAnsi="Times New Roman" w:cs="Times New Roman"/>
                <w:i/>
                <w:iCs/>
                <w:noProof/>
                <w:lang w:eastAsia="en-GB"/>
              </w:rPr>
              <w:t>t inclusiveness, resilience and</w:t>
            </w:r>
            <w:r w:rsidRPr="00FF7B44">
              <w:rPr>
                <w:rFonts w:ascii="Times New Roman" w:eastAsia="Times New Roman" w:hAnsi="Times New Roman" w:cs="Times New Roman"/>
                <w:i/>
                <w:iCs/>
                <w:noProof/>
                <w:lang w:eastAsia="en-GB"/>
              </w:rPr>
              <w:t xml:space="preserve"> competitiveness by gathering key actors from any sectoral value chain in cooperative actions</w:t>
            </w:r>
            <w:r>
              <w:rPr>
                <w:rFonts w:ascii="Times New Roman" w:eastAsia="Times New Roman" w:hAnsi="Times New Roman" w:cs="Times New Roman"/>
                <w:i/>
                <w:iCs/>
                <w:noProof/>
                <w:lang w:eastAsia="en-GB"/>
              </w:rPr>
              <w:t xml:space="preserve">. </w:t>
            </w:r>
            <w:r w:rsidRPr="00AF33FD">
              <w:rPr>
                <w:rFonts w:ascii="Times New Roman" w:eastAsia="Times New Roman" w:hAnsi="Times New Roman" w:cs="Times New Roman"/>
                <w:i/>
                <w:iCs/>
                <w:noProof/>
                <w:lang w:val="en-US" w:eastAsia="en-GB"/>
              </w:rPr>
              <w:t xml:space="preserve">Differences in access to services of general interest risk driving service providers, enterprises and social activities to relocate to areas with better access. This especially concerns remote areas that lack access to public services and economic and social opportunities. The borderline depicts a barrier and business activity remains mainly local and urban, with absent cross-border dimension and impact. </w:t>
            </w:r>
            <w:r w:rsidRPr="00AE70FE">
              <w:rPr>
                <w:rFonts w:ascii="Times New Roman" w:eastAsia="Times New Roman" w:hAnsi="Times New Roman" w:cs="Times New Roman"/>
                <w:i/>
                <w:iCs/>
                <w:noProof/>
                <w:lang w:val="en-US" w:eastAsia="en-GB"/>
              </w:rPr>
              <w:t xml:space="preserve">Missing links in the </w:t>
            </w:r>
            <w:r>
              <w:rPr>
                <w:rFonts w:ascii="Times New Roman" w:eastAsia="Times New Roman" w:hAnsi="Times New Roman" w:cs="Times New Roman"/>
                <w:i/>
                <w:iCs/>
                <w:noProof/>
                <w:lang w:val="en-US" w:eastAsia="en-GB"/>
              </w:rPr>
              <w:t>cross-border</w:t>
            </w:r>
            <w:r w:rsidRPr="00AE70FE">
              <w:rPr>
                <w:rFonts w:ascii="Times New Roman" w:eastAsia="Times New Roman" w:hAnsi="Times New Roman" w:cs="Times New Roman"/>
                <w:i/>
                <w:iCs/>
                <w:noProof/>
                <w:lang w:val="en-US" w:eastAsia="en-GB"/>
              </w:rPr>
              <w:t xml:space="preserve"> provision of business services and such of general interest are a main factor behind the negative demographic dynamics and the inert economy that the area exhibits</w:t>
            </w:r>
            <w:r w:rsidRPr="00AF33FD">
              <w:rPr>
                <w:rFonts w:ascii="Times New Roman" w:eastAsia="Times New Roman" w:hAnsi="Times New Roman" w:cs="Times New Roman"/>
                <w:i/>
                <w:iCs/>
                <w:noProof/>
                <w:lang w:val="en-US" w:eastAsia="en-GB"/>
              </w:rPr>
              <w:t>.</w:t>
            </w:r>
            <w:r>
              <w:rPr>
                <w:rFonts w:ascii="Times New Roman" w:eastAsia="Times New Roman" w:hAnsi="Times New Roman" w:cs="Times New Roman"/>
                <w:i/>
                <w:iCs/>
                <w:noProof/>
                <w:lang w:eastAsia="en-GB"/>
              </w:rPr>
              <w:t xml:space="preserve"> </w:t>
            </w:r>
            <w:r w:rsidRPr="00EE685F">
              <w:rPr>
                <w:rFonts w:ascii="Times New Roman" w:eastAsia="Times New Roman" w:hAnsi="Times New Roman" w:cs="Times New Roman"/>
                <w:i/>
                <w:iCs/>
                <w:noProof/>
                <w:lang w:val="en-US" w:eastAsia="en-GB"/>
              </w:rPr>
              <w:t xml:space="preserve">The selection of the </w:t>
            </w:r>
            <w:r>
              <w:rPr>
                <w:rFonts w:ascii="Times New Roman" w:eastAsia="Times New Roman" w:hAnsi="Times New Roman" w:cs="Times New Roman"/>
                <w:i/>
                <w:iCs/>
                <w:noProof/>
                <w:lang w:val="en-US" w:eastAsia="en-GB"/>
              </w:rPr>
              <w:t xml:space="preserve">specific objective </w:t>
            </w:r>
            <w:r w:rsidRPr="00EE685F">
              <w:rPr>
                <w:rFonts w:ascii="Times New Roman" w:eastAsia="Times New Roman" w:hAnsi="Times New Roman" w:cs="Times New Roman"/>
                <w:i/>
                <w:iCs/>
                <w:noProof/>
                <w:lang w:val="en-US" w:eastAsia="en-GB"/>
              </w:rPr>
              <w:t>has been made with a view to tackle these challenges, accounting as well for compliance with the core priorities of the Territorial Agenda 2030. Thus, the programme will conntribute to the ‘A just Europe’ priority of the Territorial Agenda 2030 by applying a place-based approach, in contrast to the dot-like one.</w:t>
            </w:r>
            <w:r>
              <w:rPr>
                <w:rFonts w:ascii="Times New Roman" w:eastAsia="Times New Roman" w:hAnsi="Times New Roman" w:cs="Times New Roman"/>
                <w:i/>
                <w:iCs/>
                <w:noProof/>
                <w:lang w:val="en-US" w:eastAsia="en-GB"/>
              </w:rPr>
              <w:t xml:space="preserve"> </w:t>
            </w:r>
            <w:r w:rsidRPr="00EE685F">
              <w:rPr>
                <w:rFonts w:ascii="Times New Roman" w:eastAsia="Times New Roman" w:hAnsi="Times New Roman" w:cs="Times New Roman"/>
                <w:i/>
                <w:iCs/>
                <w:noProof/>
                <w:lang w:val="en-US" w:eastAsia="en-GB"/>
              </w:rPr>
              <w:t>This entails the involvement of all actors playing acti</w:t>
            </w:r>
            <w:r>
              <w:rPr>
                <w:rFonts w:ascii="Times New Roman" w:eastAsia="Times New Roman" w:hAnsi="Times New Roman" w:cs="Times New Roman"/>
                <w:i/>
                <w:iCs/>
                <w:noProof/>
                <w:lang w:val="en-US" w:eastAsia="en-GB"/>
              </w:rPr>
              <w:t xml:space="preserve">ve roles in the border economy </w:t>
            </w:r>
            <w:r w:rsidRPr="00EE685F">
              <w:rPr>
                <w:rFonts w:ascii="Times New Roman" w:eastAsia="Times New Roman" w:hAnsi="Times New Roman" w:cs="Times New Roman"/>
                <w:i/>
                <w:iCs/>
                <w:noProof/>
                <w:lang w:val="en-US" w:eastAsia="en-GB"/>
              </w:rPr>
              <w:t xml:space="preserve">and thus allowing for </w:t>
            </w:r>
            <w:r>
              <w:rPr>
                <w:rFonts w:ascii="Times New Roman" w:eastAsia="Times New Roman" w:hAnsi="Times New Roman" w:cs="Times New Roman"/>
                <w:i/>
                <w:iCs/>
                <w:noProof/>
                <w:lang w:val="en-US" w:eastAsia="en-GB"/>
              </w:rPr>
              <w:t xml:space="preserve">multi-sectoral, </w:t>
            </w:r>
            <w:r w:rsidRPr="00EE685F">
              <w:rPr>
                <w:rFonts w:ascii="Times New Roman" w:eastAsia="Times New Roman" w:hAnsi="Times New Roman" w:cs="Times New Roman"/>
                <w:i/>
                <w:iCs/>
                <w:noProof/>
                <w:lang w:val="en-US" w:eastAsia="en-GB"/>
              </w:rPr>
              <w:t xml:space="preserve">accountable </w:t>
            </w:r>
            <w:r>
              <w:rPr>
                <w:rFonts w:ascii="Times New Roman" w:eastAsia="Times New Roman" w:hAnsi="Times New Roman" w:cs="Times New Roman"/>
                <w:i/>
                <w:iCs/>
                <w:noProof/>
                <w:lang w:val="en-US" w:eastAsia="en-GB"/>
              </w:rPr>
              <w:t xml:space="preserve">and multi-level governance </w:t>
            </w:r>
            <w:r w:rsidRPr="00EE685F">
              <w:rPr>
                <w:rFonts w:ascii="Times New Roman" w:eastAsia="Times New Roman" w:hAnsi="Times New Roman" w:cs="Times New Roman"/>
                <w:i/>
                <w:iCs/>
                <w:noProof/>
                <w:lang w:val="en-US" w:eastAsia="en-GB"/>
              </w:rPr>
              <w:t>partnerships that are</w:t>
            </w:r>
            <w:r>
              <w:rPr>
                <w:rFonts w:ascii="Times New Roman" w:eastAsia="Times New Roman" w:hAnsi="Times New Roman" w:cs="Times New Roman"/>
                <w:i/>
                <w:iCs/>
                <w:noProof/>
                <w:lang w:val="en-US" w:eastAsia="en-GB"/>
              </w:rPr>
              <w:t xml:space="preserve"> going to be</w:t>
            </w:r>
            <w:r w:rsidRPr="00EE685F">
              <w:rPr>
                <w:rFonts w:ascii="Times New Roman" w:eastAsia="Times New Roman" w:hAnsi="Times New Roman" w:cs="Times New Roman"/>
                <w:i/>
                <w:iCs/>
                <w:noProof/>
                <w:lang w:val="en-US" w:eastAsia="en-GB"/>
              </w:rPr>
              <w:t xml:space="preserve"> set up to support the prosperity of the border region. </w:t>
            </w:r>
            <w:r>
              <w:rPr>
                <w:rFonts w:ascii="Times New Roman" w:eastAsia="Times New Roman" w:hAnsi="Times New Roman" w:cs="Times New Roman"/>
                <w:i/>
                <w:iCs/>
                <w:noProof/>
                <w:lang w:val="en-US" w:eastAsia="en-GB"/>
              </w:rPr>
              <w:t>The selected specific objective</w:t>
            </w:r>
            <w:r w:rsidRPr="00EE685F">
              <w:rPr>
                <w:rFonts w:ascii="Times New Roman" w:eastAsia="Times New Roman" w:hAnsi="Times New Roman" w:cs="Times New Roman"/>
                <w:i/>
                <w:iCs/>
                <w:noProof/>
                <w:lang w:val="en-US" w:eastAsia="en-GB"/>
              </w:rPr>
              <w:t xml:space="preserve"> provides a strategic framework to bring business, citizens and authorities together in collective actions that produce shared benefits and widely agreed solutions to </w:t>
            </w:r>
            <w:r>
              <w:rPr>
                <w:rFonts w:ascii="Times New Roman" w:eastAsia="Times New Roman" w:hAnsi="Times New Roman" w:cs="Times New Roman"/>
                <w:i/>
                <w:iCs/>
                <w:noProof/>
                <w:lang w:val="en-US" w:eastAsia="en-GB"/>
              </w:rPr>
              <w:t xml:space="preserve">the most urgent </w:t>
            </w:r>
            <w:r w:rsidRPr="00EE685F">
              <w:rPr>
                <w:rFonts w:ascii="Times New Roman" w:eastAsia="Times New Roman" w:hAnsi="Times New Roman" w:cs="Times New Roman"/>
                <w:i/>
                <w:iCs/>
                <w:noProof/>
                <w:lang w:val="en-US" w:eastAsia="en-GB"/>
              </w:rPr>
              <w:t xml:space="preserve">common territorial challenges. </w:t>
            </w:r>
          </w:p>
        </w:tc>
      </w:tr>
    </w:tbl>
    <w:p w14:paraId="7D5096D6" w14:textId="77777777" w:rsidR="00A10ECC" w:rsidRPr="00A10ECC" w:rsidRDefault="00A10ECC" w:rsidP="00A10ECC">
      <w:pPr>
        <w:spacing w:before="240" w:after="240" w:line="240" w:lineRule="auto"/>
        <w:ind w:left="360"/>
        <w:jc w:val="both"/>
        <w:rPr>
          <w:rFonts w:ascii="Times New Roman" w:eastAsia="Times New Roman" w:hAnsi="Times New Roman" w:cs="Times New Roman"/>
          <w:b/>
          <w:noProof/>
          <w:color w:val="000000"/>
          <w:sz w:val="24"/>
          <w:szCs w:val="24"/>
          <w:lang w:eastAsia="en-GB"/>
        </w:rPr>
      </w:pPr>
    </w:p>
    <w:p w14:paraId="17B798CA" w14:textId="77777777" w:rsidR="00A10ECC" w:rsidRPr="00A10ECC" w:rsidRDefault="00A10ECC" w:rsidP="00A10ECC">
      <w:pPr>
        <w:numPr>
          <w:ilvl w:val="0"/>
          <w:numId w:val="1"/>
        </w:numPr>
        <w:tabs>
          <w:tab w:val="left" w:pos="284"/>
        </w:tabs>
        <w:spacing w:before="240" w:after="240" w:line="240" w:lineRule="auto"/>
        <w:jc w:val="both"/>
        <w:rPr>
          <w:rFonts w:ascii="Times New Roman" w:eastAsia="Times New Roman" w:hAnsi="Times New Roman" w:cs="Times New Roman"/>
          <w:b/>
          <w:noProof/>
          <w:color w:val="000000"/>
          <w:sz w:val="24"/>
          <w:szCs w:val="24"/>
          <w:lang w:eastAsia="en-GB"/>
        </w:rPr>
      </w:pPr>
      <w:r w:rsidRPr="00A10ECC">
        <w:rPr>
          <w:rFonts w:ascii="Times New Roman" w:eastAsia="Times New Roman" w:hAnsi="Times New Roman" w:cs="Times New Roman"/>
          <w:b/>
          <w:noProof/>
          <w:color w:val="000000"/>
          <w:sz w:val="24"/>
          <w:szCs w:val="24"/>
          <w:lang w:eastAsia="en-GB"/>
        </w:rPr>
        <w:br w:type="page"/>
      </w:r>
      <w:r w:rsidRPr="00A10ECC">
        <w:rPr>
          <w:rFonts w:ascii="Times New Roman" w:eastAsia="Times New Roman" w:hAnsi="Times New Roman" w:cs="Times New Roman"/>
          <w:b/>
          <w:noProof/>
          <w:color w:val="000000"/>
          <w:sz w:val="24"/>
          <w:szCs w:val="24"/>
          <w:lang w:eastAsia="en-GB"/>
        </w:rPr>
        <w:lastRenderedPageBreak/>
        <w:t>Priorities [300]</w:t>
      </w:r>
    </w:p>
    <w:p w14:paraId="796D3966" w14:textId="77777777" w:rsidR="00A10ECC" w:rsidRPr="00A10ECC" w:rsidRDefault="00A10ECC" w:rsidP="00A10ECC">
      <w:pPr>
        <w:spacing w:after="200" w:line="276" w:lineRule="auto"/>
        <w:ind w:left="360"/>
        <w:contextualSpacing/>
        <w:jc w:val="both"/>
        <w:rPr>
          <w:rFonts w:ascii="Times New Roman" w:eastAsia="Times New Roman" w:hAnsi="Times New Roman" w:cs="Times New Roman"/>
          <w:i/>
          <w:noProof/>
          <w:color w:val="000000"/>
          <w:sz w:val="24"/>
          <w:szCs w:val="24"/>
          <w:lang w:eastAsia="en-GB"/>
        </w:rPr>
      </w:pPr>
      <w:r w:rsidRPr="00A10ECC">
        <w:rPr>
          <w:rFonts w:ascii="Times New Roman" w:eastAsia="Times New Roman" w:hAnsi="Times New Roman" w:cs="Times New Roman"/>
          <w:i/>
          <w:noProof/>
          <w:color w:val="000000"/>
          <w:sz w:val="24"/>
          <w:szCs w:val="24"/>
          <w:lang w:eastAsia="en-GB"/>
        </w:rPr>
        <w:t>Reference: points (d) and (e) of Article 17(3)</w:t>
      </w:r>
    </w:p>
    <w:p w14:paraId="6E3FEAD9" w14:textId="77777777" w:rsidR="00D9394F" w:rsidRPr="001F57D0" w:rsidRDefault="00D9394F" w:rsidP="00A10ECC">
      <w:pPr>
        <w:numPr>
          <w:ilvl w:val="1"/>
          <w:numId w:val="1"/>
        </w:numPr>
        <w:spacing w:before="240" w:after="200" w:line="276" w:lineRule="auto"/>
        <w:jc w:val="both"/>
        <w:rPr>
          <w:rFonts w:ascii="Times New Roman" w:eastAsia="Times New Roman" w:hAnsi="Times New Roman" w:cs="Times New Roman"/>
          <w:b/>
          <w:noProof/>
          <w:color w:val="000000"/>
          <w:sz w:val="24"/>
          <w:szCs w:val="24"/>
          <w:lang w:eastAsia="en-GB"/>
        </w:rPr>
      </w:pPr>
      <w:r w:rsidRPr="001F57D0">
        <w:rPr>
          <w:rFonts w:ascii="Times New Roman" w:eastAsia="Times New Roman" w:hAnsi="Times New Roman" w:cs="Times New Roman"/>
          <w:b/>
          <w:iCs/>
          <w:noProof/>
          <w:color w:val="000000"/>
          <w:sz w:val="24"/>
          <w:szCs w:val="24"/>
          <w:lang w:eastAsia="en-GB"/>
        </w:rPr>
        <w:t xml:space="preserve">Priority </w:t>
      </w:r>
      <w:r w:rsidR="00CE2421">
        <w:rPr>
          <w:rFonts w:ascii="Times New Roman" w:eastAsia="Times New Roman" w:hAnsi="Times New Roman" w:cs="Times New Roman"/>
          <w:b/>
          <w:iCs/>
          <w:noProof/>
          <w:color w:val="000000"/>
          <w:sz w:val="24"/>
          <w:szCs w:val="24"/>
          <w:lang w:eastAsia="en-GB"/>
        </w:rPr>
        <w:t>1. Greener</w:t>
      </w:r>
      <w:r w:rsidRPr="001F57D0">
        <w:rPr>
          <w:rFonts w:ascii="Times New Roman" w:eastAsia="Times New Roman" w:hAnsi="Times New Roman" w:cs="Times New Roman"/>
          <w:b/>
          <w:iCs/>
          <w:noProof/>
          <w:color w:val="000000"/>
          <w:sz w:val="24"/>
          <w:szCs w:val="24"/>
          <w:lang w:eastAsia="en-GB"/>
        </w:rPr>
        <w:t xml:space="preserve"> border region</w:t>
      </w:r>
      <w:r w:rsidRPr="001F57D0">
        <w:rPr>
          <w:rFonts w:ascii="Times New Roman" w:eastAsia="Times New Roman" w:hAnsi="Times New Roman" w:cs="Times New Roman"/>
          <w:iCs/>
          <w:noProof/>
          <w:color w:val="000000"/>
          <w:sz w:val="24"/>
          <w:szCs w:val="24"/>
          <w:lang w:eastAsia="en-GB"/>
        </w:rPr>
        <w:t xml:space="preserve"> </w:t>
      </w:r>
    </w:p>
    <w:p w14:paraId="25217D25" w14:textId="77777777" w:rsidR="00A10ECC" w:rsidRPr="00D9394F" w:rsidRDefault="00A10ECC" w:rsidP="001F57D0">
      <w:pPr>
        <w:spacing w:before="240" w:after="200" w:line="276" w:lineRule="auto"/>
        <w:jc w:val="both"/>
        <w:rPr>
          <w:rFonts w:ascii="Times New Roman" w:eastAsia="Times New Roman" w:hAnsi="Times New Roman" w:cs="Times New Roman"/>
          <w:i/>
          <w:noProof/>
          <w:color w:val="000000"/>
          <w:sz w:val="24"/>
          <w:szCs w:val="24"/>
          <w:lang w:eastAsia="en-GB"/>
        </w:rPr>
      </w:pPr>
      <w:r w:rsidRPr="00D9394F">
        <w:rPr>
          <w:rFonts w:ascii="Times New Roman" w:eastAsia="Times New Roman" w:hAnsi="Times New Roman" w:cs="Times New Roman"/>
          <w:i/>
          <w:noProof/>
          <w:color w:val="000000"/>
          <w:sz w:val="24"/>
          <w:szCs w:val="24"/>
          <w:lang w:eastAsia="en-GB"/>
        </w:rPr>
        <w:t>Reference: point (d) of Article 17(3)</w:t>
      </w:r>
    </w:p>
    <w:p w14:paraId="10CAC717" w14:textId="77777777" w:rsidR="00B5654E" w:rsidRDefault="00A10ECC" w:rsidP="00DF7695">
      <w:pPr>
        <w:pBdr>
          <w:top w:val="single" w:sz="4" w:space="1" w:color="auto"/>
          <w:left w:val="single" w:sz="4" w:space="4" w:color="auto"/>
          <w:bottom w:val="single" w:sz="4" w:space="1" w:color="auto"/>
          <w:right w:val="single" w:sz="4" w:space="14" w:color="auto"/>
        </w:pBdr>
        <w:spacing w:after="200" w:line="276" w:lineRule="auto"/>
        <w:jc w:val="both"/>
        <w:rPr>
          <w:rFonts w:ascii="Times New Roman" w:eastAsia="Times New Roman" w:hAnsi="Times New Roman" w:cs="Times New Roman"/>
          <w:i/>
          <w:iCs/>
          <w:noProof/>
          <w:lang w:eastAsia="en-GB"/>
        </w:rPr>
      </w:pPr>
      <w:r w:rsidRPr="00A10ECC">
        <w:rPr>
          <w:rFonts w:ascii="Times New Roman" w:eastAsia="Times New Roman" w:hAnsi="Times New Roman" w:cs="Times New Roman"/>
          <w:i/>
          <w:iCs/>
          <w:noProof/>
          <w:lang w:eastAsia="en-GB"/>
        </w:rPr>
        <w:t>Text field: [300]</w:t>
      </w:r>
      <w:r w:rsidR="00DF7695" w:rsidRPr="00DF7695">
        <w:rPr>
          <w:rFonts w:ascii="Times New Roman" w:eastAsia="Times New Roman" w:hAnsi="Times New Roman" w:cs="Times New Roman"/>
          <w:b/>
          <w:i/>
          <w:iCs/>
          <w:noProof/>
          <w:lang w:eastAsia="en-GB"/>
        </w:rPr>
        <w:t xml:space="preserve"> </w:t>
      </w:r>
      <w:r w:rsidR="00DF7695" w:rsidRPr="00DF7695">
        <w:rPr>
          <w:rFonts w:ascii="Times New Roman" w:eastAsia="Times New Roman" w:hAnsi="Times New Roman" w:cs="Times New Roman"/>
          <w:i/>
          <w:iCs/>
          <w:noProof/>
          <w:lang w:eastAsia="en-GB"/>
        </w:rPr>
        <w:t xml:space="preserve"> </w:t>
      </w:r>
    </w:p>
    <w:p w14:paraId="4E447E3E" w14:textId="77777777" w:rsidR="00A10ECC" w:rsidRPr="00A10ECC" w:rsidRDefault="00D9394F" w:rsidP="00DF7695">
      <w:pPr>
        <w:pBdr>
          <w:top w:val="single" w:sz="4" w:space="1" w:color="auto"/>
          <w:left w:val="single" w:sz="4" w:space="4" w:color="auto"/>
          <w:bottom w:val="single" w:sz="4" w:space="1" w:color="auto"/>
          <w:right w:val="single" w:sz="4" w:space="14" w:color="auto"/>
        </w:pBdr>
        <w:spacing w:after="200" w:line="276" w:lineRule="auto"/>
        <w:jc w:val="both"/>
        <w:rPr>
          <w:rFonts w:ascii="Times New Roman" w:eastAsia="Times New Roman" w:hAnsi="Times New Roman" w:cs="Times New Roman"/>
          <w:i/>
          <w:iCs/>
          <w:noProof/>
          <w:lang w:eastAsia="en-GB"/>
        </w:rPr>
      </w:pPr>
      <w:r>
        <w:rPr>
          <w:rFonts w:ascii="Times New Roman" w:eastAsia="Times New Roman" w:hAnsi="Times New Roman" w:cs="Times New Roman"/>
          <w:i/>
          <w:iCs/>
          <w:noProof/>
          <w:lang w:eastAsia="en-GB"/>
        </w:rPr>
        <w:t>P</w:t>
      </w:r>
      <w:r w:rsidR="00DF7695" w:rsidRPr="00DF7695">
        <w:rPr>
          <w:rFonts w:ascii="Times New Roman" w:eastAsia="Times New Roman" w:hAnsi="Times New Roman" w:cs="Times New Roman"/>
          <w:i/>
          <w:iCs/>
          <w:noProof/>
          <w:lang w:eastAsia="en-GB"/>
        </w:rPr>
        <w:t>romoting clean and fair energy transition, green and blue investment, the circular economy, climate adaptation and risk prevention and management</w:t>
      </w:r>
      <w:r>
        <w:rPr>
          <w:rFonts w:ascii="Times New Roman" w:eastAsia="Times New Roman" w:hAnsi="Times New Roman" w:cs="Times New Roman"/>
          <w:i/>
          <w:iCs/>
          <w:noProof/>
          <w:lang w:eastAsia="en-GB"/>
        </w:rPr>
        <w:t xml:space="preserve"> in the cross-border region</w:t>
      </w:r>
    </w:p>
    <w:p w14:paraId="34ABF5E7" w14:textId="77777777" w:rsidR="00A10ECC" w:rsidRPr="00A10ECC" w:rsidRDefault="00A10ECC" w:rsidP="00A10ECC">
      <w:pPr>
        <w:spacing w:before="240" w:after="240" w:line="240" w:lineRule="auto"/>
        <w:ind w:left="709" w:hanging="709"/>
        <w:rPr>
          <w:rFonts w:ascii="Times New Roman" w:eastAsia="Times New Roman" w:hAnsi="Times New Roman" w:cs="Times New Roman"/>
          <w:iCs/>
          <w:noProof/>
          <w:sz w:val="24"/>
          <w:szCs w:val="24"/>
          <w:lang w:eastAsia="en-GB"/>
        </w:rPr>
      </w:pPr>
      <w:r w:rsidRPr="00A10ECC">
        <w:rPr>
          <w:rFonts w:ascii="Times New Roman" w:eastAsia="Times New Roman" w:hAnsi="Times New Roman" w:cs="Times New Roman"/>
          <w:b/>
          <w:iCs/>
          <w:noProof/>
          <w:sz w:val="24"/>
          <w:szCs w:val="24"/>
          <w:lang w:eastAsia="en-GB"/>
        </w:rPr>
        <w:t>2.1.1.</w:t>
      </w:r>
      <w:r w:rsidRPr="00A10ECC">
        <w:rPr>
          <w:rFonts w:ascii="Times New Roman" w:eastAsia="Times New Roman" w:hAnsi="Times New Roman" w:cs="Times New Roman"/>
          <w:b/>
          <w:iCs/>
          <w:noProof/>
          <w:sz w:val="24"/>
          <w:szCs w:val="24"/>
          <w:lang w:eastAsia="en-GB"/>
        </w:rPr>
        <w:tab/>
        <w:t xml:space="preserve">Specific objective </w:t>
      </w:r>
      <w:r w:rsidRPr="00A10ECC">
        <w:rPr>
          <w:rFonts w:ascii="Times New Roman" w:eastAsia="Times New Roman" w:hAnsi="Times New Roman" w:cs="Times New Roman"/>
          <w:iCs/>
          <w:noProof/>
          <w:sz w:val="24"/>
          <w:szCs w:val="24"/>
          <w:lang w:eastAsia="en-GB"/>
        </w:rPr>
        <w:t>(repeated for each selected specific objective)</w:t>
      </w:r>
    </w:p>
    <w:p w14:paraId="44056F8A" w14:textId="77777777" w:rsidR="00D9394F" w:rsidRDefault="00A10ECC" w:rsidP="007A7F73">
      <w:pPr>
        <w:pBdr>
          <w:top w:val="single" w:sz="4" w:space="1" w:color="auto"/>
          <w:left w:val="single" w:sz="4" w:space="4" w:color="auto"/>
          <w:bottom w:val="single" w:sz="4" w:space="1" w:color="auto"/>
          <w:right w:val="single" w:sz="4" w:space="12" w:color="auto"/>
        </w:pBdr>
        <w:spacing w:after="200" w:line="276" w:lineRule="auto"/>
        <w:jc w:val="both"/>
        <w:rPr>
          <w:rFonts w:ascii="Times New Roman" w:eastAsia="Times New Roman" w:hAnsi="Times New Roman" w:cs="Times New Roman"/>
          <w:i/>
          <w:iCs/>
          <w:noProof/>
          <w:lang w:eastAsia="en-GB"/>
        </w:rPr>
      </w:pPr>
      <w:r w:rsidRPr="00A10ECC">
        <w:rPr>
          <w:rFonts w:ascii="Times New Roman" w:eastAsia="Times New Roman" w:hAnsi="Times New Roman" w:cs="Times New Roman"/>
          <w:bCs/>
          <w:i/>
          <w:iCs/>
          <w:noProof/>
          <w:lang w:eastAsia="en-GB"/>
        </w:rPr>
        <w:t>Text field: [300]</w:t>
      </w:r>
      <w:r w:rsidR="00DF7695" w:rsidRPr="00DF7695">
        <w:rPr>
          <w:rFonts w:ascii="Times New Roman" w:eastAsia="Times New Roman" w:hAnsi="Times New Roman" w:cs="Times New Roman"/>
          <w:i/>
          <w:iCs/>
          <w:noProof/>
          <w:lang w:eastAsia="en-GB"/>
        </w:rPr>
        <w:t xml:space="preserve"> </w:t>
      </w:r>
    </w:p>
    <w:p w14:paraId="1F94EC0F" w14:textId="77777777" w:rsidR="00A10ECC" w:rsidRPr="00A10ECC" w:rsidRDefault="00DF7695" w:rsidP="007A7F73">
      <w:pPr>
        <w:pBdr>
          <w:top w:val="single" w:sz="4" w:space="1" w:color="auto"/>
          <w:left w:val="single" w:sz="4" w:space="4" w:color="auto"/>
          <w:bottom w:val="single" w:sz="4" w:space="1" w:color="auto"/>
          <w:right w:val="single" w:sz="4" w:space="12" w:color="auto"/>
        </w:pBdr>
        <w:spacing w:after="200" w:line="276" w:lineRule="auto"/>
        <w:jc w:val="both"/>
        <w:rPr>
          <w:rFonts w:ascii="Times New Roman" w:eastAsia="Times New Roman" w:hAnsi="Times New Roman" w:cs="Times New Roman"/>
          <w:bCs/>
          <w:i/>
          <w:iCs/>
          <w:noProof/>
          <w:lang w:eastAsia="en-GB"/>
        </w:rPr>
      </w:pPr>
      <w:r>
        <w:rPr>
          <w:rFonts w:ascii="Times New Roman" w:eastAsia="Times New Roman" w:hAnsi="Times New Roman" w:cs="Times New Roman"/>
          <w:i/>
          <w:iCs/>
          <w:noProof/>
          <w:lang w:eastAsia="en-GB"/>
        </w:rPr>
        <w:t>1.1.</w:t>
      </w:r>
      <w:r w:rsidRPr="00DF7695">
        <w:rPr>
          <w:rFonts w:ascii="Times New Roman" w:eastAsia="Times New Roman" w:hAnsi="Times New Roman" w:cs="Times New Roman"/>
          <w:i/>
          <w:iCs/>
          <w:noProof/>
          <w:lang w:eastAsia="en-GB"/>
        </w:rPr>
        <w:t>Enhancing protection and preservation of nature, biodiversity, and green infrastructure, including in urban areas, and reducing all forms of pollution</w:t>
      </w:r>
    </w:p>
    <w:p w14:paraId="2F30B6A5" w14:textId="77777777" w:rsidR="00A10ECC" w:rsidRPr="00A10ECC" w:rsidRDefault="00A10ECC" w:rsidP="00A10ECC">
      <w:pPr>
        <w:spacing w:after="200" w:line="276" w:lineRule="auto"/>
        <w:jc w:val="both"/>
        <w:rPr>
          <w:rFonts w:ascii="Times New Roman" w:eastAsia="Times New Roman" w:hAnsi="Times New Roman" w:cs="Times New Roman"/>
          <w:b/>
          <w:i/>
          <w:noProof/>
          <w:color w:val="000000"/>
          <w:sz w:val="24"/>
          <w:szCs w:val="24"/>
          <w:u w:val="single"/>
          <w:lang w:eastAsia="en-GB"/>
        </w:rPr>
      </w:pPr>
    </w:p>
    <w:p w14:paraId="7ADB9E72" w14:textId="77777777" w:rsidR="00A10ECC" w:rsidRPr="00A10ECC" w:rsidRDefault="00A10ECC" w:rsidP="00A10ECC">
      <w:pPr>
        <w:spacing w:after="200" w:line="276" w:lineRule="auto"/>
        <w:jc w:val="both"/>
        <w:rPr>
          <w:rFonts w:ascii="Times New Roman" w:eastAsia="Times New Roman" w:hAnsi="Times New Roman" w:cs="Times New Roman"/>
          <w:i/>
          <w:noProof/>
          <w:color w:val="000000"/>
          <w:sz w:val="24"/>
          <w:szCs w:val="24"/>
          <w:lang w:eastAsia="en-GB"/>
        </w:rPr>
      </w:pPr>
      <w:r w:rsidRPr="00A10ECC">
        <w:rPr>
          <w:rFonts w:ascii="Times New Roman" w:eastAsia="Times New Roman" w:hAnsi="Times New Roman" w:cs="Times New Roman"/>
          <w:i/>
          <w:noProof/>
          <w:color w:val="000000"/>
          <w:sz w:val="24"/>
          <w:szCs w:val="24"/>
          <w:lang w:eastAsia="en-GB"/>
        </w:rPr>
        <w:t>Reference: point (e) of Article 17(3)</w:t>
      </w:r>
    </w:p>
    <w:p w14:paraId="565A78B1" w14:textId="77777777" w:rsidR="00A10ECC" w:rsidRPr="00A10ECC" w:rsidRDefault="00A10ECC" w:rsidP="00A10ECC">
      <w:pPr>
        <w:spacing w:before="240" w:after="240" w:line="240" w:lineRule="auto"/>
        <w:ind w:left="709" w:hanging="709"/>
        <w:rPr>
          <w:rFonts w:ascii="Times New Roman" w:eastAsia="Times New Roman" w:hAnsi="Times New Roman" w:cs="Times New Roman"/>
          <w:iCs/>
          <w:noProof/>
          <w:sz w:val="24"/>
          <w:szCs w:val="24"/>
          <w:lang w:eastAsia="en-GB"/>
        </w:rPr>
      </w:pPr>
      <w:r w:rsidRPr="00A10ECC">
        <w:rPr>
          <w:rFonts w:ascii="Times New Roman" w:eastAsia="Times New Roman" w:hAnsi="Times New Roman" w:cs="Times New Roman"/>
          <w:b/>
          <w:iCs/>
          <w:noProof/>
          <w:sz w:val="24"/>
          <w:szCs w:val="24"/>
          <w:lang w:eastAsia="en-GB"/>
        </w:rPr>
        <w:t>2.1.2. Related types of action, and their expected contribution to those specific objectives and to macro-regional strategies and sea-basis strategies, where appropriate</w:t>
      </w:r>
    </w:p>
    <w:p w14:paraId="67D5131D" w14:textId="77777777" w:rsidR="00A10ECC" w:rsidRPr="00A10ECC" w:rsidRDefault="00A10ECC" w:rsidP="00A10ECC">
      <w:pPr>
        <w:spacing w:after="200" w:line="276" w:lineRule="auto"/>
        <w:jc w:val="both"/>
        <w:rPr>
          <w:rFonts w:ascii="Times New Roman" w:eastAsia="Times New Roman" w:hAnsi="Times New Roman" w:cs="Times New Roman"/>
          <w:i/>
          <w:noProof/>
          <w:color w:val="000000"/>
          <w:sz w:val="24"/>
          <w:szCs w:val="24"/>
          <w:lang w:val="en-US" w:eastAsia="en-GB"/>
        </w:rPr>
      </w:pPr>
      <w:r w:rsidRPr="00A10ECC">
        <w:rPr>
          <w:rFonts w:ascii="Times New Roman" w:eastAsia="Times New Roman" w:hAnsi="Times New Roman" w:cs="Times New Roman"/>
          <w:i/>
          <w:noProof/>
          <w:color w:val="000000"/>
          <w:sz w:val="24"/>
          <w:szCs w:val="24"/>
          <w:lang w:val="en-US" w:eastAsia="en-GB"/>
        </w:rPr>
        <w:t>Reference: point (e)(i) of Article 17(3), point (c)(ii) of Article 17(9)</w:t>
      </w:r>
    </w:p>
    <w:p w14:paraId="744B2031" w14:textId="77777777" w:rsidR="00F02273" w:rsidRDefault="00F02273" w:rsidP="001F57D0">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b/>
          <w:i/>
          <w:iCs/>
          <w:noProof/>
          <w:lang w:eastAsia="en-GB"/>
        </w:rPr>
      </w:pPr>
      <w:r w:rsidRPr="0066363A">
        <w:rPr>
          <w:rFonts w:ascii="Times New Roman" w:eastAsia="Times New Roman" w:hAnsi="Times New Roman" w:cs="Times New Roman"/>
          <w:i/>
          <w:iCs/>
          <w:noProof/>
          <w:lang w:eastAsia="en-GB"/>
        </w:rPr>
        <w:t>Priority 1</w:t>
      </w:r>
      <w:r w:rsidR="00B5654E">
        <w:rPr>
          <w:rFonts w:ascii="Times New Roman" w:eastAsia="Times New Roman" w:hAnsi="Times New Roman" w:cs="Times New Roman"/>
          <w:i/>
          <w:iCs/>
          <w:noProof/>
          <w:lang w:eastAsia="en-GB"/>
        </w:rPr>
        <w:t xml:space="preserve"> </w:t>
      </w:r>
      <w:r w:rsidRPr="0066363A">
        <w:rPr>
          <w:rFonts w:ascii="Times New Roman" w:eastAsia="Times New Roman" w:hAnsi="Times New Roman" w:cs="Times New Roman"/>
          <w:i/>
          <w:iCs/>
          <w:noProof/>
          <w:lang w:eastAsia="en-GB"/>
        </w:rPr>
        <w:t xml:space="preserve">Greener border region under PO 2 “A greener, low-carbon Europe by promoting clean and fair energy transition, green and blue investment, the circular economy, climate adaptation and risk prevention </w:t>
      </w:r>
      <w:r w:rsidR="00E74B5A">
        <w:rPr>
          <w:rFonts w:ascii="Times New Roman" w:eastAsia="Times New Roman" w:hAnsi="Times New Roman" w:cs="Times New Roman"/>
          <w:i/>
          <w:iCs/>
          <w:noProof/>
          <w:lang w:eastAsia="en-GB"/>
        </w:rPr>
        <w:t xml:space="preserve">and management” had been chosen </w:t>
      </w:r>
      <w:r w:rsidR="00E74B5A">
        <w:rPr>
          <w:rFonts w:ascii="Times New Roman" w:eastAsia="Times New Roman" w:hAnsi="Times New Roman" w:cs="Times New Roman"/>
          <w:i/>
          <w:iCs/>
          <w:noProof/>
          <w:lang w:val="en-US" w:eastAsia="en-GB"/>
        </w:rPr>
        <w:t>because</w:t>
      </w:r>
      <w:r w:rsidRPr="0066363A">
        <w:rPr>
          <w:rFonts w:ascii="Times New Roman" w:eastAsia="Times New Roman" w:hAnsi="Times New Roman" w:cs="Times New Roman"/>
          <w:i/>
          <w:iCs/>
          <w:noProof/>
          <w:lang w:eastAsia="en-GB"/>
        </w:rPr>
        <w:t xml:space="preserve"> the exploitation of new forms of ecosystem-based services, </w:t>
      </w:r>
      <w:r w:rsidR="00631555">
        <w:rPr>
          <w:rFonts w:ascii="Times New Roman" w:eastAsia="Times New Roman" w:hAnsi="Times New Roman" w:cs="Times New Roman"/>
          <w:i/>
          <w:iCs/>
          <w:noProof/>
          <w:lang w:eastAsia="en-GB"/>
        </w:rPr>
        <w:t xml:space="preserve">that </w:t>
      </w:r>
      <w:r w:rsidR="0020788B">
        <w:rPr>
          <w:rFonts w:ascii="Times New Roman" w:eastAsia="Times New Roman" w:hAnsi="Times New Roman" w:cs="Times New Roman"/>
          <w:i/>
          <w:iCs/>
          <w:noProof/>
          <w:lang w:eastAsia="en-GB"/>
        </w:rPr>
        <w:t>are based on</w:t>
      </w:r>
      <w:r w:rsidRPr="0066363A">
        <w:rPr>
          <w:rFonts w:ascii="Times New Roman" w:eastAsia="Times New Roman" w:hAnsi="Times New Roman" w:cs="Times New Roman"/>
          <w:i/>
          <w:iCs/>
          <w:noProof/>
          <w:lang w:eastAsia="en-GB"/>
        </w:rPr>
        <w:t xml:space="preserve"> the large variety of greening measures, would contribute to the maintenance of healthy green, physical and living environment, and moreover would generate non-material benefits for people, including aesthetic qualities a</w:t>
      </w:r>
      <w:r w:rsidR="00CE2421">
        <w:rPr>
          <w:rFonts w:ascii="Times New Roman" w:eastAsia="Times New Roman" w:hAnsi="Times New Roman" w:cs="Times New Roman"/>
          <w:i/>
          <w:iCs/>
          <w:noProof/>
          <w:lang w:eastAsia="en-GB"/>
        </w:rPr>
        <w:t>nd recreational experiences.</w:t>
      </w:r>
    </w:p>
    <w:p w14:paraId="011EDDC8" w14:textId="77777777" w:rsidR="001F57D0" w:rsidRDefault="001F57D0" w:rsidP="00DF769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lang w:eastAsia="en-GB"/>
        </w:rPr>
      </w:pPr>
      <w:r w:rsidRPr="001F57D0">
        <w:rPr>
          <w:rFonts w:ascii="Times New Roman" w:eastAsia="Times New Roman" w:hAnsi="Times New Roman" w:cs="Times New Roman"/>
          <w:i/>
          <w:iCs/>
          <w:noProof/>
          <w:lang w:eastAsia="en-GB"/>
        </w:rPr>
        <w:t>The link between biodiversity and the provision of ecosystem services has not yet been built in the CBC area, despite the large amount of natural areas that enjoy various national and international protection statuses. The Territorial Analysis</w:t>
      </w:r>
      <w:r w:rsidR="000B24E1">
        <w:rPr>
          <w:rFonts w:ascii="Times New Roman" w:eastAsia="Times New Roman" w:hAnsi="Times New Roman" w:cs="Times New Roman"/>
          <w:i/>
          <w:iCs/>
          <w:noProof/>
          <w:lang w:eastAsia="en-GB"/>
        </w:rPr>
        <w:t xml:space="preserve"> of the programme</w:t>
      </w:r>
      <w:r w:rsidRPr="001F57D0">
        <w:rPr>
          <w:rFonts w:ascii="Times New Roman" w:eastAsia="Times New Roman" w:hAnsi="Times New Roman" w:cs="Times New Roman"/>
          <w:i/>
          <w:iCs/>
          <w:noProof/>
          <w:lang w:eastAsia="en-GB"/>
        </w:rPr>
        <w:t xml:space="preserve"> outlines the pollution of rivers, floods, landslides and fires as the biggest environmental problems of the border region. There are highly polluted river sections particularly within the catchment area of the Struma, Bregalnitza, Strumica and part of the Vardar river resulting mainly from the direct flow of waste waters from industry (and mine sites) and households, mine deposits and the use of pesticides and fertilizers in agriculture. According to the EU 2030 biodiversity strategy, ecosystems and their services can be maintained and enhanced by establishing Green Infrastructure (GI) and r</w:t>
      </w:r>
      <w:r w:rsidR="00555DDA">
        <w:rPr>
          <w:rFonts w:ascii="Times New Roman" w:eastAsia="Times New Roman" w:hAnsi="Times New Roman" w:cs="Times New Roman"/>
          <w:i/>
          <w:iCs/>
          <w:noProof/>
          <w:lang w:eastAsia="en-GB"/>
        </w:rPr>
        <w:t>estoring degraded ecosys</w:t>
      </w:r>
      <w:r w:rsidR="000B24E1">
        <w:rPr>
          <w:rFonts w:ascii="Times New Roman" w:eastAsia="Times New Roman" w:hAnsi="Times New Roman" w:cs="Times New Roman"/>
          <w:i/>
          <w:iCs/>
          <w:noProof/>
          <w:lang w:eastAsia="en-GB"/>
        </w:rPr>
        <w:t>tems. GI</w:t>
      </w:r>
      <w:r w:rsidRPr="001F57D0">
        <w:rPr>
          <w:rFonts w:ascii="Times New Roman" w:eastAsia="Times New Roman" w:hAnsi="Times New Roman" w:cs="Times New Roman"/>
          <w:i/>
          <w:iCs/>
          <w:noProof/>
          <w:lang w:eastAsia="en-GB"/>
        </w:rPr>
        <w:t xml:space="preserve"> is a strategically planned network of natural and semi-natural areas that are aimed at providing large scope of ecosystem services with a positive impact on all environmental components. As highlighted in the EU Green Infrastructure Strategy, investments in GI have significant potential to strengthen regional and urban development, including by maintaining or creating jobs. The development of ecosystem-based services in the CBC area would enhance the greening practices benefiting from the existing potential of the border region in and building on the well preserved nature and landscape, rich biodiversity, large number of protected areas and landscapes, taken environmental protection and risk prevention and mitigation measures.</w:t>
      </w:r>
      <w:r w:rsidR="00C04741">
        <w:rPr>
          <w:rFonts w:ascii="Times New Roman" w:eastAsia="Times New Roman" w:hAnsi="Times New Roman" w:cs="Times New Roman"/>
          <w:i/>
          <w:iCs/>
          <w:noProof/>
          <w:lang w:eastAsia="en-GB"/>
        </w:rPr>
        <w:t xml:space="preserve"> </w:t>
      </w:r>
    </w:p>
    <w:p w14:paraId="182EFD60" w14:textId="77777777" w:rsidR="00DF7695" w:rsidRPr="0066363A" w:rsidRDefault="00DF7695" w:rsidP="00DF7695">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lang w:eastAsia="en-GB"/>
        </w:rPr>
      </w:pPr>
      <w:r w:rsidRPr="0066363A">
        <w:rPr>
          <w:rFonts w:ascii="Times New Roman" w:eastAsia="Times New Roman" w:hAnsi="Times New Roman" w:cs="Times New Roman"/>
          <w:i/>
          <w:iCs/>
          <w:noProof/>
          <w:lang w:eastAsia="en-GB"/>
        </w:rPr>
        <w:lastRenderedPageBreak/>
        <w:t xml:space="preserve">Investments in the fields of environmental protection and risk management are based on the needs of the programme area, such as: underperforming environmental infrastructure, environmental risks, </w:t>
      </w:r>
      <w:r w:rsidR="0001111A" w:rsidRPr="0001111A">
        <w:rPr>
          <w:rFonts w:ascii="Times New Roman" w:eastAsia="Times New Roman" w:hAnsi="Times New Roman" w:cs="Times New Roman"/>
          <w:i/>
          <w:iCs/>
          <w:noProof/>
          <w:lang w:eastAsia="en-GB"/>
        </w:rPr>
        <w:t>insufficient</w:t>
      </w:r>
      <w:r w:rsidR="0001111A">
        <w:rPr>
          <w:rFonts w:ascii="Times New Roman" w:eastAsia="Times New Roman" w:hAnsi="Times New Roman" w:cs="Times New Roman"/>
          <w:i/>
          <w:iCs/>
          <w:noProof/>
          <w:lang w:val="bg-BG" w:eastAsia="en-GB"/>
        </w:rPr>
        <w:t xml:space="preserve"> </w:t>
      </w:r>
      <w:r w:rsidRPr="0066363A">
        <w:rPr>
          <w:rFonts w:ascii="Times New Roman" w:eastAsia="Times New Roman" w:hAnsi="Times New Roman" w:cs="Times New Roman"/>
          <w:i/>
          <w:iCs/>
          <w:noProof/>
          <w:lang w:eastAsia="en-GB"/>
        </w:rPr>
        <w:t>awareness of the population on environmental threats and lack of knowledge about environmental friendly solutions, etc.</w:t>
      </w:r>
      <w:r w:rsidR="000B24E1">
        <w:rPr>
          <w:rFonts w:ascii="Times New Roman" w:eastAsia="Times New Roman" w:hAnsi="Times New Roman" w:cs="Times New Roman"/>
          <w:i/>
          <w:iCs/>
          <w:noProof/>
          <w:lang w:eastAsia="en-GB"/>
        </w:rPr>
        <w:t xml:space="preserve"> </w:t>
      </w:r>
      <w:r w:rsidRPr="0066363A">
        <w:rPr>
          <w:rFonts w:ascii="Times New Roman" w:eastAsia="Times New Roman" w:hAnsi="Times New Roman" w:cs="Times New Roman"/>
          <w:i/>
          <w:iCs/>
          <w:noProof/>
          <w:lang w:eastAsia="en-GB"/>
        </w:rPr>
        <w:t>Building on the already existing potential of the border area, namely: well preserved nature and landscape, rich biodiversity, large number of protected areas and landscapes, investments in environmental protection and risk prevention and mitigation are an absolute pre-requisite for creating better living conditions for the people in the border area and a sustainable economic development. The proposed interventions are meant to alleviate the risks regarding loss of ecosystems, endangered biodiversity due to further pollution, strong climate changes. Moreover, implementation of measures dedicated to reduction of pollution and protection of the biodiversity will improve the protection of nature for the benefit of people and of the economy.</w:t>
      </w:r>
      <w:r w:rsidR="00B92EC8" w:rsidRPr="00B92EC8">
        <w:rPr>
          <w:rFonts w:ascii="Times New Roman" w:eastAsia="Times New Roman" w:hAnsi="Times New Roman" w:cs="Times New Roman"/>
          <w:i/>
          <w:iCs/>
          <w:noProof/>
          <w:lang w:eastAsia="en-GB"/>
        </w:rPr>
        <w:t xml:space="preserve"> </w:t>
      </w:r>
      <w:r w:rsidR="00B92EC8" w:rsidRPr="00C04741">
        <w:rPr>
          <w:rFonts w:ascii="Times New Roman" w:eastAsia="Times New Roman" w:hAnsi="Times New Roman" w:cs="Times New Roman"/>
          <w:i/>
          <w:iCs/>
          <w:noProof/>
          <w:lang w:eastAsia="en-GB"/>
        </w:rPr>
        <w:t>The CB cooperation in that policy area is expected to unlock ecosystem-based solution potential justified by the presence of a rich biological diversity as well as by the vast opportunities to build on bio-related achievements of the two previous programming periods.</w:t>
      </w:r>
      <w:r w:rsidR="00B92EC8">
        <w:rPr>
          <w:rFonts w:ascii="Times New Roman" w:eastAsia="Times New Roman" w:hAnsi="Times New Roman" w:cs="Times New Roman"/>
          <w:i/>
          <w:iCs/>
          <w:noProof/>
          <w:lang w:eastAsia="en-GB"/>
        </w:rPr>
        <w:t xml:space="preserve"> </w:t>
      </w:r>
    </w:p>
    <w:p w14:paraId="5DBB1CCC" w14:textId="77777777" w:rsidR="00B92EC8" w:rsidRDefault="00DF7695" w:rsidP="00BA7B95">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val="bg-BG" w:eastAsia="en-GB"/>
        </w:rPr>
      </w:pPr>
      <w:r w:rsidRPr="0066363A">
        <w:rPr>
          <w:rFonts w:ascii="Times New Roman" w:eastAsia="Times New Roman" w:hAnsi="Times New Roman" w:cs="Times New Roman"/>
          <w:i/>
          <w:iCs/>
          <w:noProof/>
          <w:lang w:eastAsia="en-GB"/>
        </w:rPr>
        <w:t>The concept of “green infrastructure” is a relatively new one and special attention will be paid to promoting it and to developing pilot solutions that can be replicated later on.</w:t>
      </w:r>
      <w:r w:rsidR="00FB0837">
        <w:rPr>
          <w:rFonts w:ascii="Times New Roman" w:eastAsia="Times New Roman" w:hAnsi="Times New Roman" w:cs="Times New Roman"/>
          <w:i/>
          <w:iCs/>
          <w:noProof/>
          <w:lang w:val="bg-BG" w:eastAsia="en-GB"/>
        </w:rPr>
        <w:t xml:space="preserve"> </w:t>
      </w:r>
      <w:r w:rsidR="00B92EC8">
        <w:rPr>
          <w:rFonts w:ascii="Times New Roman" w:eastAsia="Times New Roman" w:hAnsi="Times New Roman" w:cs="Times New Roman"/>
          <w:i/>
          <w:iCs/>
          <w:noProof/>
          <w:lang w:val="en-US" w:eastAsia="en-GB"/>
        </w:rPr>
        <w:t>Therefore, t</w:t>
      </w:r>
      <w:r w:rsidR="00B92EC8" w:rsidRPr="00B92EC8">
        <w:rPr>
          <w:rFonts w:ascii="Times New Roman" w:eastAsia="Times New Roman" w:hAnsi="Times New Roman" w:cs="Times New Roman"/>
          <w:i/>
          <w:iCs/>
          <w:noProof/>
          <w:lang w:val="bg-BG" w:eastAsia="en-GB"/>
        </w:rPr>
        <w:t>he implementation of the specific objective will be based on the following approaches: integration (integration and coordination of urban green with other urban infrastructures in terms of physical and functional relations), multi-functionality (combine ecological, social and economic/abiotic, biotic and cultural functions of green spaces), and connectivity (physical and functional connections between green spaces at different scales and from different perspectives).</w:t>
      </w:r>
    </w:p>
    <w:p w14:paraId="6E4CAA0B" w14:textId="77777777" w:rsidR="00B92EC8" w:rsidRDefault="00B92EC8" w:rsidP="00BA7B95">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val="bg-BG" w:eastAsia="en-GB"/>
        </w:rPr>
      </w:pPr>
    </w:p>
    <w:p w14:paraId="0E2447C2" w14:textId="77777777" w:rsidR="00DF7695" w:rsidRPr="0066363A" w:rsidRDefault="00DF7695" w:rsidP="00BA7B95">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sidRPr="0066363A">
        <w:rPr>
          <w:rFonts w:ascii="Times New Roman" w:eastAsia="Times New Roman" w:hAnsi="Times New Roman" w:cs="Times New Roman"/>
          <w:i/>
          <w:iCs/>
          <w:noProof/>
          <w:lang w:eastAsia="en-GB"/>
        </w:rPr>
        <w:t>The</w:t>
      </w:r>
      <w:r w:rsidR="00E664F6">
        <w:rPr>
          <w:rFonts w:ascii="Times New Roman" w:eastAsia="Times New Roman" w:hAnsi="Times New Roman" w:cs="Times New Roman"/>
          <w:i/>
          <w:iCs/>
          <w:noProof/>
          <w:lang w:eastAsia="en-GB"/>
        </w:rPr>
        <w:t xml:space="preserve"> non-exahaustive list of</w:t>
      </w:r>
      <w:r w:rsidRPr="0066363A">
        <w:rPr>
          <w:rFonts w:ascii="Times New Roman" w:eastAsia="Times New Roman" w:hAnsi="Times New Roman" w:cs="Times New Roman"/>
          <w:i/>
          <w:iCs/>
          <w:noProof/>
          <w:lang w:eastAsia="en-GB"/>
        </w:rPr>
        <w:t xml:space="preserve"> actions to be supported</w:t>
      </w:r>
      <w:r w:rsidR="00E664F6">
        <w:rPr>
          <w:rFonts w:ascii="Times New Roman" w:eastAsia="Times New Roman" w:hAnsi="Times New Roman" w:cs="Times New Roman"/>
          <w:i/>
          <w:iCs/>
          <w:noProof/>
          <w:lang w:eastAsia="en-GB"/>
        </w:rPr>
        <w:t xml:space="preserve"> under Priority 1</w:t>
      </w:r>
      <w:r w:rsidRPr="0066363A">
        <w:rPr>
          <w:rFonts w:ascii="Times New Roman" w:eastAsia="Times New Roman" w:hAnsi="Times New Roman" w:cs="Times New Roman"/>
          <w:i/>
          <w:iCs/>
          <w:noProof/>
          <w:lang w:eastAsia="en-GB"/>
        </w:rPr>
        <w:t xml:space="preserve"> </w:t>
      </w:r>
      <w:r w:rsidR="00E664F6">
        <w:rPr>
          <w:rFonts w:ascii="Times New Roman" w:eastAsia="Times New Roman" w:hAnsi="Times New Roman" w:cs="Times New Roman"/>
          <w:i/>
          <w:iCs/>
          <w:noProof/>
          <w:lang w:eastAsia="en-GB"/>
        </w:rPr>
        <w:t>is</w:t>
      </w:r>
      <w:r w:rsidRPr="0066363A">
        <w:rPr>
          <w:rFonts w:ascii="Times New Roman" w:eastAsia="Times New Roman" w:hAnsi="Times New Roman" w:cs="Times New Roman"/>
          <w:i/>
          <w:iCs/>
          <w:noProof/>
          <w:lang w:eastAsia="en-GB"/>
        </w:rPr>
        <w:t xml:space="preserve"> based on the EU typology of GI</w:t>
      </w:r>
      <w:r w:rsidRPr="0066363A">
        <w:rPr>
          <w:rFonts w:ascii="Times New Roman" w:eastAsia="Times New Roman" w:hAnsi="Times New Roman" w:cs="Times New Roman"/>
          <w:i/>
          <w:iCs/>
          <w:noProof/>
          <w:vertAlign w:val="superscript"/>
          <w:lang w:eastAsia="en-GB"/>
        </w:rPr>
        <w:footnoteReference w:id="9"/>
      </w:r>
      <w:r w:rsidR="00E664F6">
        <w:rPr>
          <w:rFonts w:ascii="Times New Roman" w:eastAsia="Times New Roman" w:hAnsi="Times New Roman" w:cs="Times New Roman"/>
          <w:i/>
          <w:iCs/>
          <w:noProof/>
          <w:lang w:eastAsia="en-GB"/>
        </w:rPr>
        <w:t xml:space="preserve"> </w:t>
      </w:r>
      <w:r w:rsidRPr="0066363A">
        <w:rPr>
          <w:rFonts w:ascii="Times New Roman" w:eastAsia="Times New Roman" w:hAnsi="Times New Roman" w:cs="Times New Roman"/>
          <w:i/>
          <w:iCs/>
          <w:noProof/>
          <w:lang w:eastAsia="en-GB"/>
        </w:rPr>
        <w:t>and can be presented in the following groups of investments:</w:t>
      </w:r>
    </w:p>
    <w:p w14:paraId="20E19659" w14:textId="77777777" w:rsidR="00DF7695" w:rsidRPr="0022756E" w:rsidRDefault="00DF7695" w:rsidP="00BA7B95">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sidRPr="0066363A">
        <w:rPr>
          <w:rFonts w:ascii="Times New Roman" w:eastAsia="Times New Roman" w:hAnsi="Times New Roman" w:cs="Times New Roman"/>
          <w:i/>
          <w:iCs/>
          <w:noProof/>
          <w:lang w:eastAsia="en-GB"/>
        </w:rPr>
        <w:t xml:space="preserve">- </w:t>
      </w:r>
      <w:r w:rsidRPr="00617C7C">
        <w:rPr>
          <w:rFonts w:ascii="Times New Roman" w:eastAsia="Times New Roman" w:hAnsi="Times New Roman" w:cs="Times New Roman"/>
          <w:b/>
          <w:i/>
          <w:iCs/>
          <w:noProof/>
          <w:lang w:eastAsia="en-GB"/>
        </w:rPr>
        <w:t>Investments in building greens</w:t>
      </w:r>
      <w:r w:rsidRPr="0022756E">
        <w:rPr>
          <w:rFonts w:ascii="Times New Roman" w:eastAsia="Times New Roman" w:hAnsi="Times New Roman" w:cs="Times New Roman"/>
          <w:i/>
          <w:iCs/>
          <w:noProof/>
          <w:lang w:eastAsia="en-GB"/>
        </w:rPr>
        <w:t xml:space="preserve"> (green balconies, green walls, green roofs, atrium</w:t>
      </w:r>
      <w:r w:rsidR="00FB0837">
        <w:rPr>
          <w:rFonts w:ascii="Times New Roman" w:eastAsia="Times New Roman" w:hAnsi="Times New Roman" w:cs="Times New Roman"/>
          <w:i/>
          <w:iCs/>
          <w:noProof/>
          <w:lang w:val="bg-BG" w:eastAsia="en-GB"/>
        </w:rPr>
        <w:t xml:space="preserve"> </w:t>
      </w:r>
      <w:r w:rsidR="00FB0837" w:rsidRPr="00FB0837">
        <w:rPr>
          <w:rFonts w:ascii="Times New Roman" w:eastAsia="Times New Roman" w:hAnsi="Times New Roman" w:cs="Times New Roman"/>
          <w:i/>
          <w:iCs/>
          <w:noProof/>
          <w:lang w:val="bg-BG" w:eastAsia="en-GB"/>
        </w:rPr>
        <w:t>spaces</w:t>
      </w:r>
      <w:r w:rsidRPr="0022756E">
        <w:rPr>
          <w:rFonts w:ascii="Times New Roman" w:eastAsia="Times New Roman" w:hAnsi="Times New Roman" w:cs="Times New Roman"/>
          <w:i/>
          <w:iCs/>
          <w:noProof/>
          <w:lang w:eastAsia="en-GB"/>
        </w:rPr>
        <w:t>, green pavements, green parking</w:t>
      </w:r>
      <w:r w:rsidR="00FB0837">
        <w:rPr>
          <w:rFonts w:ascii="Times New Roman" w:eastAsia="Times New Roman" w:hAnsi="Times New Roman" w:cs="Times New Roman"/>
          <w:i/>
          <w:iCs/>
          <w:noProof/>
          <w:lang w:eastAsia="en-GB"/>
        </w:rPr>
        <w:t>s</w:t>
      </w:r>
      <w:r w:rsidRPr="0022756E">
        <w:rPr>
          <w:rFonts w:ascii="Times New Roman" w:eastAsia="Times New Roman" w:hAnsi="Times New Roman" w:cs="Times New Roman"/>
          <w:i/>
          <w:iCs/>
          <w:noProof/>
          <w:lang w:eastAsia="en-GB"/>
        </w:rPr>
        <w:t>, green fences, noise barriers, etc.);</w:t>
      </w:r>
    </w:p>
    <w:p w14:paraId="0951A901" w14:textId="77777777" w:rsidR="00DF7695" w:rsidRPr="0022756E" w:rsidRDefault="00DF7695" w:rsidP="00BA7B95">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sidRPr="0022756E">
        <w:rPr>
          <w:rFonts w:ascii="Times New Roman" w:eastAsia="Times New Roman" w:hAnsi="Times New Roman" w:cs="Times New Roman"/>
          <w:i/>
          <w:iCs/>
          <w:noProof/>
          <w:lang w:eastAsia="en-GB"/>
        </w:rPr>
        <w:t xml:space="preserve">- </w:t>
      </w:r>
      <w:r w:rsidRPr="00617C7C">
        <w:rPr>
          <w:rFonts w:ascii="Times New Roman" w:eastAsia="Times New Roman" w:hAnsi="Times New Roman" w:cs="Times New Roman"/>
          <w:b/>
          <w:i/>
          <w:iCs/>
          <w:noProof/>
          <w:lang w:eastAsia="en-GB"/>
        </w:rPr>
        <w:t>Investments in developing urban and peri-urban green areas, including improving connections between green spaces</w:t>
      </w:r>
      <w:r w:rsidRPr="00BA7B95">
        <w:rPr>
          <w:rFonts w:ascii="Times New Roman" w:eastAsia="Times New Roman" w:hAnsi="Times New Roman" w:cs="Times New Roman"/>
          <w:b/>
          <w:i/>
          <w:iCs/>
          <w:noProof/>
          <w:lang w:eastAsia="en-GB"/>
        </w:rPr>
        <w:t xml:space="preserve"> </w:t>
      </w:r>
      <w:r w:rsidRPr="0022756E">
        <w:rPr>
          <w:rFonts w:ascii="Times New Roman" w:eastAsia="Times New Roman" w:hAnsi="Times New Roman" w:cs="Times New Roman"/>
          <w:i/>
          <w:iCs/>
          <w:noProof/>
          <w:lang w:eastAsia="en-GB"/>
        </w:rPr>
        <w:t>(tree alley and street tree/hedge, street green and green verge, green playground/school ground,</w:t>
      </w:r>
      <w:r w:rsidR="00FB0837" w:rsidRPr="00FB0837">
        <w:t xml:space="preserve"> </w:t>
      </w:r>
      <w:r w:rsidR="00FB0837" w:rsidRPr="00FB0837">
        <w:rPr>
          <w:rFonts w:ascii="Times New Roman" w:eastAsia="Times New Roman" w:hAnsi="Times New Roman" w:cs="Times New Roman"/>
          <w:i/>
          <w:iCs/>
          <w:noProof/>
          <w:lang w:eastAsia="en-GB"/>
        </w:rPr>
        <w:t>green and colored squares</w:t>
      </w:r>
      <w:r w:rsidR="00FB0837">
        <w:rPr>
          <w:rFonts w:ascii="Times New Roman" w:eastAsia="Times New Roman" w:hAnsi="Times New Roman" w:cs="Times New Roman"/>
          <w:i/>
          <w:iCs/>
          <w:noProof/>
          <w:lang w:val="bg-BG" w:eastAsia="en-GB"/>
        </w:rPr>
        <w:t>,</w:t>
      </w:r>
      <w:r w:rsidRPr="0022756E">
        <w:rPr>
          <w:rFonts w:ascii="Times New Roman" w:eastAsia="Times New Roman" w:hAnsi="Times New Roman" w:cs="Times New Roman"/>
          <w:i/>
          <w:iCs/>
          <w:noProof/>
          <w:lang w:eastAsia="en-GB"/>
        </w:rPr>
        <w:t xml:space="preserve"> riverbank greens);</w:t>
      </w:r>
    </w:p>
    <w:p w14:paraId="1CCD4895" w14:textId="77777777" w:rsidR="00DF7695" w:rsidRPr="0022756E" w:rsidRDefault="00DF7695" w:rsidP="00BA7B95">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sidRPr="0022756E">
        <w:rPr>
          <w:rFonts w:ascii="Times New Roman" w:eastAsia="Times New Roman" w:hAnsi="Times New Roman" w:cs="Times New Roman"/>
          <w:i/>
          <w:iCs/>
          <w:noProof/>
          <w:lang w:eastAsia="en-GB"/>
        </w:rPr>
        <w:t xml:space="preserve">- </w:t>
      </w:r>
      <w:r w:rsidRPr="00617C7C">
        <w:rPr>
          <w:rFonts w:ascii="Times New Roman" w:eastAsia="Times New Roman" w:hAnsi="Times New Roman" w:cs="Times New Roman"/>
          <w:b/>
          <w:i/>
          <w:iCs/>
          <w:noProof/>
          <w:lang w:eastAsia="en-GB"/>
        </w:rPr>
        <w:t>Investments in developing natural urban green areas</w:t>
      </w:r>
      <w:r w:rsidRPr="0022756E">
        <w:rPr>
          <w:rFonts w:ascii="Times New Roman" w:eastAsia="Times New Roman" w:hAnsi="Times New Roman" w:cs="Times New Roman"/>
          <w:i/>
          <w:iCs/>
          <w:noProof/>
          <w:lang w:eastAsia="en-GB"/>
        </w:rPr>
        <w:t xml:space="preserve"> (urban park, historical park/garden, pocket park/park let, neighbourhood green space, institutional green space, green sport facility, forest, shrubland, abandoned and derelict area with patches of wilderness);</w:t>
      </w:r>
    </w:p>
    <w:p w14:paraId="0A663EF8" w14:textId="77777777" w:rsidR="00DF7695" w:rsidRPr="00FB0837" w:rsidRDefault="00DF7695" w:rsidP="00BA7B95">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sidRPr="0022756E">
        <w:rPr>
          <w:rFonts w:ascii="Times New Roman" w:eastAsia="Times New Roman" w:hAnsi="Times New Roman" w:cs="Times New Roman"/>
          <w:i/>
          <w:iCs/>
          <w:noProof/>
          <w:lang w:eastAsia="en-GB"/>
        </w:rPr>
        <w:t xml:space="preserve">- </w:t>
      </w:r>
      <w:r w:rsidRPr="00617C7C">
        <w:rPr>
          <w:rFonts w:ascii="Times New Roman" w:eastAsia="Times New Roman" w:hAnsi="Times New Roman" w:cs="Times New Roman"/>
          <w:b/>
          <w:i/>
          <w:iCs/>
          <w:noProof/>
          <w:lang w:eastAsia="en-GB"/>
        </w:rPr>
        <w:t>Investments in developing green areas for water management</w:t>
      </w:r>
      <w:r w:rsidRPr="0022756E">
        <w:rPr>
          <w:rFonts w:ascii="Times New Roman" w:eastAsia="Times New Roman" w:hAnsi="Times New Roman" w:cs="Times New Roman"/>
          <w:i/>
          <w:iCs/>
          <w:noProof/>
          <w:lang w:eastAsia="en-GB"/>
        </w:rPr>
        <w:t xml:space="preserve"> (swales, creek restoration and nature scaping, rain gardens or sustainable urban drainage systems (SUDS), naturalized storm water pond, bio retention areas);</w:t>
      </w:r>
    </w:p>
    <w:p w14:paraId="0F8A6479" w14:textId="77777777" w:rsidR="00DF7695" w:rsidRDefault="00DF7695" w:rsidP="00BA7B95">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sidRPr="0066363A">
        <w:rPr>
          <w:rFonts w:ascii="Times New Roman" w:eastAsia="Times New Roman" w:hAnsi="Times New Roman" w:cs="Times New Roman"/>
          <w:i/>
          <w:iCs/>
          <w:noProof/>
          <w:lang w:eastAsia="en-GB"/>
        </w:rPr>
        <w:t xml:space="preserve">- </w:t>
      </w:r>
      <w:r w:rsidRPr="0020788B">
        <w:rPr>
          <w:rFonts w:ascii="Times New Roman" w:eastAsia="Times New Roman" w:hAnsi="Times New Roman" w:cs="Times New Roman"/>
          <w:b/>
          <w:i/>
          <w:iCs/>
          <w:noProof/>
          <w:lang w:eastAsia="en-GB"/>
        </w:rPr>
        <w:t>Support for joint strategies and action plans</w:t>
      </w:r>
      <w:r w:rsidRPr="0066363A">
        <w:rPr>
          <w:rFonts w:ascii="Times New Roman" w:eastAsia="Times New Roman" w:hAnsi="Times New Roman" w:cs="Times New Roman"/>
          <w:i/>
          <w:iCs/>
          <w:noProof/>
          <w:lang w:eastAsia="en-GB"/>
        </w:rPr>
        <w:t xml:space="preserve"> for developing new tools, instruments, as well as transferring solutions between relevant stakeholders;</w:t>
      </w:r>
    </w:p>
    <w:p w14:paraId="4B3D2829" w14:textId="77777777" w:rsidR="006F3600" w:rsidRDefault="006F3600" w:rsidP="00BA7B95">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p>
    <w:p w14:paraId="043A7B33" w14:textId="77777777" w:rsidR="006F3600" w:rsidRDefault="00B92EC8" w:rsidP="00BA7B95">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sidRPr="00B92EC8">
        <w:rPr>
          <w:rFonts w:ascii="Times New Roman" w:eastAsia="Times New Roman" w:hAnsi="Times New Roman" w:cs="Times New Roman"/>
          <w:i/>
          <w:iCs/>
          <w:noProof/>
          <w:lang w:eastAsia="en-GB"/>
        </w:rPr>
        <w:t xml:space="preserve">For the purposes of implementation of Priority 1 the </w:t>
      </w:r>
      <w:r w:rsidR="00830B0B">
        <w:rPr>
          <w:rFonts w:ascii="Times New Roman" w:eastAsia="Times New Roman" w:hAnsi="Times New Roman" w:cs="Times New Roman"/>
          <w:i/>
          <w:iCs/>
          <w:noProof/>
          <w:lang w:val="en-US" w:eastAsia="en-GB"/>
        </w:rPr>
        <w:t>Programme</w:t>
      </w:r>
      <w:r w:rsidR="00830B0B" w:rsidRPr="00B92EC8">
        <w:rPr>
          <w:rFonts w:ascii="Times New Roman" w:eastAsia="Times New Roman" w:hAnsi="Times New Roman" w:cs="Times New Roman"/>
          <w:i/>
          <w:iCs/>
          <w:noProof/>
          <w:lang w:eastAsia="en-GB"/>
        </w:rPr>
        <w:t xml:space="preserve"> </w:t>
      </w:r>
      <w:r w:rsidRPr="00B92EC8">
        <w:rPr>
          <w:rFonts w:ascii="Times New Roman" w:eastAsia="Times New Roman" w:hAnsi="Times New Roman" w:cs="Times New Roman"/>
          <w:i/>
          <w:iCs/>
          <w:noProof/>
          <w:lang w:eastAsia="en-GB"/>
        </w:rPr>
        <w:t>will seek to apply instruments that would correspond to the limited budget and the objectives set, such as Small Project fund or other simplified options.</w:t>
      </w:r>
      <w:r>
        <w:rPr>
          <w:rFonts w:ascii="Times New Roman" w:eastAsia="Times New Roman" w:hAnsi="Times New Roman" w:cs="Times New Roman"/>
          <w:i/>
          <w:iCs/>
          <w:noProof/>
          <w:lang w:eastAsia="en-GB"/>
        </w:rPr>
        <w:t xml:space="preserve"> </w:t>
      </w:r>
    </w:p>
    <w:p w14:paraId="5294FFE2" w14:textId="77777777" w:rsidR="0047205C" w:rsidRDefault="0047205C" w:rsidP="00BA7B95">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p>
    <w:p w14:paraId="39296F52" w14:textId="77777777" w:rsidR="00E664F6" w:rsidRPr="00134940" w:rsidRDefault="00775455" w:rsidP="00134940">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Cs/>
          <w:noProof/>
          <w:lang w:eastAsia="en-GB"/>
        </w:rPr>
      </w:pPr>
      <w:r w:rsidRPr="00134940">
        <w:rPr>
          <w:rFonts w:ascii="Times New Roman" w:eastAsia="Times New Roman" w:hAnsi="Times New Roman" w:cs="Times New Roman"/>
          <w:i/>
          <w:iCs/>
          <w:noProof/>
          <w:lang w:eastAsia="en-GB"/>
        </w:rPr>
        <w:t xml:space="preserve">The envisaged actions contribute to the achievement of the green targets of </w:t>
      </w:r>
      <w:r w:rsidR="00134940" w:rsidRPr="00134940">
        <w:rPr>
          <w:rFonts w:ascii="Times New Roman" w:eastAsia="Times New Roman" w:hAnsi="Times New Roman" w:cs="Times New Roman"/>
          <w:i/>
          <w:iCs/>
          <w:noProof/>
          <w:lang w:eastAsia="en-GB"/>
        </w:rPr>
        <w:t xml:space="preserve">the </w:t>
      </w:r>
      <w:r w:rsidRPr="00134940">
        <w:rPr>
          <w:rFonts w:ascii="Times New Roman" w:eastAsia="Times New Roman" w:hAnsi="Times New Roman" w:cs="Times New Roman"/>
          <w:i/>
          <w:iCs/>
          <w:noProof/>
          <w:lang w:eastAsia="en-GB"/>
        </w:rPr>
        <w:t xml:space="preserve">EUSDR </w:t>
      </w:r>
      <w:r w:rsidR="00134940" w:rsidRPr="00134940">
        <w:rPr>
          <w:rFonts w:ascii="Times New Roman" w:eastAsia="Times New Roman" w:hAnsi="Times New Roman" w:cs="Times New Roman"/>
          <w:i/>
          <w:iCs/>
          <w:noProof/>
          <w:lang w:eastAsia="en-GB"/>
        </w:rPr>
        <w:t xml:space="preserve">and the </w:t>
      </w:r>
      <w:r w:rsidRPr="00134940">
        <w:rPr>
          <w:rFonts w:ascii="Times New Roman" w:eastAsia="Times New Roman" w:hAnsi="Times New Roman" w:cs="Times New Roman"/>
          <w:i/>
          <w:iCs/>
          <w:noProof/>
          <w:lang w:eastAsia="en-GB"/>
        </w:rPr>
        <w:t>EUAIRS</w:t>
      </w:r>
      <w:r w:rsidR="00134940" w:rsidRPr="00134940">
        <w:rPr>
          <w:rFonts w:ascii="Times New Roman" w:eastAsia="Times New Roman" w:hAnsi="Times New Roman" w:cs="Times New Roman"/>
          <w:i/>
          <w:iCs/>
          <w:noProof/>
          <w:lang w:eastAsia="en-GB"/>
        </w:rPr>
        <w:t>, particularly under</w:t>
      </w:r>
      <w:r w:rsidRPr="00134940">
        <w:rPr>
          <w:rFonts w:ascii="Times New Roman" w:eastAsia="Times New Roman" w:hAnsi="Times New Roman" w:cs="Times New Roman"/>
          <w:i/>
          <w:iCs/>
          <w:noProof/>
          <w:lang w:eastAsia="en-GB"/>
        </w:rPr>
        <w:t xml:space="preserve"> </w:t>
      </w:r>
      <w:r w:rsidR="00E664F6" w:rsidRPr="00134940">
        <w:rPr>
          <w:rFonts w:ascii="Times New Roman" w:eastAsia="Times New Roman" w:hAnsi="Times New Roman" w:cs="Times New Roman"/>
          <w:i/>
          <w:iCs/>
          <w:noProof/>
          <w:lang w:eastAsia="en-GB"/>
        </w:rPr>
        <w:t xml:space="preserve">Priority Areas 5 “Environmental Risks”, 6 “Biodiversity, landscapes, quality of air and soils” </w:t>
      </w:r>
      <w:r w:rsidR="00134940" w:rsidRPr="00134940">
        <w:rPr>
          <w:rFonts w:ascii="Times New Roman" w:eastAsia="Times New Roman" w:hAnsi="Times New Roman" w:cs="Times New Roman"/>
          <w:i/>
          <w:iCs/>
          <w:noProof/>
          <w:lang w:eastAsia="en-GB"/>
        </w:rPr>
        <w:t>(</w:t>
      </w:r>
      <w:r w:rsidRPr="00134940">
        <w:rPr>
          <w:rFonts w:ascii="Times New Roman" w:eastAsia="Times New Roman" w:hAnsi="Times New Roman" w:cs="Times New Roman"/>
          <w:i/>
          <w:iCs/>
          <w:noProof/>
          <w:lang w:eastAsia="en-GB"/>
        </w:rPr>
        <w:t>EUSDR</w:t>
      </w:r>
      <w:r w:rsidR="00134940" w:rsidRPr="00134940">
        <w:rPr>
          <w:rFonts w:ascii="Times New Roman" w:eastAsia="Times New Roman" w:hAnsi="Times New Roman" w:cs="Times New Roman"/>
          <w:i/>
          <w:iCs/>
          <w:noProof/>
          <w:lang w:eastAsia="en-GB"/>
        </w:rPr>
        <w:t>)</w:t>
      </w:r>
      <w:r w:rsidR="00E664F6" w:rsidRPr="00134940">
        <w:rPr>
          <w:rFonts w:ascii="Times New Roman" w:eastAsia="Times New Roman" w:hAnsi="Times New Roman" w:cs="Times New Roman"/>
          <w:i/>
          <w:iCs/>
          <w:noProof/>
          <w:lang w:eastAsia="en-GB"/>
        </w:rPr>
        <w:t xml:space="preserve"> and Pillar 3 “Environmental Quality”</w:t>
      </w:r>
      <w:r w:rsidR="00134940" w:rsidRPr="00134940">
        <w:rPr>
          <w:rFonts w:ascii="Times New Roman" w:eastAsia="Times New Roman" w:hAnsi="Times New Roman" w:cs="Times New Roman"/>
          <w:i/>
          <w:iCs/>
          <w:noProof/>
          <w:lang w:eastAsia="en-GB"/>
        </w:rPr>
        <w:t xml:space="preserve"> (</w:t>
      </w:r>
      <w:r w:rsidR="00E664F6" w:rsidRPr="00134940">
        <w:rPr>
          <w:rFonts w:ascii="Times New Roman" w:eastAsia="Times New Roman" w:hAnsi="Times New Roman" w:cs="Times New Roman"/>
          <w:i/>
          <w:iCs/>
          <w:noProof/>
          <w:lang w:eastAsia="en-GB"/>
        </w:rPr>
        <w:t>EUAIRS</w:t>
      </w:r>
      <w:r w:rsidR="00134940" w:rsidRPr="00134940">
        <w:rPr>
          <w:rFonts w:ascii="Times New Roman" w:eastAsia="Times New Roman" w:hAnsi="Times New Roman" w:cs="Times New Roman"/>
          <w:i/>
          <w:iCs/>
          <w:noProof/>
          <w:lang w:eastAsia="en-GB"/>
        </w:rPr>
        <w:t>).</w:t>
      </w:r>
      <w:r w:rsidRPr="00134940">
        <w:rPr>
          <w:rFonts w:ascii="Times New Roman" w:eastAsia="Times New Roman" w:hAnsi="Times New Roman" w:cs="Times New Roman"/>
          <w:i/>
          <w:iCs/>
          <w:noProof/>
          <w:lang w:eastAsia="en-GB"/>
        </w:rPr>
        <w:t xml:space="preserve"> </w:t>
      </w:r>
    </w:p>
    <w:p w14:paraId="05A07E0D" w14:textId="77777777" w:rsidR="009A331F" w:rsidRDefault="009A331F" w:rsidP="008F38BF">
      <w:pPr>
        <w:spacing w:before="240" w:after="240" w:line="240" w:lineRule="auto"/>
        <w:rPr>
          <w:rFonts w:ascii="Times New Roman" w:eastAsia="Times New Roman" w:hAnsi="Times New Roman" w:cs="Times New Roman"/>
          <w:b/>
          <w:iCs/>
          <w:noProof/>
          <w:sz w:val="24"/>
          <w:szCs w:val="24"/>
          <w:lang w:eastAsia="en-GB"/>
        </w:rPr>
      </w:pPr>
    </w:p>
    <w:p w14:paraId="7910635B" w14:textId="77777777" w:rsidR="009A331F" w:rsidRPr="007A7F73" w:rsidRDefault="009A331F" w:rsidP="009A331F">
      <w:pPr>
        <w:spacing w:before="240" w:after="240" w:line="240" w:lineRule="auto"/>
        <w:ind w:left="709" w:hanging="709"/>
        <w:jc w:val="both"/>
        <w:rPr>
          <w:rFonts w:ascii="Times New Roman" w:hAnsi="Times New Roman"/>
          <w:b/>
          <w:sz w:val="24"/>
          <w:lang w:val="en-US"/>
        </w:rPr>
      </w:pPr>
      <w:r w:rsidRPr="00A10ECC">
        <w:rPr>
          <w:rFonts w:ascii="Times New Roman" w:eastAsia="Times New Roman" w:hAnsi="Times New Roman" w:cs="Times New Roman"/>
          <w:b/>
          <w:iCs/>
          <w:noProof/>
          <w:sz w:val="24"/>
          <w:szCs w:val="24"/>
          <w:lang w:eastAsia="en-GB"/>
        </w:rPr>
        <w:t>2.1.3.</w:t>
      </w:r>
      <w:r w:rsidRPr="00A10ECC">
        <w:rPr>
          <w:rFonts w:ascii="Times New Roman" w:eastAsia="Times New Roman" w:hAnsi="Times New Roman" w:cs="Times New Roman"/>
          <w:b/>
          <w:iCs/>
          <w:noProof/>
          <w:sz w:val="24"/>
          <w:szCs w:val="24"/>
          <w:lang w:eastAsia="en-GB"/>
        </w:rPr>
        <w:tab/>
        <w:t>Indicators</w:t>
      </w:r>
      <w:r>
        <w:rPr>
          <w:rFonts w:ascii="Times New Roman" w:eastAsia="Times New Roman" w:hAnsi="Times New Roman" w:cs="Times New Roman"/>
          <w:b/>
          <w:iCs/>
          <w:noProof/>
          <w:sz w:val="24"/>
          <w:szCs w:val="24"/>
          <w:lang w:eastAsia="en-GB"/>
        </w:rPr>
        <w:t xml:space="preserve"> </w:t>
      </w:r>
    </w:p>
    <w:p w14:paraId="04C08177" w14:textId="77777777" w:rsidR="009A331F" w:rsidRPr="00A10ECC" w:rsidRDefault="009A331F" w:rsidP="009A331F">
      <w:pPr>
        <w:spacing w:after="200" w:line="276" w:lineRule="auto"/>
        <w:jc w:val="both"/>
        <w:rPr>
          <w:rFonts w:ascii="Times New Roman" w:eastAsia="Times New Roman" w:hAnsi="Times New Roman" w:cs="Times New Roman"/>
          <w:i/>
          <w:noProof/>
          <w:color w:val="000000"/>
          <w:sz w:val="24"/>
          <w:szCs w:val="24"/>
          <w:lang w:eastAsia="en-GB"/>
        </w:rPr>
      </w:pPr>
      <w:r w:rsidRPr="00A10ECC">
        <w:rPr>
          <w:rFonts w:ascii="Times New Roman" w:eastAsia="Times New Roman" w:hAnsi="Times New Roman" w:cs="Times New Roman"/>
          <w:i/>
          <w:noProof/>
          <w:color w:val="000000"/>
          <w:sz w:val="24"/>
          <w:szCs w:val="24"/>
          <w:lang w:eastAsia="en-GB"/>
        </w:rPr>
        <w:lastRenderedPageBreak/>
        <w:t>Reference: point (e)(ii) of Article 17(3), Article point (c)(iii)17(9)</w:t>
      </w:r>
    </w:p>
    <w:p w14:paraId="683358D1" w14:textId="77777777" w:rsidR="009A331F" w:rsidRPr="007E41C5" w:rsidRDefault="009A331F" w:rsidP="009A331F">
      <w:pPr>
        <w:spacing w:before="240" w:after="240" w:line="240" w:lineRule="auto"/>
        <w:rPr>
          <w:rFonts w:ascii="Times New Roman" w:eastAsia="Times New Roman" w:hAnsi="Times New Roman" w:cs="Times New Roman"/>
          <w:iCs/>
          <w:noProof/>
          <w:sz w:val="24"/>
          <w:szCs w:val="24"/>
          <w:highlight w:val="yellow"/>
          <w:lang w:eastAsia="en-GB"/>
        </w:rPr>
      </w:pPr>
      <w:r w:rsidRPr="007E41C5">
        <w:rPr>
          <w:rFonts w:ascii="Times New Roman" w:eastAsia="Times New Roman" w:hAnsi="Times New Roman" w:cs="Times New Roman"/>
          <w:iCs/>
          <w:noProof/>
          <w:sz w:val="24"/>
          <w:szCs w:val="24"/>
          <w:highlight w:val="yellow"/>
          <w:lang w:eastAsia="en-GB"/>
        </w:rPr>
        <w:t>Table 2: Output indicators</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2133"/>
        <w:gridCol w:w="1386"/>
        <w:gridCol w:w="1732"/>
        <w:gridCol w:w="1734"/>
        <w:gridCol w:w="884"/>
        <w:gridCol w:w="1025"/>
      </w:tblGrid>
      <w:tr w:rsidR="009A331F" w:rsidRPr="007E41C5" w14:paraId="5CE9B91D" w14:textId="77777777" w:rsidTr="00583567">
        <w:trPr>
          <w:trHeight w:val="836"/>
        </w:trPr>
        <w:tc>
          <w:tcPr>
            <w:tcW w:w="451" w:type="pct"/>
          </w:tcPr>
          <w:p w14:paraId="14E338AC" w14:textId="77777777" w:rsidR="009A331F" w:rsidRPr="007E41C5" w:rsidRDefault="009A331F" w:rsidP="009A331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 xml:space="preserve">Priority </w:t>
            </w:r>
          </w:p>
        </w:tc>
        <w:tc>
          <w:tcPr>
            <w:tcW w:w="1091" w:type="pct"/>
          </w:tcPr>
          <w:p w14:paraId="6C01E3CA" w14:textId="77777777" w:rsidR="009A331F" w:rsidRPr="007E41C5" w:rsidRDefault="009A331F" w:rsidP="009A331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Specific objective</w:t>
            </w:r>
          </w:p>
        </w:tc>
        <w:tc>
          <w:tcPr>
            <w:tcW w:w="709" w:type="pct"/>
          </w:tcPr>
          <w:p w14:paraId="1F8CBD43" w14:textId="77777777" w:rsidR="009A331F" w:rsidRPr="007E41C5" w:rsidRDefault="009A331F" w:rsidP="009A331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ID</w:t>
            </w:r>
          </w:p>
          <w:p w14:paraId="754576FF" w14:textId="77777777" w:rsidR="009A331F" w:rsidRPr="007E41C5" w:rsidRDefault="009A331F" w:rsidP="009A331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[5]</w:t>
            </w:r>
          </w:p>
        </w:tc>
        <w:tc>
          <w:tcPr>
            <w:tcW w:w="886" w:type="pct"/>
            <w:shd w:val="clear" w:color="auto" w:fill="auto"/>
          </w:tcPr>
          <w:p w14:paraId="04F315AB" w14:textId="77777777" w:rsidR="009A331F" w:rsidRPr="007E41C5" w:rsidRDefault="009A331F" w:rsidP="009A331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 xml:space="preserve">Indicator </w:t>
            </w:r>
          </w:p>
        </w:tc>
        <w:tc>
          <w:tcPr>
            <w:tcW w:w="887" w:type="pct"/>
          </w:tcPr>
          <w:p w14:paraId="7C92EC80" w14:textId="77777777" w:rsidR="009A331F" w:rsidRPr="007E41C5" w:rsidRDefault="009A331F" w:rsidP="009A331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Measurement unit</w:t>
            </w:r>
          </w:p>
          <w:p w14:paraId="2B87F139" w14:textId="77777777" w:rsidR="009A331F" w:rsidRPr="007E41C5" w:rsidRDefault="009A331F" w:rsidP="009A331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[255]</w:t>
            </w:r>
          </w:p>
        </w:tc>
        <w:tc>
          <w:tcPr>
            <w:tcW w:w="452" w:type="pct"/>
            <w:shd w:val="clear" w:color="auto" w:fill="auto"/>
          </w:tcPr>
          <w:p w14:paraId="193DE1F7" w14:textId="77777777" w:rsidR="009A331F" w:rsidRPr="007E41C5" w:rsidRDefault="009A331F" w:rsidP="009A331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Milestone (2024)</w:t>
            </w:r>
          </w:p>
          <w:p w14:paraId="7612746E" w14:textId="77777777" w:rsidR="009A331F" w:rsidRPr="007E41C5" w:rsidRDefault="009A331F" w:rsidP="009A331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[200]</w:t>
            </w:r>
          </w:p>
        </w:tc>
        <w:tc>
          <w:tcPr>
            <w:tcW w:w="524" w:type="pct"/>
            <w:shd w:val="clear" w:color="auto" w:fill="auto"/>
          </w:tcPr>
          <w:p w14:paraId="3D09868A" w14:textId="77777777" w:rsidR="009A331F" w:rsidRPr="007E41C5" w:rsidRDefault="009A331F" w:rsidP="009A331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Final target (2029)</w:t>
            </w:r>
          </w:p>
          <w:p w14:paraId="317B293C" w14:textId="77777777" w:rsidR="009A331F" w:rsidRPr="007E41C5" w:rsidRDefault="009A331F" w:rsidP="009A331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[200]</w:t>
            </w:r>
          </w:p>
        </w:tc>
      </w:tr>
      <w:tr w:rsidR="00583567" w:rsidRPr="007E41C5" w14:paraId="2278BDDE" w14:textId="77777777" w:rsidTr="00583567">
        <w:trPr>
          <w:trHeight w:val="579"/>
        </w:trPr>
        <w:tc>
          <w:tcPr>
            <w:tcW w:w="451" w:type="pct"/>
          </w:tcPr>
          <w:p w14:paraId="0D6F70F8" w14:textId="77777777" w:rsidR="00583567" w:rsidRPr="007E41C5" w:rsidRDefault="00583567" w:rsidP="00583567">
            <w:pPr>
              <w:spacing w:before="120" w:after="120" w:line="240" w:lineRule="auto"/>
              <w:jc w:val="both"/>
              <w:rPr>
                <w:rFonts w:ascii="Times New Roman" w:eastAsia="Times New Roman" w:hAnsi="Times New Roman" w:cs="Times New Roman"/>
                <w:i/>
                <w:noProof/>
                <w:color w:val="000000"/>
                <w:sz w:val="18"/>
                <w:szCs w:val="18"/>
                <w:highlight w:val="yellow"/>
                <w:lang w:eastAsia="en-GB"/>
              </w:rPr>
            </w:pPr>
            <w:r w:rsidRPr="007E41C5">
              <w:rPr>
                <w:rFonts w:ascii="Times New Roman" w:eastAsia="Times New Roman" w:hAnsi="Times New Roman" w:cs="Times New Roman"/>
                <w:i/>
                <w:noProof/>
                <w:color w:val="000000"/>
                <w:sz w:val="18"/>
                <w:szCs w:val="18"/>
                <w:highlight w:val="yellow"/>
                <w:lang w:eastAsia="en-GB"/>
              </w:rPr>
              <w:t>Greener border region</w:t>
            </w:r>
          </w:p>
        </w:tc>
        <w:tc>
          <w:tcPr>
            <w:tcW w:w="1091" w:type="pct"/>
          </w:tcPr>
          <w:p w14:paraId="074D8EFF" w14:textId="77777777" w:rsidR="00583567" w:rsidRPr="007E41C5" w:rsidRDefault="00583567" w:rsidP="00583567">
            <w:pPr>
              <w:spacing w:before="120" w:after="120" w:line="240" w:lineRule="auto"/>
              <w:jc w:val="both"/>
              <w:rPr>
                <w:rFonts w:ascii="Times New Roman" w:eastAsia="Times New Roman" w:hAnsi="Times New Roman" w:cs="Times New Roman"/>
                <w:i/>
                <w:noProof/>
                <w:color w:val="000000"/>
                <w:sz w:val="18"/>
                <w:szCs w:val="18"/>
                <w:highlight w:val="yellow"/>
                <w:lang w:eastAsia="en-GB"/>
              </w:rPr>
            </w:pPr>
            <w:r w:rsidRPr="007E41C5">
              <w:rPr>
                <w:rFonts w:ascii="Times New Roman" w:eastAsia="Times New Roman" w:hAnsi="Times New Roman" w:cs="Times New Roman"/>
                <w:i/>
                <w:noProof/>
                <w:color w:val="000000"/>
                <w:sz w:val="18"/>
                <w:szCs w:val="18"/>
                <w:highlight w:val="yellow"/>
                <w:lang w:eastAsia="en-GB"/>
              </w:rPr>
              <w:t>1.1.Enhancing protection and preservation of nature, biodiversity, and green infrastructure, including in urban areas, and reducing all forms of pollution</w:t>
            </w:r>
          </w:p>
        </w:tc>
        <w:tc>
          <w:tcPr>
            <w:tcW w:w="709" w:type="pct"/>
          </w:tcPr>
          <w:p w14:paraId="45738941" w14:textId="77777777" w:rsidR="00583567" w:rsidRPr="007E41C5" w:rsidRDefault="00583567" w:rsidP="00583567">
            <w:pPr>
              <w:spacing w:before="120" w:after="120" w:line="240" w:lineRule="auto"/>
              <w:jc w:val="both"/>
              <w:rPr>
                <w:rFonts w:ascii="Times New Roman" w:eastAsia="Times New Roman" w:hAnsi="Times New Roman" w:cs="Times New Roman"/>
                <w:i/>
                <w:noProof/>
                <w:color w:val="000000"/>
                <w:sz w:val="18"/>
                <w:szCs w:val="18"/>
                <w:highlight w:val="yellow"/>
                <w:lang w:eastAsia="en-GB"/>
              </w:rPr>
            </w:pPr>
            <w:r w:rsidRPr="007E41C5">
              <w:rPr>
                <w:rFonts w:ascii="Times New Roman" w:eastAsia="Times New Roman" w:hAnsi="Times New Roman" w:cs="Times New Roman"/>
                <w:i/>
                <w:noProof/>
                <w:color w:val="000000"/>
                <w:sz w:val="18"/>
                <w:szCs w:val="18"/>
                <w:highlight w:val="yellow"/>
                <w:lang w:val="en-US" w:eastAsia="en-GB"/>
              </w:rPr>
              <w:t>RCO84</w:t>
            </w:r>
          </w:p>
        </w:tc>
        <w:tc>
          <w:tcPr>
            <w:tcW w:w="886" w:type="pct"/>
            <w:shd w:val="clear" w:color="auto" w:fill="auto"/>
          </w:tcPr>
          <w:p w14:paraId="7C655A6D" w14:textId="77777777" w:rsidR="00583567" w:rsidRPr="007E41C5" w:rsidRDefault="00583567" w:rsidP="00583567">
            <w:pPr>
              <w:spacing w:before="120" w:after="120" w:line="240" w:lineRule="auto"/>
              <w:jc w:val="both"/>
              <w:rPr>
                <w:rFonts w:ascii="Times New Roman" w:eastAsia="Times New Roman" w:hAnsi="Times New Roman" w:cs="Times New Roman"/>
                <w:i/>
                <w:noProof/>
                <w:color w:val="000000"/>
                <w:sz w:val="18"/>
                <w:szCs w:val="18"/>
                <w:highlight w:val="yellow"/>
                <w:lang w:val="en-US" w:eastAsia="en-GB"/>
              </w:rPr>
            </w:pPr>
            <w:r w:rsidRPr="007E41C5">
              <w:rPr>
                <w:rFonts w:ascii="Times New Roman" w:eastAsia="Times New Roman" w:hAnsi="Times New Roman" w:cs="Times New Roman"/>
                <w:i/>
                <w:noProof/>
                <w:color w:val="000000"/>
                <w:sz w:val="18"/>
                <w:szCs w:val="18"/>
                <w:highlight w:val="yellow"/>
                <w:lang w:val="en-US" w:eastAsia="en-GB"/>
              </w:rPr>
              <w:t xml:space="preserve"> Pilot actions developed jointly and implemented in projects</w:t>
            </w:r>
          </w:p>
          <w:p w14:paraId="574B034E" w14:textId="77777777" w:rsidR="00583567" w:rsidRPr="007E41C5" w:rsidRDefault="00583567" w:rsidP="00583567">
            <w:pPr>
              <w:spacing w:before="120" w:after="120" w:line="240" w:lineRule="auto"/>
              <w:jc w:val="both"/>
              <w:rPr>
                <w:rFonts w:ascii="Times New Roman" w:eastAsia="Times New Roman" w:hAnsi="Times New Roman" w:cs="Times New Roman"/>
                <w:i/>
                <w:noProof/>
                <w:color w:val="000000"/>
                <w:sz w:val="18"/>
                <w:szCs w:val="18"/>
                <w:highlight w:val="yellow"/>
                <w:lang w:eastAsia="en-GB"/>
              </w:rPr>
            </w:pPr>
          </w:p>
        </w:tc>
        <w:tc>
          <w:tcPr>
            <w:tcW w:w="887" w:type="pct"/>
          </w:tcPr>
          <w:p w14:paraId="73CA9CFA" w14:textId="77777777" w:rsidR="00583567" w:rsidRPr="007E41C5" w:rsidRDefault="00583567" w:rsidP="00583567">
            <w:pPr>
              <w:spacing w:before="120" w:after="120" w:line="240" w:lineRule="auto"/>
              <w:jc w:val="both"/>
              <w:rPr>
                <w:rFonts w:ascii="Times New Roman" w:eastAsia="Calibri" w:hAnsi="Times New Roman" w:cs="Arial"/>
                <w:i/>
                <w:noProof/>
                <w:sz w:val="18"/>
                <w:szCs w:val="18"/>
                <w:highlight w:val="yellow"/>
              </w:rPr>
            </w:pPr>
            <w:r w:rsidRPr="007E41C5">
              <w:rPr>
                <w:rFonts w:ascii="Times New Roman" w:eastAsia="Calibri" w:hAnsi="Times New Roman" w:cs="Arial"/>
                <w:i/>
                <w:noProof/>
                <w:sz w:val="18"/>
                <w:szCs w:val="18"/>
                <w:highlight w:val="yellow"/>
              </w:rPr>
              <w:t>Pilot action</w:t>
            </w:r>
          </w:p>
        </w:tc>
        <w:tc>
          <w:tcPr>
            <w:tcW w:w="452" w:type="pct"/>
            <w:shd w:val="clear" w:color="auto" w:fill="auto"/>
          </w:tcPr>
          <w:p w14:paraId="3EF51443" w14:textId="77777777" w:rsidR="00583567" w:rsidRPr="007E41C5" w:rsidRDefault="00156283" w:rsidP="00583567">
            <w:pPr>
              <w:spacing w:before="120" w:after="120" w:line="240" w:lineRule="auto"/>
              <w:jc w:val="both"/>
              <w:rPr>
                <w:rFonts w:ascii="Times New Roman" w:eastAsia="Calibri" w:hAnsi="Times New Roman" w:cs="Arial"/>
                <w:b/>
                <w:i/>
                <w:noProof/>
                <w:sz w:val="16"/>
                <w:szCs w:val="16"/>
                <w:highlight w:val="yellow"/>
              </w:rPr>
            </w:pPr>
            <w:r w:rsidRPr="007E41C5">
              <w:rPr>
                <w:rFonts w:ascii="Times New Roman" w:eastAsia="Calibri" w:hAnsi="Times New Roman" w:cs="Arial"/>
                <w:b/>
                <w:i/>
                <w:noProof/>
                <w:sz w:val="16"/>
                <w:szCs w:val="16"/>
                <w:highlight w:val="yellow"/>
              </w:rPr>
              <w:t>3</w:t>
            </w:r>
          </w:p>
        </w:tc>
        <w:tc>
          <w:tcPr>
            <w:tcW w:w="524" w:type="pct"/>
            <w:shd w:val="clear" w:color="auto" w:fill="auto"/>
          </w:tcPr>
          <w:p w14:paraId="5B17287A" w14:textId="77777777" w:rsidR="00583567" w:rsidRPr="007E41C5" w:rsidRDefault="00156283" w:rsidP="00583567">
            <w:pPr>
              <w:spacing w:before="120" w:after="120" w:line="240" w:lineRule="auto"/>
              <w:jc w:val="both"/>
              <w:rPr>
                <w:rFonts w:ascii="Times New Roman" w:eastAsia="Calibri" w:hAnsi="Times New Roman" w:cs="Arial"/>
                <w:b/>
                <w:i/>
                <w:noProof/>
                <w:sz w:val="16"/>
                <w:szCs w:val="16"/>
                <w:highlight w:val="yellow"/>
              </w:rPr>
            </w:pPr>
            <w:r w:rsidRPr="007E41C5">
              <w:rPr>
                <w:rFonts w:ascii="Times New Roman" w:eastAsia="Calibri" w:hAnsi="Times New Roman" w:cs="Arial"/>
                <w:b/>
                <w:i/>
                <w:noProof/>
                <w:sz w:val="16"/>
                <w:szCs w:val="16"/>
                <w:highlight w:val="yellow"/>
              </w:rPr>
              <w:t>8</w:t>
            </w:r>
          </w:p>
        </w:tc>
      </w:tr>
      <w:tr w:rsidR="00583567" w:rsidRPr="007E41C5" w14:paraId="1231750B" w14:textId="77777777" w:rsidTr="00583567">
        <w:trPr>
          <w:trHeight w:val="579"/>
        </w:trPr>
        <w:tc>
          <w:tcPr>
            <w:tcW w:w="451" w:type="pct"/>
          </w:tcPr>
          <w:p w14:paraId="0D18B68F" w14:textId="77777777" w:rsidR="00583567" w:rsidRPr="007E41C5" w:rsidRDefault="00583567" w:rsidP="00583567">
            <w:pPr>
              <w:spacing w:before="120" w:after="120" w:line="240" w:lineRule="auto"/>
              <w:jc w:val="both"/>
              <w:rPr>
                <w:rFonts w:ascii="Times New Roman" w:eastAsia="Times New Roman" w:hAnsi="Times New Roman" w:cs="Times New Roman"/>
                <w:i/>
                <w:noProof/>
                <w:color w:val="000000"/>
                <w:sz w:val="18"/>
                <w:szCs w:val="18"/>
                <w:highlight w:val="yellow"/>
                <w:lang w:eastAsia="en-GB"/>
              </w:rPr>
            </w:pPr>
            <w:r w:rsidRPr="007E41C5">
              <w:rPr>
                <w:rFonts w:ascii="Times New Roman" w:eastAsia="Times New Roman" w:hAnsi="Times New Roman" w:cs="Times New Roman"/>
                <w:i/>
                <w:noProof/>
                <w:color w:val="000000"/>
                <w:sz w:val="18"/>
                <w:szCs w:val="18"/>
                <w:highlight w:val="yellow"/>
                <w:lang w:eastAsia="en-GB"/>
              </w:rPr>
              <w:t>Greener border region</w:t>
            </w:r>
          </w:p>
        </w:tc>
        <w:tc>
          <w:tcPr>
            <w:tcW w:w="1091" w:type="pct"/>
          </w:tcPr>
          <w:p w14:paraId="08203550" w14:textId="77777777" w:rsidR="00583567" w:rsidRPr="007E41C5" w:rsidRDefault="00583567" w:rsidP="00583567">
            <w:pPr>
              <w:spacing w:before="120" w:after="120" w:line="240" w:lineRule="auto"/>
              <w:jc w:val="both"/>
              <w:rPr>
                <w:rFonts w:ascii="Times New Roman" w:eastAsia="Times New Roman" w:hAnsi="Times New Roman" w:cs="Times New Roman"/>
                <w:i/>
                <w:noProof/>
                <w:color w:val="000000"/>
                <w:sz w:val="18"/>
                <w:szCs w:val="18"/>
                <w:highlight w:val="yellow"/>
                <w:lang w:eastAsia="en-GB"/>
              </w:rPr>
            </w:pPr>
            <w:r w:rsidRPr="007E41C5">
              <w:rPr>
                <w:rFonts w:ascii="Times New Roman" w:eastAsia="Times New Roman" w:hAnsi="Times New Roman" w:cs="Times New Roman"/>
                <w:i/>
                <w:noProof/>
                <w:color w:val="000000"/>
                <w:sz w:val="18"/>
                <w:szCs w:val="18"/>
                <w:highlight w:val="yellow"/>
                <w:lang w:eastAsia="en-GB"/>
              </w:rPr>
              <w:t>1.1.Enhancing protection and preservation of nature, biodiversity, and green infrastructure, including in urban areas, and reducing all forms of pollution</w:t>
            </w:r>
          </w:p>
        </w:tc>
        <w:tc>
          <w:tcPr>
            <w:tcW w:w="709" w:type="pct"/>
          </w:tcPr>
          <w:p w14:paraId="56A9FBBA" w14:textId="77777777" w:rsidR="00583567" w:rsidRPr="007E41C5" w:rsidRDefault="00583567" w:rsidP="00583567">
            <w:pPr>
              <w:spacing w:before="120" w:after="120" w:line="240" w:lineRule="auto"/>
              <w:jc w:val="both"/>
              <w:rPr>
                <w:rFonts w:ascii="Times New Roman" w:eastAsia="Times New Roman" w:hAnsi="Times New Roman" w:cs="Times New Roman"/>
                <w:i/>
                <w:noProof/>
                <w:color w:val="000000"/>
                <w:sz w:val="18"/>
                <w:szCs w:val="18"/>
                <w:highlight w:val="yellow"/>
                <w:lang w:eastAsia="en-GB"/>
              </w:rPr>
            </w:pPr>
            <w:r w:rsidRPr="007E41C5">
              <w:rPr>
                <w:rFonts w:ascii="Times New Roman" w:eastAsia="Times New Roman" w:hAnsi="Times New Roman" w:cs="Times New Roman"/>
                <w:i/>
                <w:noProof/>
                <w:color w:val="000000"/>
                <w:sz w:val="18"/>
                <w:szCs w:val="18"/>
                <w:highlight w:val="yellow"/>
                <w:lang w:eastAsia="en-GB"/>
              </w:rPr>
              <w:t>RCO116</w:t>
            </w:r>
          </w:p>
        </w:tc>
        <w:tc>
          <w:tcPr>
            <w:tcW w:w="886" w:type="pct"/>
            <w:shd w:val="clear" w:color="auto" w:fill="auto"/>
          </w:tcPr>
          <w:p w14:paraId="522AFB37" w14:textId="77777777" w:rsidR="00583567" w:rsidRPr="007E41C5" w:rsidRDefault="00583567" w:rsidP="00583567">
            <w:pPr>
              <w:spacing w:before="120" w:after="120" w:line="240" w:lineRule="auto"/>
              <w:jc w:val="both"/>
              <w:rPr>
                <w:rFonts w:ascii="Times New Roman" w:eastAsia="Times New Roman" w:hAnsi="Times New Roman" w:cs="Times New Roman"/>
                <w:i/>
                <w:noProof/>
                <w:color w:val="000000"/>
                <w:sz w:val="18"/>
                <w:szCs w:val="18"/>
                <w:highlight w:val="yellow"/>
                <w:lang w:eastAsia="en-GB"/>
              </w:rPr>
            </w:pPr>
            <w:r w:rsidRPr="007E41C5">
              <w:rPr>
                <w:rFonts w:ascii="Times New Roman" w:eastAsia="Times New Roman" w:hAnsi="Times New Roman" w:cs="Times New Roman"/>
                <w:i/>
                <w:noProof/>
                <w:color w:val="000000"/>
                <w:sz w:val="18"/>
                <w:szCs w:val="18"/>
                <w:highlight w:val="yellow"/>
                <w:lang w:eastAsia="en-GB"/>
              </w:rPr>
              <w:t>Jointly developed solutions</w:t>
            </w:r>
          </w:p>
        </w:tc>
        <w:tc>
          <w:tcPr>
            <w:tcW w:w="887" w:type="pct"/>
          </w:tcPr>
          <w:p w14:paraId="55F4555B" w14:textId="77777777" w:rsidR="00583567" w:rsidRPr="007E41C5" w:rsidRDefault="00583567" w:rsidP="00583567">
            <w:pPr>
              <w:spacing w:before="120" w:after="120" w:line="240" w:lineRule="auto"/>
              <w:jc w:val="both"/>
              <w:rPr>
                <w:rFonts w:ascii="Times New Roman" w:eastAsia="Calibri" w:hAnsi="Times New Roman" w:cs="Arial"/>
                <w:i/>
                <w:noProof/>
                <w:sz w:val="18"/>
                <w:szCs w:val="18"/>
                <w:highlight w:val="yellow"/>
              </w:rPr>
            </w:pPr>
            <w:r w:rsidRPr="007E41C5">
              <w:rPr>
                <w:rFonts w:ascii="Times New Roman" w:eastAsia="Calibri" w:hAnsi="Times New Roman" w:cs="Arial"/>
                <w:i/>
                <w:noProof/>
                <w:sz w:val="18"/>
                <w:szCs w:val="18"/>
                <w:highlight w:val="yellow"/>
              </w:rPr>
              <w:t>solution</w:t>
            </w:r>
          </w:p>
        </w:tc>
        <w:tc>
          <w:tcPr>
            <w:tcW w:w="452" w:type="pct"/>
            <w:shd w:val="clear" w:color="auto" w:fill="auto"/>
          </w:tcPr>
          <w:p w14:paraId="197B5EE0" w14:textId="77777777" w:rsidR="00583567" w:rsidRPr="007E41C5" w:rsidRDefault="00156283" w:rsidP="00583567">
            <w:pPr>
              <w:spacing w:before="120" w:after="120" w:line="240" w:lineRule="auto"/>
              <w:jc w:val="both"/>
              <w:rPr>
                <w:rFonts w:ascii="Times New Roman" w:eastAsia="Calibri" w:hAnsi="Times New Roman" w:cs="Arial"/>
                <w:b/>
                <w:i/>
                <w:noProof/>
                <w:sz w:val="16"/>
                <w:szCs w:val="16"/>
                <w:highlight w:val="yellow"/>
              </w:rPr>
            </w:pPr>
            <w:r w:rsidRPr="007E41C5">
              <w:rPr>
                <w:rFonts w:ascii="Times New Roman" w:eastAsia="Calibri" w:hAnsi="Times New Roman" w:cs="Arial"/>
                <w:b/>
                <w:i/>
                <w:noProof/>
                <w:sz w:val="16"/>
                <w:szCs w:val="16"/>
                <w:highlight w:val="yellow"/>
              </w:rPr>
              <w:t>3</w:t>
            </w:r>
          </w:p>
        </w:tc>
        <w:tc>
          <w:tcPr>
            <w:tcW w:w="524" w:type="pct"/>
            <w:shd w:val="clear" w:color="auto" w:fill="auto"/>
          </w:tcPr>
          <w:p w14:paraId="2CF3708C" w14:textId="77777777" w:rsidR="00583567" w:rsidRPr="007E41C5" w:rsidRDefault="00156283" w:rsidP="00583567">
            <w:pPr>
              <w:spacing w:before="120" w:after="120" w:line="240" w:lineRule="auto"/>
              <w:jc w:val="both"/>
              <w:rPr>
                <w:rFonts w:ascii="Times New Roman" w:eastAsia="Calibri" w:hAnsi="Times New Roman" w:cs="Arial"/>
                <w:b/>
                <w:i/>
                <w:noProof/>
                <w:sz w:val="16"/>
                <w:szCs w:val="16"/>
                <w:highlight w:val="yellow"/>
              </w:rPr>
            </w:pPr>
            <w:r w:rsidRPr="007E41C5">
              <w:rPr>
                <w:rFonts w:ascii="Times New Roman" w:eastAsia="Calibri" w:hAnsi="Times New Roman" w:cs="Arial"/>
                <w:b/>
                <w:i/>
                <w:noProof/>
                <w:sz w:val="16"/>
                <w:szCs w:val="16"/>
                <w:highlight w:val="yellow"/>
              </w:rPr>
              <w:t>8</w:t>
            </w:r>
          </w:p>
        </w:tc>
      </w:tr>
    </w:tbl>
    <w:p w14:paraId="0E63D3BB" w14:textId="77777777" w:rsidR="009A331F" w:rsidRPr="007E41C5" w:rsidRDefault="009A331F" w:rsidP="009A331F">
      <w:pPr>
        <w:spacing w:before="240" w:after="240" w:line="240" w:lineRule="auto"/>
        <w:rPr>
          <w:rFonts w:ascii="Times New Roman" w:eastAsia="Times New Roman" w:hAnsi="Times New Roman" w:cs="Times New Roman"/>
          <w:iCs/>
          <w:noProof/>
          <w:sz w:val="24"/>
          <w:szCs w:val="24"/>
          <w:highlight w:val="yellow"/>
          <w:lang w:eastAsia="en-GB"/>
        </w:rPr>
      </w:pPr>
    </w:p>
    <w:p w14:paraId="26BE7145" w14:textId="77777777" w:rsidR="009A331F" w:rsidRPr="007E41C5" w:rsidRDefault="009A331F" w:rsidP="009A331F">
      <w:pPr>
        <w:spacing w:before="240" w:after="240" w:line="240" w:lineRule="auto"/>
        <w:rPr>
          <w:rFonts w:ascii="Times New Roman" w:eastAsia="Times New Roman" w:hAnsi="Times New Roman" w:cs="Times New Roman"/>
          <w:iCs/>
          <w:noProof/>
          <w:sz w:val="24"/>
          <w:szCs w:val="24"/>
          <w:highlight w:val="yellow"/>
          <w:lang w:eastAsia="en-GB"/>
        </w:rPr>
      </w:pPr>
      <w:r w:rsidRPr="007E41C5">
        <w:rPr>
          <w:rFonts w:ascii="Times New Roman" w:eastAsia="Times New Roman" w:hAnsi="Times New Roman" w:cs="Times New Roman"/>
          <w:iCs/>
          <w:noProof/>
          <w:sz w:val="24"/>
          <w:szCs w:val="24"/>
          <w:highlight w:val="yellow"/>
          <w:lang w:eastAsia="en-GB"/>
        </w:rPr>
        <w:t>Table 3: Result indicators</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506"/>
        <w:gridCol w:w="903"/>
        <w:gridCol w:w="1654"/>
        <w:gridCol w:w="1056"/>
        <w:gridCol w:w="925"/>
        <w:gridCol w:w="581"/>
        <w:gridCol w:w="753"/>
        <w:gridCol w:w="790"/>
        <w:gridCol w:w="708"/>
      </w:tblGrid>
      <w:tr w:rsidR="009E4ABC" w:rsidRPr="007E41C5" w14:paraId="02988183" w14:textId="77777777" w:rsidTr="008F38BF">
        <w:trPr>
          <w:trHeight w:val="947"/>
        </w:trPr>
        <w:tc>
          <w:tcPr>
            <w:tcW w:w="460" w:type="pct"/>
          </w:tcPr>
          <w:p w14:paraId="730C30B7" w14:textId="77777777" w:rsidR="009A331F" w:rsidRPr="007E41C5" w:rsidRDefault="009A331F" w:rsidP="009A331F">
            <w:pPr>
              <w:spacing w:before="120" w:after="120" w:line="240" w:lineRule="auto"/>
              <w:jc w:val="both"/>
              <w:rPr>
                <w:rFonts w:ascii="Times New Roman" w:eastAsia="Calibri" w:hAnsi="Times New Roman" w:cs="Times New Roman"/>
                <w:b/>
                <w:noProof/>
                <w:sz w:val="16"/>
                <w:szCs w:val="16"/>
                <w:highlight w:val="yellow"/>
              </w:rPr>
            </w:pPr>
            <w:r w:rsidRPr="007E41C5">
              <w:rPr>
                <w:rFonts w:ascii="Times New Roman" w:eastAsia="Calibri" w:hAnsi="Times New Roman" w:cs="Times New Roman"/>
                <w:b/>
                <w:noProof/>
                <w:sz w:val="16"/>
                <w:szCs w:val="16"/>
                <w:highlight w:val="yellow"/>
              </w:rPr>
              <w:t xml:space="preserve">Priority </w:t>
            </w:r>
          </w:p>
        </w:tc>
        <w:tc>
          <w:tcPr>
            <w:tcW w:w="770" w:type="pct"/>
          </w:tcPr>
          <w:p w14:paraId="35B5D5B7" w14:textId="77777777" w:rsidR="009A331F" w:rsidRPr="007E41C5" w:rsidRDefault="009A331F" w:rsidP="009A331F">
            <w:pPr>
              <w:spacing w:before="120" w:after="120" w:line="240" w:lineRule="auto"/>
              <w:jc w:val="both"/>
              <w:rPr>
                <w:rFonts w:ascii="Times New Roman" w:eastAsia="Calibri" w:hAnsi="Times New Roman" w:cs="Times New Roman"/>
                <w:b/>
                <w:noProof/>
                <w:sz w:val="16"/>
                <w:szCs w:val="16"/>
                <w:highlight w:val="yellow"/>
              </w:rPr>
            </w:pPr>
            <w:r w:rsidRPr="007E41C5">
              <w:rPr>
                <w:rFonts w:ascii="Times New Roman" w:eastAsia="Calibri" w:hAnsi="Times New Roman" w:cs="Times New Roman"/>
                <w:b/>
                <w:noProof/>
                <w:sz w:val="16"/>
                <w:szCs w:val="16"/>
                <w:highlight w:val="yellow"/>
              </w:rPr>
              <w:t>Specific objective</w:t>
            </w:r>
          </w:p>
        </w:tc>
        <w:tc>
          <w:tcPr>
            <w:tcW w:w="462" w:type="pct"/>
          </w:tcPr>
          <w:p w14:paraId="1BD4A36D" w14:textId="77777777" w:rsidR="009A331F" w:rsidRPr="007E41C5" w:rsidRDefault="009A331F" w:rsidP="009A331F">
            <w:pPr>
              <w:spacing w:before="120" w:after="120" w:line="240" w:lineRule="auto"/>
              <w:jc w:val="both"/>
              <w:rPr>
                <w:rFonts w:ascii="Times New Roman" w:eastAsia="Calibri" w:hAnsi="Times New Roman" w:cs="Times New Roman"/>
                <w:b/>
                <w:noProof/>
                <w:sz w:val="16"/>
                <w:szCs w:val="16"/>
                <w:highlight w:val="yellow"/>
              </w:rPr>
            </w:pPr>
            <w:r w:rsidRPr="007E41C5">
              <w:rPr>
                <w:rFonts w:ascii="Times New Roman" w:eastAsia="Calibri" w:hAnsi="Times New Roman" w:cs="Times New Roman"/>
                <w:b/>
                <w:noProof/>
                <w:sz w:val="16"/>
                <w:szCs w:val="16"/>
                <w:highlight w:val="yellow"/>
              </w:rPr>
              <w:t>ID</w:t>
            </w:r>
          </w:p>
        </w:tc>
        <w:tc>
          <w:tcPr>
            <w:tcW w:w="846" w:type="pct"/>
            <w:shd w:val="clear" w:color="auto" w:fill="auto"/>
          </w:tcPr>
          <w:p w14:paraId="478E4D30" w14:textId="77777777" w:rsidR="009A331F" w:rsidRPr="007E41C5" w:rsidRDefault="009A331F" w:rsidP="009A331F">
            <w:pPr>
              <w:spacing w:before="120" w:after="120" w:line="240" w:lineRule="auto"/>
              <w:jc w:val="both"/>
              <w:rPr>
                <w:rFonts w:ascii="Times New Roman" w:eastAsia="Calibri" w:hAnsi="Times New Roman" w:cs="Times New Roman"/>
                <w:b/>
                <w:noProof/>
                <w:sz w:val="16"/>
                <w:szCs w:val="16"/>
                <w:highlight w:val="yellow"/>
              </w:rPr>
            </w:pPr>
            <w:r w:rsidRPr="007E41C5">
              <w:rPr>
                <w:rFonts w:ascii="Times New Roman" w:eastAsia="Calibri" w:hAnsi="Times New Roman" w:cs="Times New Roman"/>
                <w:b/>
                <w:noProof/>
                <w:sz w:val="16"/>
                <w:szCs w:val="16"/>
                <w:highlight w:val="yellow"/>
              </w:rPr>
              <w:t xml:space="preserve">Indicator </w:t>
            </w:r>
          </w:p>
        </w:tc>
        <w:tc>
          <w:tcPr>
            <w:tcW w:w="540" w:type="pct"/>
          </w:tcPr>
          <w:p w14:paraId="3933F3F1" w14:textId="77777777" w:rsidR="009A331F" w:rsidRPr="007E41C5" w:rsidRDefault="009A331F" w:rsidP="009A331F">
            <w:pPr>
              <w:spacing w:before="120" w:after="120" w:line="240" w:lineRule="auto"/>
              <w:jc w:val="both"/>
              <w:rPr>
                <w:rFonts w:ascii="Times New Roman" w:eastAsia="Calibri" w:hAnsi="Times New Roman" w:cs="Times New Roman"/>
                <w:b/>
                <w:noProof/>
                <w:sz w:val="16"/>
                <w:szCs w:val="16"/>
                <w:highlight w:val="yellow"/>
              </w:rPr>
            </w:pPr>
            <w:r w:rsidRPr="007E41C5">
              <w:rPr>
                <w:rFonts w:ascii="Times New Roman" w:eastAsia="Calibri" w:hAnsi="Times New Roman" w:cs="Times New Roman"/>
                <w:b/>
                <w:noProof/>
                <w:sz w:val="16"/>
                <w:szCs w:val="16"/>
                <w:highlight w:val="yellow"/>
              </w:rPr>
              <w:t>Measurement unit</w:t>
            </w:r>
          </w:p>
        </w:tc>
        <w:tc>
          <w:tcPr>
            <w:tcW w:w="473" w:type="pct"/>
          </w:tcPr>
          <w:p w14:paraId="192245A9" w14:textId="77777777" w:rsidR="009A331F" w:rsidRPr="007E41C5" w:rsidRDefault="009A331F" w:rsidP="009A331F">
            <w:pPr>
              <w:spacing w:before="120" w:after="120" w:line="240" w:lineRule="auto"/>
              <w:jc w:val="both"/>
              <w:rPr>
                <w:rFonts w:ascii="Times New Roman" w:eastAsia="Calibri" w:hAnsi="Times New Roman" w:cs="Times New Roman"/>
                <w:b/>
                <w:noProof/>
                <w:sz w:val="16"/>
                <w:szCs w:val="16"/>
                <w:highlight w:val="yellow"/>
              </w:rPr>
            </w:pPr>
            <w:r w:rsidRPr="007E41C5">
              <w:rPr>
                <w:rFonts w:ascii="Times New Roman" w:eastAsia="Calibri" w:hAnsi="Times New Roman" w:cs="Times New Roman"/>
                <w:b/>
                <w:noProof/>
                <w:sz w:val="16"/>
                <w:szCs w:val="16"/>
                <w:highlight w:val="yellow"/>
              </w:rPr>
              <w:t>Baseline</w:t>
            </w:r>
          </w:p>
        </w:tc>
        <w:tc>
          <w:tcPr>
            <w:tcW w:w="297" w:type="pct"/>
          </w:tcPr>
          <w:p w14:paraId="52D72774" w14:textId="77777777" w:rsidR="009A331F" w:rsidRPr="007E41C5" w:rsidRDefault="009A331F" w:rsidP="009A331F">
            <w:pPr>
              <w:spacing w:before="120" w:after="120" w:line="240" w:lineRule="auto"/>
              <w:jc w:val="both"/>
              <w:rPr>
                <w:rFonts w:ascii="Times New Roman" w:eastAsia="Calibri" w:hAnsi="Times New Roman" w:cs="Times New Roman"/>
                <w:b/>
                <w:noProof/>
                <w:sz w:val="16"/>
                <w:szCs w:val="16"/>
                <w:highlight w:val="yellow"/>
              </w:rPr>
            </w:pPr>
            <w:r w:rsidRPr="007E41C5">
              <w:rPr>
                <w:rFonts w:ascii="Times New Roman" w:eastAsia="Calibri" w:hAnsi="Times New Roman" w:cs="Times New Roman"/>
                <w:b/>
                <w:noProof/>
                <w:sz w:val="16"/>
                <w:szCs w:val="16"/>
                <w:highlight w:val="yellow"/>
              </w:rPr>
              <w:t>Reference year</w:t>
            </w:r>
          </w:p>
        </w:tc>
        <w:tc>
          <w:tcPr>
            <w:tcW w:w="385" w:type="pct"/>
            <w:shd w:val="clear" w:color="auto" w:fill="auto"/>
          </w:tcPr>
          <w:p w14:paraId="23117CC9" w14:textId="77777777" w:rsidR="009A331F" w:rsidRPr="007E41C5" w:rsidRDefault="009A331F" w:rsidP="009A331F">
            <w:pPr>
              <w:spacing w:before="120" w:after="120" w:line="240" w:lineRule="auto"/>
              <w:jc w:val="both"/>
              <w:rPr>
                <w:rFonts w:ascii="Times New Roman" w:eastAsia="Calibri" w:hAnsi="Times New Roman" w:cs="Times New Roman"/>
                <w:b/>
                <w:noProof/>
                <w:sz w:val="16"/>
                <w:szCs w:val="16"/>
                <w:highlight w:val="yellow"/>
              </w:rPr>
            </w:pPr>
            <w:r w:rsidRPr="007E41C5">
              <w:rPr>
                <w:rFonts w:ascii="Times New Roman" w:eastAsia="Calibri" w:hAnsi="Times New Roman" w:cs="Times New Roman"/>
                <w:b/>
                <w:noProof/>
                <w:sz w:val="16"/>
                <w:szCs w:val="16"/>
                <w:highlight w:val="yellow"/>
              </w:rPr>
              <w:t>Final target (2029)</w:t>
            </w:r>
          </w:p>
        </w:tc>
        <w:tc>
          <w:tcPr>
            <w:tcW w:w="404" w:type="pct"/>
            <w:shd w:val="clear" w:color="auto" w:fill="auto"/>
          </w:tcPr>
          <w:p w14:paraId="70ECF738" w14:textId="77777777" w:rsidR="009A331F" w:rsidRPr="007E41C5" w:rsidRDefault="009A331F" w:rsidP="009A331F">
            <w:pPr>
              <w:spacing w:before="120" w:after="120" w:line="480" w:lineRule="auto"/>
              <w:jc w:val="both"/>
              <w:rPr>
                <w:rFonts w:ascii="Times New Roman" w:eastAsia="Calibri" w:hAnsi="Times New Roman" w:cs="Times New Roman"/>
                <w:b/>
                <w:noProof/>
                <w:sz w:val="16"/>
                <w:szCs w:val="16"/>
                <w:highlight w:val="yellow"/>
              </w:rPr>
            </w:pPr>
            <w:r w:rsidRPr="007E41C5">
              <w:rPr>
                <w:rFonts w:ascii="Times New Roman" w:eastAsia="Calibri" w:hAnsi="Times New Roman" w:cs="Times New Roman"/>
                <w:b/>
                <w:noProof/>
                <w:sz w:val="16"/>
                <w:szCs w:val="16"/>
                <w:highlight w:val="yellow"/>
              </w:rPr>
              <w:t>Source of data</w:t>
            </w:r>
          </w:p>
        </w:tc>
        <w:tc>
          <w:tcPr>
            <w:tcW w:w="362" w:type="pct"/>
          </w:tcPr>
          <w:p w14:paraId="4DD51521" w14:textId="77777777" w:rsidR="009A331F" w:rsidRPr="007E41C5" w:rsidRDefault="009A331F" w:rsidP="009A331F">
            <w:pPr>
              <w:spacing w:before="120" w:after="120" w:line="480" w:lineRule="auto"/>
              <w:jc w:val="both"/>
              <w:rPr>
                <w:rFonts w:ascii="Times New Roman" w:eastAsia="Calibri" w:hAnsi="Times New Roman" w:cs="Times New Roman"/>
                <w:b/>
                <w:noProof/>
                <w:sz w:val="16"/>
                <w:szCs w:val="16"/>
                <w:highlight w:val="yellow"/>
              </w:rPr>
            </w:pPr>
            <w:r w:rsidRPr="007E41C5">
              <w:rPr>
                <w:rFonts w:ascii="Times New Roman" w:eastAsia="Calibri" w:hAnsi="Times New Roman" w:cs="Times New Roman"/>
                <w:b/>
                <w:noProof/>
                <w:sz w:val="16"/>
                <w:szCs w:val="16"/>
                <w:highlight w:val="yellow"/>
              </w:rPr>
              <w:t>Comments</w:t>
            </w:r>
          </w:p>
        </w:tc>
      </w:tr>
      <w:tr w:rsidR="009E4ABC" w:rsidRPr="00A10ECC" w14:paraId="2279497E" w14:textId="77777777" w:rsidTr="008F38BF">
        <w:trPr>
          <w:trHeight w:val="629"/>
        </w:trPr>
        <w:tc>
          <w:tcPr>
            <w:tcW w:w="460" w:type="pct"/>
          </w:tcPr>
          <w:p w14:paraId="2FAD2EFF" w14:textId="77777777" w:rsidR="009E4ABC" w:rsidRPr="007E41C5" w:rsidRDefault="009E4ABC" w:rsidP="003A7ED9">
            <w:pPr>
              <w:spacing w:before="120" w:after="120" w:line="240" w:lineRule="auto"/>
              <w:rPr>
                <w:rFonts w:ascii="Times New Roman" w:eastAsia="Calibri" w:hAnsi="Times New Roman" w:cs="Arial"/>
                <w:b/>
                <w:i/>
                <w:noProof/>
                <w:sz w:val="18"/>
                <w:szCs w:val="18"/>
                <w:highlight w:val="yellow"/>
              </w:rPr>
            </w:pPr>
            <w:r w:rsidRPr="007E41C5">
              <w:rPr>
                <w:rFonts w:ascii="Times New Roman" w:eastAsia="Times New Roman" w:hAnsi="Times New Roman" w:cs="Times New Roman"/>
                <w:i/>
                <w:noProof/>
                <w:color w:val="000000"/>
                <w:sz w:val="18"/>
                <w:szCs w:val="18"/>
                <w:highlight w:val="yellow"/>
                <w:lang w:eastAsia="en-GB"/>
              </w:rPr>
              <w:t>Greener border region</w:t>
            </w:r>
          </w:p>
        </w:tc>
        <w:tc>
          <w:tcPr>
            <w:tcW w:w="770" w:type="pct"/>
          </w:tcPr>
          <w:p w14:paraId="21F0AD28" w14:textId="77777777" w:rsidR="009E4ABC" w:rsidRPr="007E41C5" w:rsidRDefault="009E4ABC" w:rsidP="003A7ED9">
            <w:pPr>
              <w:spacing w:before="120" w:after="120" w:line="240" w:lineRule="auto"/>
              <w:rPr>
                <w:rFonts w:ascii="Times New Roman" w:eastAsia="Calibri" w:hAnsi="Times New Roman" w:cs="Arial"/>
                <w:b/>
                <w:i/>
                <w:noProof/>
                <w:sz w:val="18"/>
                <w:szCs w:val="18"/>
                <w:highlight w:val="yellow"/>
              </w:rPr>
            </w:pPr>
            <w:r w:rsidRPr="007E41C5">
              <w:rPr>
                <w:rFonts w:ascii="Times New Roman" w:eastAsia="Times New Roman" w:hAnsi="Times New Roman" w:cs="Times New Roman"/>
                <w:i/>
                <w:noProof/>
                <w:color w:val="000000"/>
                <w:sz w:val="18"/>
                <w:szCs w:val="18"/>
                <w:highlight w:val="yellow"/>
                <w:lang w:eastAsia="en-GB"/>
              </w:rPr>
              <w:t>1.1.Enhancing protection and preservation of nature, biodiversity, and green infrastructure, including in urban areas, and reducing all forms of pollution</w:t>
            </w:r>
          </w:p>
        </w:tc>
        <w:tc>
          <w:tcPr>
            <w:tcW w:w="462" w:type="pct"/>
          </w:tcPr>
          <w:p w14:paraId="292F8AB6" w14:textId="77777777" w:rsidR="009E4ABC" w:rsidRPr="007E41C5" w:rsidRDefault="009E4ABC" w:rsidP="009E4ABC">
            <w:pPr>
              <w:spacing w:before="120" w:after="120" w:line="240" w:lineRule="auto"/>
              <w:jc w:val="both"/>
              <w:rPr>
                <w:rFonts w:ascii="Times New Roman" w:eastAsia="Calibri" w:hAnsi="Times New Roman" w:cs="Arial"/>
                <w:i/>
                <w:noProof/>
                <w:sz w:val="18"/>
                <w:szCs w:val="18"/>
                <w:highlight w:val="yellow"/>
              </w:rPr>
            </w:pPr>
            <w:r w:rsidRPr="007E41C5">
              <w:rPr>
                <w:rFonts w:ascii="Times New Roman" w:eastAsia="Calibri" w:hAnsi="Times New Roman" w:cs="Arial"/>
                <w:i/>
                <w:noProof/>
                <w:sz w:val="18"/>
                <w:szCs w:val="18"/>
                <w:highlight w:val="yellow"/>
              </w:rPr>
              <w:t>RCR104</w:t>
            </w:r>
          </w:p>
        </w:tc>
        <w:tc>
          <w:tcPr>
            <w:tcW w:w="846" w:type="pct"/>
            <w:shd w:val="clear" w:color="auto" w:fill="auto"/>
          </w:tcPr>
          <w:p w14:paraId="1FE91DEB" w14:textId="77777777" w:rsidR="009E4ABC" w:rsidRPr="007E41C5" w:rsidRDefault="009E4ABC" w:rsidP="009E4ABC">
            <w:pPr>
              <w:spacing w:before="120" w:after="120" w:line="240" w:lineRule="auto"/>
              <w:jc w:val="both"/>
              <w:rPr>
                <w:rFonts w:ascii="Times New Roman" w:eastAsia="Times New Roman" w:hAnsi="Times New Roman" w:cs="Times New Roman"/>
                <w:i/>
                <w:noProof/>
                <w:color w:val="000000"/>
                <w:sz w:val="18"/>
                <w:szCs w:val="18"/>
                <w:highlight w:val="yellow"/>
                <w:lang w:eastAsia="en-GB"/>
              </w:rPr>
            </w:pPr>
            <w:r w:rsidRPr="007E41C5">
              <w:rPr>
                <w:rFonts w:ascii="Times New Roman" w:eastAsia="Times New Roman" w:hAnsi="Times New Roman" w:cs="Times New Roman"/>
                <w:i/>
                <w:noProof/>
                <w:color w:val="000000"/>
                <w:sz w:val="18"/>
                <w:szCs w:val="18"/>
                <w:highlight w:val="yellow"/>
                <w:lang w:eastAsia="en-GB"/>
              </w:rPr>
              <w:t>Solutions taken up or up-scaled by organizations</w:t>
            </w:r>
          </w:p>
        </w:tc>
        <w:tc>
          <w:tcPr>
            <w:tcW w:w="540" w:type="pct"/>
          </w:tcPr>
          <w:p w14:paraId="4D2D83E2" w14:textId="77777777" w:rsidR="009E4ABC" w:rsidRPr="007E41C5" w:rsidRDefault="009E4ABC" w:rsidP="009E4ABC">
            <w:pPr>
              <w:spacing w:before="120" w:after="120" w:line="240" w:lineRule="auto"/>
              <w:jc w:val="both"/>
              <w:rPr>
                <w:rFonts w:ascii="Times New Roman" w:eastAsia="Times New Roman" w:hAnsi="Times New Roman" w:cs="Times New Roman"/>
                <w:i/>
                <w:noProof/>
                <w:color w:val="000000"/>
                <w:sz w:val="20"/>
                <w:szCs w:val="20"/>
                <w:highlight w:val="yellow"/>
                <w:lang w:eastAsia="en-GB"/>
              </w:rPr>
            </w:pPr>
            <w:r w:rsidRPr="007E41C5">
              <w:rPr>
                <w:rFonts w:ascii="Times New Roman" w:eastAsia="Times New Roman" w:hAnsi="Times New Roman" w:cs="Times New Roman"/>
                <w:i/>
                <w:noProof/>
                <w:color w:val="000000"/>
                <w:sz w:val="20"/>
                <w:szCs w:val="20"/>
                <w:highlight w:val="yellow"/>
                <w:lang w:eastAsia="en-GB"/>
              </w:rPr>
              <w:t>solution</w:t>
            </w:r>
          </w:p>
        </w:tc>
        <w:tc>
          <w:tcPr>
            <w:tcW w:w="473" w:type="pct"/>
          </w:tcPr>
          <w:p w14:paraId="662941D3" w14:textId="77777777" w:rsidR="009E4ABC" w:rsidRPr="007E41C5" w:rsidRDefault="009E4ABC" w:rsidP="009E4ABC">
            <w:pPr>
              <w:spacing w:before="120" w:after="120" w:line="240" w:lineRule="auto"/>
              <w:jc w:val="both"/>
              <w:rPr>
                <w:rFonts w:ascii="Times New Roman" w:eastAsia="Calibri" w:hAnsi="Times New Roman" w:cs="Arial"/>
                <w:i/>
                <w:noProof/>
                <w:sz w:val="14"/>
                <w:szCs w:val="14"/>
                <w:highlight w:val="yellow"/>
              </w:rPr>
            </w:pPr>
          </w:p>
        </w:tc>
        <w:tc>
          <w:tcPr>
            <w:tcW w:w="297" w:type="pct"/>
          </w:tcPr>
          <w:p w14:paraId="57CF3BDB" w14:textId="77777777" w:rsidR="009E4ABC" w:rsidRPr="007E41C5" w:rsidRDefault="009E4ABC" w:rsidP="009E4ABC">
            <w:pPr>
              <w:spacing w:before="120" w:after="120" w:line="240" w:lineRule="auto"/>
              <w:jc w:val="both"/>
              <w:rPr>
                <w:rFonts w:ascii="Times New Roman" w:eastAsia="Calibri" w:hAnsi="Times New Roman" w:cs="Arial"/>
                <w:b/>
                <w:noProof/>
                <w:sz w:val="14"/>
                <w:szCs w:val="14"/>
                <w:highlight w:val="yellow"/>
              </w:rPr>
            </w:pPr>
          </w:p>
        </w:tc>
        <w:tc>
          <w:tcPr>
            <w:tcW w:w="385" w:type="pct"/>
            <w:shd w:val="clear" w:color="auto" w:fill="auto"/>
          </w:tcPr>
          <w:p w14:paraId="4438123B" w14:textId="77777777" w:rsidR="009E4ABC" w:rsidRPr="007E41C5" w:rsidRDefault="00156283" w:rsidP="009E4ABC">
            <w:pPr>
              <w:spacing w:before="120" w:after="120" w:line="240" w:lineRule="auto"/>
              <w:jc w:val="center"/>
              <w:rPr>
                <w:rFonts w:ascii="Times New Roman" w:eastAsia="Calibri" w:hAnsi="Times New Roman" w:cs="Arial"/>
                <w:b/>
                <w:noProof/>
                <w:sz w:val="14"/>
                <w:szCs w:val="14"/>
                <w:highlight w:val="yellow"/>
              </w:rPr>
            </w:pPr>
            <w:r w:rsidRPr="007E41C5">
              <w:rPr>
                <w:rFonts w:ascii="Times New Roman" w:eastAsia="Calibri" w:hAnsi="Times New Roman" w:cs="Arial"/>
                <w:b/>
                <w:noProof/>
                <w:sz w:val="14"/>
                <w:szCs w:val="14"/>
                <w:highlight w:val="yellow"/>
              </w:rPr>
              <w:t>12</w:t>
            </w:r>
          </w:p>
        </w:tc>
        <w:tc>
          <w:tcPr>
            <w:tcW w:w="404" w:type="pct"/>
            <w:shd w:val="clear" w:color="auto" w:fill="auto"/>
          </w:tcPr>
          <w:p w14:paraId="36203AD3" w14:textId="77777777" w:rsidR="009E4ABC" w:rsidRPr="007E41C5" w:rsidRDefault="009E4ABC" w:rsidP="009E4ABC">
            <w:pPr>
              <w:spacing w:before="120" w:after="120" w:line="480" w:lineRule="auto"/>
              <w:jc w:val="both"/>
              <w:rPr>
                <w:rFonts w:ascii="Times New Roman" w:eastAsia="Calibri" w:hAnsi="Times New Roman" w:cs="Arial"/>
                <w:i/>
                <w:noProof/>
                <w:sz w:val="14"/>
                <w:szCs w:val="14"/>
                <w:highlight w:val="yellow"/>
              </w:rPr>
            </w:pPr>
            <w:r w:rsidRPr="007E41C5">
              <w:rPr>
                <w:rFonts w:ascii="Times New Roman" w:eastAsia="Calibri" w:hAnsi="Times New Roman" w:cs="Arial"/>
                <w:i/>
                <w:noProof/>
                <w:sz w:val="14"/>
                <w:szCs w:val="14"/>
                <w:highlight w:val="yellow"/>
              </w:rPr>
              <w:t>MA monitoring system</w:t>
            </w:r>
          </w:p>
        </w:tc>
        <w:tc>
          <w:tcPr>
            <w:tcW w:w="362" w:type="pct"/>
          </w:tcPr>
          <w:p w14:paraId="0D7D7EE2" w14:textId="77777777" w:rsidR="009E4ABC" w:rsidRPr="007E41C5" w:rsidRDefault="009E4ABC" w:rsidP="009E4ABC">
            <w:pPr>
              <w:spacing w:after="200" w:line="276" w:lineRule="auto"/>
              <w:rPr>
                <w:rFonts w:ascii="Calibri" w:eastAsia="Calibri" w:hAnsi="Calibri" w:cs="Arial"/>
                <w:i/>
                <w:noProof/>
                <w:sz w:val="14"/>
                <w:szCs w:val="14"/>
                <w:highlight w:val="yellow"/>
              </w:rPr>
            </w:pPr>
          </w:p>
        </w:tc>
      </w:tr>
    </w:tbl>
    <w:p w14:paraId="220532C1" w14:textId="77777777" w:rsidR="009A331F" w:rsidRDefault="009A331F" w:rsidP="009A331F">
      <w:pPr>
        <w:spacing w:before="240" w:after="240" w:line="240" w:lineRule="auto"/>
        <w:rPr>
          <w:rFonts w:ascii="Times New Roman" w:eastAsia="Times New Roman" w:hAnsi="Times New Roman" w:cs="Times New Roman"/>
          <w:b/>
          <w:iCs/>
          <w:noProof/>
          <w:sz w:val="24"/>
          <w:szCs w:val="24"/>
          <w:lang w:eastAsia="en-GB"/>
        </w:rPr>
      </w:pPr>
    </w:p>
    <w:p w14:paraId="3C78D0A2" w14:textId="77777777" w:rsidR="00A10ECC" w:rsidRPr="00A10ECC" w:rsidRDefault="00A10ECC" w:rsidP="00A10ECC">
      <w:pPr>
        <w:spacing w:before="240" w:after="240" w:line="240" w:lineRule="auto"/>
        <w:ind w:left="709" w:hanging="709"/>
        <w:rPr>
          <w:rFonts w:ascii="Times New Roman" w:eastAsia="Times New Roman" w:hAnsi="Times New Roman" w:cs="Times New Roman"/>
          <w:b/>
          <w:iCs/>
          <w:noProof/>
          <w:sz w:val="24"/>
          <w:szCs w:val="24"/>
          <w:lang w:eastAsia="en-GB"/>
        </w:rPr>
      </w:pPr>
      <w:r w:rsidRPr="00A10ECC">
        <w:rPr>
          <w:rFonts w:ascii="Times New Roman" w:eastAsia="Times New Roman" w:hAnsi="Times New Roman" w:cs="Times New Roman"/>
          <w:b/>
          <w:iCs/>
          <w:noProof/>
          <w:sz w:val="24"/>
          <w:szCs w:val="24"/>
          <w:lang w:eastAsia="en-GB"/>
        </w:rPr>
        <w:t>2.1.4.</w:t>
      </w:r>
      <w:r w:rsidRPr="00A10ECC">
        <w:rPr>
          <w:rFonts w:ascii="Times New Roman" w:eastAsia="Times New Roman" w:hAnsi="Times New Roman" w:cs="Times New Roman"/>
          <w:b/>
          <w:iCs/>
          <w:noProof/>
          <w:sz w:val="24"/>
          <w:szCs w:val="24"/>
          <w:lang w:eastAsia="en-GB"/>
        </w:rPr>
        <w:tab/>
        <w:t>The main target groups</w:t>
      </w:r>
    </w:p>
    <w:p w14:paraId="01E8AB60" w14:textId="77777777" w:rsidR="00A10ECC" w:rsidRPr="00A10ECC" w:rsidRDefault="00A10ECC" w:rsidP="00A10ECC">
      <w:pPr>
        <w:spacing w:after="200" w:line="276" w:lineRule="auto"/>
        <w:jc w:val="both"/>
        <w:rPr>
          <w:rFonts w:ascii="Times New Roman" w:eastAsia="Times New Roman" w:hAnsi="Times New Roman" w:cs="Times New Roman"/>
          <w:i/>
          <w:noProof/>
          <w:color w:val="000000"/>
          <w:sz w:val="24"/>
          <w:szCs w:val="24"/>
          <w:lang w:eastAsia="en-GB"/>
        </w:rPr>
      </w:pPr>
      <w:r w:rsidRPr="00A10ECC">
        <w:rPr>
          <w:rFonts w:ascii="Times New Roman" w:eastAsia="Times New Roman" w:hAnsi="Times New Roman" w:cs="Times New Roman"/>
          <w:i/>
          <w:noProof/>
          <w:color w:val="000000"/>
          <w:sz w:val="24"/>
          <w:szCs w:val="24"/>
          <w:lang w:eastAsia="en-GB"/>
        </w:rPr>
        <w:t>Reference: Article point (e)(iii) of 17(3), point (c)(iv) of Article 17(9)</w:t>
      </w:r>
    </w:p>
    <w:p w14:paraId="56033127" w14:textId="77777777" w:rsidR="005A60CE" w:rsidRDefault="00A10ECC" w:rsidP="005A60CE">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sz w:val="24"/>
          <w:szCs w:val="24"/>
          <w:lang w:eastAsia="en-GB"/>
        </w:rPr>
      </w:pPr>
      <w:r w:rsidRPr="00A10ECC">
        <w:rPr>
          <w:rFonts w:ascii="Times New Roman" w:eastAsia="Times New Roman" w:hAnsi="Times New Roman" w:cs="Times New Roman"/>
          <w:i/>
          <w:iCs/>
          <w:noProof/>
          <w:sz w:val="24"/>
          <w:szCs w:val="24"/>
          <w:lang w:eastAsia="en-GB"/>
        </w:rPr>
        <w:t>Text field [7000]</w:t>
      </w:r>
    </w:p>
    <w:p w14:paraId="5381969C" w14:textId="77777777" w:rsidR="00F36490" w:rsidRPr="00BA7B95" w:rsidRDefault="001F322E" w:rsidP="00866CA8">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lang w:val="bg-BG" w:eastAsia="en-GB"/>
        </w:rPr>
      </w:pPr>
      <w:r w:rsidRPr="001F322E">
        <w:rPr>
          <w:rFonts w:ascii="Times New Roman" w:eastAsia="Times New Roman" w:hAnsi="Times New Roman" w:cs="Times New Roman"/>
          <w:i/>
          <w:iCs/>
          <w:noProof/>
          <w:lang w:val="bg-BG" w:eastAsia="en-GB"/>
        </w:rPr>
        <w:t xml:space="preserve"> </w:t>
      </w:r>
      <w:r w:rsidR="008B7B4D" w:rsidRPr="008B7B4D">
        <w:rPr>
          <w:rFonts w:ascii="Times New Roman" w:eastAsia="Times New Roman" w:hAnsi="Times New Roman" w:cs="Times New Roman"/>
          <w:i/>
          <w:iCs/>
          <w:noProof/>
          <w:lang w:val="bg-BG" w:eastAsia="en-GB"/>
        </w:rPr>
        <w:t xml:space="preserve">Green infrastructure (GI) practices contribute to resilient communities and result in multiple benefits for a given territory. Influenced by connectivity, multifunctionality and spatial planning on multiple scales, GI can improve human health and wellbeing, support a green economy, create job opportunities and enhance biodiversity. The presented main target groups under the specific objective “Enhancing protection and preservation of nature, biodiversity, and green infrastructure, including in urban areas, and reducing all forms </w:t>
      </w:r>
      <w:r w:rsidR="008B7B4D" w:rsidRPr="008B7B4D">
        <w:rPr>
          <w:rFonts w:ascii="Times New Roman" w:eastAsia="Times New Roman" w:hAnsi="Times New Roman" w:cs="Times New Roman"/>
          <w:i/>
          <w:iCs/>
          <w:noProof/>
          <w:lang w:val="bg-BG" w:eastAsia="en-GB"/>
        </w:rPr>
        <w:lastRenderedPageBreak/>
        <w:t>of pollution” illustrate all those groups of communities that benefit the most from the multisectoral effects of the improved green infrastructure</w:t>
      </w:r>
      <w:r w:rsidR="00F36490" w:rsidRPr="00BA7B95">
        <w:rPr>
          <w:rFonts w:ascii="Times New Roman" w:eastAsia="Times New Roman" w:hAnsi="Times New Roman" w:cs="Times New Roman"/>
          <w:i/>
          <w:iCs/>
          <w:noProof/>
          <w:lang w:val="bg-BG" w:eastAsia="en-GB"/>
        </w:rPr>
        <w:t>:</w:t>
      </w:r>
    </w:p>
    <w:p w14:paraId="2D7BCFAA" w14:textId="77777777" w:rsidR="005A60CE" w:rsidRPr="005A60CE" w:rsidRDefault="005A60CE" w:rsidP="00851D3E">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noProof/>
          <w:color w:val="000000"/>
          <w:lang w:eastAsia="en-GB"/>
        </w:rPr>
      </w:pPr>
      <w:r w:rsidRPr="005A60CE">
        <w:rPr>
          <w:rFonts w:ascii="Times New Roman" w:eastAsia="Times New Roman" w:hAnsi="Times New Roman" w:cs="Times New Roman"/>
          <w:i/>
          <w:noProof/>
          <w:color w:val="000000"/>
          <w:lang w:eastAsia="en-GB"/>
        </w:rPr>
        <w:t></w:t>
      </w:r>
      <w:r w:rsidRPr="005A60CE">
        <w:rPr>
          <w:rFonts w:ascii="Times New Roman" w:eastAsia="Times New Roman" w:hAnsi="Times New Roman" w:cs="Times New Roman"/>
          <w:i/>
          <w:noProof/>
          <w:color w:val="000000"/>
          <w:lang w:eastAsia="en-GB"/>
        </w:rPr>
        <w:tab/>
        <w:t>Local population and visitors</w:t>
      </w:r>
    </w:p>
    <w:p w14:paraId="01DA834E" w14:textId="77777777" w:rsidR="005A60CE" w:rsidRPr="005A60CE" w:rsidRDefault="005A60CE" w:rsidP="00851D3E">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noProof/>
          <w:color w:val="000000"/>
          <w:lang w:eastAsia="en-GB"/>
        </w:rPr>
      </w:pPr>
      <w:r w:rsidRPr="005A60CE">
        <w:rPr>
          <w:rFonts w:ascii="Times New Roman" w:eastAsia="Times New Roman" w:hAnsi="Times New Roman" w:cs="Times New Roman"/>
          <w:i/>
          <w:noProof/>
          <w:color w:val="000000"/>
          <w:lang w:eastAsia="en-GB"/>
        </w:rPr>
        <w:t></w:t>
      </w:r>
      <w:r w:rsidRPr="005A60CE">
        <w:rPr>
          <w:rFonts w:ascii="Times New Roman" w:eastAsia="Times New Roman" w:hAnsi="Times New Roman" w:cs="Times New Roman"/>
          <w:i/>
          <w:noProof/>
          <w:color w:val="000000"/>
          <w:lang w:eastAsia="en-GB"/>
        </w:rPr>
        <w:tab/>
        <w:t>Local authorities and regional structures of central administration</w:t>
      </w:r>
    </w:p>
    <w:p w14:paraId="36EBF2F2" w14:textId="77777777" w:rsidR="005A60CE" w:rsidRPr="005A60CE" w:rsidRDefault="005A60CE" w:rsidP="00851D3E">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noProof/>
          <w:color w:val="000000"/>
          <w:lang w:eastAsia="en-GB"/>
        </w:rPr>
      </w:pPr>
      <w:r w:rsidRPr="005A60CE">
        <w:rPr>
          <w:rFonts w:ascii="Times New Roman" w:eastAsia="Times New Roman" w:hAnsi="Times New Roman" w:cs="Times New Roman"/>
          <w:i/>
          <w:noProof/>
          <w:color w:val="000000"/>
          <w:lang w:eastAsia="en-GB"/>
        </w:rPr>
        <w:t></w:t>
      </w:r>
      <w:r w:rsidRPr="005A60CE">
        <w:rPr>
          <w:rFonts w:ascii="Times New Roman" w:eastAsia="Times New Roman" w:hAnsi="Times New Roman" w:cs="Times New Roman"/>
          <w:i/>
          <w:noProof/>
          <w:color w:val="000000"/>
          <w:lang w:eastAsia="en-GB"/>
        </w:rPr>
        <w:tab/>
        <w:t>R&amp;D, academic and scientific institutions</w:t>
      </w:r>
    </w:p>
    <w:p w14:paraId="14D3FCD2" w14:textId="77777777" w:rsidR="005A60CE" w:rsidRPr="00A10ECC" w:rsidRDefault="005A60CE" w:rsidP="00851D3E">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noProof/>
          <w:color w:val="000000"/>
          <w:lang w:eastAsia="en-GB"/>
        </w:rPr>
      </w:pPr>
      <w:r w:rsidRPr="005A60CE">
        <w:rPr>
          <w:rFonts w:ascii="Times New Roman" w:eastAsia="Times New Roman" w:hAnsi="Times New Roman" w:cs="Times New Roman"/>
          <w:i/>
          <w:noProof/>
          <w:color w:val="000000"/>
          <w:lang w:eastAsia="en-GB"/>
        </w:rPr>
        <w:t></w:t>
      </w:r>
      <w:r w:rsidRPr="005A60CE">
        <w:rPr>
          <w:rFonts w:ascii="Times New Roman" w:eastAsia="Times New Roman" w:hAnsi="Times New Roman" w:cs="Times New Roman"/>
          <w:i/>
          <w:noProof/>
          <w:color w:val="000000"/>
          <w:lang w:eastAsia="en-GB"/>
        </w:rPr>
        <w:tab/>
        <w:t>NGOs</w:t>
      </w:r>
    </w:p>
    <w:p w14:paraId="2396B2AC" w14:textId="77777777" w:rsidR="00827073" w:rsidRPr="00A10ECC" w:rsidRDefault="00827073" w:rsidP="00827073">
      <w:pPr>
        <w:spacing w:before="240" w:after="240" w:line="240" w:lineRule="auto"/>
        <w:ind w:left="709" w:hanging="709"/>
        <w:rPr>
          <w:rFonts w:ascii="Times New Roman" w:eastAsia="Times New Roman" w:hAnsi="Times New Roman" w:cs="Times New Roman"/>
          <w:b/>
          <w:iCs/>
          <w:noProof/>
          <w:sz w:val="24"/>
          <w:szCs w:val="24"/>
          <w:lang w:eastAsia="en-GB"/>
        </w:rPr>
      </w:pPr>
      <w:r w:rsidRPr="00A10ECC">
        <w:rPr>
          <w:rFonts w:ascii="Times New Roman" w:eastAsia="Times New Roman" w:hAnsi="Times New Roman" w:cs="Times New Roman"/>
          <w:b/>
          <w:iCs/>
          <w:noProof/>
          <w:sz w:val="24"/>
          <w:szCs w:val="24"/>
          <w:lang w:eastAsia="en-GB"/>
        </w:rPr>
        <w:t>2.1.5.</w:t>
      </w:r>
      <w:r w:rsidRPr="00A10ECC">
        <w:rPr>
          <w:rFonts w:ascii="Times New Roman" w:eastAsia="Times New Roman" w:hAnsi="Times New Roman" w:cs="Times New Roman"/>
          <w:b/>
          <w:iCs/>
          <w:noProof/>
          <w:sz w:val="24"/>
          <w:szCs w:val="24"/>
          <w:lang w:eastAsia="en-GB"/>
        </w:rPr>
        <w:tab/>
        <w:t>Indication of the specific territories targeted, including the planned use of ITI, CLLD or other territorial tools</w:t>
      </w:r>
    </w:p>
    <w:p w14:paraId="675134AB" w14:textId="77777777" w:rsidR="00827073" w:rsidRPr="00A10ECC" w:rsidRDefault="00827073" w:rsidP="00827073">
      <w:pPr>
        <w:spacing w:after="200" w:line="276" w:lineRule="auto"/>
        <w:jc w:val="both"/>
        <w:rPr>
          <w:rFonts w:ascii="Times New Roman" w:eastAsia="Times New Roman" w:hAnsi="Times New Roman" w:cs="Times New Roman"/>
          <w:i/>
          <w:noProof/>
          <w:color w:val="000000"/>
          <w:sz w:val="24"/>
          <w:szCs w:val="24"/>
          <w:lang w:eastAsia="en-GB"/>
        </w:rPr>
      </w:pPr>
      <w:r w:rsidRPr="00A10ECC">
        <w:rPr>
          <w:rFonts w:ascii="Times New Roman" w:eastAsia="Times New Roman" w:hAnsi="Times New Roman" w:cs="Times New Roman"/>
          <w:i/>
          <w:noProof/>
          <w:color w:val="000000"/>
          <w:sz w:val="24"/>
          <w:szCs w:val="24"/>
          <w:lang w:eastAsia="en-GB"/>
        </w:rPr>
        <w:t>Reference: Article point (e)(iv) of 17(3)</w:t>
      </w:r>
    </w:p>
    <w:p w14:paraId="315E6933" w14:textId="77777777" w:rsidR="00827073" w:rsidRDefault="00827073" w:rsidP="00827073">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sz w:val="24"/>
          <w:szCs w:val="24"/>
          <w:lang w:eastAsia="en-GB"/>
        </w:rPr>
      </w:pPr>
      <w:r w:rsidRPr="00A10ECC">
        <w:rPr>
          <w:rFonts w:ascii="Times New Roman" w:eastAsia="Times New Roman" w:hAnsi="Times New Roman" w:cs="Times New Roman"/>
          <w:i/>
          <w:iCs/>
          <w:noProof/>
          <w:sz w:val="24"/>
          <w:szCs w:val="24"/>
          <w:lang w:eastAsia="en-GB"/>
        </w:rPr>
        <w:t>Text field [7000]</w:t>
      </w:r>
    </w:p>
    <w:p w14:paraId="0DF6A4A5" w14:textId="77777777" w:rsidR="00827073" w:rsidRPr="00F04981" w:rsidRDefault="00827073" w:rsidP="00827073">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noProof/>
          <w:color w:val="000000"/>
          <w:lang w:eastAsia="en-GB"/>
        </w:rPr>
      </w:pPr>
    </w:p>
    <w:p w14:paraId="4A16FC9F" w14:textId="77777777" w:rsidR="00827073" w:rsidRPr="00A10ECC" w:rsidRDefault="00827073" w:rsidP="00827073">
      <w:pPr>
        <w:spacing w:before="240" w:after="240" w:line="240" w:lineRule="auto"/>
        <w:ind w:left="709" w:hanging="709"/>
        <w:rPr>
          <w:rFonts w:ascii="Times New Roman" w:eastAsia="Times New Roman" w:hAnsi="Times New Roman" w:cs="Times New Roman"/>
          <w:b/>
          <w:iCs/>
          <w:noProof/>
          <w:sz w:val="24"/>
          <w:szCs w:val="24"/>
          <w:lang w:eastAsia="en-GB"/>
        </w:rPr>
      </w:pPr>
      <w:r w:rsidRPr="00A10ECC">
        <w:rPr>
          <w:rFonts w:ascii="Times New Roman" w:eastAsia="Times New Roman" w:hAnsi="Times New Roman" w:cs="Times New Roman"/>
          <w:b/>
          <w:iCs/>
          <w:noProof/>
          <w:sz w:val="24"/>
          <w:szCs w:val="24"/>
          <w:lang w:eastAsia="en-GB"/>
        </w:rPr>
        <w:t>2.</w:t>
      </w:r>
      <w:r>
        <w:rPr>
          <w:rFonts w:ascii="Times New Roman" w:eastAsia="Times New Roman" w:hAnsi="Times New Roman" w:cs="Times New Roman"/>
          <w:b/>
          <w:iCs/>
          <w:noProof/>
          <w:sz w:val="24"/>
          <w:szCs w:val="24"/>
          <w:lang w:eastAsia="en-GB"/>
        </w:rPr>
        <w:t>1</w:t>
      </w:r>
      <w:r w:rsidRPr="00A10ECC">
        <w:rPr>
          <w:rFonts w:ascii="Times New Roman" w:eastAsia="Times New Roman" w:hAnsi="Times New Roman" w:cs="Times New Roman"/>
          <w:b/>
          <w:iCs/>
          <w:noProof/>
          <w:sz w:val="24"/>
          <w:szCs w:val="24"/>
          <w:lang w:eastAsia="en-GB"/>
        </w:rPr>
        <w:t>.6.</w:t>
      </w:r>
      <w:r w:rsidRPr="00A10ECC">
        <w:rPr>
          <w:rFonts w:ascii="Times New Roman" w:eastAsia="Times New Roman" w:hAnsi="Times New Roman" w:cs="Times New Roman"/>
          <w:b/>
          <w:iCs/>
          <w:noProof/>
          <w:sz w:val="24"/>
          <w:szCs w:val="24"/>
          <w:lang w:eastAsia="en-GB"/>
        </w:rPr>
        <w:tab/>
        <w:t>Planned use of financial instruments</w:t>
      </w:r>
    </w:p>
    <w:p w14:paraId="6EE63FD1" w14:textId="77777777" w:rsidR="00827073" w:rsidRPr="00A10ECC" w:rsidRDefault="00827073" w:rsidP="00827073">
      <w:pPr>
        <w:spacing w:after="200" w:line="276" w:lineRule="auto"/>
        <w:jc w:val="both"/>
        <w:rPr>
          <w:rFonts w:ascii="Times New Roman" w:eastAsia="Times New Roman" w:hAnsi="Times New Roman" w:cs="Times New Roman"/>
          <w:i/>
          <w:noProof/>
          <w:color w:val="000000"/>
          <w:sz w:val="24"/>
          <w:szCs w:val="24"/>
          <w:lang w:eastAsia="en-GB"/>
        </w:rPr>
      </w:pPr>
      <w:r w:rsidRPr="00A10ECC">
        <w:rPr>
          <w:rFonts w:ascii="Times New Roman" w:eastAsia="Times New Roman" w:hAnsi="Times New Roman" w:cs="Times New Roman"/>
          <w:i/>
          <w:noProof/>
          <w:color w:val="000000"/>
          <w:sz w:val="24"/>
          <w:szCs w:val="24"/>
          <w:lang w:eastAsia="en-GB"/>
        </w:rPr>
        <w:t>Reference: point (e)(v) of Article 17(3)</w:t>
      </w:r>
    </w:p>
    <w:p w14:paraId="122B2FE3" w14:textId="77777777" w:rsidR="00827073" w:rsidRPr="00A10ECC" w:rsidRDefault="00827073" w:rsidP="00827073">
      <w:pPr>
        <w:pBdr>
          <w:top w:val="single" w:sz="4" w:space="1" w:color="auto"/>
          <w:left w:val="single" w:sz="4" w:space="4" w:color="auto"/>
          <w:bottom w:val="single" w:sz="4" w:space="1" w:color="auto"/>
          <w:right w:val="single" w:sz="4" w:space="14" w:color="auto"/>
        </w:pBdr>
        <w:spacing w:after="200" w:line="276" w:lineRule="auto"/>
        <w:jc w:val="both"/>
        <w:rPr>
          <w:rFonts w:ascii="Times New Roman" w:eastAsia="Times New Roman" w:hAnsi="Times New Roman" w:cs="Times New Roman"/>
          <w:i/>
          <w:noProof/>
          <w:color w:val="000000"/>
          <w:lang w:eastAsia="en-GB"/>
        </w:rPr>
      </w:pPr>
      <w:r w:rsidRPr="00A10ECC">
        <w:rPr>
          <w:rFonts w:ascii="Times New Roman" w:eastAsia="Times New Roman" w:hAnsi="Times New Roman" w:cs="Times New Roman"/>
          <w:i/>
          <w:iCs/>
          <w:noProof/>
          <w:sz w:val="24"/>
          <w:szCs w:val="24"/>
          <w:lang w:eastAsia="en-GB"/>
        </w:rPr>
        <w:t>Text field [7000]</w:t>
      </w:r>
    </w:p>
    <w:p w14:paraId="1DD8CDCA" w14:textId="77777777" w:rsidR="00827073" w:rsidRPr="00BA7B95" w:rsidRDefault="00827073" w:rsidP="00827073">
      <w:pPr>
        <w:pBdr>
          <w:top w:val="single" w:sz="4" w:space="1" w:color="auto"/>
          <w:left w:val="single" w:sz="4" w:space="4" w:color="auto"/>
          <w:bottom w:val="single" w:sz="4" w:space="1" w:color="auto"/>
          <w:right w:val="single" w:sz="4" w:space="14" w:color="auto"/>
        </w:pBdr>
        <w:spacing w:after="200" w:line="276" w:lineRule="auto"/>
        <w:jc w:val="both"/>
        <w:rPr>
          <w:rFonts w:ascii="Times New Roman" w:eastAsia="Times New Roman" w:hAnsi="Times New Roman" w:cs="Times New Roman"/>
          <w:i/>
          <w:iCs/>
          <w:noProof/>
          <w:lang w:eastAsia="en-GB"/>
        </w:rPr>
      </w:pPr>
      <w:r w:rsidRPr="00BA7B95">
        <w:rPr>
          <w:rFonts w:ascii="Times New Roman" w:eastAsia="Times New Roman" w:hAnsi="Times New Roman" w:cs="Times New Roman"/>
          <w:i/>
          <w:iCs/>
          <w:noProof/>
          <w:lang w:eastAsia="en-GB"/>
        </w:rPr>
        <w:t>Not applicable</w:t>
      </w:r>
    </w:p>
    <w:p w14:paraId="215B8C4F" w14:textId="77777777" w:rsidR="00827073" w:rsidRPr="00A10ECC" w:rsidRDefault="00827073" w:rsidP="00827073">
      <w:pPr>
        <w:spacing w:before="240" w:after="240" w:line="240" w:lineRule="auto"/>
        <w:ind w:left="709" w:hanging="709"/>
        <w:rPr>
          <w:rFonts w:ascii="Times New Roman" w:eastAsia="Times New Roman" w:hAnsi="Times New Roman" w:cs="Times New Roman"/>
          <w:b/>
          <w:iCs/>
          <w:noProof/>
          <w:sz w:val="24"/>
          <w:szCs w:val="24"/>
          <w:lang w:eastAsia="en-GB"/>
        </w:rPr>
      </w:pPr>
      <w:r w:rsidRPr="00A10ECC">
        <w:rPr>
          <w:rFonts w:ascii="Times New Roman" w:eastAsia="Times New Roman" w:hAnsi="Times New Roman" w:cs="Times New Roman"/>
          <w:b/>
          <w:iCs/>
          <w:noProof/>
          <w:sz w:val="24"/>
          <w:szCs w:val="24"/>
          <w:lang w:eastAsia="en-GB"/>
        </w:rPr>
        <w:t>2.</w:t>
      </w:r>
      <w:r>
        <w:rPr>
          <w:rFonts w:ascii="Times New Roman" w:eastAsia="Times New Roman" w:hAnsi="Times New Roman" w:cs="Times New Roman"/>
          <w:b/>
          <w:iCs/>
          <w:noProof/>
          <w:sz w:val="24"/>
          <w:szCs w:val="24"/>
          <w:lang w:eastAsia="en-GB"/>
        </w:rPr>
        <w:t>1</w:t>
      </w:r>
      <w:r w:rsidRPr="00A10ECC">
        <w:rPr>
          <w:rFonts w:ascii="Times New Roman" w:eastAsia="Times New Roman" w:hAnsi="Times New Roman" w:cs="Times New Roman"/>
          <w:b/>
          <w:iCs/>
          <w:noProof/>
          <w:sz w:val="24"/>
          <w:szCs w:val="24"/>
          <w:lang w:eastAsia="en-GB"/>
        </w:rPr>
        <w:t>.7.</w:t>
      </w:r>
      <w:r w:rsidRPr="00A10ECC">
        <w:rPr>
          <w:rFonts w:ascii="Times New Roman" w:eastAsia="Times New Roman" w:hAnsi="Times New Roman" w:cs="Times New Roman"/>
          <w:b/>
          <w:iCs/>
          <w:noProof/>
          <w:sz w:val="24"/>
          <w:szCs w:val="24"/>
          <w:lang w:eastAsia="en-GB"/>
        </w:rPr>
        <w:tab/>
        <w:t>Indicative breakdown of the EU programme resources by type of intervention</w:t>
      </w:r>
    </w:p>
    <w:p w14:paraId="502288F1" w14:textId="77777777" w:rsidR="00827073" w:rsidRPr="00A10ECC" w:rsidRDefault="00827073" w:rsidP="00827073">
      <w:pPr>
        <w:spacing w:after="200" w:line="276" w:lineRule="auto"/>
        <w:jc w:val="both"/>
        <w:rPr>
          <w:rFonts w:ascii="Times New Roman" w:eastAsia="Times New Roman" w:hAnsi="Times New Roman" w:cs="Times New Roman"/>
          <w:i/>
          <w:noProof/>
          <w:color w:val="000000"/>
          <w:sz w:val="24"/>
          <w:szCs w:val="24"/>
          <w:lang w:val="en-IE" w:eastAsia="en-GB"/>
        </w:rPr>
      </w:pPr>
      <w:r w:rsidRPr="00A10ECC">
        <w:rPr>
          <w:rFonts w:ascii="Times New Roman" w:eastAsia="Times New Roman" w:hAnsi="Times New Roman" w:cs="Times New Roman"/>
          <w:i/>
          <w:noProof/>
          <w:color w:val="000000"/>
          <w:sz w:val="24"/>
          <w:szCs w:val="24"/>
          <w:lang w:val="en-IE" w:eastAsia="en-GB"/>
        </w:rPr>
        <w:t xml:space="preserve">Reference: point </w:t>
      </w:r>
      <w:r w:rsidRPr="00A10ECC">
        <w:rPr>
          <w:rFonts w:ascii="Times New Roman" w:eastAsia="Times New Roman" w:hAnsi="Times New Roman" w:cs="Times New Roman"/>
          <w:i/>
          <w:noProof/>
          <w:color w:val="000000"/>
          <w:sz w:val="24"/>
          <w:szCs w:val="24"/>
          <w:lang w:eastAsia="en-GB"/>
        </w:rPr>
        <w:t>(e)(vi) of</w:t>
      </w:r>
      <w:r w:rsidRPr="00A10ECC">
        <w:rPr>
          <w:rFonts w:ascii="Times New Roman" w:eastAsia="Times New Roman" w:hAnsi="Times New Roman" w:cs="Times New Roman"/>
          <w:i/>
          <w:noProof/>
          <w:color w:val="000000"/>
          <w:sz w:val="24"/>
          <w:szCs w:val="24"/>
          <w:lang w:val="en-IE" w:eastAsia="en-GB"/>
        </w:rPr>
        <w:t xml:space="preserve"> Article 17(3), point </w:t>
      </w:r>
      <w:r w:rsidRPr="00A10ECC">
        <w:rPr>
          <w:rFonts w:ascii="Times New Roman" w:eastAsia="Times New Roman" w:hAnsi="Times New Roman" w:cs="Times New Roman"/>
          <w:i/>
          <w:noProof/>
          <w:color w:val="000000"/>
          <w:sz w:val="24"/>
          <w:szCs w:val="24"/>
          <w:lang w:eastAsia="en-GB"/>
        </w:rPr>
        <w:t>(e)(v) of</w:t>
      </w:r>
      <w:r w:rsidRPr="00A10ECC">
        <w:rPr>
          <w:rFonts w:ascii="Times New Roman" w:eastAsia="Times New Roman" w:hAnsi="Times New Roman" w:cs="Times New Roman"/>
          <w:i/>
          <w:noProof/>
          <w:color w:val="000000"/>
          <w:sz w:val="24"/>
          <w:szCs w:val="24"/>
          <w:lang w:val="en-IE" w:eastAsia="en-GB"/>
        </w:rPr>
        <w:t xml:space="preserve"> Article 17(9)</w:t>
      </w:r>
    </w:p>
    <w:p w14:paraId="57EC6203" w14:textId="77777777" w:rsidR="00827073" w:rsidRPr="007E41C5" w:rsidRDefault="00827073" w:rsidP="00827073">
      <w:pPr>
        <w:spacing w:after="200" w:line="276" w:lineRule="auto"/>
        <w:rPr>
          <w:rFonts w:ascii="Times New Roman" w:eastAsia="Times New Roman" w:hAnsi="Times New Roman" w:cs="Times New Roman"/>
          <w:i/>
          <w:noProof/>
          <w:color w:val="000000"/>
          <w:sz w:val="24"/>
          <w:szCs w:val="24"/>
          <w:highlight w:val="yellow"/>
          <w:lang w:val="fr-BE" w:eastAsia="en-GB"/>
        </w:rPr>
      </w:pPr>
      <w:r w:rsidRPr="007E41C5">
        <w:rPr>
          <w:rFonts w:ascii="Times New Roman" w:eastAsia="Times New Roman" w:hAnsi="Times New Roman" w:cs="Times New Roman"/>
          <w:iCs/>
          <w:noProof/>
          <w:sz w:val="24"/>
          <w:szCs w:val="24"/>
          <w:highlight w:val="yellow"/>
          <w:lang w:val="fr-BE" w:eastAsia="en-GB"/>
        </w:rPr>
        <w:t>Table 4: Dimension 1 – intervention field</w:t>
      </w:r>
    </w:p>
    <w:tbl>
      <w:tblPr>
        <w:tblStyle w:val="TableGrid1"/>
        <w:tblW w:w="9918" w:type="dxa"/>
        <w:tblLook w:val="04A0" w:firstRow="1" w:lastRow="0" w:firstColumn="1" w:lastColumn="0" w:noHBand="0" w:noVBand="1"/>
      </w:tblPr>
      <w:tblGrid>
        <w:gridCol w:w="1271"/>
        <w:gridCol w:w="1559"/>
        <w:gridCol w:w="1701"/>
        <w:gridCol w:w="3402"/>
        <w:gridCol w:w="1985"/>
      </w:tblGrid>
      <w:tr w:rsidR="00827073" w:rsidRPr="007E41C5" w14:paraId="577554D9" w14:textId="77777777" w:rsidTr="0096715F">
        <w:tc>
          <w:tcPr>
            <w:tcW w:w="1271" w:type="dxa"/>
          </w:tcPr>
          <w:p w14:paraId="2278EC7A" w14:textId="77777777" w:rsidR="00827073" w:rsidRPr="007E41C5" w:rsidRDefault="00827073" w:rsidP="0096715F">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Priority no</w:t>
            </w:r>
          </w:p>
        </w:tc>
        <w:tc>
          <w:tcPr>
            <w:tcW w:w="1559" w:type="dxa"/>
          </w:tcPr>
          <w:p w14:paraId="1414C091" w14:textId="77777777" w:rsidR="00827073" w:rsidRPr="007E41C5" w:rsidRDefault="00827073" w:rsidP="0096715F">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Fund</w:t>
            </w:r>
          </w:p>
        </w:tc>
        <w:tc>
          <w:tcPr>
            <w:tcW w:w="1701" w:type="dxa"/>
          </w:tcPr>
          <w:p w14:paraId="7B2C2FA6" w14:textId="77777777" w:rsidR="00827073" w:rsidRPr="007E41C5" w:rsidRDefault="00827073" w:rsidP="0096715F">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Specific objective</w:t>
            </w:r>
          </w:p>
        </w:tc>
        <w:tc>
          <w:tcPr>
            <w:tcW w:w="3402" w:type="dxa"/>
          </w:tcPr>
          <w:p w14:paraId="692CDD40" w14:textId="77777777" w:rsidR="00827073" w:rsidRPr="007E41C5" w:rsidRDefault="00827073" w:rsidP="0096715F">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 xml:space="preserve">Code </w:t>
            </w:r>
          </w:p>
        </w:tc>
        <w:tc>
          <w:tcPr>
            <w:tcW w:w="1985" w:type="dxa"/>
          </w:tcPr>
          <w:p w14:paraId="7930DA74" w14:textId="77777777" w:rsidR="00827073" w:rsidRPr="007E41C5" w:rsidRDefault="00827073" w:rsidP="0096715F">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Amount (EUR)</w:t>
            </w:r>
          </w:p>
          <w:p w14:paraId="62399E28" w14:textId="77777777" w:rsidR="00827073" w:rsidRPr="007E41C5" w:rsidRDefault="00827073" w:rsidP="0096715F">
            <w:pPr>
              <w:rPr>
                <w:rFonts w:ascii="Times New Roman" w:eastAsia="Times New Roman" w:hAnsi="Times New Roman" w:cs="Times New Roman"/>
                <w:b/>
                <w:iCs/>
                <w:noProof/>
                <w:sz w:val="20"/>
                <w:szCs w:val="20"/>
                <w:highlight w:val="yellow"/>
                <w:lang w:eastAsia="en-GB"/>
              </w:rPr>
            </w:pPr>
          </w:p>
        </w:tc>
      </w:tr>
      <w:tr w:rsidR="001655B6" w:rsidRPr="007E41C5" w14:paraId="11AC4122" w14:textId="77777777" w:rsidTr="0096715F">
        <w:tc>
          <w:tcPr>
            <w:tcW w:w="1271" w:type="dxa"/>
          </w:tcPr>
          <w:p w14:paraId="4B44ED63" w14:textId="77777777" w:rsidR="001655B6" w:rsidRPr="007E41C5" w:rsidRDefault="001655B6" w:rsidP="001655B6">
            <w:pPr>
              <w:jc w:val="center"/>
              <w:rPr>
                <w:rFonts w:ascii="Times New Roman" w:eastAsia="Times New Roman" w:hAnsi="Times New Roman" w:cs="Times New Roman"/>
                <w:iCs/>
                <w:noProof/>
                <w:sz w:val="20"/>
                <w:szCs w:val="20"/>
                <w:highlight w:val="yellow"/>
                <w:lang w:eastAsia="en-GB"/>
              </w:rPr>
            </w:pPr>
            <w:r w:rsidRPr="007E41C5">
              <w:rPr>
                <w:rFonts w:ascii="Times New Roman" w:eastAsia="Times New Roman" w:hAnsi="Times New Roman" w:cs="Times New Roman"/>
                <w:iCs/>
                <w:noProof/>
                <w:sz w:val="20"/>
                <w:szCs w:val="20"/>
                <w:highlight w:val="yellow"/>
                <w:lang w:eastAsia="en-GB"/>
              </w:rPr>
              <w:t>1</w:t>
            </w:r>
          </w:p>
        </w:tc>
        <w:tc>
          <w:tcPr>
            <w:tcW w:w="1559" w:type="dxa"/>
          </w:tcPr>
          <w:p w14:paraId="2E53BFAA" w14:textId="77777777" w:rsidR="001655B6" w:rsidRPr="007E41C5" w:rsidRDefault="001655B6" w:rsidP="001655B6">
            <w:pPr>
              <w:jc w:val="both"/>
              <w:rPr>
                <w:rFonts w:ascii="Times New Roman" w:eastAsia="Times New Roman" w:hAnsi="Times New Roman" w:cs="Times New Roman"/>
                <w:iCs/>
                <w:noProof/>
                <w:sz w:val="20"/>
                <w:szCs w:val="20"/>
                <w:highlight w:val="yellow"/>
                <w:lang w:eastAsia="en-GB"/>
              </w:rPr>
            </w:pPr>
            <w:r w:rsidRPr="007E41C5">
              <w:rPr>
                <w:rFonts w:ascii="Times New Roman" w:eastAsia="Times New Roman" w:hAnsi="Times New Roman" w:cs="Times New Roman"/>
                <w:iCs/>
                <w:noProof/>
                <w:sz w:val="20"/>
                <w:szCs w:val="20"/>
                <w:highlight w:val="yellow"/>
                <w:lang w:eastAsia="en-GB"/>
              </w:rPr>
              <w:t>Union funds (ERDF and IPA)</w:t>
            </w:r>
          </w:p>
          <w:p w14:paraId="5DECA849" w14:textId="77777777" w:rsidR="001655B6" w:rsidRPr="007E41C5" w:rsidRDefault="001655B6" w:rsidP="001655B6">
            <w:pPr>
              <w:rPr>
                <w:rFonts w:ascii="Times New Roman" w:eastAsia="Times New Roman" w:hAnsi="Times New Roman" w:cs="Times New Roman"/>
                <w:b/>
                <w:iCs/>
                <w:noProof/>
                <w:sz w:val="20"/>
                <w:szCs w:val="20"/>
                <w:highlight w:val="yellow"/>
                <w:lang w:eastAsia="en-GB"/>
              </w:rPr>
            </w:pPr>
          </w:p>
        </w:tc>
        <w:tc>
          <w:tcPr>
            <w:tcW w:w="1701" w:type="dxa"/>
          </w:tcPr>
          <w:p w14:paraId="5B00D5F4" w14:textId="77777777" w:rsidR="001655B6" w:rsidRPr="007E41C5" w:rsidRDefault="001655B6" w:rsidP="001655B6">
            <w:pPr>
              <w:jc w:val="cente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1.1.</w:t>
            </w:r>
          </w:p>
        </w:tc>
        <w:tc>
          <w:tcPr>
            <w:tcW w:w="3402" w:type="dxa"/>
            <w:tcBorders>
              <w:bottom w:val="single" w:sz="4" w:space="0" w:color="auto"/>
            </w:tcBorders>
          </w:tcPr>
          <w:p w14:paraId="4A1CDEE3" w14:textId="77777777" w:rsidR="001655B6" w:rsidRPr="007E41C5" w:rsidRDefault="001655B6" w:rsidP="001655B6">
            <w:pPr>
              <w:jc w:val="both"/>
              <w:rPr>
                <w:rFonts w:ascii="Times New Roman" w:eastAsia="Times New Roman" w:hAnsi="Times New Roman" w:cs="Times New Roman"/>
                <w:iCs/>
                <w:noProof/>
                <w:sz w:val="20"/>
                <w:szCs w:val="20"/>
                <w:highlight w:val="yellow"/>
                <w:lang w:eastAsia="en-GB"/>
              </w:rPr>
            </w:pPr>
            <w:r w:rsidRPr="007E41C5">
              <w:rPr>
                <w:rFonts w:ascii="Times New Roman" w:eastAsia="Times New Roman" w:hAnsi="Times New Roman" w:cs="Times New Roman"/>
                <w:iCs/>
                <w:noProof/>
                <w:sz w:val="20"/>
                <w:szCs w:val="20"/>
                <w:highlight w:val="yellow"/>
                <w:lang w:eastAsia="en-GB"/>
              </w:rPr>
              <w:t>079 Nature and biodiversity protection, natural heritage and resources, green and blue infrastructure</w:t>
            </w:r>
          </w:p>
        </w:tc>
        <w:tc>
          <w:tcPr>
            <w:tcW w:w="1985" w:type="dxa"/>
          </w:tcPr>
          <w:p w14:paraId="509F7DDC" w14:textId="77777777" w:rsidR="001655B6" w:rsidRPr="007E41C5" w:rsidRDefault="001655B6" w:rsidP="0085533B">
            <w:pPr>
              <w:jc w:val="center"/>
              <w:rPr>
                <w:rFonts w:ascii="Times New Roman" w:eastAsia="Times New Roman" w:hAnsi="Times New Roman" w:cs="Times New Roman"/>
                <w:b/>
                <w:bCs/>
                <w:iCs/>
                <w:noProof/>
                <w:sz w:val="20"/>
                <w:szCs w:val="20"/>
                <w:highlight w:val="yellow"/>
                <w:lang w:eastAsia="en-GB"/>
              </w:rPr>
            </w:pPr>
            <w:r w:rsidRPr="007E41C5">
              <w:rPr>
                <w:rFonts w:ascii="Times New Roman" w:eastAsia="Times New Roman" w:hAnsi="Times New Roman" w:cs="Times New Roman"/>
                <w:b/>
                <w:bCs/>
                <w:iCs/>
                <w:noProof/>
                <w:sz w:val="20"/>
                <w:szCs w:val="20"/>
                <w:highlight w:val="yellow"/>
                <w:lang w:eastAsia="en-GB"/>
              </w:rPr>
              <w:t>2 026 575,29</w:t>
            </w:r>
          </w:p>
        </w:tc>
      </w:tr>
      <w:tr w:rsidR="001655B6" w:rsidRPr="007E41C5" w14:paraId="7BE796DD" w14:textId="77777777" w:rsidTr="0096715F">
        <w:tc>
          <w:tcPr>
            <w:tcW w:w="1271" w:type="dxa"/>
          </w:tcPr>
          <w:p w14:paraId="184B7186" w14:textId="77777777" w:rsidR="001655B6" w:rsidRPr="007E41C5" w:rsidRDefault="001655B6" w:rsidP="001655B6">
            <w:pPr>
              <w:jc w:val="center"/>
              <w:rPr>
                <w:rFonts w:ascii="Times New Roman" w:eastAsia="Times New Roman" w:hAnsi="Times New Roman" w:cs="Times New Roman"/>
                <w:iCs/>
                <w:noProof/>
                <w:sz w:val="20"/>
                <w:szCs w:val="20"/>
                <w:highlight w:val="yellow"/>
                <w:lang w:eastAsia="en-GB"/>
              </w:rPr>
            </w:pPr>
            <w:r w:rsidRPr="007E41C5">
              <w:rPr>
                <w:rFonts w:ascii="Times New Roman" w:eastAsia="Times New Roman" w:hAnsi="Times New Roman" w:cs="Times New Roman"/>
                <w:iCs/>
                <w:noProof/>
                <w:sz w:val="20"/>
                <w:szCs w:val="20"/>
                <w:highlight w:val="yellow"/>
                <w:lang w:eastAsia="en-GB"/>
              </w:rPr>
              <w:t>1</w:t>
            </w:r>
          </w:p>
        </w:tc>
        <w:tc>
          <w:tcPr>
            <w:tcW w:w="1559" w:type="dxa"/>
          </w:tcPr>
          <w:p w14:paraId="214ECFB0" w14:textId="77777777" w:rsidR="001655B6" w:rsidRPr="007E41C5" w:rsidRDefault="001655B6" w:rsidP="001655B6">
            <w:pPr>
              <w:jc w:val="both"/>
              <w:rPr>
                <w:rFonts w:ascii="Times New Roman" w:eastAsia="Times New Roman" w:hAnsi="Times New Roman" w:cs="Times New Roman"/>
                <w:iCs/>
                <w:noProof/>
                <w:sz w:val="20"/>
                <w:szCs w:val="20"/>
                <w:highlight w:val="yellow"/>
                <w:lang w:eastAsia="en-GB"/>
              </w:rPr>
            </w:pPr>
            <w:r w:rsidRPr="007E41C5">
              <w:rPr>
                <w:rFonts w:ascii="Times New Roman" w:eastAsia="Times New Roman" w:hAnsi="Times New Roman" w:cs="Times New Roman"/>
                <w:iCs/>
                <w:noProof/>
                <w:sz w:val="20"/>
                <w:szCs w:val="20"/>
                <w:highlight w:val="yellow"/>
                <w:lang w:eastAsia="en-GB"/>
              </w:rPr>
              <w:t>Union funds (ERDF and IPA)</w:t>
            </w:r>
          </w:p>
          <w:p w14:paraId="67825AA4" w14:textId="77777777" w:rsidR="001655B6" w:rsidRPr="007E41C5" w:rsidRDefault="001655B6" w:rsidP="001655B6">
            <w:pPr>
              <w:jc w:val="both"/>
              <w:rPr>
                <w:rFonts w:ascii="Times New Roman" w:eastAsia="Times New Roman" w:hAnsi="Times New Roman" w:cs="Times New Roman"/>
                <w:iCs/>
                <w:noProof/>
                <w:sz w:val="20"/>
                <w:szCs w:val="20"/>
                <w:highlight w:val="yellow"/>
                <w:lang w:eastAsia="en-GB"/>
              </w:rPr>
            </w:pPr>
          </w:p>
        </w:tc>
        <w:tc>
          <w:tcPr>
            <w:tcW w:w="1701" w:type="dxa"/>
          </w:tcPr>
          <w:p w14:paraId="0EDC3F44" w14:textId="77777777" w:rsidR="001655B6" w:rsidRPr="007E41C5" w:rsidRDefault="001655B6" w:rsidP="001655B6">
            <w:pPr>
              <w:jc w:val="cente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1.1.</w:t>
            </w:r>
          </w:p>
        </w:tc>
        <w:tc>
          <w:tcPr>
            <w:tcW w:w="3402" w:type="dxa"/>
          </w:tcPr>
          <w:p w14:paraId="3273C695" w14:textId="77777777" w:rsidR="001655B6" w:rsidRPr="007E41C5" w:rsidRDefault="001655B6" w:rsidP="001655B6">
            <w:pPr>
              <w:jc w:val="both"/>
              <w:rPr>
                <w:rFonts w:ascii="Times New Roman" w:eastAsia="Times New Roman" w:hAnsi="Times New Roman" w:cs="Times New Roman"/>
                <w:iCs/>
                <w:noProof/>
                <w:sz w:val="20"/>
                <w:szCs w:val="20"/>
                <w:highlight w:val="yellow"/>
                <w:lang w:eastAsia="en-GB"/>
              </w:rPr>
            </w:pPr>
            <w:r w:rsidRPr="007E41C5">
              <w:rPr>
                <w:rFonts w:ascii="Times New Roman" w:eastAsia="Times New Roman" w:hAnsi="Times New Roman" w:cs="Times New Roman"/>
                <w:iCs/>
                <w:noProof/>
                <w:sz w:val="20"/>
                <w:szCs w:val="20"/>
                <w:highlight w:val="yellow"/>
                <w:lang w:eastAsia="en-GB"/>
              </w:rPr>
              <w:t>171 Enhancing cooperation with partners both within and outside the Member State</w:t>
            </w:r>
          </w:p>
        </w:tc>
        <w:tc>
          <w:tcPr>
            <w:tcW w:w="1985" w:type="dxa"/>
          </w:tcPr>
          <w:p w14:paraId="1E96026B" w14:textId="77777777" w:rsidR="001655B6" w:rsidRPr="007E41C5" w:rsidRDefault="001655B6" w:rsidP="0085533B">
            <w:pPr>
              <w:jc w:val="center"/>
              <w:rPr>
                <w:rFonts w:ascii="Times New Roman" w:eastAsia="Times New Roman" w:hAnsi="Times New Roman" w:cs="Times New Roman"/>
                <w:b/>
                <w:bCs/>
                <w:iCs/>
                <w:noProof/>
                <w:sz w:val="20"/>
                <w:szCs w:val="20"/>
                <w:highlight w:val="yellow"/>
                <w:lang w:eastAsia="en-GB"/>
              </w:rPr>
            </w:pPr>
            <w:r w:rsidRPr="007E41C5">
              <w:rPr>
                <w:rFonts w:ascii="Times New Roman" w:eastAsia="Times New Roman" w:hAnsi="Times New Roman" w:cs="Times New Roman"/>
                <w:b/>
                <w:bCs/>
                <w:iCs/>
                <w:noProof/>
                <w:sz w:val="20"/>
                <w:szCs w:val="20"/>
                <w:highlight w:val="yellow"/>
                <w:lang w:eastAsia="en-GB"/>
              </w:rPr>
              <w:t>2 026 575,29</w:t>
            </w:r>
          </w:p>
        </w:tc>
      </w:tr>
    </w:tbl>
    <w:p w14:paraId="7E938DDF" w14:textId="77777777" w:rsidR="00827073" w:rsidRPr="007E41C5" w:rsidRDefault="00827073" w:rsidP="00827073">
      <w:pPr>
        <w:spacing w:after="200" w:line="276" w:lineRule="auto"/>
        <w:rPr>
          <w:rFonts w:ascii="Times New Roman" w:eastAsia="Times New Roman" w:hAnsi="Times New Roman" w:cs="Times New Roman"/>
          <w:iCs/>
          <w:noProof/>
          <w:sz w:val="24"/>
          <w:szCs w:val="24"/>
          <w:highlight w:val="yellow"/>
          <w:lang w:eastAsia="en-GB"/>
        </w:rPr>
      </w:pPr>
    </w:p>
    <w:p w14:paraId="7DB6B24C" w14:textId="77777777" w:rsidR="00827073" w:rsidRPr="007E41C5" w:rsidRDefault="00827073" w:rsidP="00827073">
      <w:pPr>
        <w:spacing w:after="200" w:line="276" w:lineRule="auto"/>
        <w:rPr>
          <w:rFonts w:ascii="Times New Roman" w:eastAsia="Times New Roman" w:hAnsi="Times New Roman" w:cs="Times New Roman"/>
          <w:i/>
          <w:noProof/>
          <w:color w:val="000000"/>
          <w:sz w:val="24"/>
          <w:szCs w:val="24"/>
          <w:highlight w:val="yellow"/>
          <w:lang w:eastAsia="en-GB"/>
        </w:rPr>
      </w:pPr>
      <w:r w:rsidRPr="007E41C5">
        <w:rPr>
          <w:rFonts w:ascii="Times New Roman" w:eastAsia="Times New Roman" w:hAnsi="Times New Roman" w:cs="Times New Roman"/>
          <w:iCs/>
          <w:noProof/>
          <w:sz w:val="24"/>
          <w:szCs w:val="24"/>
          <w:highlight w:val="yellow"/>
          <w:lang w:eastAsia="en-GB"/>
        </w:rPr>
        <w:t>Table 5: Dimension 2 – form of financing</w:t>
      </w:r>
    </w:p>
    <w:tbl>
      <w:tblPr>
        <w:tblStyle w:val="TableGrid1"/>
        <w:tblW w:w="9918" w:type="dxa"/>
        <w:tblLook w:val="04A0" w:firstRow="1" w:lastRow="0" w:firstColumn="1" w:lastColumn="0" w:noHBand="0" w:noVBand="1"/>
      </w:tblPr>
      <w:tblGrid>
        <w:gridCol w:w="1870"/>
        <w:gridCol w:w="1657"/>
        <w:gridCol w:w="1898"/>
        <w:gridCol w:w="2508"/>
        <w:gridCol w:w="1985"/>
      </w:tblGrid>
      <w:tr w:rsidR="00827073" w:rsidRPr="007E41C5" w14:paraId="0B79CCB7" w14:textId="77777777" w:rsidTr="0085533B">
        <w:tc>
          <w:tcPr>
            <w:tcW w:w="1870" w:type="dxa"/>
          </w:tcPr>
          <w:p w14:paraId="64E30B69" w14:textId="77777777" w:rsidR="00827073" w:rsidRPr="007E41C5" w:rsidRDefault="00827073" w:rsidP="0096715F">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Priority no</w:t>
            </w:r>
          </w:p>
        </w:tc>
        <w:tc>
          <w:tcPr>
            <w:tcW w:w="1657" w:type="dxa"/>
          </w:tcPr>
          <w:p w14:paraId="7539BA72" w14:textId="77777777" w:rsidR="00827073" w:rsidRPr="007E41C5" w:rsidRDefault="00827073" w:rsidP="0096715F">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Fund</w:t>
            </w:r>
          </w:p>
        </w:tc>
        <w:tc>
          <w:tcPr>
            <w:tcW w:w="1898" w:type="dxa"/>
          </w:tcPr>
          <w:p w14:paraId="42B2988E" w14:textId="77777777" w:rsidR="00827073" w:rsidRPr="007E41C5" w:rsidRDefault="00827073" w:rsidP="0096715F">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Specific objective</w:t>
            </w:r>
          </w:p>
        </w:tc>
        <w:tc>
          <w:tcPr>
            <w:tcW w:w="2508" w:type="dxa"/>
          </w:tcPr>
          <w:p w14:paraId="58936437" w14:textId="77777777" w:rsidR="00827073" w:rsidRPr="007E41C5" w:rsidRDefault="00827073" w:rsidP="0096715F">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 xml:space="preserve">Code </w:t>
            </w:r>
          </w:p>
        </w:tc>
        <w:tc>
          <w:tcPr>
            <w:tcW w:w="1985" w:type="dxa"/>
          </w:tcPr>
          <w:p w14:paraId="297869A6" w14:textId="77777777" w:rsidR="00827073" w:rsidRPr="007E41C5" w:rsidRDefault="00827073" w:rsidP="0096715F">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Amount (EUR)</w:t>
            </w:r>
          </w:p>
        </w:tc>
      </w:tr>
      <w:tr w:rsidR="00827073" w:rsidRPr="007E41C5" w14:paraId="1F926060" w14:textId="77777777" w:rsidTr="0085533B">
        <w:tc>
          <w:tcPr>
            <w:tcW w:w="1870" w:type="dxa"/>
            <w:vAlign w:val="center"/>
          </w:tcPr>
          <w:p w14:paraId="5AAF3FED" w14:textId="77777777" w:rsidR="00827073" w:rsidRPr="007E41C5" w:rsidRDefault="00827073" w:rsidP="0096715F">
            <w:pPr>
              <w:jc w:val="cente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1</w:t>
            </w:r>
          </w:p>
        </w:tc>
        <w:tc>
          <w:tcPr>
            <w:tcW w:w="1657" w:type="dxa"/>
          </w:tcPr>
          <w:p w14:paraId="103450D3" w14:textId="77777777" w:rsidR="00827073" w:rsidRPr="007E41C5" w:rsidRDefault="00827073" w:rsidP="0096715F">
            <w:pPr>
              <w:jc w:val="both"/>
              <w:rPr>
                <w:rFonts w:ascii="Times New Roman" w:eastAsia="Times New Roman" w:hAnsi="Times New Roman" w:cs="Times New Roman"/>
                <w:iCs/>
                <w:noProof/>
                <w:sz w:val="20"/>
                <w:szCs w:val="20"/>
                <w:highlight w:val="yellow"/>
                <w:lang w:eastAsia="en-GB"/>
              </w:rPr>
            </w:pPr>
            <w:r w:rsidRPr="007E41C5">
              <w:rPr>
                <w:rFonts w:ascii="Times New Roman" w:eastAsia="Times New Roman" w:hAnsi="Times New Roman" w:cs="Times New Roman"/>
                <w:iCs/>
                <w:noProof/>
                <w:sz w:val="20"/>
                <w:szCs w:val="20"/>
                <w:highlight w:val="yellow"/>
                <w:lang w:eastAsia="en-GB"/>
              </w:rPr>
              <w:t>Union funds (ERDF and IPA)</w:t>
            </w:r>
          </w:p>
        </w:tc>
        <w:tc>
          <w:tcPr>
            <w:tcW w:w="1898" w:type="dxa"/>
            <w:vAlign w:val="center"/>
          </w:tcPr>
          <w:p w14:paraId="420D6D71" w14:textId="77777777" w:rsidR="00827073" w:rsidRPr="007E41C5" w:rsidRDefault="00827073" w:rsidP="0096715F">
            <w:pPr>
              <w:jc w:val="cente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1.1.</w:t>
            </w:r>
          </w:p>
        </w:tc>
        <w:tc>
          <w:tcPr>
            <w:tcW w:w="2508" w:type="dxa"/>
            <w:vAlign w:val="center"/>
          </w:tcPr>
          <w:p w14:paraId="182C6A22" w14:textId="77777777" w:rsidR="00827073" w:rsidRPr="007E41C5" w:rsidRDefault="00827073" w:rsidP="0096715F">
            <w:pPr>
              <w:jc w:val="cente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01 Grant</w:t>
            </w:r>
          </w:p>
        </w:tc>
        <w:tc>
          <w:tcPr>
            <w:tcW w:w="1985" w:type="dxa"/>
            <w:vAlign w:val="center"/>
          </w:tcPr>
          <w:p w14:paraId="7AF06B45" w14:textId="77777777" w:rsidR="001655B6" w:rsidRPr="007E41C5" w:rsidRDefault="001655B6" w:rsidP="001655B6">
            <w:pPr>
              <w:jc w:val="center"/>
              <w:rPr>
                <w:rFonts w:ascii="Times New Roman" w:eastAsia="Times New Roman" w:hAnsi="Times New Roman" w:cs="Times New Roman"/>
                <w:b/>
                <w:bCs/>
                <w:iCs/>
                <w:noProof/>
                <w:sz w:val="20"/>
                <w:szCs w:val="20"/>
                <w:highlight w:val="yellow"/>
                <w:lang w:eastAsia="en-GB"/>
              </w:rPr>
            </w:pPr>
          </w:p>
          <w:p w14:paraId="74503CDC" w14:textId="77777777" w:rsidR="001655B6" w:rsidRPr="007E41C5" w:rsidRDefault="001655B6" w:rsidP="001655B6">
            <w:pPr>
              <w:jc w:val="center"/>
              <w:rPr>
                <w:rFonts w:ascii="Times New Roman" w:eastAsia="Times New Roman" w:hAnsi="Times New Roman" w:cs="Times New Roman"/>
                <w:b/>
                <w:bCs/>
                <w:iCs/>
                <w:noProof/>
                <w:sz w:val="20"/>
                <w:szCs w:val="20"/>
                <w:highlight w:val="yellow"/>
                <w:lang w:val="en-US" w:eastAsia="en-GB"/>
              </w:rPr>
            </w:pPr>
            <w:r w:rsidRPr="007E41C5">
              <w:rPr>
                <w:rFonts w:ascii="Times New Roman" w:eastAsia="Times New Roman" w:hAnsi="Times New Roman" w:cs="Times New Roman"/>
                <w:b/>
                <w:bCs/>
                <w:iCs/>
                <w:noProof/>
                <w:sz w:val="20"/>
                <w:szCs w:val="20"/>
                <w:highlight w:val="yellow"/>
                <w:lang w:eastAsia="en-GB"/>
              </w:rPr>
              <w:t>4 053 150,58</w:t>
            </w:r>
          </w:p>
          <w:p w14:paraId="453BBB6F" w14:textId="77777777" w:rsidR="00827073" w:rsidRPr="007E41C5" w:rsidRDefault="00827073" w:rsidP="0096715F">
            <w:pPr>
              <w:jc w:val="center"/>
              <w:rPr>
                <w:rFonts w:ascii="Times New Roman" w:eastAsia="Times New Roman" w:hAnsi="Times New Roman" w:cs="Times New Roman"/>
                <w:b/>
                <w:iCs/>
                <w:noProof/>
                <w:sz w:val="20"/>
                <w:szCs w:val="20"/>
                <w:highlight w:val="yellow"/>
                <w:lang w:eastAsia="en-GB"/>
              </w:rPr>
            </w:pPr>
          </w:p>
        </w:tc>
      </w:tr>
    </w:tbl>
    <w:p w14:paraId="4D880E8D" w14:textId="77777777" w:rsidR="00827073" w:rsidRPr="007E41C5" w:rsidRDefault="00827073" w:rsidP="00827073">
      <w:pPr>
        <w:spacing w:after="200" w:line="276" w:lineRule="auto"/>
        <w:jc w:val="center"/>
        <w:rPr>
          <w:rFonts w:ascii="Times New Roman" w:eastAsia="Times New Roman" w:hAnsi="Times New Roman" w:cs="Times New Roman"/>
          <w:iCs/>
          <w:noProof/>
          <w:sz w:val="24"/>
          <w:szCs w:val="24"/>
          <w:highlight w:val="yellow"/>
          <w:lang w:eastAsia="en-GB"/>
        </w:rPr>
      </w:pPr>
    </w:p>
    <w:p w14:paraId="77A32298" w14:textId="77777777" w:rsidR="00827073" w:rsidRPr="007E41C5" w:rsidRDefault="00827073" w:rsidP="00827073">
      <w:pPr>
        <w:spacing w:after="200" w:line="276" w:lineRule="auto"/>
        <w:rPr>
          <w:rFonts w:ascii="Times New Roman" w:eastAsia="Times New Roman" w:hAnsi="Times New Roman" w:cs="Times New Roman"/>
          <w:i/>
          <w:noProof/>
          <w:color w:val="000000"/>
          <w:sz w:val="24"/>
          <w:szCs w:val="24"/>
          <w:highlight w:val="yellow"/>
          <w:lang w:eastAsia="en-GB"/>
        </w:rPr>
      </w:pPr>
      <w:r w:rsidRPr="007E41C5">
        <w:rPr>
          <w:rFonts w:ascii="Times New Roman" w:eastAsia="Times New Roman" w:hAnsi="Times New Roman" w:cs="Times New Roman"/>
          <w:iCs/>
          <w:noProof/>
          <w:sz w:val="24"/>
          <w:szCs w:val="24"/>
          <w:highlight w:val="yellow"/>
          <w:lang w:eastAsia="en-GB"/>
        </w:rPr>
        <w:t>Table 6: Dimension 3 – territorial delivery mechanism and territorial focus</w:t>
      </w:r>
    </w:p>
    <w:tbl>
      <w:tblPr>
        <w:tblStyle w:val="TableGrid1"/>
        <w:tblW w:w="9918" w:type="dxa"/>
        <w:tblLook w:val="04A0" w:firstRow="1" w:lastRow="0" w:firstColumn="1" w:lastColumn="0" w:noHBand="0" w:noVBand="1"/>
      </w:tblPr>
      <w:tblGrid>
        <w:gridCol w:w="1796"/>
        <w:gridCol w:w="1591"/>
        <w:gridCol w:w="1828"/>
        <w:gridCol w:w="2718"/>
        <w:gridCol w:w="1985"/>
      </w:tblGrid>
      <w:tr w:rsidR="00827073" w:rsidRPr="007E41C5" w14:paraId="53712ABB" w14:textId="77777777" w:rsidTr="0085533B">
        <w:tc>
          <w:tcPr>
            <w:tcW w:w="1796" w:type="dxa"/>
          </w:tcPr>
          <w:p w14:paraId="48730639" w14:textId="77777777" w:rsidR="00827073" w:rsidRPr="007E41C5" w:rsidRDefault="00827073" w:rsidP="0096715F">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Priority No</w:t>
            </w:r>
          </w:p>
        </w:tc>
        <w:tc>
          <w:tcPr>
            <w:tcW w:w="1591" w:type="dxa"/>
          </w:tcPr>
          <w:p w14:paraId="7FC28CD9" w14:textId="77777777" w:rsidR="00827073" w:rsidRPr="007E41C5" w:rsidRDefault="00827073" w:rsidP="0096715F">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Fund</w:t>
            </w:r>
          </w:p>
        </w:tc>
        <w:tc>
          <w:tcPr>
            <w:tcW w:w="1828" w:type="dxa"/>
          </w:tcPr>
          <w:p w14:paraId="65A2605C" w14:textId="77777777" w:rsidR="00827073" w:rsidRPr="007E41C5" w:rsidRDefault="00827073" w:rsidP="0096715F">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Specific objective</w:t>
            </w:r>
          </w:p>
        </w:tc>
        <w:tc>
          <w:tcPr>
            <w:tcW w:w="2718" w:type="dxa"/>
          </w:tcPr>
          <w:p w14:paraId="21578942" w14:textId="77777777" w:rsidR="00827073" w:rsidRPr="007E41C5" w:rsidRDefault="00827073" w:rsidP="0096715F">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 xml:space="preserve">Code </w:t>
            </w:r>
          </w:p>
        </w:tc>
        <w:tc>
          <w:tcPr>
            <w:tcW w:w="1985" w:type="dxa"/>
          </w:tcPr>
          <w:p w14:paraId="363968AB" w14:textId="77777777" w:rsidR="00827073" w:rsidRPr="007E41C5" w:rsidRDefault="00827073" w:rsidP="0096715F">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Amount (EUR)</w:t>
            </w:r>
          </w:p>
        </w:tc>
      </w:tr>
      <w:tr w:rsidR="00451D78" w:rsidRPr="007E41C5" w14:paraId="75B47D2A" w14:textId="77777777" w:rsidTr="0085533B">
        <w:tc>
          <w:tcPr>
            <w:tcW w:w="1796" w:type="dxa"/>
          </w:tcPr>
          <w:p w14:paraId="37813422" w14:textId="77777777" w:rsidR="00451D78" w:rsidRPr="007E41C5" w:rsidRDefault="00451D78" w:rsidP="00451D78">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1</w:t>
            </w:r>
          </w:p>
        </w:tc>
        <w:tc>
          <w:tcPr>
            <w:tcW w:w="1591" w:type="dxa"/>
            <w:vAlign w:val="center"/>
          </w:tcPr>
          <w:p w14:paraId="72B9BAEA" w14:textId="77777777" w:rsidR="00451D78" w:rsidRPr="007E41C5" w:rsidRDefault="00451D78" w:rsidP="00451D78">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iCs/>
                <w:noProof/>
                <w:sz w:val="20"/>
                <w:szCs w:val="20"/>
                <w:highlight w:val="yellow"/>
                <w:lang w:eastAsia="en-GB"/>
              </w:rPr>
              <w:t>Union funds (ERDF and IPA)</w:t>
            </w:r>
          </w:p>
        </w:tc>
        <w:tc>
          <w:tcPr>
            <w:tcW w:w="1828" w:type="dxa"/>
          </w:tcPr>
          <w:p w14:paraId="5A44968C" w14:textId="77777777" w:rsidR="00451D78" w:rsidRPr="007E41C5" w:rsidRDefault="00451D78" w:rsidP="0085533B">
            <w:pPr>
              <w:jc w:val="cente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1.1.</w:t>
            </w:r>
          </w:p>
        </w:tc>
        <w:tc>
          <w:tcPr>
            <w:tcW w:w="2718" w:type="dxa"/>
            <w:vAlign w:val="center"/>
          </w:tcPr>
          <w:p w14:paraId="1450564C" w14:textId="77777777" w:rsidR="00451D78" w:rsidRPr="007E41C5" w:rsidRDefault="00451D78" w:rsidP="00451D78">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 xml:space="preserve">17 Urban neighbourhoods </w:t>
            </w:r>
          </w:p>
        </w:tc>
        <w:tc>
          <w:tcPr>
            <w:tcW w:w="1985" w:type="dxa"/>
          </w:tcPr>
          <w:p w14:paraId="690B687D" w14:textId="77777777" w:rsidR="00451D78" w:rsidRPr="007E41C5" w:rsidRDefault="00451D78" w:rsidP="00451D78">
            <w:pPr>
              <w:rPr>
                <w:rFonts w:ascii="Times New Roman" w:eastAsia="Times New Roman" w:hAnsi="Times New Roman" w:cs="Times New Roman"/>
                <w:b/>
                <w:iCs/>
                <w:noProof/>
                <w:sz w:val="20"/>
                <w:szCs w:val="20"/>
                <w:highlight w:val="yellow"/>
                <w:lang w:eastAsia="en-GB"/>
              </w:rPr>
            </w:pPr>
          </w:p>
        </w:tc>
      </w:tr>
      <w:tr w:rsidR="00451D78" w:rsidRPr="007E41C5" w14:paraId="729854E5" w14:textId="77777777" w:rsidTr="0085533B">
        <w:tc>
          <w:tcPr>
            <w:tcW w:w="1796" w:type="dxa"/>
          </w:tcPr>
          <w:p w14:paraId="2832BAD5" w14:textId="77777777" w:rsidR="00451D78" w:rsidRPr="007E41C5" w:rsidRDefault="00451D78" w:rsidP="00451D78">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1</w:t>
            </w:r>
          </w:p>
        </w:tc>
        <w:tc>
          <w:tcPr>
            <w:tcW w:w="1591" w:type="dxa"/>
            <w:vAlign w:val="center"/>
          </w:tcPr>
          <w:p w14:paraId="3D36398C" w14:textId="77777777" w:rsidR="00451D78" w:rsidRPr="007E41C5" w:rsidRDefault="00451D78" w:rsidP="00451D78">
            <w:pPr>
              <w:rPr>
                <w:rFonts w:ascii="Times New Roman" w:eastAsia="Times New Roman" w:hAnsi="Times New Roman" w:cs="Times New Roman"/>
                <w:iCs/>
                <w:noProof/>
                <w:sz w:val="20"/>
                <w:szCs w:val="20"/>
                <w:highlight w:val="yellow"/>
                <w:lang w:eastAsia="en-GB"/>
              </w:rPr>
            </w:pPr>
            <w:r w:rsidRPr="007E41C5">
              <w:rPr>
                <w:rFonts w:ascii="Times New Roman" w:eastAsia="Times New Roman" w:hAnsi="Times New Roman" w:cs="Times New Roman"/>
                <w:iCs/>
                <w:noProof/>
                <w:sz w:val="20"/>
                <w:szCs w:val="20"/>
                <w:highlight w:val="yellow"/>
                <w:lang w:eastAsia="en-GB"/>
              </w:rPr>
              <w:t>Union funds (ERDF and IPA)</w:t>
            </w:r>
          </w:p>
        </w:tc>
        <w:tc>
          <w:tcPr>
            <w:tcW w:w="1828" w:type="dxa"/>
          </w:tcPr>
          <w:p w14:paraId="644A843A" w14:textId="77777777" w:rsidR="00451D78" w:rsidRPr="007E41C5" w:rsidRDefault="00451D78" w:rsidP="00451D78">
            <w:pPr>
              <w:jc w:val="cente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1.1.</w:t>
            </w:r>
          </w:p>
        </w:tc>
        <w:tc>
          <w:tcPr>
            <w:tcW w:w="2718" w:type="dxa"/>
            <w:vAlign w:val="center"/>
          </w:tcPr>
          <w:p w14:paraId="19BF9325" w14:textId="77777777" w:rsidR="00451D78" w:rsidRPr="007E41C5" w:rsidRDefault="00451D78" w:rsidP="00451D78">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 xml:space="preserve">18 Cities, towns and suburbs </w:t>
            </w:r>
          </w:p>
          <w:p w14:paraId="657C9F65" w14:textId="77777777" w:rsidR="00451D78" w:rsidRPr="007E41C5" w:rsidRDefault="00451D78" w:rsidP="00451D78">
            <w:pPr>
              <w:rPr>
                <w:rFonts w:ascii="Times New Roman" w:eastAsia="Times New Roman" w:hAnsi="Times New Roman" w:cs="Times New Roman"/>
                <w:b/>
                <w:iCs/>
                <w:noProof/>
                <w:sz w:val="20"/>
                <w:szCs w:val="20"/>
                <w:highlight w:val="yellow"/>
                <w:lang w:eastAsia="en-GB"/>
              </w:rPr>
            </w:pPr>
          </w:p>
        </w:tc>
        <w:tc>
          <w:tcPr>
            <w:tcW w:w="1985" w:type="dxa"/>
          </w:tcPr>
          <w:p w14:paraId="78FBE54B" w14:textId="77777777" w:rsidR="00451D78" w:rsidRPr="007E41C5" w:rsidRDefault="00451D78" w:rsidP="00451D78">
            <w:pPr>
              <w:rPr>
                <w:rFonts w:ascii="Times New Roman" w:eastAsia="Times New Roman" w:hAnsi="Times New Roman" w:cs="Times New Roman"/>
                <w:b/>
                <w:iCs/>
                <w:noProof/>
                <w:sz w:val="20"/>
                <w:szCs w:val="20"/>
                <w:highlight w:val="yellow"/>
                <w:lang w:eastAsia="en-GB"/>
              </w:rPr>
            </w:pPr>
          </w:p>
        </w:tc>
      </w:tr>
      <w:tr w:rsidR="00451D78" w:rsidRPr="00A10ECC" w14:paraId="60FBA9FD" w14:textId="77777777" w:rsidTr="0085533B">
        <w:tc>
          <w:tcPr>
            <w:tcW w:w="1796" w:type="dxa"/>
          </w:tcPr>
          <w:p w14:paraId="58FDCFB3" w14:textId="77777777" w:rsidR="00451D78" w:rsidRPr="007E41C5" w:rsidRDefault="00451D78" w:rsidP="00451D78">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lastRenderedPageBreak/>
              <w:t>1</w:t>
            </w:r>
          </w:p>
        </w:tc>
        <w:tc>
          <w:tcPr>
            <w:tcW w:w="1591" w:type="dxa"/>
            <w:vAlign w:val="center"/>
          </w:tcPr>
          <w:p w14:paraId="1C15DF45" w14:textId="77777777" w:rsidR="00451D78" w:rsidRPr="007E41C5" w:rsidRDefault="00451D78" w:rsidP="00451D78">
            <w:pPr>
              <w:rPr>
                <w:rFonts w:ascii="Times New Roman" w:eastAsia="Times New Roman" w:hAnsi="Times New Roman" w:cs="Times New Roman"/>
                <w:iCs/>
                <w:noProof/>
                <w:sz w:val="20"/>
                <w:szCs w:val="20"/>
                <w:highlight w:val="yellow"/>
                <w:lang w:eastAsia="en-GB"/>
              </w:rPr>
            </w:pPr>
            <w:r w:rsidRPr="007E41C5">
              <w:rPr>
                <w:rFonts w:ascii="Times New Roman" w:eastAsia="Times New Roman" w:hAnsi="Times New Roman" w:cs="Times New Roman"/>
                <w:iCs/>
                <w:noProof/>
                <w:sz w:val="20"/>
                <w:szCs w:val="20"/>
                <w:highlight w:val="yellow"/>
                <w:lang w:eastAsia="en-GB"/>
              </w:rPr>
              <w:t>Union funds (ERDF and IPA)</w:t>
            </w:r>
          </w:p>
        </w:tc>
        <w:tc>
          <w:tcPr>
            <w:tcW w:w="1828" w:type="dxa"/>
          </w:tcPr>
          <w:p w14:paraId="0E231A5C" w14:textId="77777777" w:rsidR="00451D78" w:rsidRPr="007E41C5" w:rsidRDefault="00451D78" w:rsidP="00451D78">
            <w:pPr>
              <w:jc w:val="cente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1.1.</w:t>
            </w:r>
          </w:p>
        </w:tc>
        <w:tc>
          <w:tcPr>
            <w:tcW w:w="2718" w:type="dxa"/>
            <w:vAlign w:val="center"/>
          </w:tcPr>
          <w:p w14:paraId="73B6E90D" w14:textId="77777777" w:rsidR="00451D78" w:rsidRPr="00451D78" w:rsidRDefault="00451D78" w:rsidP="00451D78">
            <w:pPr>
              <w:rPr>
                <w:rFonts w:ascii="Times New Roman" w:eastAsia="Times New Roman" w:hAnsi="Times New Roman" w:cs="Times New Roman"/>
                <w:b/>
                <w:iCs/>
                <w:noProof/>
                <w:sz w:val="20"/>
                <w:szCs w:val="20"/>
                <w:lang w:eastAsia="en-GB"/>
              </w:rPr>
            </w:pPr>
            <w:r w:rsidRPr="007E41C5">
              <w:rPr>
                <w:rFonts w:ascii="Times New Roman" w:eastAsia="Times New Roman" w:hAnsi="Times New Roman" w:cs="Times New Roman"/>
                <w:b/>
                <w:iCs/>
                <w:noProof/>
                <w:sz w:val="20"/>
                <w:szCs w:val="20"/>
                <w:highlight w:val="yellow"/>
                <w:lang w:eastAsia="en-GB"/>
              </w:rPr>
              <w:t>19 Functional urban areas</w:t>
            </w:r>
          </w:p>
        </w:tc>
        <w:tc>
          <w:tcPr>
            <w:tcW w:w="1985" w:type="dxa"/>
          </w:tcPr>
          <w:p w14:paraId="4B178950" w14:textId="77777777" w:rsidR="00451D78" w:rsidRPr="00A10ECC" w:rsidRDefault="00451D78" w:rsidP="00451D78">
            <w:pPr>
              <w:rPr>
                <w:rFonts w:ascii="Times New Roman" w:eastAsia="Times New Roman" w:hAnsi="Times New Roman" w:cs="Times New Roman"/>
                <w:b/>
                <w:iCs/>
                <w:noProof/>
                <w:sz w:val="20"/>
                <w:szCs w:val="20"/>
                <w:lang w:eastAsia="en-GB"/>
              </w:rPr>
            </w:pPr>
          </w:p>
        </w:tc>
      </w:tr>
    </w:tbl>
    <w:p w14:paraId="31B52647" w14:textId="77777777" w:rsidR="00827073" w:rsidRPr="00A10ECC" w:rsidRDefault="00827073" w:rsidP="00032ED3">
      <w:pPr>
        <w:spacing w:after="200" w:line="276" w:lineRule="auto"/>
        <w:rPr>
          <w:rFonts w:ascii="Times New Roman" w:eastAsia="Times New Roman" w:hAnsi="Times New Roman" w:cs="Times New Roman"/>
          <w:iCs/>
          <w:noProof/>
          <w:sz w:val="24"/>
          <w:szCs w:val="24"/>
          <w:lang w:eastAsia="en-GB"/>
        </w:rPr>
      </w:pPr>
    </w:p>
    <w:p w14:paraId="0D8A43B1" w14:textId="77777777" w:rsidR="005A60CE" w:rsidRPr="00A10ECC" w:rsidRDefault="00D9394F" w:rsidP="0066363A">
      <w:pPr>
        <w:spacing w:before="240" w:after="240" w:line="240" w:lineRule="auto"/>
        <w:rPr>
          <w:rFonts w:ascii="Times New Roman" w:eastAsia="Times New Roman" w:hAnsi="Times New Roman" w:cs="Times New Roman"/>
          <w:b/>
          <w:noProof/>
          <w:color w:val="000000"/>
          <w:sz w:val="24"/>
          <w:szCs w:val="24"/>
          <w:lang w:eastAsia="en-GB"/>
        </w:rPr>
      </w:pPr>
      <w:r>
        <w:rPr>
          <w:rFonts w:ascii="Times New Roman" w:eastAsia="Times New Roman" w:hAnsi="Times New Roman" w:cs="Times New Roman"/>
          <w:b/>
          <w:noProof/>
          <w:color w:val="000000"/>
          <w:sz w:val="24"/>
          <w:szCs w:val="24"/>
          <w:lang w:eastAsia="en-GB"/>
        </w:rPr>
        <w:t>2.2.</w:t>
      </w:r>
      <w:r w:rsidR="005A60CE" w:rsidRPr="00A10ECC">
        <w:rPr>
          <w:rFonts w:ascii="Times New Roman" w:eastAsia="Times New Roman" w:hAnsi="Times New Roman" w:cs="Times New Roman"/>
          <w:b/>
          <w:noProof/>
          <w:color w:val="000000"/>
          <w:sz w:val="24"/>
          <w:szCs w:val="24"/>
          <w:lang w:eastAsia="en-GB"/>
        </w:rPr>
        <w:t xml:space="preserve"> </w:t>
      </w:r>
      <w:r w:rsidRPr="001F57D0">
        <w:rPr>
          <w:rFonts w:ascii="Times New Roman" w:eastAsia="Times New Roman" w:hAnsi="Times New Roman" w:cs="Times New Roman"/>
          <w:b/>
          <w:noProof/>
          <w:color w:val="000000"/>
          <w:sz w:val="24"/>
          <w:szCs w:val="24"/>
          <w:lang w:eastAsia="en-GB"/>
        </w:rPr>
        <w:t>Priority 2.</w:t>
      </w:r>
      <w:r w:rsidR="00032ED3">
        <w:rPr>
          <w:rFonts w:ascii="Times New Roman" w:eastAsia="Times New Roman" w:hAnsi="Times New Roman" w:cs="Times New Roman"/>
          <w:b/>
          <w:noProof/>
          <w:color w:val="000000"/>
          <w:sz w:val="24"/>
          <w:szCs w:val="24"/>
          <w:lang w:eastAsia="en-GB"/>
        </w:rPr>
        <w:t xml:space="preserve"> </w:t>
      </w:r>
      <w:r w:rsidRPr="001F57D0">
        <w:rPr>
          <w:rFonts w:ascii="Times New Roman" w:eastAsia="Times New Roman" w:hAnsi="Times New Roman" w:cs="Times New Roman"/>
          <w:b/>
          <w:noProof/>
          <w:color w:val="000000"/>
          <w:sz w:val="24"/>
          <w:szCs w:val="24"/>
          <w:lang w:eastAsia="en-GB"/>
        </w:rPr>
        <w:t>More connected border region</w:t>
      </w:r>
      <w:r w:rsidRPr="00851D3E">
        <w:rPr>
          <w:rFonts w:ascii="Times New Roman" w:eastAsia="Times New Roman" w:hAnsi="Times New Roman" w:cs="Times New Roman"/>
          <w:i/>
          <w:noProof/>
          <w:color w:val="000000"/>
          <w:sz w:val="24"/>
          <w:szCs w:val="24"/>
          <w:lang w:eastAsia="en-GB"/>
        </w:rPr>
        <w:t xml:space="preserve"> </w:t>
      </w:r>
    </w:p>
    <w:p w14:paraId="0C53A53C" w14:textId="77777777" w:rsidR="005A60CE" w:rsidRPr="00A10ECC" w:rsidRDefault="005A60CE" w:rsidP="005A60CE">
      <w:pPr>
        <w:spacing w:after="200" w:line="276" w:lineRule="auto"/>
        <w:jc w:val="both"/>
        <w:rPr>
          <w:rFonts w:ascii="Times New Roman" w:eastAsia="Times New Roman" w:hAnsi="Times New Roman" w:cs="Times New Roman"/>
          <w:i/>
          <w:noProof/>
          <w:color w:val="000000"/>
          <w:sz w:val="24"/>
          <w:szCs w:val="24"/>
          <w:lang w:eastAsia="en-GB"/>
        </w:rPr>
      </w:pPr>
      <w:r w:rsidRPr="00A10ECC">
        <w:rPr>
          <w:rFonts w:ascii="Times New Roman" w:eastAsia="Times New Roman" w:hAnsi="Times New Roman" w:cs="Times New Roman"/>
          <w:i/>
          <w:noProof/>
          <w:color w:val="000000"/>
          <w:sz w:val="24"/>
          <w:szCs w:val="24"/>
          <w:lang w:eastAsia="en-GB"/>
        </w:rPr>
        <w:t>Reference: point (d) of Article 17(3)</w:t>
      </w:r>
    </w:p>
    <w:p w14:paraId="7FF6B0A8" w14:textId="77777777" w:rsidR="001420F2" w:rsidRDefault="005A60CE" w:rsidP="001420F2">
      <w:pPr>
        <w:pBdr>
          <w:top w:val="single" w:sz="4" w:space="1" w:color="auto"/>
          <w:left w:val="single" w:sz="4" w:space="4" w:color="auto"/>
          <w:bottom w:val="single" w:sz="4" w:space="1" w:color="auto"/>
          <w:right w:val="single" w:sz="4" w:space="14" w:color="auto"/>
        </w:pBdr>
        <w:spacing w:after="200" w:line="276" w:lineRule="auto"/>
        <w:jc w:val="both"/>
        <w:rPr>
          <w:rFonts w:ascii="Times New Roman" w:eastAsia="Times New Roman" w:hAnsi="Times New Roman" w:cs="Times New Roman"/>
          <w:b/>
          <w:i/>
          <w:iCs/>
          <w:noProof/>
          <w:lang w:eastAsia="en-GB"/>
        </w:rPr>
      </w:pPr>
      <w:r w:rsidRPr="00A10ECC">
        <w:rPr>
          <w:rFonts w:ascii="Times New Roman" w:eastAsia="Times New Roman" w:hAnsi="Times New Roman" w:cs="Times New Roman"/>
          <w:i/>
          <w:iCs/>
          <w:noProof/>
          <w:lang w:eastAsia="en-GB"/>
        </w:rPr>
        <w:t>Text field: [300]</w:t>
      </w:r>
      <w:r w:rsidRPr="00DF7695">
        <w:rPr>
          <w:rFonts w:ascii="Times New Roman" w:eastAsia="Times New Roman" w:hAnsi="Times New Roman" w:cs="Times New Roman"/>
          <w:b/>
          <w:i/>
          <w:iCs/>
          <w:noProof/>
          <w:lang w:eastAsia="en-GB"/>
        </w:rPr>
        <w:t xml:space="preserve"> </w:t>
      </w:r>
    </w:p>
    <w:p w14:paraId="35E41046" w14:textId="77777777" w:rsidR="005A60CE" w:rsidRPr="00BA7B95" w:rsidRDefault="001420F2" w:rsidP="005229D6">
      <w:pPr>
        <w:pBdr>
          <w:top w:val="single" w:sz="4" w:space="1" w:color="auto"/>
          <w:left w:val="single" w:sz="4" w:space="4" w:color="auto"/>
          <w:bottom w:val="single" w:sz="4" w:space="1" w:color="auto"/>
          <w:right w:val="single" w:sz="4" w:space="14" w:color="auto"/>
        </w:pBdr>
        <w:spacing w:after="200" w:line="276" w:lineRule="auto"/>
        <w:jc w:val="both"/>
        <w:rPr>
          <w:rFonts w:ascii="Times New Roman" w:eastAsia="Times New Roman" w:hAnsi="Times New Roman" w:cs="Times New Roman"/>
          <w:b/>
          <w:i/>
          <w:iCs/>
          <w:noProof/>
          <w:lang w:eastAsia="en-GB"/>
        </w:rPr>
      </w:pPr>
      <w:r w:rsidRPr="00BA7B95">
        <w:rPr>
          <w:rFonts w:ascii="Times New Roman" w:eastAsia="Times New Roman" w:hAnsi="Times New Roman" w:cs="Times New Roman"/>
          <w:i/>
          <w:iCs/>
          <w:noProof/>
          <w:lang w:eastAsia="en-GB"/>
        </w:rPr>
        <w:t>To improve regional connectivity and to boost the economic growth of the CBC area</w:t>
      </w:r>
      <w:r>
        <w:rPr>
          <w:rFonts w:ascii="Times New Roman" w:eastAsia="Times New Roman" w:hAnsi="Times New Roman" w:cs="Times New Roman"/>
          <w:b/>
          <w:i/>
          <w:iCs/>
          <w:noProof/>
          <w:lang w:eastAsia="en-GB"/>
        </w:rPr>
        <w:t xml:space="preserve"> </w:t>
      </w:r>
    </w:p>
    <w:p w14:paraId="09510EFF" w14:textId="77777777" w:rsidR="005A60CE" w:rsidRPr="00A10ECC" w:rsidRDefault="005A60CE" w:rsidP="005A60CE">
      <w:pPr>
        <w:spacing w:before="240" w:after="240" w:line="240" w:lineRule="auto"/>
        <w:ind w:left="709" w:hanging="709"/>
        <w:rPr>
          <w:rFonts w:ascii="Times New Roman" w:eastAsia="Times New Roman" w:hAnsi="Times New Roman" w:cs="Times New Roman"/>
          <w:iCs/>
          <w:noProof/>
          <w:sz w:val="24"/>
          <w:szCs w:val="24"/>
          <w:lang w:eastAsia="en-GB"/>
        </w:rPr>
      </w:pPr>
      <w:r>
        <w:rPr>
          <w:rFonts w:ascii="Times New Roman" w:eastAsia="Times New Roman" w:hAnsi="Times New Roman" w:cs="Times New Roman"/>
          <w:b/>
          <w:iCs/>
          <w:noProof/>
          <w:sz w:val="24"/>
          <w:szCs w:val="24"/>
          <w:lang w:eastAsia="en-GB"/>
        </w:rPr>
        <w:t>2.2</w:t>
      </w:r>
      <w:r w:rsidRPr="00A10ECC">
        <w:rPr>
          <w:rFonts w:ascii="Times New Roman" w:eastAsia="Times New Roman" w:hAnsi="Times New Roman" w:cs="Times New Roman"/>
          <w:b/>
          <w:iCs/>
          <w:noProof/>
          <w:sz w:val="24"/>
          <w:szCs w:val="24"/>
          <w:lang w:eastAsia="en-GB"/>
        </w:rPr>
        <w:t>.1.</w:t>
      </w:r>
      <w:r w:rsidRPr="00A10ECC">
        <w:rPr>
          <w:rFonts w:ascii="Times New Roman" w:eastAsia="Times New Roman" w:hAnsi="Times New Roman" w:cs="Times New Roman"/>
          <w:b/>
          <w:iCs/>
          <w:noProof/>
          <w:sz w:val="24"/>
          <w:szCs w:val="24"/>
          <w:lang w:eastAsia="en-GB"/>
        </w:rPr>
        <w:tab/>
        <w:t xml:space="preserve">Specific objective </w:t>
      </w:r>
      <w:r w:rsidRPr="00A10ECC">
        <w:rPr>
          <w:rFonts w:ascii="Times New Roman" w:eastAsia="Times New Roman" w:hAnsi="Times New Roman" w:cs="Times New Roman"/>
          <w:iCs/>
          <w:noProof/>
          <w:sz w:val="24"/>
          <w:szCs w:val="24"/>
          <w:lang w:eastAsia="en-GB"/>
        </w:rPr>
        <w:t>(repeated for each selected specific objective)</w:t>
      </w:r>
    </w:p>
    <w:p w14:paraId="05B8FDA5" w14:textId="77777777" w:rsidR="005229D6" w:rsidRDefault="005A60CE" w:rsidP="005229D6">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lang w:eastAsia="en-GB"/>
        </w:rPr>
      </w:pPr>
      <w:r w:rsidRPr="00A10ECC">
        <w:rPr>
          <w:rFonts w:ascii="Times New Roman" w:eastAsia="Times New Roman" w:hAnsi="Times New Roman" w:cs="Times New Roman"/>
          <w:bCs/>
          <w:i/>
          <w:iCs/>
          <w:noProof/>
          <w:lang w:eastAsia="en-GB"/>
        </w:rPr>
        <w:t>Text field: [300]</w:t>
      </w:r>
      <w:r w:rsidRPr="00DF7695">
        <w:rPr>
          <w:rFonts w:ascii="Times New Roman" w:eastAsia="Times New Roman" w:hAnsi="Times New Roman" w:cs="Times New Roman"/>
          <w:i/>
          <w:iCs/>
          <w:noProof/>
          <w:lang w:eastAsia="en-GB"/>
        </w:rPr>
        <w:t xml:space="preserve"> </w:t>
      </w:r>
    </w:p>
    <w:p w14:paraId="24E74E7A" w14:textId="77777777" w:rsidR="005A60CE" w:rsidRPr="00673542" w:rsidRDefault="005229D6" w:rsidP="00851D3E">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noProof/>
          <w:color w:val="000000"/>
          <w:lang w:eastAsia="en-GB"/>
        </w:rPr>
      </w:pPr>
      <w:r w:rsidRPr="0032243D">
        <w:rPr>
          <w:rFonts w:ascii="Times New Roman" w:eastAsia="Times New Roman" w:hAnsi="Times New Roman" w:cs="Times New Roman"/>
          <w:i/>
          <w:noProof/>
          <w:color w:val="000000"/>
          <w:lang w:eastAsia="en-GB"/>
        </w:rPr>
        <w:t>2.1</w:t>
      </w:r>
      <w:r w:rsidRPr="0066363A">
        <w:rPr>
          <w:rFonts w:ascii="Times New Roman" w:eastAsia="Times New Roman" w:hAnsi="Times New Roman" w:cs="Times New Roman"/>
          <w:i/>
          <w:noProof/>
          <w:color w:val="000000"/>
          <w:lang w:eastAsia="en-GB"/>
        </w:rPr>
        <w:t>.Developing sustainable, climate resilient, intelligent and intermodal national, regional and local mobility, including improved access to TEN-T and cross-border mobility</w:t>
      </w:r>
    </w:p>
    <w:p w14:paraId="58BA6640" w14:textId="77777777" w:rsidR="005A60CE" w:rsidRPr="00A10ECC" w:rsidRDefault="005A60CE" w:rsidP="005A60CE">
      <w:pPr>
        <w:spacing w:after="200" w:line="276" w:lineRule="auto"/>
        <w:jc w:val="both"/>
        <w:rPr>
          <w:rFonts w:ascii="Times New Roman" w:eastAsia="Times New Roman" w:hAnsi="Times New Roman" w:cs="Times New Roman"/>
          <w:i/>
          <w:noProof/>
          <w:color w:val="000000"/>
          <w:sz w:val="24"/>
          <w:szCs w:val="24"/>
          <w:lang w:eastAsia="en-GB"/>
        </w:rPr>
      </w:pPr>
      <w:r w:rsidRPr="00A10ECC">
        <w:rPr>
          <w:rFonts w:ascii="Times New Roman" w:eastAsia="Times New Roman" w:hAnsi="Times New Roman" w:cs="Times New Roman"/>
          <w:i/>
          <w:noProof/>
          <w:color w:val="000000"/>
          <w:sz w:val="24"/>
          <w:szCs w:val="24"/>
          <w:lang w:eastAsia="en-GB"/>
        </w:rPr>
        <w:t>Reference: point (e) of Article 17(3)</w:t>
      </w:r>
    </w:p>
    <w:p w14:paraId="01F18D7B" w14:textId="77777777" w:rsidR="005A60CE" w:rsidRPr="00A10ECC" w:rsidRDefault="005A60CE" w:rsidP="005A60CE">
      <w:pPr>
        <w:spacing w:before="240" w:after="240" w:line="240" w:lineRule="auto"/>
        <w:ind w:left="709" w:hanging="709"/>
        <w:rPr>
          <w:rFonts w:ascii="Times New Roman" w:eastAsia="Times New Roman" w:hAnsi="Times New Roman" w:cs="Times New Roman"/>
          <w:iCs/>
          <w:noProof/>
          <w:sz w:val="24"/>
          <w:szCs w:val="24"/>
          <w:lang w:eastAsia="en-GB"/>
        </w:rPr>
      </w:pPr>
      <w:r>
        <w:rPr>
          <w:rFonts w:ascii="Times New Roman" w:eastAsia="Times New Roman" w:hAnsi="Times New Roman" w:cs="Times New Roman"/>
          <w:b/>
          <w:iCs/>
          <w:noProof/>
          <w:sz w:val="24"/>
          <w:szCs w:val="24"/>
          <w:lang w:eastAsia="en-GB"/>
        </w:rPr>
        <w:t>2.2</w:t>
      </w:r>
      <w:r w:rsidRPr="00A10ECC">
        <w:rPr>
          <w:rFonts w:ascii="Times New Roman" w:eastAsia="Times New Roman" w:hAnsi="Times New Roman" w:cs="Times New Roman"/>
          <w:b/>
          <w:iCs/>
          <w:noProof/>
          <w:sz w:val="24"/>
          <w:szCs w:val="24"/>
          <w:lang w:eastAsia="en-GB"/>
        </w:rPr>
        <w:t>.2. Related types of action, and their expected contribution to those specific objectives and to macro-regional strategies and sea-basis strategies, where appropriate</w:t>
      </w:r>
    </w:p>
    <w:p w14:paraId="2ACD4E33" w14:textId="77777777" w:rsidR="005A60CE" w:rsidRDefault="005A60CE" w:rsidP="005A60CE">
      <w:pPr>
        <w:spacing w:after="200" w:line="276" w:lineRule="auto"/>
        <w:jc w:val="both"/>
        <w:rPr>
          <w:rFonts w:ascii="Times New Roman" w:eastAsia="Times New Roman" w:hAnsi="Times New Roman" w:cs="Times New Roman"/>
          <w:i/>
          <w:noProof/>
          <w:color w:val="000000"/>
          <w:sz w:val="24"/>
          <w:szCs w:val="24"/>
          <w:lang w:val="en-US" w:eastAsia="en-GB"/>
        </w:rPr>
      </w:pPr>
      <w:r w:rsidRPr="00A10ECC">
        <w:rPr>
          <w:rFonts w:ascii="Times New Roman" w:eastAsia="Times New Roman" w:hAnsi="Times New Roman" w:cs="Times New Roman"/>
          <w:i/>
          <w:noProof/>
          <w:color w:val="000000"/>
          <w:sz w:val="24"/>
          <w:szCs w:val="24"/>
          <w:lang w:val="en-US" w:eastAsia="en-GB"/>
        </w:rPr>
        <w:t>Reference: point (e)(i) of Article 17(3), point (c)(ii) of Article 17(9)</w:t>
      </w:r>
    </w:p>
    <w:p w14:paraId="213DBBF2" w14:textId="77777777" w:rsidR="00B04EC8" w:rsidRDefault="00B04EC8" w:rsidP="00851D3E">
      <w:pPr>
        <w:pBdr>
          <w:top w:val="single" w:sz="4" w:space="0"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sz w:val="24"/>
          <w:szCs w:val="24"/>
          <w:lang w:eastAsia="en-GB"/>
        </w:rPr>
      </w:pPr>
      <w:r w:rsidRPr="00A10ECC">
        <w:rPr>
          <w:rFonts w:ascii="Times New Roman" w:eastAsia="Times New Roman" w:hAnsi="Times New Roman" w:cs="Times New Roman"/>
          <w:i/>
          <w:iCs/>
          <w:noProof/>
          <w:sz w:val="24"/>
          <w:szCs w:val="24"/>
          <w:lang w:eastAsia="en-GB"/>
        </w:rPr>
        <w:t>Text field [7000]</w:t>
      </w:r>
    </w:p>
    <w:p w14:paraId="585FECFB" w14:textId="77777777" w:rsidR="000D4377" w:rsidRPr="000D4377" w:rsidRDefault="00A65293" w:rsidP="000D4377">
      <w:pPr>
        <w:pBdr>
          <w:top w:val="single" w:sz="4" w:space="0"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lang w:val="bg-BG" w:eastAsia="en-GB"/>
        </w:rPr>
      </w:pPr>
      <w:r w:rsidRPr="00AA3D01">
        <w:rPr>
          <w:rFonts w:ascii="Times New Roman" w:eastAsia="Times New Roman" w:hAnsi="Times New Roman" w:cs="Times New Roman"/>
          <w:i/>
          <w:iCs/>
          <w:noProof/>
          <w:lang w:eastAsia="en-GB"/>
        </w:rPr>
        <w:t>T</w:t>
      </w:r>
      <w:r w:rsidR="00F02273" w:rsidRPr="00AA3D01">
        <w:rPr>
          <w:rFonts w:ascii="Times New Roman" w:eastAsia="Times New Roman" w:hAnsi="Times New Roman" w:cs="Times New Roman"/>
          <w:i/>
          <w:iCs/>
          <w:noProof/>
          <w:lang w:eastAsia="en-GB"/>
        </w:rPr>
        <w:t xml:space="preserve">he socio-economic interlinkages between the two countries have been gradually expanding due to positive prospects of the EU enlargement. </w:t>
      </w:r>
      <w:r w:rsidR="000D4377" w:rsidRPr="000D4377">
        <w:rPr>
          <w:rFonts w:ascii="Times New Roman" w:eastAsia="Times New Roman" w:hAnsi="Times New Roman" w:cs="Times New Roman"/>
          <w:i/>
          <w:iCs/>
          <w:noProof/>
          <w:lang w:val="bg-BG" w:eastAsia="en-GB"/>
        </w:rPr>
        <w:t xml:space="preserve">On 14 June 1999 in Skopje, an agreement between the Government of the Republic of  Macedonia and the Government of Republic of Bulgaria for opening new international road Border Crossing Check Points (BCCP) </w:t>
      </w:r>
      <w:r w:rsidR="005C4DC8" w:rsidRPr="000D4377">
        <w:rPr>
          <w:rFonts w:ascii="Times New Roman" w:eastAsia="Times New Roman" w:hAnsi="Times New Roman" w:cs="Times New Roman"/>
          <w:i/>
          <w:iCs/>
          <w:noProof/>
          <w:lang w:val="bg-BG" w:eastAsia="en-GB"/>
        </w:rPr>
        <w:t>Strum</w:t>
      </w:r>
      <w:r w:rsidR="005C4DC8">
        <w:rPr>
          <w:rFonts w:ascii="Times New Roman" w:eastAsia="Times New Roman" w:hAnsi="Times New Roman" w:cs="Times New Roman"/>
          <w:i/>
          <w:iCs/>
          <w:noProof/>
          <w:lang w:val="en-US" w:eastAsia="en-GB"/>
        </w:rPr>
        <w:t>y</w:t>
      </w:r>
      <w:r w:rsidR="005C4DC8" w:rsidRPr="000D4377">
        <w:rPr>
          <w:rFonts w:ascii="Times New Roman" w:eastAsia="Times New Roman" w:hAnsi="Times New Roman" w:cs="Times New Roman"/>
          <w:i/>
          <w:iCs/>
          <w:noProof/>
          <w:lang w:val="bg-BG" w:eastAsia="en-GB"/>
        </w:rPr>
        <w:t>an</w:t>
      </w:r>
      <w:r w:rsidR="005C4DC8">
        <w:rPr>
          <w:rFonts w:ascii="Times New Roman" w:eastAsia="Times New Roman" w:hAnsi="Times New Roman" w:cs="Times New Roman"/>
          <w:i/>
          <w:iCs/>
          <w:noProof/>
          <w:lang w:val="en-US" w:eastAsia="en-GB"/>
        </w:rPr>
        <w:t>i</w:t>
      </w:r>
      <w:r w:rsidR="005C4DC8" w:rsidRPr="000D4377">
        <w:rPr>
          <w:rFonts w:ascii="Times New Roman" w:eastAsia="Times New Roman" w:hAnsi="Times New Roman" w:cs="Times New Roman"/>
          <w:i/>
          <w:iCs/>
          <w:noProof/>
          <w:lang w:val="bg-BG" w:eastAsia="en-GB"/>
        </w:rPr>
        <w:t xml:space="preserve"> </w:t>
      </w:r>
      <w:r w:rsidR="000D4377" w:rsidRPr="000D4377">
        <w:rPr>
          <w:rFonts w:ascii="Times New Roman" w:eastAsia="Times New Roman" w:hAnsi="Times New Roman" w:cs="Times New Roman"/>
          <w:i/>
          <w:iCs/>
          <w:noProof/>
          <w:lang w:val="bg-BG" w:eastAsia="en-GB"/>
        </w:rPr>
        <w:t xml:space="preserve">– Berovo and Simitli – Pehchevo was signed. On territory of  the </w:t>
      </w:r>
      <w:r w:rsidR="00B802AF">
        <w:rPr>
          <w:rFonts w:ascii="Times New Roman" w:eastAsia="Times New Roman" w:hAnsi="Times New Roman" w:cs="Times New Roman"/>
          <w:i/>
          <w:iCs/>
          <w:noProof/>
          <w:lang w:val="bg-BG" w:eastAsia="en-GB"/>
        </w:rPr>
        <w:t>[Republic of North Macedonia]</w:t>
      </w:r>
      <w:r w:rsidR="000D4377" w:rsidRPr="000D4377">
        <w:rPr>
          <w:rFonts w:ascii="Times New Roman" w:eastAsia="Times New Roman" w:hAnsi="Times New Roman" w:cs="Times New Roman"/>
          <w:i/>
          <w:iCs/>
          <w:noProof/>
          <w:lang w:val="bg-BG" w:eastAsia="en-GB"/>
        </w:rPr>
        <w:t xml:space="preserve"> the BCCP Strumyani - Berovo, as well as the access road, have already been constructed in 2001, while on the territory of the Republic of Bulgaria both the road section and the BCCP are not constructed yet. In conformity with the above Agreement, the road section and the BCCP on territory of the Republic of Bulgaria were foreseen to be financed under the External Border Initiative  2003 but failed to be realized.</w:t>
      </w:r>
      <w:r w:rsidR="000D4377">
        <w:rPr>
          <w:rFonts w:ascii="Times New Roman" w:eastAsia="Times New Roman" w:hAnsi="Times New Roman" w:cs="Times New Roman"/>
          <w:i/>
          <w:iCs/>
          <w:noProof/>
          <w:lang w:val="en-US" w:eastAsia="en-GB"/>
        </w:rPr>
        <w:t xml:space="preserve"> </w:t>
      </w:r>
      <w:r w:rsidR="00F02273" w:rsidRPr="00AA3D01">
        <w:rPr>
          <w:rFonts w:ascii="Times New Roman" w:eastAsia="Times New Roman" w:hAnsi="Times New Roman" w:cs="Times New Roman"/>
          <w:i/>
          <w:iCs/>
          <w:noProof/>
          <w:lang w:eastAsia="en-GB"/>
        </w:rPr>
        <w:t xml:space="preserve">The need for strengthening the regional connectivity and to facilitate the increasing traffic of people and goods between the Republic of Bulgaria and the </w:t>
      </w:r>
      <w:r w:rsidR="00B802AF">
        <w:rPr>
          <w:rFonts w:ascii="Times New Roman" w:eastAsia="Times New Roman" w:hAnsi="Times New Roman" w:cs="Times New Roman"/>
          <w:i/>
          <w:iCs/>
          <w:noProof/>
          <w:lang w:eastAsia="en-GB"/>
        </w:rPr>
        <w:t>[Republic of North Macedonia]</w:t>
      </w:r>
      <w:r w:rsidR="00F02273" w:rsidRPr="00AA3D01">
        <w:rPr>
          <w:rFonts w:ascii="Times New Roman" w:eastAsia="Times New Roman" w:hAnsi="Times New Roman" w:cs="Times New Roman"/>
          <w:i/>
          <w:iCs/>
          <w:noProof/>
          <w:lang w:eastAsia="en-GB"/>
        </w:rPr>
        <w:t xml:space="preserve"> has since long been on the agenda.</w:t>
      </w:r>
    </w:p>
    <w:p w14:paraId="7313509E" w14:textId="77777777" w:rsidR="001F57D0" w:rsidRPr="00AA3D01" w:rsidRDefault="003243E3" w:rsidP="00851D3E">
      <w:pPr>
        <w:pBdr>
          <w:top w:val="single" w:sz="4" w:space="0"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lang w:eastAsia="en-GB"/>
        </w:rPr>
      </w:pPr>
      <w:r w:rsidRPr="00AA3D01">
        <w:rPr>
          <w:rFonts w:ascii="Times New Roman" w:eastAsia="Times New Roman" w:hAnsi="Times New Roman" w:cs="Times New Roman"/>
          <w:i/>
          <w:iCs/>
          <w:noProof/>
          <w:lang w:val="en-US" w:eastAsia="en-GB"/>
        </w:rPr>
        <w:t xml:space="preserve">Missing links in the CB provision of business services and such of general interest are a main factor behind the negative demographic dynamics that the area exhibits. The lack of infrastructure favoring the provision of services of community and business interest further impose severe social implications including increased social exclusion and inequalities, as well as challenges for recreational service provision, labour markets and housing. </w:t>
      </w:r>
      <w:r w:rsidR="000A4031" w:rsidRPr="00AA3D01">
        <w:rPr>
          <w:rFonts w:ascii="Times New Roman" w:eastAsia="Times New Roman" w:hAnsi="Times New Roman" w:cs="Times New Roman"/>
          <w:i/>
          <w:iCs/>
          <w:noProof/>
          <w:lang w:eastAsia="en-GB"/>
        </w:rPr>
        <w:t>In terms of interregional connectivity, the lack of railway connection between the two countries and the increasing cross-border traffic have urged the need to improve service capacity of the current BCCP and enlarge TEN-T access, taking also into account the prospects of the accelerated EU enlargement</w:t>
      </w:r>
      <w:r w:rsidR="001F57D0" w:rsidRPr="00AA3D01">
        <w:rPr>
          <w:rFonts w:ascii="Times New Roman" w:eastAsia="Times New Roman" w:hAnsi="Times New Roman" w:cs="Times New Roman"/>
          <w:i/>
          <w:iCs/>
          <w:noProof/>
          <w:lang w:eastAsia="en-GB"/>
        </w:rPr>
        <w:t xml:space="preserve">. </w:t>
      </w:r>
    </w:p>
    <w:p w14:paraId="4708ABC5" w14:textId="77777777" w:rsidR="0061281C" w:rsidRPr="00AA3D01" w:rsidRDefault="008A5A99" w:rsidP="006967CF">
      <w:pPr>
        <w:pBdr>
          <w:top w:val="single" w:sz="4" w:space="0"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lang w:val="en-US" w:eastAsia="en-GB"/>
        </w:rPr>
      </w:pPr>
      <w:r w:rsidRPr="00AA3D01">
        <w:rPr>
          <w:rFonts w:ascii="Times New Roman" w:eastAsia="Times New Roman" w:hAnsi="Times New Roman" w:cs="Times New Roman"/>
          <w:i/>
          <w:iCs/>
          <w:noProof/>
          <w:lang w:val="bg-BG" w:eastAsia="en-GB"/>
        </w:rPr>
        <w:t>Т</w:t>
      </w:r>
      <w:r w:rsidRPr="00AA3D01">
        <w:rPr>
          <w:rFonts w:ascii="Times New Roman" w:eastAsia="Times New Roman" w:hAnsi="Times New Roman" w:cs="Times New Roman"/>
          <w:i/>
          <w:iCs/>
          <w:noProof/>
          <w:lang w:val="en-US" w:eastAsia="en-GB"/>
        </w:rPr>
        <w:t>he investments under this prioroty</w:t>
      </w:r>
      <w:r w:rsidR="0061281C" w:rsidRPr="00AA3D01">
        <w:rPr>
          <w:rFonts w:ascii="Times New Roman" w:eastAsia="Times New Roman" w:hAnsi="Times New Roman" w:cs="Times New Roman"/>
          <w:i/>
          <w:iCs/>
          <w:noProof/>
          <w:lang w:eastAsia="en-GB"/>
        </w:rPr>
        <w:t xml:space="preserve"> will contribute to the EU external policy by adhering to most up-to-date standards in safeguarding security and border control. The broad and multi-sectoral impact of the </w:t>
      </w:r>
      <w:r w:rsidRPr="00AA3D01">
        <w:rPr>
          <w:rFonts w:ascii="Times New Roman" w:eastAsia="Times New Roman" w:hAnsi="Times New Roman" w:cs="Times New Roman"/>
          <w:i/>
          <w:iCs/>
          <w:noProof/>
          <w:lang w:eastAsia="en-GB"/>
        </w:rPr>
        <w:t xml:space="preserve">investments </w:t>
      </w:r>
      <w:r w:rsidR="0061281C" w:rsidRPr="00AA3D01">
        <w:rPr>
          <w:rFonts w:ascii="Times New Roman" w:eastAsia="Times New Roman" w:hAnsi="Times New Roman" w:cs="Times New Roman"/>
          <w:i/>
          <w:iCs/>
          <w:noProof/>
          <w:lang w:eastAsia="en-GB"/>
        </w:rPr>
        <w:t>on various EU policy strands de</w:t>
      </w:r>
      <w:r w:rsidR="00053698" w:rsidRPr="00AA3D01">
        <w:rPr>
          <w:rFonts w:ascii="Times New Roman" w:eastAsia="Times New Roman" w:hAnsi="Times New Roman" w:cs="Times New Roman"/>
          <w:i/>
          <w:iCs/>
          <w:noProof/>
          <w:lang w:eastAsia="en-GB"/>
        </w:rPr>
        <w:t xml:space="preserve">fend its strategic orientation </w:t>
      </w:r>
      <w:r w:rsidR="0061281C" w:rsidRPr="00AA3D01">
        <w:rPr>
          <w:rFonts w:ascii="Times New Roman" w:eastAsia="Times New Roman" w:hAnsi="Times New Roman" w:cs="Times New Roman"/>
          <w:i/>
          <w:iCs/>
          <w:noProof/>
          <w:lang w:eastAsia="en-GB"/>
        </w:rPr>
        <w:t>on the regional connectivity and cross-border mobility in an area that is soon expected to join the EU family.</w:t>
      </w:r>
      <w:r w:rsidR="006967CF" w:rsidRPr="00AA3D01">
        <w:rPr>
          <w:rFonts w:ascii="Times New Roman" w:eastAsia="Times New Roman" w:hAnsi="Times New Roman" w:cs="Times New Roman"/>
          <w:i/>
          <w:iCs/>
          <w:noProof/>
          <w:lang w:val="bg-BG" w:eastAsia="en-GB"/>
        </w:rPr>
        <w:t xml:space="preserve"> </w:t>
      </w:r>
      <w:r w:rsidR="0066257B" w:rsidRPr="00AA3D01">
        <w:rPr>
          <w:rFonts w:ascii="Times New Roman" w:eastAsia="Times New Roman" w:hAnsi="Times New Roman" w:cs="Times New Roman"/>
          <w:i/>
          <w:iCs/>
          <w:noProof/>
          <w:lang w:val="en-US" w:eastAsia="en-GB"/>
        </w:rPr>
        <w:t xml:space="preserve">The </w:t>
      </w:r>
      <w:r w:rsidR="006967CF" w:rsidRPr="00AA3D01">
        <w:rPr>
          <w:rFonts w:ascii="Times New Roman" w:eastAsia="Times New Roman" w:hAnsi="Times New Roman" w:cs="Times New Roman"/>
          <w:i/>
          <w:iCs/>
          <w:noProof/>
          <w:lang w:val="en-US" w:eastAsia="en-GB"/>
        </w:rPr>
        <w:t xml:space="preserve">main goal </w:t>
      </w:r>
      <w:r w:rsidR="0066257B" w:rsidRPr="00AA3D01">
        <w:rPr>
          <w:rFonts w:ascii="Times New Roman" w:eastAsia="Times New Roman" w:hAnsi="Times New Roman" w:cs="Times New Roman"/>
          <w:i/>
          <w:iCs/>
          <w:noProof/>
          <w:lang w:val="en-US" w:eastAsia="en-GB"/>
        </w:rPr>
        <w:t xml:space="preserve">of interventions under this priority </w:t>
      </w:r>
      <w:r w:rsidR="006967CF" w:rsidRPr="00AA3D01">
        <w:rPr>
          <w:rFonts w:ascii="Times New Roman" w:eastAsia="Times New Roman" w:hAnsi="Times New Roman" w:cs="Times New Roman"/>
          <w:i/>
          <w:iCs/>
          <w:noProof/>
          <w:lang w:val="en-US" w:eastAsia="en-GB"/>
        </w:rPr>
        <w:t xml:space="preserve">is to </w:t>
      </w:r>
      <w:r w:rsidR="006967CF" w:rsidRPr="00AA3D01">
        <w:rPr>
          <w:rFonts w:ascii="Times New Roman" w:eastAsia="Times New Roman" w:hAnsi="Times New Roman" w:cs="Times New Roman"/>
          <w:i/>
          <w:iCs/>
          <w:noProof/>
          <w:lang w:eastAsia="en-GB"/>
        </w:rPr>
        <w:t xml:space="preserve">improve regional connectivity and to </w:t>
      </w:r>
      <w:r w:rsidR="006967CF" w:rsidRPr="00AA3D01">
        <w:rPr>
          <w:rFonts w:ascii="Times New Roman" w:eastAsia="Times New Roman" w:hAnsi="Times New Roman" w:cs="Times New Roman"/>
          <w:i/>
          <w:iCs/>
          <w:noProof/>
          <w:lang w:val="en-US" w:eastAsia="en-GB"/>
        </w:rPr>
        <w:t xml:space="preserve">help </w:t>
      </w:r>
      <w:r w:rsidR="006967CF" w:rsidRPr="00AA3D01">
        <w:rPr>
          <w:rFonts w:ascii="Times New Roman" w:eastAsia="Times New Roman" w:hAnsi="Times New Roman" w:cs="Times New Roman"/>
          <w:i/>
          <w:iCs/>
          <w:noProof/>
          <w:lang w:eastAsia="en-GB"/>
        </w:rPr>
        <w:t xml:space="preserve">boost the economic growth of the CBC area by (1) </w:t>
      </w:r>
      <w:r w:rsidR="006967CF" w:rsidRPr="00AA3D01">
        <w:rPr>
          <w:rFonts w:ascii="Times New Roman" w:eastAsia="Times New Roman" w:hAnsi="Times New Roman" w:cs="Times New Roman"/>
          <w:i/>
          <w:iCs/>
          <w:noProof/>
          <w:lang w:eastAsia="en-GB"/>
        </w:rPr>
        <w:lastRenderedPageBreak/>
        <w:t>facilitating the increasing traffic of people and goods between the two countries, (2) strengthening communication links between the two countries, and (3) improving and extending access to core TEN-T</w:t>
      </w:r>
      <w:r w:rsidR="0003201D" w:rsidRPr="00AA3D01">
        <w:rPr>
          <w:rFonts w:ascii="Times New Roman" w:eastAsia="Times New Roman" w:hAnsi="Times New Roman" w:cs="Times New Roman"/>
          <w:i/>
          <w:iCs/>
          <w:noProof/>
          <w:lang w:eastAsia="en-GB"/>
        </w:rPr>
        <w:t>.</w:t>
      </w:r>
    </w:p>
    <w:p w14:paraId="32B26D79" w14:textId="77777777" w:rsidR="0061281C" w:rsidRPr="00AA3D01" w:rsidRDefault="006967CF" w:rsidP="00851D3E">
      <w:pPr>
        <w:pBdr>
          <w:top w:val="single" w:sz="4" w:space="0"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sidRPr="00AA3D01">
        <w:rPr>
          <w:rFonts w:ascii="Times New Roman" w:eastAsia="Times New Roman" w:hAnsi="Times New Roman" w:cs="Times New Roman"/>
          <w:i/>
          <w:iCs/>
          <w:noProof/>
          <w:lang w:eastAsia="en-GB"/>
        </w:rPr>
        <w:t xml:space="preserve">The non-exhaustive list of </w:t>
      </w:r>
      <w:r w:rsidR="0061281C" w:rsidRPr="00AA3D01">
        <w:rPr>
          <w:rFonts w:ascii="Times New Roman" w:eastAsia="Times New Roman" w:hAnsi="Times New Roman" w:cs="Times New Roman"/>
          <w:i/>
          <w:iCs/>
          <w:noProof/>
          <w:lang w:eastAsia="en-GB"/>
        </w:rPr>
        <w:t>actions</w:t>
      </w:r>
      <w:r w:rsidRPr="00AA3D01">
        <w:rPr>
          <w:rFonts w:ascii="Times New Roman" w:eastAsia="Times New Roman" w:hAnsi="Times New Roman" w:cs="Times New Roman"/>
          <w:i/>
          <w:iCs/>
          <w:noProof/>
          <w:lang w:eastAsia="en-GB"/>
        </w:rPr>
        <w:t xml:space="preserve"> that the </w:t>
      </w:r>
      <w:r w:rsidR="008A5A99" w:rsidRPr="00AA3D01">
        <w:rPr>
          <w:rFonts w:ascii="Times New Roman" w:eastAsia="Times New Roman" w:hAnsi="Times New Roman" w:cs="Times New Roman"/>
          <w:i/>
          <w:iCs/>
          <w:noProof/>
          <w:lang w:eastAsia="en-GB"/>
        </w:rPr>
        <w:t xml:space="preserve">priority </w:t>
      </w:r>
      <w:r w:rsidRPr="00AA3D01">
        <w:rPr>
          <w:rFonts w:ascii="Times New Roman" w:eastAsia="Times New Roman" w:hAnsi="Times New Roman" w:cs="Times New Roman"/>
          <w:i/>
          <w:iCs/>
          <w:noProof/>
          <w:lang w:eastAsia="en-GB"/>
        </w:rPr>
        <w:t>would support go as follows</w:t>
      </w:r>
      <w:r w:rsidR="0061281C" w:rsidRPr="00AA3D01">
        <w:rPr>
          <w:rFonts w:ascii="Times New Roman" w:eastAsia="Times New Roman" w:hAnsi="Times New Roman" w:cs="Times New Roman"/>
          <w:i/>
          <w:iCs/>
          <w:noProof/>
          <w:lang w:eastAsia="en-GB"/>
        </w:rPr>
        <w:t>:</w:t>
      </w:r>
    </w:p>
    <w:p w14:paraId="021E8AAF" w14:textId="77777777" w:rsidR="0061281C" w:rsidRPr="00AA3D01" w:rsidRDefault="0061281C" w:rsidP="00851D3E">
      <w:pPr>
        <w:pBdr>
          <w:top w:val="single" w:sz="4" w:space="0"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sidRPr="00AA3D01">
        <w:rPr>
          <w:rFonts w:ascii="Times New Roman" w:eastAsia="Times New Roman" w:hAnsi="Times New Roman" w:cs="Times New Roman"/>
          <w:i/>
          <w:iCs/>
          <w:noProof/>
          <w:lang w:eastAsia="en-GB"/>
        </w:rPr>
        <w:t>- Upgrade of the existing and construction of new BCCP facilities;</w:t>
      </w:r>
    </w:p>
    <w:p w14:paraId="68BB193D" w14:textId="77777777" w:rsidR="0061281C" w:rsidRPr="00AA3D01" w:rsidRDefault="0061281C" w:rsidP="00851D3E">
      <w:pPr>
        <w:pBdr>
          <w:top w:val="single" w:sz="4" w:space="0"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sidRPr="00AA3D01">
        <w:rPr>
          <w:rFonts w:ascii="Times New Roman" w:eastAsia="Times New Roman" w:hAnsi="Times New Roman" w:cs="Times New Roman"/>
          <w:i/>
          <w:iCs/>
          <w:noProof/>
          <w:lang w:eastAsia="en-GB"/>
        </w:rPr>
        <w:t>- Purchase of specialized technical equipment based ICT solutions;</w:t>
      </w:r>
    </w:p>
    <w:p w14:paraId="6CC425CE" w14:textId="77777777" w:rsidR="0061281C" w:rsidRPr="00AA3D01" w:rsidRDefault="0061281C" w:rsidP="00851D3E">
      <w:pPr>
        <w:pBdr>
          <w:top w:val="single" w:sz="4" w:space="0"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b/>
          <w:i/>
          <w:iCs/>
          <w:noProof/>
          <w:lang w:eastAsia="en-GB"/>
        </w:rPr>
      </w:pPr>
      <w:r w:rsidRPr="00AA3D01">
        <w:rPr>
          <w:rFonts w:ascii="Times New Roman" w:eastAsia="Times New Roman" w:hAnsi="Times New Roman" w:cs="Times New Roman"/>
          <w:i/>
          <w:iCs/>
          <w:noProof/>
          <w:lang w:eastAsia="en-GB"/>
        </w:rPr>
        <w:t>- Rehabilitation of existing and construction of new roads in both countries</w:t>
      </w:r>
      <w:r w:rsidRPr="00AA3D01">
        <w:rPr>
          <w:rFonts w:ascii="Times New Roman" w:eastAsia="Times New Roman" w:hAnsi="Times New Roman" w:cs="Times New Roman"/>
          <w:b/>
          <w:i/>
          <w:iCs/>
          <w:noProof/>
          <w:lang w:eastAsia="en-GB"/>
        </w:rPr>
        <w:t>;</w:t>
      </w:r>
    </w:p>
    <w:p w14:paraId="3BEB4F37" w14:textId="77777777" w:rsidR="0061281C" w:rsidRPr="00AA3D01" w:rsidRDefault="0061281C" w:rsidP="00851D3E">
      <w:pPr>
        <w:pBdr>
          <w:top w:val="single" w:sz="4" w:space="0"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sidRPr="00AA3D01">
        <w:rPr>
          <w:rFonts w:ascii="Times New Roman" w:eastAsia="Times New Roman" w:hAnsi="Times New Roman" w:cs="Times New Roman"/>
          <w:i/>
          <w:iCs/>
          <w:noProof/>
          <w:lang w:eastAsia="en-GB"/>
        </w:rPr>
        <w:t>- Environmental and other project-related assessments</w:t>
      </w:r>
    </w:p>
    <w:p w14:paraId="4D4AC2BA" w14:textId="77777777" w:rsidR="0066257B" w:rsidRPr="00AA3D01" w:rsidRDefault="0066257B" w:rsidP="007716DF">
      <w:pPr>
        <w:pBdr>
          <w:top w:val="single" w:sz="4" w:space="0"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p>
    <w:p w14:paraId="481D39EE" w14:textId="77777777" w:rsidR="00AD67A3" w:rsidRPr="00AD67A3" w:rsidRDefault="00AD67A3" w:rsidP="007716DF">
      <w:pPr>
        <w:pBdr>
          <w:top w:val="single" w:sz="4" w:space="0"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Pr>
          <w:rFonts w:ascii="Times New Roman" w:eastAsia="Times New Roman" w:hAnsi="Times New Roman" w:cs="Times New Roman"/>
          <w:i/>
          <w:iCs/>
          <w:noProof/>
          <w:lang w:eastAsia="en-GB"/>
        </w:rPr>
        <w:t>The ivetsments will take the form of a project of strategic importance.</w:t>
      </w:r>
    </w:p>
    <w:p w14:paraId="24442991" w14:textId="77777777" w:rsidR="00AD67A3" w:rsidRDefault="00AD67A3" w:rsidP="007716DF">
      <w:pPr>
        <w:pBdr>
          <w:top w:val="single" w:sz="4" w:space="0"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val="en-US" w:eastAsia="en-GB"/>
        </w:rPr>
      </w:pPr>
    </w:p>
    <w:p w14:paraId="65FB6BCD" w14:textId="77777777" w:rsidR="007716DF" w:rsidRPr="007E51AD" w:rsidRDefault="008A5A99" w:rsidP="007716DF">
      <w:pPr>
        <w:pBdr>
          <w:top w:val="single" w:sz="4" w:space="0"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val="en-US" w:eastAsia="en-GB"/>
        </w:rPr>
      </w:pPr>
      <w:r w:rsidRPr="00AA3D01">
        <w:rPr>
          <w:rFonts w:ascii="Times New Roman" w:eastAsia="Times New Roman" w:hAnsi="Times New Roman" w:cs="Times New Roman"/>
          <w:i/>
          <w:iCs/>
          <w:noProof/>
          <w:lang w:val="en-US" w:eastAsia="en-GB"/>
        </w:rPr>
        <w:t>The investment</w:t>
      </w:r>
      <w:r w:rsidR="007716DF" w:rsidRPr="00AA3D01">
        <w:rPr>
          <w:rFonts w:ascii="Times New Roman" w:eastAsia="Times New Roman" w:hAnsi="Times New Roman" w:cs="Times New Roman"/>
          <w:i/>
          <w:iCs/>
          <w:noProof/>
          <w:lang w:val="en-US" w:eastAsia="en-GB"/>
        </w:rPr>
        <w:t xml:space="preserve">s </w:t>
      </w:r>
      <w:r w:rsidRPr="00AA3D01">
        <w:rPr>
          <w:rFonts w:ascii="Times New Roman" w:eastAsia="Times New Roman" w:hAnsi="Times New Roman" w:cs="Times New Roman"/>
          <w:i/>
          <w:iCs/>
          <w:noProof/>
          <w:lang w:val="en-US" w:eastAsia="en-GB"/>
        </w:rPr>
        <w:t xml:space="preserve">will potentially have </w:t>
      </w:r>
      <w:r w:rsidR="007716DF" w:rsidRPr="00AA3D01">
        <w:rPr>
          <w:rFonts w:ascii="Times New Roman" w:eastAsia="Times New Roman" w:hAnsi="Times New Roman" w:cs="Times New Roman"/>
          <w:i/>
          <w:iCs/>
          <w:noProof/>
          <w:lang w:val="en-US" w:eastAsia="en-GB"/>
        </w:rPr>
        <w:t>an impact on T</w:t>
      </w:r>
      <w:r w:rsidR="007716DF" w:rsidRPr="00AA3D01">
        <w:rPr>
          <w:rFonts w:ascii="Times New Roman" w:eastAsia="Times New Roman" w:hAnsi="Times New Roman" w:cs="Times New Roman"/>
          <w:i/>
          <w:iCs/>
          <w:noProof/>
          <w:lang w:eastAsia="en-GB"/>
        </w:rPr>
        <w:t xml:space="preserve">arget III – Improving the systems of border control, document inspection management and cooperation on consular related issues in the Danube region of the Priority Area 11 Security of the EUSDR by applying most up-to-date standards in safeguarding security and border control systems. </w:t>
      </w:r>
      <w:r w:rsidR="007E51AD" w:rsidRPr="00AA3D01">
        <w:rPr>
          <w:rFonts w:ascii="Times New Roman" w:eastAsia="Times New Roman" w:hAnsi="Times New Roman" w:cs="Times New Roman"/>
          <w:i/>
          <w:iCs/>
          <w:noProof/>
          <w:lang w:eastAsia="en-GB"/>
        </w:rPr>
        <w:t xml:space="preserve">With the improved access to the core TEN-T network, the project makes undisputable contribution to the implementation of the Topic 2 (Intermodal connections to the hinterland) of the </w:t>
      </w:r>
      <w:r w:rsidR="007E51AD" w:rsidRPr="00AA3D01">
        <w:rPr>
          <w:rFonts w:ascii="Times New Roman" w:eastAsia="Times New Roman" w:hAnsi="Times New Roman" w:cs="Times New Roman"/>
          <w:i/>
          <w:iCs/>
          <w:noProof/>
          <w:lang w:val="en-US" w:eastAsia="en-GB"/>
        </w:rPr>
        <w:t>Pillar 2: Connecting the Region of the EUSAIR.</w:t>
      </w:r>
      <w:r w:rsidR="007E51AD">
        <w:rPr>
          <w:rFonts w:ascii="Times New Roman" w:eastAsia="Times New Roman" w:hAnsi="Times New Roman" w:cs="Times New Roman"/>
          <w:i/>
          <w:iCs/>
          <w:noProof/>
          <w:lang w:val="en-US" w:eastAsia="en-GB"/>
        </w:rPr>
        <w:t xml:space="preserve"> </w:t>
      </w:r>
    </w:p>
    <w:p w14:paraId="7963864A" w14:textId="77777777" w:rsidR="009E4ABC" w:rsidRPr="007E41C5" w:rsidRDefault="009E4ABC" w:rsidP="009E4ABC">
      <w:pPr>
        <w:spacing w:before="240" w:after="240" w:line="240" w:lineRule="auto"/>
        <w:ind w:left="709" w:hanging="709"/>
        <w:jc w:val="both"/>
        <w:rPr>
          <w:rFonts w:ascii="Times New Roman" w:hAnsi="Times New Roman"/>
          <w:b/>
          <w:sz w:val="24"/>
          <w:highlight w:val="yellow"/>
          <w:lang w:val="en-US"/>
        </w:rPr>
      </w:pPr>
      <w:r>
        <w:rPr>
          <w:rFonts w:ascii="Times New Roman" w:eastAsia="Times New Roman" w:hAnsi="Times New Roman" w:cs="Times New Roman"/>
          <w:b/>
          <w:iCs/>
          <w:noProof/>
          <w:sz w:val="24"/>
          <w:szCs w:val="24"/>
          <w:lang w:eastAsia="en-GB"/>
        </w:rPr>
        <w:t>2.2</w:t>
      </w:r>
      <w:r w:rsidRPr="00A10ECC">
        <w:rPr>
          <w:rFonts w:ascii="Times New Roman" w:eastAsia="Times New Roman" w:hAnsi="Times New Roman" w:cs="Times New Roman"/>
          <w:b/>
          <w:iCs/>
          <w:noProof/>
          <w:sz w:val="24"/>
          <w:szCs w:val="24"/>
          <w:lang w:eastAsia="en-GB"/>
        </w:rPr>
        <w:t>.3.</w:t>
      </w:r>
      <w:r w:rsidRPr="00A10ECC">
        <w:rPr>
          <w:rFonts w:ascii="Times New Roman" w:eastAsia="Times New Roman" w:hAnsi="Times New Roman" w:cs="Times New Roman"/>
          <w:b/>
          <w:iCs/>
          <w:noProof/>
          <w:sz w:val="24"/>
          <w:szCs w:val="24"/>
          <w:lang w:eastAsia="en-GB"/>
        </w:rPr>
        <w:tab/>
      </w:r>
      <w:r w:rsidRPr="007E41C5">
        <w:rPr>
          <w:rFonts w:ascii="Times New Roman" w:eastAsia="Times New Roman" w:hAnsi="Times New Roman" w:cs="Times New Roman"/>
          <w:b/>
          <w:iCs/>
          <w:noProof/>
          <w:sz w:val="24"/>
          <w:szCs w:val="24"/>
          <w:highlight w:val="yellow"/>
          <w:lang w:eastAsia="en-GB"/>
        </w:rPr>
        <w:t xml:space="preserve">Indicators </w:t>
      </w:r>
    </w:p>
    <w:p w14:paraId="7A23B785" w14:textId="77777777" w:rsidR="009E4ABC" w:rsidRPr="007E41C5" w:rsidRDefault="009E4ABC" w:rsidP="009E4ABC">
      <w:pPr>
        <w:spacing w:after="200" w:line="276" w:lineRule="auto"/>
        <w:jc w:val="both"/>
        <w:rPr>
          <w:rFonts w:ascii="Times New Roman" w:eastAsia="Times New Roman" w:hAnsi="Times New Roman" w:cs="Times New Roman"/>
          <w:i/>
          <w:noProof/>
          <w:color w:val="000000"/>
          <w:sz w:val="24"/>
          <w:szCs w:val="24"/>
          <w:highlight w:val="yellow"/>
          <w:lang w:eastAsia="en-GB"/>
        </w:rPr>
      </w:pPr>
      <w:r w:rsidRPr="007E41C5">
        <w:rPr>
          <w:rFonts w:ascii="Times New Roman" w:eastAsia="Times New Roman" w:hAnsi="Times New Roman" w:cs="Times New Roman"/>
          <w:i/>
          <w:noProof/>
          <w:color w:val="000000"/>
          <w:sz w:val="24"/>
          <w:szCs w:val="24"/>
          <w:highlight w:val="yellow"/>
          <w:lang w:eastAsia="en-GB"/>
        </w:rPr>
        <w:t>Reference: point (e)(ii) of Article 17(3), Article point (c)(iii)17(9)</w:t>
      </w:r>
    </w:p>
    <w:p w14:paraId="47446639" w14:textId="77777777" w:rsidR="009E4ABC" w:rsidRPr="007E41C5" w:rsidRDefault="009E4ABC" w:rsidP="009E4ABC">
      <w:pPr>
        <w:spacing w:before="240" w:after="240" w:line="240" w:lineRule="auto"/>
        <w:rPr>
          <w:rFonts w:ascii="Times New Roman" w:eastAsia="Times New Roman" w:hAnsi="Times New Roman" w:cs="Times New Roman"/>
          <w:iCs/>
          <w:noProof/>
          <w:sz w:val="24"/>
          <w:szCs w:val="24"/>
          <w:highlight w:val="yellow"/>
          <w:lang w:eastAsia="en-GB"/>
        </w:rPr>
      </w:pPr>
      <w:r w:rsidRPr="007E41C5">
        <w:rPr>
          <w:rFonts w:ascii="Times New Roman" w:eastAsia="Times New Roman" w:hAnsi="Times New Roman" w:cs="Times New Roman"/>
          <w:iCs/>
          <w:noProof/>
          <w:sz w:val="24"/>
          <w:szCs w:val="24"/>
          <w:highlight w:val="yellow"/>
          <w:lang w:eastAsia="en-GB"/>
        </w:rPr>
        <w:t>Table 2: Output indicators</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2016"/>
        <w:gridCol w:w="958"/>
        <w:gridCol w:w="1840"/>
        <w:gridCol w:w="1840"/>
        <w:gridCol w:w="987"/>
        <w:gridCol w:w="1130"/>
      </w:tblGrid>
      <w:tr w:rsidR="009E4ABC" w:rsidRPr="007E41C5" w14:paraId="6AD1FC96" w14:textId="77777777" w:rsidTr="00156283">
        <w:trPr>
          <w:trHeight w:val="836"/>
        </w:trPr>
        <w:tc>
          <w:tcPr>
            <w:tcW w:w="514" w:type="pct"/>
          </w:tcPr>
          <w:p w14:paraId="26126AC1" w14:textId="77777777" w:rsidR="009E4ABC" w:rsidRPr="007E41C5" w:rsidRDefault="009E4ABC" w:rsidP="0096715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 xml:space="preserve">Priority </w:t>
            </w:r>
          </w:p>
        </w:tc>
        <w:tc>
          <w:tcPr>
            <w:tcW w:w="1031" w:type="pct"/>
          </w:tcPr>
          <w:p w14:paraId="2B9643FC" w14:textId="77777777" w:rsidR="009E4ABC" w:rsidRPr="007E41C5" w:rsidRDefault="009E4ABC" w:rsidP="0096715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Specific objective</w:t>
            </w:r>
          </w:p>
        </w:tc>
        <w:tc>
          <w:tcPr>
            <w:tcW w:w="490" w:type="pct"/>
          </w:tcPr>
          <w:p w14:paraId="3EBAD42B" w14:textId="77777777" w:rsidR="009E4ABC" w:rsidRPr="007E41C5" w:rsidRDefault="009E4ABC" w:rsidP="0096715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ID</w:t>
            </w:r>
          </w:p>
          <w:p w14:paraId="206A4340" w14:textId="77777777" w:rsidR="009E4ABC" w:rsidRPr="007E41C5" w:rsidRDefault="009E4ABC" w:rsidP="0096715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[5]</w:t>
            </w:r>
          </w:p>
        </w:tc>
        <w:tc>
          <w:tcPr>
            <w:tcW w:w="941" w:type="pct"/>
            <w:shd w:val="clear" w:color="auto" w:fill="auto"/>
          </w:tcPr>
          <w:p w14:paraId="27A2A89F" w14:textId="77777777" w:rsidR="009E4ABC" w:rsidRPr="007E41C5" w:rsidRDefault="009E4ABC" w:rsidP="0096715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 xml:space="preserve">Indicator </w:t>
            </w:r>
          </w:p>
        </w:tc>
        <w:tc>
          <w:tcPr>
            <w:tcW w:w="941" w:type="pct"/>
          </w:tcPr>
          <w:p w14:paraId="262BA259" w14:textId="77777777" w:rsidR="009E4ABC" w:rsidRPr="007E41C5" w:rsidRDefault="009E4ABC" w:rsidP="0096715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Measurement unit</w:t>
            </w:r>
          </w:p>
          <w:p w14:paraId="72FFE7DA" w14:textId="77777777" w:rsidR="009E4ABC" w:rsidRPr="007E41C5" w:rsidRDefault="009E4ABC" w:rsidP="0096715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[255]</w:t>
            </w:r>
          </w:p>
        </w:tc>
        <w:tc>
          <w:tcPr>
            <w:tcW w:w="505" w:type="pct"/>
            <w:shd w:val="clear" w:color="auto" w:fill="auto"/>
          </w:tcPr>
          <w:p w14:paraId="5E6E86E3" w14:textId="77777777" w:rsidR="009E4ABC" w:rsidRPr="007E41C5" w:rsidRDefault="009E4ABC" w:rsidP="0096715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Milestone (2024)</w:t>
            </w:r>
          </w:p>
          <w:p w14:paraId="5139937F" w14:textId="77777777" w:rsidR="009E4ABC" w:rsidRPr="007E41C5" w:rsidRDefault="009E4ABC" w:rsidP="0096715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[200]</w:t>
            </w:r>
          </w:p>
        </w:tc>
        <w:tc>
          <w:tcPr>
            <w:tcW w:w="578" w:type="pct"/>
            <w:shd w:val="clear" w:color="auto" w:fill="auto"/>
          </w:tcPr>
          <w:p w14:paraId="28DC5198" w14:textId="77777777" w:rsidR="009E4ABC" w:rsidRPr="007E41C5" w:rsidRDefault="009E4ABC" w:rsidP="0096715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Final target (2029)</w:t>
            </w:r>
          </w:p>
          <w:p w14:paraId="2733019F" w14:textId="77777777" w:rsidR="009E4ABC" w:rsidRPr="007E41C5" w:rsidRDefault="009E4ABC" w:rsidP="0096715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[200]</w:t>
            </w:r>
          </w:p>
        </w:tc>
      </w:tr>
      <w:tr w:rsidR="009E4ABC" w:rsidRPr="007E41C5" w14:paraId="59DB231B" w14:textId="77777777" w:rsidTr="00156283">
        <w:trPr>
          <w:trHeight w:val="579"/>
        </w:trPr>
        <w:tc>
          <w:tcPr>
            <w:tcW w:w="514" w:type="pct"/>
          </w:tcPr>
          <w:p w14:paraId="14D3FFCE" w14:textId="77777777" w:rsidR="009E4ABC" w:rsidRPr="007E41C5" w:rsidRDefault="009E4ABC" w:rsidP="0096715F">
            <w:pPr>
              <w:spacing w:before="120" w:after="120" w:line="240" w:lineRule="auto"/>
              <w:jc w:val="both"/>
              <w:rPr>
                <w:rFonts w:ascii="Times New Roman" w:eastAsia="Times New Roman" w:hAnsi="Times New Roman" w:cs="Times New Roman"/>
                <w:i/>
                <w:noProof/>
                <w:color w:val="000000"/>
                <w:sz w:val="18"/>
                <w:szCs w:val="18"/>
                <w:highlight w:val="yellow"/>
                <w:lang w:eastAsia="en-GB"/>
              </w:rPr>
            </w:pPr>
            <w:r w:rsidRPr="007E41C5">
              <w:rPr>
                <w:rFonts w:ascii="Times New Roman" w:eastAsia="Times New Roman" w:hAnsi="Times New Roman" w:cs="Times New Roman"/>
                <w:i/>
                <w:noProof/>
                <w:color w:val="000000"/>
                <w:sz w:val="18"/>
                <w:szCs w:val="18"/>
                <w:highlight w:val="yellow"/>
                <w:lang w:eastAsia="en-GB"/>
              </w:rPr>
              <w:t>More connected border region</w:t>
            </w:r>
          </w:p>
        </w:tc>
        <w:tc>
          <w:tcPr>
            <w:tcW w:w="1031" w:type="pct"/>
          </w:tcPr>
          <w:p w14:paraId="24093850" w14:textId="77777777" w:rsidR="009E4ABC" w:rsidRPr="007E41C5" w:rsidRDefault="009E4ABC" w:rsidP="0096715F">
            <w:pPr>
              <w:spacing w:before="120" w:after="120" w:line="240" w:lineRule="auto"/>
              <w:jc w:val="both"/>
              <w:rPr>
                <w:rFonts w:ascii="Times New Roman" w:eastAsia="Times New Roman" w:hAnsi="Times New Roman" w:cs="Times New Roman"/>
                <w:i/>
                <w:noProof/>
                <w:color w:val="000000"/>
                <w:sz w:val="18"/>
                <w:szCs w:val="18"/>
                <w:highlight w:val="yellow"/>
                <w:lang w:eastAsia="en-GB"/>
              </w:rPr>
            </w:pPr>
            <w:r w:rsidRPr="007E41C5">
              <w:rPr>
                <w:rFonts w:ascii="Times New Roman" w:eastAsia="Times New Roman" w:hAnsi="Times New Roman" w:cs="Times New Roman"/>
                <w:i/>
                <w:noProof/>
                <w:color w:val="000000"/>
                <w:sz w:val="18"/>
                <w:szCs w:val="18"/>
                <w:highlight w:val="yellow"/>
                <w:lang w:eastAsia="en-GB"/>
              </w:rPr>
              <w:t>2.1.Developing sustainable, climate resilient, intelligent and intermodal national, regional and local mobility, including improved access to TEN-T and cross-border mobility“</w:t>
            </w:r>
          </w:p>
        </w:tc>
        <w:tc>
          <w:tcPr>
            <w:tcW w:w="490" w:type="pct"/>
          </w:tcPr>
          <w:p w14:paraId="10C20A91" w14:textId="77777777" w:rsidR="009E4ABC" w:rsidRPr="007E41C5" w:rsidRDefault="009E4ABC" w:rsidP="0096715F">
            <w:pPr>
              <w:spacing w:before="120" w:after="120" w:line="240" w:lineRule="auto"/>
              <w:jc w:val="both"/>
              <w:rPr>
                <w:rFonts w:ascii="Times New Roman" w:eastAsia="Times New Roman" w:hAnsi="Times New Roman" w:cs="Times New Roman"/>
                <w:i/>
                <w:noProof/>
                <w:color w:val="000000"/>
                <w:sz w:val="18"/>
                <w:szCs w:val="18"/>
                <w:highlight w:val="yellow"/>
                <w:lang w:eastAsia="en-GB"/>
              </w:rPr>
            </w:pPr>
            <w:r w:rsidRPr="007E41C5">
              <w:rPr>
                <w:rFonts w:ascii="Times New Roman" w:eastAsia="Times New Roman" w:hAnsi="Times New Roman" w:cs="Times New Roman"/>
                <w:i/>
                <w:noProof/>
                <w:color w:val="000000"/>
                <w:sz w:val="18"/>
                <w:szCs w:val="18"/>
                <w:highlight w:val="yellow"/>
                <w:lang w:eastAsia="en-GB"/>
              </w:rPr>
              <w:t>RCO116</w:t>
            </w:r>
          </w:p>
        </w:tc>
        <w:tc>
          <w:tcPr>
            <w:tcW w:w="941" w:type="pct"/>
            <w:shd w:val="clear" w:color="auto" w:fill="auto"/>
          </w:tcPr>
          <w:p w14:paraId="7F1C044F" w14:textId="77777777" w:rsidR="009E4ABC" w:rsidRPr="007E41C5" w:rsidRDefault="009E4ABC" w:rsidP="0096715F">
            <w:pPr>
              <w:spacing w:before="120" w:after="120" w:line="240" w:lineRule="auto"/>
              <w:jc w:val="both"/>
              <w:rPr>
                <w:rFonts w:ascii="Times New Roman" w:eastAsia="Times New Roman" w:hAnsi="Times New Roman" w:cs="Times New Roman"/>
                <w:i/>
                <w:noProof/>
                <w:color w:val="000000"/>
                <w:sz w:val="18"/>
                <w:szCs w:val="18"/>
                <w:highlight w:val="yellow"/>
                <w:lang w:eastAsia="en-GB"/>
              </w:rPr>
            </w:pPr>
            <w:r w:rsidRPr="007E41C5">
              <w:rPr>
                <w:rFonts w:ascii="Times New Roman" w:eastAsia="Times New Roman" w:hAnsi="Times New Roman" w:cs="Times New Roman"/>
                <w:i/>
                <w:noProof/>
                <w:color w:val="000000"/>
                <w:sz w:val="18"/>
                <w:szCs w:val="18"/>
                <w:highlight w:val="yellow"/>
                <w:lang w:eastAsia="en-GB"/>
              </w:rPr>
              <w:t>Jointly developed solution</w:t>
            </w:r>
            <w:r w:rsidR="00185F6F" w:rsidRPr="007E41C5">
              <w:rPr>
                <w:rFonts w:ascii="Times New Roman" w:eastAsia="Times New Roman" w:hAnsi="Times New Roman" w:cs="Times New Roman"/>
                <w:i/>
                <w:noProof/>
                <w:color w:val="000000"/>
                <w:sz w:val="18"/>
                <w:szCs w:val="18"/>
                <w:highlight w:val="yellow"/>
                <w:lang w:eastAsia="en-GB"/>
              </w:rPr>
              <w:t xml:space="preserve"> </w:t>
            </w:r>
            <w:r w:rsidR="008F38BF" w:rsidRPr="007E41C5">
              <w:rPr>
                <w:rFonts w:ascii="Times New Roman" w:eastAsia="Times New Roman" w:hAnsi="Times New Roman" w:cs="Times New Roman"/>
                <w:i/>
                <w:noProof/>
                <w:color w:val="000000"/>
                <w:sz w:val="18"/>
                <w:szCs w:val="18"/>
                <w:highlight w:val="yellow"/>
                <w:lang w:eastAsia="en-GB"/>
              </w:rPr>
              <w:t xml:space="preserve">- </w:t>
            </w:r>
            <w:r w:rsidR="00185F6F" w:rsidRPr="007E41C5">
              <w:rPr>
                <w:rFonts w:ascii="Times New Roman" w:eastAsia="Times New Roman" w:hAnsi="Times New Roman" w:cs="Times New Roman"/>
                <w:i/>
                <w:noProof/>
                <w:color w:val="000000"/>
                <w:sz w:val="18"/>
                <w:szCs w:val="18"/>
                <w:highlight w:val="yellow"/>
                <w:lang w:eastAsia="en-GB"/>
              </w:rPr>
              <w:t xml:space="preserve">New BCCP constructed                              </w:t>
            </w:r>
          </w:p>
        </w:tc>
        <w:tc>
          <w:tcPr>
            <w:tcW w:w="941" w:type="pct"/>
          </w:tcPr>
          <w:p w14:paraId="70DE4E45" w14:textId="77777777" w:rsidR="009E4ABC" w:rsidRPr="007E41C5" w:rsidRDefault="009E4ABC" w:rsidP="0096715F">
            <w:pPr>
              <w:spacing w:before="120" w:after="120" w:line="240" w:lineRule="auto"/>
              <w:jc w:val="both"/>
              <w:rPr>
                <w:rFonts w:ascii="Times New Roman" w:eastAsia="Calibri" w:hAnsi="Times New Roman" w:cs="Arial"/>
                <w:i/>
                <w:noProof/>
                <w:sz w:val="18"/>
                <w:szCs w:val="18"/>
                <w:highlight w:val="yellow"/>
              </w:rPr>
            </w:pPr>
            <w:r w:rsidRPr="007E41C5">
              <w:rPr>
                <w:rFonts w:ascii="Times New Roman" w:eastAsia="Calibri" w:hAnsi="Times New Roman" w:cs="Arial"/>
                <w:i/>
                <w:noProof/>
                <w:sz w:val="18"/>
                <w:szCs w:val="18"/>
                <w:highlight w:val="yellow"/>
              </w:rPr>
              <w:t>solutions</w:t>
            </w:r>
          </w:p>
        </w:tc>
        <w:tc>
          <w:tcPr>
            <w:tcW w:w="505" w:type="pct"/>
            <w:shd w:val="clear" w:color="auto" w:fill="auto"/>
          </w:tcPr>
          <w:p w14:paraId="1B6DABC6" w14:textId="77777777" w:rsidR="009E4ABC" w:rsidRPr="007E41C5" w:rsidRDefault="00156283" w:rsidP="0096715F">
            <w:pPr>
              <w:spacing w:before="120" w:after="120" w:line="240" w:lineRule="auto"/>
              <w:jc w:val="both"/>
              <w:rPr>
                <w:rFonts w:ascii="Times New Roman" w:eastAsia="Calibri" w:hAnsi="Times New Roman" w:cs="Arial"/>
                <w:b/>
                <w:i/>
                <w:noProof/>
                <w:sz w:val="18"/>
                <w:szCs w:val="18"/>
                <w:highlight w:val="yellow"/>
              </w:rPr>
            </w:pPr>
            <w:r w:rsidRPr="007E41C5">
              <w:rPr>
                <w:rFonts w:ascii="Times New Roman" w:eastAsia="Calibri" w:hAnsi="Times New Roman" w:cs="Arial"/>
                <w:b/>
                <w:i/>
                <w:noProof/>
                <w:sz w:val="18"/>
                <w:szCs w:val="18"/>
                <w:highlight w:val="yellow"/>
              </w:rPr>
              <w:t>0</w:t>
            </w:r>
          </w:p>
        </w:tc>
        <w:tc>
          <w:tcPr>
            <w:tcW w:w="578" w:type="pct"/>
            <w:shd w:val="clear" w:color="auto" w:fill="auto"/>
          </w:tcPr>
          <w:p w14:paraId="59638466" w14:textId="77777777" w:rsidR="009E4ABC" w:rsidRPr="007E41C5" w:rsidRDefault="00156283" w:rsidP="0096715F">
            <w:pPr>
              <w:spacing w:before="120" w:after="120" w:line="240" w:lineRule="auto"/>
              <w:jc w:val="both"/>
              <w:rPr>
                <w:rFonts w:ascii="Times New Roman" w:eastAsia="Calibri" w:hAnsi="Times New Roman" w:cs="Arial"/>
                <w:b/>
                <w:i/>
                <w:noProof/>
                <w:sz w:val="18"/>
                <w:szCs w:val="18"/>
                <w:highlight w:val="yellow"/>
              </w:rPr>
            </w:pPr>
            <w:r w:rsidRPr="007E41C5">
              <w:rPr>
                <w:rFonts w:ascii="Times New Roman" w:eastAsia="Calibri" w:hAnsi="Times New Roman" w:cs="Arial"/>
                <w:b/>
                <w:i/>
                <w:noProof/>
                <w:sz w:val="18"/>
                <w:szCs w:val="18"/>
                <w:highlight w:val="yellow"/>
              </w:rPr>
              <w:t>1</w:t>
            </w:r>
          </w:p>
        </w:tc>
      </w:tr>
    </w:tbl>
    <w:p w14:paraId="46DEABC8" w14:textId="77777777" w:rsidR="009E4ABC" w:rsidRPr="007E41C5" w:rsidRDefault="009E4ABC" w:rsidP="009E4ABC">
      <w:pPr>
        <w:spacing w:before="240" w:after="240" w:line="240" w:lineRule="auto"/>
        <w:rPr>
          <w:rFonts w:ascii="Times New Roman" w:eastAsia="Times New Roman" w:hAnsi="Times New Roman" w:cs="Times New Roman"/>
          <w:iCs/>
          <w:noProof/>
          <w:sz w:val="24"/>
          <w:szCs w:val="24"/>
          <w:highlight w:val="yellow"/>
          <w:lang w:eastAsia="en-GB"/>
        </w:rPr>
      </w:pPr>
    </w:p>
    <w:p w14:paraId="677103DA" w14:textId="77777777" w:rsidR="009E4ABC" w:rsidRPr="007E41C5" w:rsidRDefault="009E4ABC" w:rsidP="009E4ABC">
      <w:pPr>
        <w:spacing w:before="240" w:after="240" w:line="240" w:lineRule="auto"/>
        <w:rPr>
          <w:rFonts w:ascii="Times New Roman" w:eastAsia="Times New Roman" w:hAnsi="Times New Roman" w:cs="Times New Roman"/>
          <w:iCs/>
          <w:noProof/>
          <w:sz w:val="24"/>
          <w:szCs w:val="24"/>
          <w:highlight w:val="yellow"/>
          <w:lang w:eastAsia="en-GB"/>
        </w:rPr>
      </w:pPr>
      <w:r w:rsidRPr="007E41C5">
        <w:rPr>
          <w:rFonts w:ascii="Times New Roman" w:eastAsia="Times New Roman" w:hAnsi="Times New Roman" w:cs="Times New Roman"/>
          <w:iCs/>
          <w:noProof/>
          <w:sz w:val="24"/>
          <w:szCs w:val="24"/>
          <w:highlight w:val="yellow"/>
          <w:lang w:eastAsia="en-GB"/>
        </w:rPr>
        <w:t>Table 3: Result indicators</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506"/>
        <w:gridCol w:w="903"/>
        <w:gridCol w:w="1654"/>
        <w:gridCol w:w="1056"/>
        <w:gridCol w:w="925"/>
        <w:gridCol w:w="581"/>
        <w:gridCol w:w="753"/>
        <w:gridCol w:w="790"/>
        <w:gridCol w:w="708"/>
      </w:tblGrid>
      <w:tr w:rsidR="009E4ABC" w:rsidRPr="007E41C5" w14:paraId="5AB8F5E7" w14:textId="77777777" w:rsidTr="0096715F">
        <w:trPr>
          <w:trHeight w:val="947"/>
        </w:trPr>
        <w:tc>
          <w:tcPr>
            <w:tcW w:w="460" w:type="pct"/>
          </w:tcPr>
          <w:p w14:paraId="75ADA71F" w14:textId="77777777" w:rsidR="009E4ABC" w:rsidRPr="007E41C5" w:rsidRDefault="009E4ABC" w:rsidP="0096715F">
            <w:pPr>
              <w:spacing w:before="120" w:after="120" w:line="240" w:lineRule="auto"/>
              <w:jc w:val="both"/>
              <w:rPr>
                <w:rFonts w:ascii="Times New Roman" w:eastAsia="Calibri" w:hAnsi="Times New Roman" w:cs="Times New Roman"/>
                <w:b/>
                <w:noProof/>
                <w:sz w:val="16"/>
                <w:szCs w:val="16"/>
                <w:highlight w:val="yellow"/>
              </w:rPr>
            </w:pPr>
            <w:r w:rsidRPr="007E41C5">
              <w:rPr>
                <w:rFonts w:ascii="Times New Roman" w:eastAsia="Calibri" w:hAnsi="Times New Roman" w:cs="Times New Roman"/>
                <w:b/>
                <w:noProof/>
                <w:sz w:val="16"/>
                <w:szCs w:val="16"/>
                <w:highlight w:val="yellow"/>
              </w:rPr>
              <w:t xml:space="preserve">Priority </w:t>
            </w:r>
          </w:p>
        </w:tc>
        <w:tc>
          <w:tcPr>
            <w:tcW w:w="770" w:type="pct"/>
          </w:tcPr>
          <w:p w14:paraId="21F143CE" w14:textId="77777777" w:rsidR="009E4ABC" w:rsidRPr="007E41C5" w:rsidRDefault="009E4ABC" w:rsidP="0096715F">
            <w:pPr>
              <w:spacing w:before="120" w:after="120" w:line="240" w:lineRule="auto"/>
              <w:jc w:val="both"/>
              <w:rPr>
                <w:rFonts w:ascii="Times New Roman" w:eastAsia="Calibri" w:hAnsi="Times New Roman" w:cs="Times New Roman"/>
                <w:b/>
                <w:noProof/>
                <w:sz w:val="16"/>
                <w:szCs w:val="16"/>
                <w:highlight w:val="yellow"/>
              </w:rPr>
            </w:pPr>
            <w:r w:rsidRPr="007E41C5">
              <w:rPr>
                <w:rFonts w:ascii="Times New Roman" w:eastAsia="Calibri" w:hAnsi="Times New Roman" w:cs="Times New Roman"/>
                <w:b/>
                <w:noProof/>
                <w:sz w:val="16"/>
                <w:szCs w:val="16"/>
                <w:highlight w:val="yellow"/>
              </w:rPr>
              <w:t>Specific objective</w:t>
            </w:r>
          </w:p>
        </w:tc>
        <w:tc>
          <w:tcPr>
            <w:tcW w:w="462" w:type="pct"/>
          </w:tcPr>
          <w:p w14:paraId="3FC2ECE9" w14:textId="77777777" w:rsidR="009E4ABC" w:rsidRPr="007E41C5" w:rsidRDefault="009E4ABC" w:rsidP="0096715F">
            <w:pPr>
              <w:spacing w:before="120" w:after="120" w:line="240" w:lineRule="auto"/>
              <w:jc w:val="both"/>
              <w:rPr>
                <w:rFonts w:ascii="Times New Roman" w:eastAsia="Calibri" w:hAnsi="Times New Roman" w:cs="Times New Roman"/>
                <w:b/>
                <w:noProof/>
                <w:sz w:val="16"/>
                <w:szCs w:val="16"/>
                <w:highlight w:val="yellow"/>
              </w:rPr>
            </w:pPr>
            <w:r w:rsidRPr="007E41C5">
              <w:rPr>
                <w:rFonts w:ascii="Times New Roman" w:eastAsia="Calibri" w:hAnsi="Times New Roman" w:cs="Times New Roman"/>
                <w:b/>
                <w:noProof/>
                <w:sz w:val="16"/>
                <w:szCs w:val="16"/>
                <w:highlight w:val="yellow"/>
              </w:rPr>
              <w:t>ID</w:t>
            </w:r>
          </w:p>
        </w:tc>
        <w:tc>
          <w:tcPr>
            <w:tcW w:w="846" w:type="pct"/>
            <w:shd w:val="clear" w:color="auto" w:fill="auto"/>
          </w:tcPr>
          <w:p w14:paraId="34076D87" w14:textId="77777777" w:rsidR="009E4ABC" w:rsidRPr="007E41C5" w:rsidRDefault="009E4ABC" w:rsidP="0096715F">
            <w:pPr>
              <w:spacing w:before="120" w:after="120" w:line="240" w:lineRule="auto"/>
              <w:jc w:val="both"/>
              <w:rPr>
                <w:rFonts w:ascii="Times New Roman" w:eastAsia="Calibri" w:hAnsi="Times New Roman" w:cs="Times New Roman"/>
                <w:b/>
                <w:noProof/>
                <w:sz w:val="16"/>
                <w:szCs w:val="16"/>
                <w:highlight w:val="yellow"/>
              </w:rPr>
            </w:pPr>
            <w:r w:rsidRPr="007E41C5">
              <w:rPr>
                <w:rFonts w:ascii="Times New Roman" w:eastAsia="Calibri" w:hAnsi="Times New Roman" w:cs="Times New Roman"/>
                <w:b/>
                <w:noProof/>
                <w:sz w:val="16"/>
                <w:szCs w:val="16"/>
                <w:highlight w:val="yellow"/>
              </w:rPr>
              <w:t xml:space="preserve">Indicator </w:t>
            </w:r>
          </w:p>
        </w:tc>
        <w:tc>
          <w:tcPr>
            <w:tcW w:w="540" w:type="pct"/>
          </w:tcPr>
          <w:p w14:paraId="1C01A771" w14:textId="77777777" w:rsidR="009E4ABC" w:rsidRPr="007E41C5" w:rsidRDefault="009E4ABC" w:rsidP="0096715F">
            <w:pPr>
              <w:spacing w:before="120" w:after="120" w:line="240" w:lineRule="auto"/>
              <w:jc w:val="both"/>
              <w:rPr>
                <w:rFonts w:ascii="Times New Roman" w:eastAsia="Calibri" w:hAnsi="Times New Roman" w:cs="Times New Roman"/>
                <w:b/>
                <w:noProof/>
                <w:sz w:val="16"/>
                <w:szCs w:val="16"/>
                <w:highlight w:val="yellow"/>
              </w:rPr>
            </w:pPr>
            <w:r w:rsidRPr="007E41C5">
              <w:rPr>
                <w:rFonts w:ascii="Times New Roman" w:eastAsia="Calibri" w:hAnsi="Times New Roman" w:cs="Times New Roman"/>
                <w:b/>
                <w:noProof/>
                <w:sz w:val="16"/>
                <w:szCs w:val="16"/>
                <w:highlight w:val="yellow"/>
              </w:rPr>
              <w:t>Measurement unit</w:t>
            </w:r>
          </w:p>
        </w:tc>
        <w:tc>
          <w:tcPr>
            <w:tcW w:w="473" w:type="pct"/>
          </w:tcPr>
          <w:p w14:paraId="068153E6" w14:textId="77777777" w:rsidR="009E4ABC" w:rsidRPr="007E41C5" w:rsidRDefault="009E4ABC" w:rsidP="0096715F">
            <w:pPr>
              <w:spacing w:before="120" w:after="120" w:line="240" w:lineRule="auto"/>
              <w:jc w:val="both"/>
              <w:rPr>
                <w:rFonts w:ascii="Times New Roman" w:eastAsia="Calibri" w:hAnsi="Times New Roman" w:cs="Times New Roman"/>
                <w:b/>
                <w:noProof/>
                <w:sz w:val="16"/>
                <w:szCs w:val="16"/>
                <w:highlight w:val="yellow"/>
              </w:rPr>
            </w:pPr>
            <w:r w:rsidRPr="007E41C5">
              <w:rPr>
                <w:rFonts w:ascii="Times New Roman" w:eastAsia="Calibri" w:hAnsi="Times New Roman" w:cs="Times New Roman"/>
                <w:b/>
                <w:noProof/>
                <w:sz w:val="16"/>
                <w:szCs w:val="16"/>
                <w:highlight w:val="yellow"/>
              </w:rPr>
              <w:t>Baseline</w:t>
            </w:r>
          </w:p>
        </w:tc>
        <w:tc>
          <w:tcPr>
            <w:tcW w:w="297" w:type="pct"/>
          </w:tcPr>
          <w:p w14:paraId="2A7C5AB9" w14:textId="77777777" w:rsidR="009E4ABC" w:rsidRPr="007E41C5" w:rsidRDefault="009E4ABC" w:rsidP="0096715F">
            <w:pPr>
              <w:spacing w:before="120" w:after="120" w:line="240" w:lineRule="auto"/>
              <w:jc w:val="both"/>
              <w:rPr>
                <w:rFonts w:ascii="Times New Roman" w:eastAsia="Calibri" w:hAnsi="Times New Roman" w:cs="Times New Roman"/>
                <w:b/>
                <w:noProof/>
                <w:sz w:val="16"/>
                <w:szCs w:val="16"/>
                <w:highlight w:val="yellow"/>
              </w:rPr>
            </w:pPr>
            <w:r w:rsidRPr="007E41C5">
              <w:rPr>
                <w:rFonts w:ascii="Times New Roman" w:eastAsia="Calibri" w:hAnsi="Times New Roman" w:cs="Times New Roman"/>
                <w:b/>
                <w:noProof/>
                <w:sz w:val="16"/>
                <w:szCs w:val="16"/>
                <w:highlight w:val="yellow"/>
              </w:rPr>
              <w:t>Reference year</w:t>
            </w:r>
          </w:p>
        </w:tc>
        <w:tc>
          <w:tcPr>
            <w:tcW w:w="385" w:type="pct"/>
            <w:shd w:val="clear" w:color="auto" w:fill="auto"/>
          </w:tcPr>
          <w:p w14:paraId="7FB13F93" w14:textId="77777777" w:rsidR="009E4ABC" w:rsidRPr="007E41C5" w:rsidRDefault="009E4ABC" w:rsidP="0096715F">
            <w:pPr>
              <w:spacing w:before="120" w:after="120" w:line="240" w:lineRule="auto"/>
              <w:jc w:val="both"/>
              <w:rPr>
                <w:rFonts w:ascii="Times New Roman" w:eastAsia="Calibri" w:hAnsi="Times New Roman" w:cs="Times New Roman"/>
                <w:b/>
                <w:noProof/>
                <w:sz w:val="16"/>
                <w:szCs w:val="16"/>
                <w:highlight w:val="yellow"/>
              </w:rPr>
            </w:pPr>
            <w:r w:rsidRPr="007E41C5">
              <w:rPr>
                <w:rFonts w:ascii="Times New Roman" w:eastAsia="Calibri" w:hAnsi="Times New Roman" w:cs="Times New Roman"/>
                <w:b/>
                <w:noProof/>
                <w:sz w:val="16"/>
                <w:szCs w:val="16"/>
                <w:highlight w:val="yellow"/>
              </w:rPr>
              <w:t>Final target (2029)</w:t>
            </w:r>
          </w:p>
        </w:tc>
        <w:tc>
          <w:tcPr>
            <w:tcW w:w="404" w:type="pct"/>
            <w:shd w:val="clear" w:color="auto" w:fill="auto"/>
          </w:tcPr>
          <w:p w14:paraId="4DE0D879" w14:textId="77777777" w:rsidR="009E4ABC" w:rsidRPr="007E41C5" w:rsidRDefault="009E4ABC" w:rsidP="0096715F">
            <w:pPr>
              <w:spacing w:before="120" w:after="120" w:line="480" w:lineRule="auto"/>
              <w:jc w:val="both"/>
              <w:rPr>
                <w:rFonts w:ascii="Times New Roman" w:eastAsia="Calibri" w:hAnsi="Times New Roman" w:cs="Times New Roman"/>
                <w:b/>
                <w:noProof/>
                <w:sz w:val="16"/>
                <w:szCs w:val="16"/>
                <w:highlight w:val="yellow"/>
              </w:rPr>
            </w:pPr>
            <w:r w:rsidRPr="007E41C5">
              <w:rPr>
                <w:rFonts w:ascii="Times New Roman" w:eastAsia="Calibri" w:hAnsi="Times New Roman" w:cs="Times New Roman"/>
                <w:b/>
                <w:noProof/>
                <w:sz w:val="16"/>
                <w:szCs w:val="16"/>
                <w:highlight w:val="yellow"/>
              </w:rPr>
              <w:t>Source of data</w:t>
            </w:r>
          </w:p>
        </w:tc>
        <w:tc>
          <w:tcPr>
            <w:tcW w:w="362" w:type="pct"/>
          </w:tcPr>
          <w:p w14:paraId="45DD6D5A" w14:textId="77777777" w:rsidR="009E4ABC" w:rsidRPr="007E41C5" w:rsidRDefault="009E4ABC" w:rsidP="0096715F">
            <w:pPr>
              <w:spacing w:before="120" w:after="120" w:line="480" w:lineRule="auto"/>
              <w:jc w:val="both"/>
              <w:rPr>
                <w:rFonts w:ascii="Times New Roman" w:eastAsia="Calibri" w:hAnsi="Times New Roman" w:cs="Times New Roman"/>
                <w:b/>
                <w:noProof/>
                <w:sz w:val="16"/>
                <w:szCs w:val="16"/>
                <w:highlight w:val="yellow"/>
              </w:rPr>
            </w:pPr>
            <w:r w:rsidRPr="007E41C5">
              <w:rPr>
                <w:rFonts w:ascii="Times New Roman" w:eastAsia="Calibri" w:hAnsi="Times New Roman" w:cs="Times New Roman"/>
                <w:b/>
                <w:noProof/>
                <w:sz w:val="16"/>
                <w:szCs w:val="16"/>
                <w:highlight w:val="yellow"/>
              </w:rPr>
              <w:t>Comments</w:t>
            </w:r>
          </w:p>
        </w:tc>
      </w:tr>
      <w:tr w:rsidR="009E4ABC" w:rsidRPr="00A10ECC" w14:paraId="3FDA2CFE" w14:textId="77777777" w:rsidTr="0096715F">
        <w:trPr>
          <w:trHeight w:val="629"/>
        </w:trPr>
        <w:tc>
          <w:tcPr>
            <w:tcW w:w="460" w:type="pct"/>
          </w:tcPr>
          <w:p w14:paraId="04BE8174" w14:textId="77777777" w:rsidR="009E4ABC" w:rsidRPr="007E41C5" w:rsidRDefault="009E4ABC" w:rsidP="008F38BF">
            <w:pPr>
              <w:spacing w:before="120" w:after="120" w:line="240" w:lineRule="auto"/>
              <w:jc w:val="both"/>
              <w:rPr>
                <w:rFonts w:ascii="Times New Roman" w:eastAsia="Times New Roman" w:hAnsi="Times New Roman" w:cs="Times New Roman"/>
                <w:i/>
                <w:noProof/>
                <w:color w:val="000000"/>
                <w:sz w:val="18"/>
                <w:szCs w:val="18"/>
                <w:highlight w:val="yellow"/>
                <w:lang w:eastAsia="en-GB"/>
              </w:rPr>
            </w:pPr>
            <w:r w:rsidRPr="007E41C5">
              <w:rPr>
                <w:rFonts w:ascii="Times New Roman" w:eastAsia="Times New Roman" w:hAnsi="Times New Roman" w:cs="Times New Roman"/>
                <w:i/>
                <w:noProof/>
                <w:color w:val="000000"/>
                <w:sz w:val="18"/>
                <w:szCs w:val="18"/>
                <w:highlight w:val="yellow"/>
                <w:lang w:eastAsia="en-GB"/>
              </w:rPr>
              <w:t>More connected border region</w:t>
            </w:r>
          </w:p>
        </w:tc>
        <w:tc>
          <w:tcPr>
            <w:tcW w:w="770" w:type="pct"/>
          </w:tcPr>
          <w:p w14:paraId="1B78ED26" w14:textId="77777777" w:rsidR="009E4ABC" w:rsidRPr="007E41C5" w:rsidRDefault="009E4ABC" w:rsidP="008F38BF">
            <w:pPr>
              <w:spacing w:before="120" w:after="120" w:line="240" w:lineRule="auto"/>
              <w:jc w:val="both"/>
              <w:rPr>
                <w:rFonts w:ascii="Times New Roman" w:eastAsia="Times New Roman" w:hAnsi="Times New Roman" w:cs="Times New Roman"/>
                <w:i/>
                <w:noProof/>
                <w:color w:val="000000"/>
                <w:sz w:val="18"/>
                <w:szCs w:val="18"/>
                <w:highlight w:val="yellow"/>
                <w:lang w:eastAsia="en-GB"/>
              </w:rPr>
            </w:pPr>
            <w:r w:rsidRPr="007E41C5">
              <w:rPr>
                <w:rFonts w:ascii="Times New Roman" w:eastAsia="Times New Roman" w:hAnsi="Times New Roman" w:cs="Times New Roman"/>
                <w:i/>
                <w:noProof/>
                <w:color w:val="000000"/>
                <w:sz w:val="18"/>
                <w:szCs w:val="18"/>
                <w:highlight w:val="yellow"/>
                <w:lang w:eastAsia="en-GB"/>
              </w:rPr>
              <w:t xml:space="preserve">2.1.Developing sustainable, climate resilient, intelligent and intermodal national, regional and local mobility, including improved access to TEN-T and </w:t>
            </w:r>
            <w:r w:rsidRPr="007E41C5">
              <w:rPr>
                <w:rFonts w:ascii="Times New Roman" w:eastAsia="Times New Roman" w:hAnsi="Times New Roman" w:cs="Times New Roman"/>
                <w:i/>
                <w:noProof/>
                <w:color w:val="000000"/>
                <w:sz w:val="18"/>
                <w:szCs w:val="18"/>
                <w:highlight w:val="yellow"/>
                <w:lang w:eastAsia="en-GB"/>
              </w:rPr>
              <w:lastRenderedPageBreak/>
              <w:t>cross-border mobility“</w:t>
            </w:r>
          </w:p>
        </w:tc>
        <w:tc>
          <w:tcPr>
            <w:tcW w:w="462" w:type="pct"/>
          </w:tcPr>
          <w:p w14:paraId="092E9284" w14:textId="77777777" w:rsidR="009E4ABC" w:rsidRPr="007E41C5" w:rsidRDefault="009E4ABC" w:rsidP="009E4ABC">
            <w:pPr>
              <w:spacing w:before="120" w:after="120" w:line="240" w:lineRule="auto"/>
              <w:jc w:val="both"/>
              <w:rPr>
                <w:rFonts w:ascii="Times New Roman" w:eastAsia="Calibri" w:hAnsi="Times New Roman" w:cs="Arial"/>
                <w:i/>
                <w:noProof/>
                <w:sz w:val="18"/>
                <w:szCs w:val="18"/>
                <w:highlight w:val="yellow"/>
              </w:rPr>
            </w:pPr>
            <w:r w:rsidRPr="007E41C5">
              <w:rPr>
                <w:rFonts w:ascii="Times New Roman" w:eastAsia="Calibri" w:hAnsi="Times New Roman" w:cs="Arial"/>
                <w:i/>
                <w:noProof/>
                <w:sz w:val="18"/>
                <w:szCs w:val="18"/>
                <w:highlight w:val="yellow"/>
              </w:rPr>
              <w:lastRenderedPageBreak/>
              <w:t>RCR104</w:t>
            </w:r>
          </w:p>
        </w:tc>
        <w:tc>
          <w:tcPr>
            <w:tcW w:w="846" w:type="pct"/>
            <w:shd w:val="clear" w:color="auto" w:fill="auto"/>
          </w:tcPr>
          <w:p w14:paraId="5AB77EE9" w14:textId="77777777" w:rsidR="009E4ABC" w:rsidRPr="007E41C5" w:rsidRDefault="009E4ABC" w:rsidP="009E4ABC">
            <w:pPr>
              <w:spacing w:before="120" w:after="120" w:line="240" w:lineRule="auto"/>
              <w:jc w:val="both"/>
              <w:rPr>
                <w:rFonts w:ascii="Times New Roman" w:eastAsia="Times New Roman" w:hAnsi="Times New Roman" w:cs="Times New Roman"/>
                <w:i/>
                <w:noProof/>
                <w:color w:val="000000"/>
                <w:sz w:val="18"/>
                <w:szCs w:val="18"/>
                <w:highlight w:val="yellow"/>
                <w:lang w:eastAsia="en-GB"/>
              </w:rPr>
            </w:pPr>
            <w:r w:rsidRPr="007E41C5">
              <w:rPr>
                <w:rFonts w:ascii="Times New Roman" w:eastAsia="Times New Roman" w:hAnsi="Times New Roman" w:cs="Times New Roman"/>
                <w:i/>
                <w:noProof/>
                <w:color w:val="000000"/>
                <w:sz w:val="18"/>
                <w:szCs w:val="18"/>
                <w:highlight w:val="yellow"/>
                <w:lang w:eastAsia="en-GB"/>
              </w:rPr>
              <w:t>Solutions taken up or up-scaled by organizations</w:t>
            </w:r>
          </w:p>
        </w:tc>
        <w:tc>
          <w:tcPr>
            <w:tcW w:w="540" w:type="pct"/>
          </w:tcPr>
          <w:p w14:paraId="4C8C89E2" w14:textId="77777777" w:rsidR="009E4ABC" w:rsidRPr="007E41C5" w:rsidRDefault="009E4ABC" w:rsidP="009E4ABC">
            <w:pPr>
              <w:spacing w:before="120" w:after="120" w:line="240" w:lineRule="auto"/>
              <w:jc w:val="both"/>
              <w:rPr>
                <w:rFonts w:ascii="Times New Roman" w:eastAsia="Times New Roman" w:hAnsi="Times New Roman" w:cs="Times New Roman"/>
                <w:i/>
                <w:noProof/>
                <w:color w:val="000000"/>
                <w:sz w:val="20"/>
                <w:szCs w:val="20"/>
                <w:highlight w:val="yellow"/>
                <w:lang w:eastAsia="en-GB"/>
              </w:rPr>
            </w:pPr>
            <w:r w:rsidRPr="007E41C5">
              <w:rPr>
                <w:rFonts w:ascii="Times New Roman" w:eastAsia="Times New Roman" w:hAnsi="Times New Roman" w:cs="Times New Roman"/>
                <w:i/>
                <w:noProof/>
                <w:color w:val="000000"/>
                <w:sz w:val="20"/>
                <w:szCs w:val="20"/>
                <w:highlight w:val="yellow"/>
                <w:lang w:eastAsia="en-GB"/>
              </w:rPr>
              <w:t>solutions</w:t>
            </w:r>
          </w:p>
        </w:tc>
        <w:tc>
          <w:tcPr>
            <w:tcW w:w="473" w:type="pct"/>
          </w:tcPr>
          <w:p w14:paraId="469289C1" w14:textId="77777777" w:rsidR="009E4ABC" w:rsidRPr="007E41C5" w:rsidRDefault="009E4ABC" w:rsidP="009E4ABC">
            <w:pPr>
              <w:spacing w:before="120" w:after="120" w:line="240" w:lineRule="auto"/>
              <w:jc w:val="both"/>
              <w:rPr>
                <w:rFonts w:ascii="Times New Roman" w:eastAsia="Calibri" w:hAnsi="Times New Roman" w:cs="Arial"/>
                <w:i/>
                <w:noProof/>
                <w:sz w:val="14"/>
                <w:szCs w:val="14"/>
                <w:highlight w:val="yellow"/>
              </w:rPr>
            </w:pPr>
          </w:p>
        </w:tc>
        <w:tc>
          <w:tcPr>
            <w:tcW w:w="297" w:type="pct"/>
          </w:tcPr>
          <w:p w14:paraId="7EBB851B" w14:textId="77777777" w:rsidR="009E4ABC" w:rsidRPr="007E41C5" w:rsidRDefault="009E4ABC" w:rsidP="009E4ABC">
            <w:pPr>
              <w:spacing w:before="120" w:after="120" w:line="240" w:lineRule="auto"/>
              <w:jc w:val="both"/>
              <w:rPr>
                <w:rFonts w:ascii="Times New Roman" w:eastAsia="Calibri" w:hAnsi="Times New Roman" w:cs="Arial"/>
                <w:b/>
                <w:noProof/>
                <w:sz w:val="14"/>
                <w:szCs w:val="14"/>
                <w:highlight w:val="yellow"/>
              </w:rPr>
            </w:pPr>
          </w:p>
        </w:tc>
        <w:tc>
          <w:tcPr>
            <w:tcW w:w="385" w:type="pct"/>
            <w:shd w:val="clear" w:color="auto" w:fill="auto"/>
          </w:tcPr>
          <w:p w14:paraId="7AEE4E66" w14:textId="77777777" w:rsidR="009E4ABC" w:rsidRPr="007E41C5" w:rsidRDefault="00840168" w:rsidP="009E4ABC">
            <w:pPr>
              <w:spacing w:before="120" w:after="120" w:line="240" w:lineRule="auto"/>
              <w:jc w:val="center"/>
              <w:rPr>
                <w:rFonts w:ascii="Times New Roman" w:eastAsia="Calibri" w:hAnsi="Times New Roman" w:cs="Arial"/>
                <w:b/>
                <w:i/>
                <w:noProof/>
                <w:sz w:val="14"/>
                <w:szCs w:val="14"/>
                <w:highlight w:val="yellow"/>
              </w:rPr>
            </w:pPr>
            <w:r w:rsidRPr="007E41C5">
              <w:rPr>
                <w:rFonts w:ascii="Times New Roman" w:eastAsia="Calibri" w:hAnsi="Times New Roman" w:cs="Arial"/>
                <w:b/>
                <w:i/>
                <w:noProof/>
                <w:sz w:val="14"/>
                <w:szCs w:val="14"/>
                <w:highlight w:val="yellow"/>
              </w:rPr>
              <w:t>1</w:t>
            </w:r>
          </w:p>
        </w:tc>
        <w:tc>
          <w:tcPr>
            <w:tcW w:w="404" w:type="pct"/>
            <w:shd w:val="clear" w:color="auto" w:fill="auto"/>
          </w:tcPr>
          <w:p w14:paraId="234286FB" w14:textId="77777777" w:rsidR="009E4ABC" w:rsidRPr="007E41C5" w:rsidRDefault="009E4ABC" w:rsidP="009E4ABC">
            <w:pPr>
              <w:spacing w:before="120" w:after="120" w:line="480" w:lineRule="auto"/>
              <w:jc w:val="both"/>
              <w:rPr>
                <w:rFonts w:ascii="Times New Roman" w:eastAsia="Calibri" w:hAnsi="Times New Roman" w:cs="Arial"/>
                <w:i/>
                <w:noProof/>
                <w:sz w:val="18"/>
                <w:szCs w:val="18"/>
                <w:highlight w:val="yellow"/>
              </w:rPr>
            </w:pPr>
            <w:r w:rsidRPr="007E41C5">
              <w:rPr>
                <w:rFonts w:ascii="Times New Roman" w:eastAsia="Calibri" w:hAnsi="Times New Roman" w:cs="Arial"/>
                <w:i/>
                <w:noProof/>
                <w:sz w:val="18"/>
                <w:szCs w:val="18"/>
                <w:highlight w:val="yellow"/>
              </w:rPr>
              <w:t>MA monitoring system</w:t>
            </w:r>
          </w:p>
        </w:tc>
        <w:tc>
          <w:tcPr>
            <w:tcW w:w="362" w:type="pct"/>
          </w:tcPr>
          <w:p w14:paraId="4A4122A0" w14:textId="77777777" w:rsidR="009E4ABC" w:rsidRPr="007E41C5" w:rsidRDefault="009E4ABC" w:rsidP="009E4ABC">
            <w:pPr>
              <w:spacing w:after="200" w:line="276" w:lineRule="auto"/>
              <w:rPr>
                <w:rFonts w:ascii="Calibri" w:eastAsia="Calibri" w:hAnsi="Calibri" w:cs="Arial"/>
                <w:i/>
                <w:noProof/>
                <w:sz w:val="14"/>
                <w:szCs w:val="14"/>
                <w:highlight w:val="yellow"/>
              </w:rPr>
            </w:pPr>
          </w:p>
        </w:tc>
      </w:tr>
    </w:tbl>
    <w:p w14:paraId="2FFCD016" w14:textId="77777777" w:rsidR="009E4ABC" w:rsidRDefault="009E4ABC" w:rsidP="008F38BF">
      <w:pPr>
        <w:spacing w:before="240" w:after="240" w:line="240" w:lineRule="auto"/>
        <w:rPr>
          <w:rFonts w:ascii="Times New Roman" w:eastAsia="Times New Roman" w:hAnsi="Times New Roman" w:cs="Times New Roman"/>
          <w:b/>
          <w:iCs/>
          <w:noProof/>
          <w:sz w:val="24"/>
          <w:szCs w:val="24"/>
          <w:lang w:eastAsia="en-GB"/>
        </w:rPr>
      </w:pPr>
    </w:p>
    <w:p w14:paraId="10C79E3B" w14:textId="77777777" w:rsidR="005A60CE" w:rsidRPr="00A10ECC" w:rsidRDefault="005A60CE" w:rsidP="005A60CE">
      <w:pPr>
        <w:spacing w:before="240" w:after="240" w:line="240" w:lineRule="auto"/>
        <w:ind w:left="709" w:hanging="709"/>
        <w:rPr>
          <w:rFonts w:ascii="Times New Roman" w:eastAsia="Times New Roman" w:hAnsi="Times New Roman" w:cs="Times New Roman"/>
          <w:b/>
          <w:iCs/>
          <w:noProof/>
          <w:sz w:val="24"/>
          <w:szCs w:val="24"/>
          <w:lang w:eastAsia="en-GB"/>
        </w:rPr>
      </w:pPr>
      <w:r>
        <w:rPr>
          <w:rFonts w:ascii="Times New Roman" w:eastAsia="Times New Roman" w:hAnsi="Times New Roman" w:cs="Times New Roman"/>
          <w:b/>
          <w:iCs/>
          <w:noProof/>
          <w:sz w:val="24"/>
          <w:szCs w:val="24"/>
          <w:lang w:eastAsia="en-GB"/>
        </w:rPr>
        <w:t>2.2</w:t>
      </w:r>
      <w:r w:rsidRPr="00A10ECC">
        <w:rPr>
          <w:rFonts w:ascii="Times New Roman" w:eastAsia="Times New Roman" w:hAnsi="Times New Roman" w:cs="Times New Roman"/>
          <w:b/>
          <w:iCs/>
          <w:noProof/>
          <w:sz w:val="24"/>
          <w:szCs w:val="24"/>
          <w:lang w:eastAsia="en-GB"/>
        </w:rPr>
        <w:t>.4.</w:t>
      </w:r>
      <w:r w:rsidRPr="00A10ECC">
        <w:rPr>
          <w:rFonts w:ascii="Times New Roman" w:eastAsia="Times New Roman" w:hAnsi="Times New Roman" w:cs="Times New Roman"/>
          <w:b/>
          <w:iCs/>
          <w:noProof/>
          <w:sz w:val="24"/>
          <w:szCs w:val="24"/>
          <w:lang w:eastAsia="en-GB"/>
        </w:rPr>
        <w:tab/>
        <w:t>The main target groups</w:t>
      </w:r>
    </w:p>
    <w:p w14:paraId="550E06CA" w14:textId="77777777" w:rsidR="005A60CE" w:rsidRPr="00A10ECC" w:rsidRDefault="005A60CE" w:rsidP="005A60CE">
      <w:pPr>
        <w:spacing w:after="200" w:line="276" w:lineRule="auto"/>
        <w:jc w:val="both"/>
        <w:rPr>
          <w:rFonts w:ascii="Times New Roman" w:eastAsia="Times New Roman" w:hAnsi="Times New Roman" w:cs="Times New Roman"/>
          <w:i/>
          <w:noProof/>
          <w:color w:val="000000"/>
          <w:sz w:val="24"/>
          <w:szCs w:val="24"/>
          <w:lang w:eastAsia="en-GB"/>
        </w:rPr>
      </w:pPr>
      <w:r w:rsidRPr="00A10ECC">
        <w:rPr>
          <w:rFonts w:ascii="Times New Roman" w:eastAsia="Times New Roman" w:hAnsi="Times New Roman" w:cs="Times New Roman"/>
          <w:i/>
          <w:noProof/>
          <w:color w:val="000000"/>
          <w:sz w:val="24"/>
          <w:szCs w:val="24"/>
          <w:lang w:eastAsia="en-GB"/>
        </w:rPr>
        <w:t>Reference: Article point (e)(iii) of 17(3), point (c)(iv) of Article 17(9)</w:t>
      </w:r>
    </w:p>
    <w:p w14:paraId="1627468E" w14:textId="77777777" w:rsidR="005A60CE" w:rsidRDefault="005A60CE" w:rsidP="005A60CE">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sz w:val="24"/>
          <w:szCs w:val="24"/>
          <w:lang w:eastAsia="en-GB"/>
        </w:rPr>
      </w:pPr>
      <w:r w:rsidRPr="00A10ECC">
        <w:rPr>
          <w:rFonts w:ascii="Times New Roman" w:eastAsia="Times New Roman" w:hAnsi="Times New Roman" w:cs="Times New Roman"/>
          <w:i/>
          <w:iCs/>
          <w:noProof/>
          <w:sz w:val="24"/>
          <w:szCs w:val="24"/>
          <w:lang w:eastAsia="en-GB"/>
        </w:rPr>
        <w:t>Text field [7000]</w:t>
      </w:r>
    </w:p>
    <w:p w14:paraId="7BCA80E3" w14:textId="77777777" w:rsidR="0061281C" w:rsidRPr="0061281C" w:rsidRDefault="0061281C" w:rsidP="00851D3E">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sz w:val="24"/>
          <w:szCs w:val="24"/>
          <w:lang w:eastAsia="en-GB"/>
        </w:rPr>
      </w:pPr>
      <w:r w:rsidRPr="0061281C">
        <w:rPr>
          <w:rFonts w:ascii="Times New Roman" w:eastAsia="Times New Roman" w:hAnsi="Times New Roman" w:cs="Times New Roman"/>
          <w:i/>
          <w:iCs/>
          <w:noProof/>
          <w:sz w:val="24"/>
          <w:szCs w:val="24"/>
          <w:lang w:eastAsia="en-GB"/>
        </w:rPr>
        <w:t>Target groups:</w:t>
      </w:r>
    </w:p>
    <w:p w14:paraId="22BF735C" w14:textId="77777777" w:rsidR="0061281C" w:rsidRPr="0061281C" w:rsidRDefault="0061281C" w:rsidP="00851D3E">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sz w:val="24"/>
          <w:szCs w:val="24"/>
          <w:lang w:eastAsia="en-GB"/>
        </w:rPr>
      </w:pPr>
      <w:r w:rsidRPr="0061281C">
        <w:rPr>
          <w:rFonts w:ascii="Times New Roman" w:eastAsia="Times New Roman" w:hAnsi="Times New Roman" w:cs="Times New Roman"/>
          <w:i/>
          <w:iCs/>
          <w:noProof/>
          <w:sz w:val="24"/>
          <w:szCs w:val="24"/>
          <w:lang w:eastAsia="en-GB"/>
        </w:rPr>
        <w:t></w:t>
      </w:r>
      <w:r w:rsidRPr="0061281C">
        <w:rPr>
          <w:rFonts w:ascii="Times New Roman" w:eastAsia="Times New Roman" w:hAnsi="Times New Roman" w:cs="Times New Roman"/>
          <w:i/>
          <w:iCs/>
          <w:noProof/>
          <w:sz w:val="24"/>
          <w:szCs w:val="24"/>
          <w:lang w:eastAsia="en-GB"/>
        </w:rPr>
        <w:tab/>
        <w:t>Residents, visitors and businesses in the CBC area</w:t>
      </w:r>
    </w:p>
    <w:p w14:paraId="25B963AB" w14:textId="77777777" w:rsidR="005D4F4D" w:rsidRPr="007E41C5" w:rsidRDefault="005D4F4D" w:rsidP="005D4F4D">
      <w:pPr>
        <w:spacing w:before="240" w:after="240" w:line="240" w:lineRule="auto"/>
        <w:ind w:left="709" w:hanging="709"/>
        <w:rPr>
          <w:rFonts w:ascii="Times New Roman" w:eastAsia="Times New Roman" w:hAnsi="Times New Roman" w:cs="Times New Roman"/>
          <w:b/>
          <w:iCs/>
          <w:noProof/>
          <w:sz w:val="24"/>
          <w:szCs w:val="24"/>
          <w:lang w:eastAsia="en-GB"/>
        </w:rPr>
      </w:pPr>
      <w:r>
        <w:rPr>
          <w:rFonts w:ascii="Times New Roman" w:eastAsia="Times New Roman" w:hAnsi="Times New Roman" w:cs="Times New Roman"/>
          <w:b/>
          <w:iCs/>
          <w:noProof/>
          <w:sz w:val="24"/>
          <w:szCs w:val="24"/>
          <w:lang w:eastAsia="en-GB"/>
        </w:rPr>
        <w:t>2.2</w:t>
      </w:r>
      <w:r w:rsidRPr="00A10ECC">
        <w:rPr>
          <w:rFonts w:ascii="Times New Roman" w:eastAsia="Times New Roman" w:hAnsi="Times New Roman" w:cs="Times New Roman"/>
          <w:b/>
          <w:iCs/>
          <w:noProof/>
          <w:sz w:val="24"/>
          <w:szCs w:val="24"/>
          <w:lang w:eastAsia="en-GB"/>
        </w:rPr>
        <w:t>.5.</w:t>
      </w:r>
      <w:r w:rsidRPr="00A10ECC">
        <w:rPr>
          <w:rFonts w:ascii="Times New Roman" w:eastAsia="Times New Roman" w:hAnsi="Times New Roman" w:cs="Times New Roman"/>
          <w:b/>
          <w:iCs/>
          <w:noProof/>
          <w:sz w:val="24"/>
          <w:szCs w:val="24"/>
          <w:lang w:eastAsia="en-GB"/>
        </w:rPr>
        <w:tab/>
      </w:r>
      <w:r w:rsidRPr="007E41C5">
        <w:rPr>
          <w:rFonts w:ascii="Times New Roman" w:eastAsia="Times New Roman" w:hAnsi="Times New Roman" w:cs="Times New Roman"/>
          <w:b/>
          <w:iCs/>
          <w:noProof/>
          <w:sz w:val="24"/>
          <w:szCs w:val="24"/>
          <w:lang w:eastAsia="en-GB"/>
        </w:rPr>
        <w:t>Indication of the specific territories targeted, including the planned use of ITI, CLLD or other territorial tools</w:t>
      </w:r>
    </w:p>
    <w:p w14:paraId="54316964" w14:textId="77777777" w:rsidR="005D4F4D" w:rsidRPr="007E41C5" w:rsidRDefault="005D4F4D" w:rsidP="005D4F4D">
      <w:pPr>
        <w:spacing w:after="200" w:line="276" w:lineRule="auto"/>
        <w:jc w:val="both"/>
        <w:rPr>
          <w:rFonts w:ascii="Times New Roman" w:eastAsia="Times New Roman" w:hAnsi="Times New Roman" w:cs="Times New Roman"/>
          <w:i/>
          <w:noProof/>
          <w:color w:val="000000"/>
          <w:sz w:val="24"/>
          <w:szCs w:val="24"/>
          <w:lang w:eastAsia="en-GB"/>
        </w:rPr>
      </w:pPr>
      <w:r w:rsidRPr="007E41C5">
        <w:rPr>
          <w:rFonts w:ascii="Times New Roman" w:eastAsia="Times New Roman" w:hAnsi="Times New Roman" w:cs="Times New Roman"/>
          <w:i/>
          <w:noProof/>
          <w:color w:val="000000"/>
          <w:sz w:val="24"/>
          <w:szCs w:val="24"/>
          <w:lang w:eastAsia="en-GB"/>
        </w:rPr>
        <w:t>Reference: Article point (e)(iv) of 17(3)</w:t>
      </w:r>
    </w:p>
    <w:p w14:paraId="06A50C1B" w14:textId="77777777" w:rsidR="005D4F4D" w:rsidRPr="007E41C5" w:rsidRDefault="005D4F4D" w:rsidP="005D4F4D">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sz w:val="24"/>
          <w:szCs w:val="24"/>
          <w:lang w:eastAsia="en-GB"/>
        </w:rPr>
      </w:pPr>
      <w:r w:rsidRPr="007E41C5">
        <w:rPr>
          <w:rFonts w:ascii="Times New Roman" w:eastAsia="Times New Roman" w:hAnsi="Times New Roman" w:cs="Times New Roman"/>
          <w:i/>
          <w:iCs/>
          <w:noProof/>
          <w:sz w:val="24"/>
          <w:szCs w:val="24"/>
          <w:lang w:eastAsia="en-GB"/>
        </w:rPr>
        <w:t>Text field [7000]</w:t>
      </w:r>
    </w:p>
    <w:p w14:paraId="04CE1512" w14:textId="77777777" w:rsidR="005D4F4D" w:rsidRPr="007E41C5" w:rsidRDefault="005D4F4D" w:rsidP="005D4F4D">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sz w:val="24"/>
          <w:szCs w:val="24"/>
          <w:lang w:eastAsia="en-GB"/>
        </w:rPr>
      </w:pPr>
      <w:r w:rsidRPr="007E41C5">
        <w:rPr>
          <w:rFonts w:ascii="Times New Roman" w:eastAsia="Times New Roman" w:hAnsi="Times New Roman" w:cs="Times New Roman"/>
          <w:i/>
          <w:iCs/>
          <w:noProof/>
          <w:sz w:val="24"/>
          <w:szCs w:val="24"/>
          <w:lang w:eastAsia="en-GB"/>
        </w:rPr>
        <w:t>Not applicable</w:t>
      </w:r>
    </w:p>
    <w:p w14:paraId="710AFBEC" w14:textId="77777777" w:rsidR="005D4F4D" w:rsidRPr="007E41C5" w:rsidRDefault="005D4F4D" w:rsidP="005D4F4D">
      <w:pPr>
        <w:pStyle w:val="ListParagraph"/>
        <w:spacing w:before="240" w:after="240" w:line="240" w:lineRule="auto"/>
        <w:ind w:left="360"/>
        <w:rPr>
          <w:rFonts w:ascii="Times New Roman" w:eastAsia="Times New Roman" w:hAnsi="Times New Roman" w:cs="Times New Roman"/>
          <w:b/>
          <w:iCs/>
          <w:noProof/>
          <w:sz w:val="24"/>
          <w:szCs w:val="24"/>
          <w:lang w:eastAsia="en-GB"/>
        </w:rPr>
      </w:pPr>
      <w:r w:rsidRPr="007E41C5">
        <w:rPr>
          <w:rFonts w:ascii="Times New Roman" w:eastAsia="Times New Roman" w:hAnsi="Times New Roman" w:cs="Times New Roman"/>
          <w:b/>
          <w:iCs/>
          <w:noProof/>
          <w:sz w:val="24"/>
          <w:szCs w:val="24"/>
          <w:lang w:eastAsia="en-GB"/>
        </w:rPr>
        <w:t>2.2.6.</w:t>
      </w:r>
      <w:r w:rsidRPr="007E41C5">
        <w:rPr>
          <w:rFonts w:ascii="Times New Roman" w:eastAsia="Times New Roman" w:hAnsi="Times New Roman" w:cs="Times New Roman"/>
          <w:b/>
          <w:iCs/>
          <w:noProof/>
          <w:sz w:val="24"/>
          <w:szCs w:val="24"/>
          <w:lang w:eastAsia="en-GB"/>
        </w:rPr>
        <w:tab/>
        <w:t>Planned use of financial instruments</w:t>
      </w:r>
    </w:p>
    <w:p w14:paraId="4D6F8944" w14:textId="77777777" w:rsidR="005D4F4D" w:rsidRPr="007E41C5" w:rsidRDefault="005D4F4D" w:rsidP="005D4F4D">
      <w:pPr>
        <w:pStyle w:val="ListParagraph"/>
        <w:spacing w:after="200" w:line="276" w:lineRule="auto"/>
        <w:ind w:left="360"/>
        <w:jc w:val="both"/>
        <w:rPr>
          <w:rFonts w:ascii="Times New Roman" w:eastAsia="Times New Roman" w:hAnsi="Times New Roman" w:cs="Times New Roman"/>
          <w:i/>
          <w:noProof/>
          <w:color w:val="000000"/>
          <w:sz w:val="24"/>
          <w:szCs w:val="24"/>
          <w:lang w:eastAsia="en-GB"/>
        </w:rPr>
      </w:pPr>
      <w:r w:rsidRPr="007E41C5">
        <w:rPr>
          <w:rFonts w:ascii="Times New Roman" w:eastAsia="Times New Roman" w:hAnsi="Times New Roman" w:cs="Times New Roman"/>
          <w:i/>
          <w:noProof/>
          <w:color w:val="000000"/>
          <w:sz w:val="24"/>
          <w:szCs w:val="24"/>
          <w:lang w:eastAsia="en-GB"/>
        </w:rPr>
        <w:t>Reference: point (e)(v) of Article 17(3)</w:t>
      </w:r>
    </w:p>
    <w:p w14:paraId="4AF1CB59" w14:textId="77777777" w:rsidR="005D4F4D" w:rsidRPr="007E41C5" w:rsidRDefault="005D4F4D" w:rsidP="005D4F4D">
      <w:pPr>
        <w:pStyle w:val="ListParagraph"/>
        <w:pBdr>
          <w:top w:val="single" w:sz="4" w:space="1" w:color="auto"/>
          <w:left w:val="single" w:sz="4" w:space="4" w:color="auto"/>
          <w:bottom w:val="single" w:sz="4" w:space="1" w:color="auto"/>
          <w:right w:val="single" w:sz="4" w:space="4" w:color="auto"/>
        </w:pBdr>
        <w:spacing w:after="200" w:line="276" w:lineRule="auto"/>
        <w:ind w:left="0"/>
        <w:jc w:val="both"/>
        <w:rPr>
          <w:rFonts w:ascii="Times New Roman" w:eastAsia="Times New Roman" w:hAnsi="Times New Roman" w:cs="Times New Roman"/>
          <w:b/>
          <w:iCs/>
          <w:noProof/>
          <w:sz w:val="24"/>
          <w:szCs w:val="24"/>
          <w:lang w:eastAsia="en-GB"/>
        </w:rPr>
      </w:pPr>
      <w:r w:rsidRPr="007E41C5">
        <w:rPr>
          <w:rFonts w:ascii="Times New Roman" w:eastAsia="Times New Roman" w:hAnsi="Times New Roman" w:cs="Times New Roman"/>
          <w:b/>
          <w:iCs/>
          <w:noProof/>
          <w:sz w:val="24"/>
          <w:szCs w:val="24"/>
          <w:lang w:eastAsia="en-GB"/>
        </w:rPr>
        <w:t>Not applicable</w:t>
      </w:r>
    </w:p>
    <w:p w14:paraId="3912E069" w14:textId="77777777" w:rsidR="005D4F4D" w:rsidRPr="007E41C5" w:rsidRDefault="005D4F4D" w:rsidP="005D4F4D">
      <w:pPr>
        <w:pStyle w:val="ListParagraph"/>
        <w:spacing w:before="240" w:after="240" w:line="240" w:lineRule="auto"/>
        <w:ind w:left="360"/>
        <w:rPr>
          <w:rFonts w:ascii="Times New Roman" w:eastAsia="Times New Roman" w:hAnsi="Times New Roman" w:cs="Times New Roman"/>
          <w:b/>
          <w:iCs/>
          <w:noProof/>
          <w:sz w:val="24"/>
          <w:szCs w:val="24"/>
          <w:highlight w:val="yellow"/>
          <w:lang w:eastAsia="en-GB"/>
        </w:rPr>
      </w:pPr>
    </w:p>
    <w:p w14:paraId="2437F623" w14:textId="77777777" w:rsidR="005D4F4D" w:rsidRPr="007E41C5" w:rsidRDefault="005D4F4D" w:rsidP="005D4F4D">
      <w:pPr>
        <w:pStyle w:val="ListParagraph"/>
        <w:spacing w:before="240" w:after="240" w:line="240" w:lineRule="auto"/>
        <w:ind w:left="360"/>
        <w:rPr>
          <w:rFonts w:ascii="Times New Roman" w:eastAsia="Times New Roman" w:hAnsi="Times New Roman" w:cs="Times New Roman"/>
          <w:b/>
          <w:iCs/>
          <w:noProof/>
          <w:sz w:val="24"/>
          <w:szCs w:val="24"/>
          <w:highlight w:val="yellow"/>
          <w:lang w:eastAsia="en-GB"/>
        </w:rPr>
      </w:pPr>
      <w:r w:rsidRPr="007E41C5">
        <w:rPr>
          <w:rFonts w:ascii="Times New Roman" w:eastAsia="Times New Roman" w:hAnsi="Times New Roman" w:cs="Times New Roman"/>
          <w:b/>
          <w:iCs/>
          <w:noProof/>
          <w:sz w:val="24"/>
          <w:szCs w:val="24"/>
          <w:highlight w:val="yellow"/>
          <w:lang w:eastAsia="en-GB"/>
        </w:rPr>
        <w:t>2.2.7.</w:t>
      </w:r>
      <w:r w:rsidRPr="007E41C5">
        <w:rPr>
          <w:rFonts w:ascii="Times New Roman" w:eastAsia="Times New Roman" w:hAnsi="Times New Roman" w:cs="Times New Roman"/>
          <w:b/>
          <w:iCs/>
          <w:noProof/>
          <w:sz w:val="24"/>
          <w:szCs w:val="24"/>
          <w:highlight w:val="yellow"/>
          <w:lang w:eastAsia="en-GB"/>
        </w:rPr>
        <w:tab/>
        <w:t>Indicative breakdown of the EU programme resources by type of intervention</w:t>
      </w:r>
    </w:p>
    <w:p w14:paraId="11EA55F7" w14:textId="77777777" w:rsidR="005D4F4D" w:rsidRPr="007E41C5" w:rsidRDefault="005D4F4D" w:rsidP="005D4F4D">
      <w:pPr>
        <w:pStyle w:val="ListParagraph"/>
        <w:spacing w:after="200" w:line="276" w:lineRule="auto"/>
        <w:ind w:left="360"/>
        <w:jc w:val="both"/>
        <w:rPr>
          <w:rFonts w:ascii="Times New Roman" w:eastAsia="Times New Roman" w:hAnsi="Times New Roman" w:cs="Times New Roman"/>
          <w:i/>
          <w:noProof/>
          <w:color w:val="000000"/>
          <w:sz w:val="24"/>
          <w:szCs w:val="24"/>
          <w:highlight w:val="yellow"/>
          <w:lang w:val="en-IE" w:eastAsia="en-GB"/>
        </w:rPr>
      </w:pPr>
      <w:r w:rsidRPr="007E41C5">
        <w:rPr>
          <w:rFonts w:ascii="Times New Roman" w:eastAsia="Times New Roman" w:hAnsi="Times New Roman" w:cs="Times New Roman"/>
          <w:i/>
          <w:noProof/>
          <w:color w:val="000000"/>
          <w:sz w:val="24"/>
          <w:szCs w:val="24"/>
          <w:highlight w:val="yellow"/>
          <w:lang w:val="en-IE" w:eastAsia="en-GB"/>
        </w:rPr>
        <w:t xml:space="preserve">Reference: point </w:t>
      </w:r>
      <w:r w:rsidRPr="007E41C5">
        <w:rPr>
          <w:rFonts w:ascii="Times New Roman" w:eastAsia="Times New Roman" w:hAnsi="Times New Roman" w:cs="Times New Roman"/>
          <w:i/>
          <w:noProof/>
          <w:color w:val="000000"/>
          <w:sz w:val="24"/>
          <w:szCs w:val="24"/>
          <w:highlight w:val="yellow"/>
          <w:lang w:eastAsia="en-GB"/>
        </w:rPr>
        <w:t>(e)(vi) of</w:t>
      </w:r>
      <w:r w:rsidRPr="007E41C5">
        <w:rPr>
          <w:rFonts w:ascii="Times New Roman" w:eastAsia="Times New Roman" w:hAnsi="Times New Roman" w:cs="Times New Roman"/>
          <w:i/>
          <w:noProof/>
          <w:color w:val="000000"/>
          <w:sz w:val="24"/>
          <w:szCs w:val="24"/>
          <w:highlight w:val="yellow"/>
          <w:lang w:val="en-IE" w:eastAsia="en-GB"/>
        </w:rPr>
        <w:t xml:space="preserve"> Article 17(3), point </w:t>
      </w:r>
      <w:r w:rsidRPr="007E41C5">
        <w:rPr>
          <w:rFonts w:ascii="Times New Roman" w:eastAsia="Times New Roman" w:hAnsi="Times New Roman" w:cs="Times New Roman"/>
          <w:i/>
          <w:noProof/>
          <w:color w:val="000000"/>
          <w:sz w:val="24"/>
          <w:szCs w:val="24"/>
          <w:highlight w:val="yellow"/>
          <w:lang w:eastAsia="en-GB"/>
        </w:rPr>
        <w:t>(e)(v) of</w:t>
      </w:r>
      <w:r w:rsidRPr="007E41C5">
        <w:rPr>
          <w:rFonts w:ascii="Times New Roman" w:eastAsia="Times New Roman" w:hAnsi="Times New Roman" w:cs="Times New Roman"/>
          <w:i/>
          <w:noProof/>
          <w:color w:val="000000"/>
          <w:sz w:val="24"/>
          <w:szCs w:val="24"/>
          <w:highlight w:val="yellow"/>
          <w:lang w:val="en-IE" w:eastAsia="en-GB"/>
        </w:rPr>
        <w:t xml:space="preserve"> Article 17(9)</w:t>
      </w:r>
    </w:p>
    <w:p w14:paraId="65F08F83" w14:textId="77777777" w:rsidR="005D4F4D" w:rsidRPr="007E41C5" w:rsidRDefault="005D4F4D" w:rsidP="005D4F4D">
      <w:pPr>
        <w:pStyle w:val="ListParagraph"/>
        <w:spacing w:after="200" w:line="276" w:lineRule="auto"/>
        <w:ind w:left="360"/>
        <w:jc w:val="both"/>
        <w:rPr>
          <w:rFonts w:ascii="Times New Roman" w:eastAsia="Times New Roman" w:hAnsi="Times New Roman" w:cs="Times New Roman"/>
          <w:i/>
          <w:noProof/>
          <w:color w:val="000000"/>
          <w:sz w:val="24"/>
          <w:szCs w:val="24"/>
          <w:highlight w:val="yellow"/>
          <w:lang w:val="en-IE" w:eastAsia="en-GB"/>
        </w:rPr>
      </w:pPr>
    </w:p>
    <w:p w14:paraId="58BE89ED" w14:textId="77777777" w:rsidR="005D4F4D" w:rsidRPr="007E41C5" w:rsidRDefault="005D4F4D" w:rsidP="005D4F4D">
      <w:pPr>
        <w:pStyle w:val="ListParagraph"/>
        <w:numPr>
          <w:ilvl w:val="0"/>
          <w:numId w:val="1"/>
        </w:numPr>
        <w:spacing w:after="200" w:line="276" w:lineRule="auto"/>
        <w:jc w:val="center"/>
        <w:rPr>
          <w:rFonts w:ascii="Times New Roman" w:eastAsia="Times New Roman" w:hAnsi="Times New Roman" w:cs="Times New Roman"/>
          <w:i/>
          <w:noProof/>
          <w:color w:val="000000"/>
          <w:sz w:val="24"/>
          <w:szCs w:val="24"/>
          <w:highlight w:val="yellow"/>
          <w:lang w:val="fr-BE" w:eastAsia="en-GB"/>
        </w:rPr>
      </w:pPr>
      <w:r w:rsidRPr="007E41C5">
        <w:rPr>
          <w:rFonts w:ascii="Times New Roman" w:eastAsia="Times New Roman" w:hAnsi="Times New Roman" w:cs="Times New Roman"/>
          <w:iCs/>
          <w:noProof/>
          <w:sz w:val="24"/>
          <w:szCs w:val="24"/>
          <w:highlight w:val="yellow"/>
          <w:lang w:val="fr-BE" w:eastAsia="en-GB"/>
        </w:rPr>
        <w:t>Table 4: Dimension 1 – intervention field</w:t>
      </w:r>
    </w:p>
    <w:tbl>
      <w:tblPr>
        <w:tblStyle w:val="TableGrid1"/>
        <w:tblW w:w="9923" w:type="dxa"/>
        <w:tblInd w:w="-147" w:type="dxa"/>
        <w:tblLook w:val="04A0" w:firstRow="1" w:lastRow="0" w:firstColumn="1" w:lastColumn="0" w:noHBand="0" w:noVBand="1"/>
      </w:tblPr>
      <w:tblGrid>
        <w:gridCol w:w="1276"/>
        <w:gridCol w:w="1560"/>
        <w:gridCol w:w="1701"/>
        <w:gridCol w:w="2976"/>
        <w:gridCol w:w="2410"/>
      </w:tblGrid>
      <w:tr w:rsidR="005D4F4D" w:rsidRPr="007E41C5" w14:paraId="561C1535" w14:textId="77777777" w:rsidTr="0096715F">
        <w:tc>
          <w:tcPr>
            <w:tcW w:w="1276" w:type="dxa"/>
          </w:tcPr>
          <w:p w14:paraId="20BE342C" w14:textId="77777777" w:rsidR="005D4F4D" w:rsidRPr="007E41C5" w:rsidRDefault="005D4F4D" w:rsidP="0096715F">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Priority no</w:t>
            </w:r>
          </w:p>
        </w:tc>
        <w:tc>
          <w:tcPr>
            <w:tcW w:w="1560" w:type="dxa"/>
          </w:tcPr>
          <w:p w14:paraId="3BE4451D" w14:textId="77777777" w:rsidR="005D4F4D" w:rsidRPr="007E41C5" w:rsidRDefault="005D4F4D" w:rsidP="0096715F">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Fund</w:t>
            </w:r>
          </w:p>
        </w:tc>
        <w:tc>
          <w:tcPr>
            <w:tcW w:w="1701" w:type="dxa"/>
          </w:tcPr>
          <w:p w14:paraId="3F3C4E2A" w14:textId="77777777" w:rsidR="005D4F4D" w:rsidRPr="007E41C5" w:rsidRDefault="005D4F4D" w:rsidP="0096715F">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Specific objective</w:t>
            </w:r>
          </w:p>
        </w:tc>
        <w:tc>
          <w:tcPr>
            <w:tcW w:w="2976" w:type="dxa"/>
          </w:tcPr>
          <w:p w14:paraId="078F78ED" w14:textId="77777777" w:rsidR="005D4F4D" w:rsidRPr="007E41C5" w:rsidRDefault="005D4F4D" w:rsidP="0096715F">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 xml:space="preserve">Code </w:t>
            </w:r>
          </w:p>
        </w:tc>
        <w:tc>
          <w:tcPr>
            <w:tcW w:w="2410" w:type="dxa"/>
          </w:tcPr>
          <w:p w14:paraId="261EE382" w14:textId="77777777" w:rsidR="005D4F4D" w:rsidRPr="007E41C5" w:rsidRDefault="005D4F4D" w:rsidP="0096715F">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Amount (EUR)</w:t>
            </w:r>
          </w:p>
          <w:p w14:paraId="0A0AA9AD" w14:textId="77777777" w:rsidR="005D4F4D" w:rsidRPr="007E41C5" w:rsidRDefault="005D4F4D" w:rsidP="0096715F">
            <w:pPr>
              <w:rPr>
                <w:rFonts w:ascii="Times New Roman" w:eastAsia="Times New Roman" w:hAnsi="Times New Roman" w:cs="Times New Roman"/>
                <w:b/>
                <w:iCs/>
                <w:noProof/>
                <w:sz w:val="20"/>
                <w:szCs w:val="20"/>
                <w:highlight w:val="yellow"/>
                <w:lang w:eastAsia="en-GB"/>
              </w:rPr>
            </w:pPr>
          </w:p>
        </w:tc>
      </w:tr>
      <w:tr w:rsidR="001655B6" w:rsidRPr="007E41C5" w14:paraId="2E33FDF8" w14:textId="77777777" w:rsidTr="0085533B">
        <w:tc>
          <w:tcPr>
            <w:tcW w:w="1276" w:type="dxa"/>
            <w:vAlign w:val="center"/>
          </w:tcPr>
          <w:p w14:paraId="0E667769" w14:textId="77777777" w:rsidR="001655B6" w:rsidRPr="007E41C5" w:rsidRDefault="001655B6" w:rsidP="001655B6">
            <w:pPr>
              <w:jc w:val="center"/>
              <w:rPr>
                <w:rFonts w:ascii="Times New Roman" w:eastAsia="Times New Roman" w:hAnsi="Times New Roman" w:cs="Times New Roman"/>
                <w:iCs/>
                <w:noProof/>
                <w:sz w:val="20"/>
                <w:szCs w:val="20"/>
                <w:highlight w:val="yellow"/>
                <w:lang w:eastAsia="en-GB"/>
              </w:rPr>
            </w:pPr>
            <w:r w:rsidRPr="007E41C5">
              <w:rPr>
                <w:rFonts w:ascii="Times New Roman" w:eastAsia="Times New Roman" w:hAnsi="Times New Roman" w:cs="Times New Roman"/>
                <w:iCs/>
                <w:noProof/>
                <w:sz w:val="20"/>
                <w:szCs w:val="20"/>
                <w:highlight w:val="yellow"/>
                <w:lang w:eastAsia="en-GB"/>
              </w:rPr>
              <w:t>2</w:t>
            </w:r>
          </w:p>
        </w:tc>
        <w:tc>
          <w:tcPr>
            <w:tcW w:w="1560" w:type="dxa"/>
            <w:vAlign w:val="center"/>
          </w:tcPr>
          <w:p w14:paraId="0BFFB2DE" w14:textId="77777777" w:rsidR="001655B6" w:rsidRPr="007E41C5" w:rsidRDefault="001655B6" w:rsidP="001655B6">
            <w:pPr>
              <w:jc w:val="both"/>
              <w:rPr>
                <w:rFonts w:ascii="Times New Roman" w:eastAsia="Times New Roman" w:hAnsi="Times New Roman" w:cs="Times New Roman"/>
                <w:b/>
                <w:iCs/>
                <w:noProof/>
                <w:sz w:val="20"/>
                <w:szCs w:val="20"/>
                <w:highlight w:val="yellow"/>
                <w:lang w:eastAsia="en-GB"/>
              </w:rPr>
            </w:pPr>
            <w:r w:rsidRPr="007E41C5">
              <w:rPr>
                <w:rFonts w:ascii="Times New Roman" w:hAnsi="Times New Roman" w:cs="Times New Roman"/>
                <w:sz w:val="20"/>
                <w:szCs w:val="20"/>
                <w:highlight w:val="yellow"/>
              </w:rPr>
              <w:t>Union funds (ERDF and IPA)</w:t>
            </w:r>
          </w:p>
        </w:tc>
        <w:tc>
          <w:tcPr>
            <w:tcW w:w="1701" w:type="dxa"/>
            <w:vAlign w:val="center"/>
          </w:tcPr>
          <w:p w14:paraId="6B7D9935" w14:textId="77777777" w:rsidR="001655B6" w:rsidRPr="007E41C5" w:rsidRDefault="001655B6" w:rsidP="001655B6">
            <w:pPr>
              <w:jc w:val="cente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2.1</w:t>
            </w:r>
          </w:p>
        </w:tc>
        <w:tc>
          <w:tcPr>
            <w:tcW w:w="2976" w:type="dxa"/>
          </w:tcPr>
          <w:p w14:paraId="4C6B66B0" w14:textId="7AC06F88" w:rsidR="001655B6" w:rsidRPr="007E41C5" w:rsidRDefault="004D34AB" w:rsidP="001655B6">
            <w:pPr>
              <w:jc w:val="both"/>
              <w:rPr>
                <w:rFonts w:ascii="Times New Roman" w:eastAsia="Times New Roman" w:hAnsi="Times New Roman" w:cs="Times New Roman"/>
                <w:iCs/>
                <w:noProof/>
                <w:sz w:val="20"/>
                <w:szCs w:val="20"/>
                <w:highlight w:val="yellow"/>
                <w:lang w:val="en-US" w:eastAsia="en-GB"/>
              </w:rPr>
            </w:pPr>
            <w:r w:rsidRPr="007E41C5">
              <w:rPr>
                <w:rFonts w:ascii="Times New Roman" w:eastAsia="Times New Roman" w:hAnsi="Times New Roman" w:cs="Times New Roman"/>
                <w:iCs/>
                <w:noProof/>
                <w:sz w:val="20"/>
                <w:szCs w:val="20"/>
                <w:highlight w:val="yellow"/>
                <w:lang w:val="en-US" w:eastAsia="en-GB"/>
              </w:rPr>
              <w:t>174 Interreg: border crossing management and mobility and mi-gration management</w:t>
            </w:r>
            <w:r w:rsidRPr="007E41C5" w:rsidDel="004D34AB">
              <w:rPr>
                <w:rFonts w:ascii="Times New Roman" w:eastAsia="Times New Roman" w:hAnsi="Times New Roman" w:cs="Times New Roman"/>
                <w:iCs/>
                <w:noProof/>
                <w:sz w:val="20"/>
                <w:szCs w:val="20"/>
                <w:highlight w:val="yellow"/>
                <w:lang w:val="en-US" w:eastAsia="en-GB"/>
              </w:rPr>
              <w:t xml:space="preserve"> </w:t>
            </w:r>
          </w:p>
        </w:tc>
        <w:tc>
          <w:tcPr>
            <w:tcW w:w="2410" w:type="dxa"/>
            <w:vAlign w:val="bottom"/>
          </w:tcPr>
          <w:p w14:paraId="4F4F3F16" w14:textId="4383B967" w:rsidR="006707A4" w:rsidRPr="007E41C5" w:rsidRDefault="006707A4" w:rsidP="00531FA3">
            <w:pPr>
              <w:rPr>
                <w:rFonts w:ascii="Times New Roman" w:eastAsia="Times New Roman" w:hAnsi="Times New Roman" w:cs="Times New Roman"/>
                <w:b/>
                <w:iCs/>
                <w:noProof/>
                <w:sz w:val="20"/>
                <w:szCs w:val="20"/>
                <w:highlight w:val="yellow"/>
                <w:lang w:eastAsia="en-GB"/>
              </w:rPr>
            </w:pPr>
          </w:p>
        </w:tc>
      </w:tr>
      <w:tr w:rsidR="001655B6" w:rsidRPr="007E41C5" w14:paraId="11FD1EA7" w14:textId="77777777" w:rsidTr="0085533B">
        <w:tc>
          <w:tcPr>
            <w:tcW w:w="1276" w:type="dxa"/>
            <w:vAlign w:val="center"/>
          </w:tcPr>
          <w:p w14:paraId="1BA2D7CE" w14:textId="77777777" w:rsidR="001655B6" w:rsidRPr="007E41C5" w:rsidRDefault="001655B6" w:rsidP="001655B6">
            <w:pPr>
              <w:jc w:val="center"/>
              <w:rPr>
                <w:rFonts w:ascii="Times New Roman" w:eastAsia="Times New Roman" w:hAnsi="Times New Roman" w:cs="Times New Roman"/>
                <w:iCs/>
                <w:noProof/>
                <w:sz w:val="20"/>
                <w:szCs w:val="20"/>
                <w:highlight w:val="yellow"/>
                <w:lang w:eastAsia="en-GB"/>
              </w:rPr>
            </w:pPr>
            <w:r w:rsidRPr="007E41C5">
              <w:rPr>
                <w:rFonts w:ascii="Times New Roman" w:eastAsia="Times New Roman" w:hAnsi="Times New Roman" w:cs="Times New Roman"/>
                <w:iCs/>
                <w:noProof/>
                <w:sz w:val="20"/>
                <w:szCs w:val="20"/>
                <w:highlight w:val="yellow"/>
                <w:lang w:eastAsia="en-GB"/>
              </w:rPr>
              <w:t>2</w:t>
            </w:r>
          </w:p>
        </w:tc>
        <w:tc>
          <w:tcPr>
            <w:tcW w:w="1560" w:type="dxa"/>
            <w:vAlign w:val="center"/>
          </w:tcPr>
          <w:p w14:paraId="513DC2F7" w14:textId="77777777" w:rsidR="001655B6" w:rsidRPr="007E41C5" w:rsidRDefault="001655B6" w:rsidP="001655B6">
            <w:pPr>
              <w:jc w:val="both"/>
              <w:rPr>
                <w:rFonts w:ascii="Times New Roman" w:hAnsi="Times New Roman" w:cs="Times New Roman"/>
                <w:sz w:val="20"/>
                <w:szCs w:val="20"/>
                <w:highlight w:val="yellow"/>
              </w:rPr>
            </w:pPr>
            <w:r w:rsidRPr="007E41C5">
              <w:rPr>
                <w:rFonts w:ascii="Times New Roman" w:hAnsi="Times New Roman" w:cs="Times New Roman"/>
                <w:sz w:val="20"/>
                <w:szCs w:val="20"/>
                <w:highlight w:val="yellow"/>
              </w:rPr>
              <w:t>Union funds (ERDF and IPA)</w:t>
            </w:r>
          </w:p>
        </w:tc>
        <w:tc>
          <w:tcPr>
            <w:tcW w:w="1701" w:type="dxa"/>
            <w:vAlign w:val="center"/>
          </w:tcPr>
          <w:p w14:paraId="496D625C" w14:textId="77777777" w:rsidR="001655B6" w:rsidRPr="007E41C5" w:rsidRDefault="001655B6" w:rsidP="001655B6">
            <w:pPr>
              <w:jc w:val="cente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2.1</w:t>
            </w:r>
          </w:p>
        </w:tc>
        <w:tc>
          <w:tcPr>
            <w:tcW w:w="2976" w:type="dxa"/>
          </w:tcPr>
          <w:p w14:paraId="04633B18" w14:textId="7295E03B" w:rsidR="001655B6" w:rsidRPr="007E41C5" w:rsidRDefault="004D34AB" w:rsidP="001655B6">
            <w:pPr>
              <w:jc w:val="both"/>
              <w:rPr>
                <w:rFonts w:ascii="Times New Roman" w:eastAsia="Times New Roman" w:hAnsi="Times New Roman" w:cs="Times New Roman"/>
                <w:iCs/>
                <w:noProof/>
                <w:sz w:val="20"/>
                <w:szCs w:val="20"/>
                <w:highlight w:val="yellow"/>
                <w:lang w:val="en-US" w:eastAsia="en-GB"/>
              </w:rPr>
            </w:pPr>
            <w:r w:rsidRPr="007E41C5">
              <w:rPr>
                <w:rFonts w:ascii="Times New Roman" w:eastAsia="Times New Roman" w:hAnsi="Times New Roman" w:cs="Times New Roman"/>
                <w:iCs/>
                <w:noProof/>
                <w:sz w:val="20"/>
                <w:szCs w:val="20"/>
                <w:highlight w:val="yellow"/>
                <w:lang w:val="en-US" w:eastAsia="en-GB"/>
              </w:rPr>
              <w:t>168 Physical regenera-tion and security of public spaces</w:t>
            </w:r>
            <w:r w:rsidRPr="007E41C5" w:rsidDel="004D34AB">
              <w:rPr>
                <w:rFonts w:ascii="Times New Roman" w:eastAsia="Times New Roman" w:hAnsi="Times New Roman" w:cs="Times New Roman"/>
                <w:iCs/>
                <w:noProof/>
                <w:sz w:val="20"/>
                <w:szCs w:val="20"/>
                <w:highlight w:val="yellow"/>
                <w:lang w:val="en-US" w:eastAsia="en-GB"/>
              </w:rPr>
              <w:t xml:space="preserve"> </w:t>
            </w:r>
          </w:p>
        </w:tc>
        <w:tc>
          <w:tcPr>
            <w:tcW w:w="2410" w:type="dxa"/>
            <w:vAlign w:val="bottom"/>
          </w:tcPr>
          <w:p w14:paraId="6DDEA8C2" w14:textId="7AC81983" w:rsidR="006707A4" w:rsidRPr="007E41C5" w:rsidRDefault="006707A4" w:rsidP="00531FA3">
            <w:pPr>
              <w:rPr>
                <w:rFonts w:ascii="Times New Roman" w:eastAsia="Times New Roman" w:hAnsi="Times New Roman" w:cs="Times New Roman"/>
                <w:b/>
                <w:iCs/>
                <w:noProof/>
                <w:sz w:val="20"/>
                <w:szCs w:val="20"/>
                <w:highlight w:val="yellow"/>
                <w:lang w:eastAsia="en-GB"/>
              </w:rPr>
            </w:pPr>
          </w:p>
        </w:tc>
      </w:tr>
      <w:tr w:rsidR="00583567" w:rsidRPr="007E41C5" w14:paraId="01303552" w14:textId="77777777" w:rsidTr="0085533B">
        <w:tc>
          <w:tcPr>
            <w:tcW w:w="1276" w:type="dxa"/>
            <w:vAlign w:val="center"/>
          </w:tcPr>
          <w:p w14:paraId="368DB008" w14:textId="77777777" w:rsidR="00583567" w:rsidRPr="007E41C5" w:rsidRDefault="00583567" w:rsidP="00583567">
            <w:pPr>
              <w:jc w:val="center"/>
              <w:rPr>
                <w:rFonts w:ascii="Times New Roman" w:eastAsia="Times New Roman" w:hAnsi="Times New Roman" w:cs="Times New Roman"/>
                <w:iCs/>
                <w:noProof/>
                <w:sz w:val="20"/>
                <w:szCs w:val="20"/>
                <w:highlight w:val="yellow"/>
                <w:lang w:eastAsia="en-GB"/>
              </w:rPr>
            </w:pPr>
            <w:r w:rsidRPr="007E41C5">
              <w:rPr>
                <w:rFonts w:ascii="Times New Roman" w:eastAsia="Times New Roman" w:hAnsi="Times New Roman" w:cs="Times New Roman"/>
                <w:iCs/>
                <w:noProof/>
                <w:sz w:val="20"/>
                <w:szCs w:val="20"/>
                <w:highlight w:val="yellow"/>
                <w:lang w:eastAsia="en-GB"/>
              </w:rPr>
              <w:t>2</w:t>
            </w:r>
          </w:p>
        </w:tc>
        <w:tc>
          <w:tcPr>
            <w:tcW w:w="1560" w:type="dxa"/>
            <w:vAlign w:val="center"/>
          </w:tcPr>
          <w:p w14:paraId="74A6E1B1" w14:textId="77777777" w:rsidR="00583567" w:rsidRPr="007E41C5" w:rsidRDefault="00583567" w:rsidP="00583567">
            <w:pPr>
              <w:jc w:val="both"/>
              <w:rPr>
                <w:rFonts w:ascii="Times New Roman" w:hAnsi="Times New Roman" w:cs="Times New Roman"/>
                <w:sz w:val="20"/>
                <w:szCs w:val="20"/>
                <w:highlight w:val="yellow"/>
              </w:rPr>
            </w:pPr>
            <w:r w:rsidRPr="007E41C5">
              <w:rPr>
                <w:rFonts w:ascii="Times New Roman" w:hAnsi="Times New Roman" w:cs="Times New Roman"/>
                <w:sz w:val="20"/>
                <w:szCs w:val="20"/>
                <w:highlight w:val="yellow"/>
              </w:rPr>
              <w:t>Union funds (ERDF and IPA)</w:t>
            </w:r>
          </w:p>
        </w:tc>
        <w:tc>
          <w:tcPr>
            <w:tcW w:w="1701" w:type="dxa"/>
            <w:vAlign w:val="center"/>
          </w:tcPr>
          <w:p w14:paraId="412D4BBF" w14:textId="77777777" w:rsidR="00583567" w:rsidRPr="007E41C5" w:rsidRDefault="00583567" w:rsidP="00583567">
            <w:pPr>
              <w:jc w:val="cente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2.1</w:t>
            </w:r>
          </w:p>
        </w:tc>
        <w:tc>
          <w:tcPr>
            <w:tcW w:w="2976" w:type="dxa"/>
          </w:tcPr>
          <w:p w14:paraId="01BFAF63" w14:textId="675A0208" w:rsidR="00583567" w:rsidRPr="007E41C5" w:rsidRDefault="004D34AB" w:rsidP="00583567">
            <w:pPr>
              <w:jc w:val="both"/>
              <w:rPr>
                <w:rFonts w:ascii="Times New Roman" w:eastAsia="Times New Roman" w:hAnsi="Times New Roman" w:cs="Times New Roman"/>
                <w:iCs/>
                <w:noProof/>
                <w:sz w:val="20"/>
                <w:szCs w:val="20"/>
                <w:highlight w:val="yellow"/>
                <w:lang w:val="en-US" w:eastAsia="en-GB"/>
              </w:rPr>
            </w:pPr>
            <w:r w:rsidRPr="007E41C5">
              <w:rPr>
                <w:rFonts w:ascii="Times New Roman" w:eastAsia="Times New Roman" w:hAnsi="Times New Roman" w:cs="Times New Roman"/>
                <w:iCs/>
                <w:noProof/>
                <w:sz w:val="20"/>
                <w:szCs w:val="20"/>
                <w:highlight w:val="yellow"/>
                <w:lang w:val="en-US" w:eastAsia="en-GB"/>
              </w:rPr>
              <w:t>062 Other recon-structed or improved roads (motorway, national, regional or local)</w:t>
            </w:r>
          </w:p>
        </w:tc>
        <w:tc>
          <w:tcPr>
            <w:tcW w:w="2410" w:type="dxa"/>
            <w:vAlign w:val="bottom"/>
          </w:tcPr>
          <w:p w14:paraId="31B82A01" w14:textId="6CF300A5" w:rsidR="006707A4" w:rsidRPr="007E41C5" w:rsidRDefault="006707A4" w:rsidP="00531FA3">
            <w:pPr>
              <w:rPr>
                <w:rFonts w:ascii="Times New Roman" w:eastAsia="Times New Roman" w:hAnsi="Times New Roman" w:cs="Times New Roman"/>
                <w:b/>
                <w:iCs/>
                <w:noProof/>
                <w:sz w:val="20"/>
                <w:szCs w:val="20"/>
                <w:highlight w:val="yellow"/>
                <w:lang w:eastAsia="en-GB"/>
              </w:rPr>
            </w:pPr>
          </w:p>
        </w:tc>
      </w:tr>
    </w:tbl>
    <w:p w14:paraId="317A43D0" w14:textId="77777777" w:rsidR="005D4F4D" w:rsidRPr="007E41C5" w:rsidRDefault="005D4F4D" w:rsidP="005D4F4D">
      <w:pPr>
        <w:pStyle w:val="ListParagraph"/>
        <w:spacing w:after="200" w:line="276" w:lineRule="auto"/>
        <w:ind w:left="360"/>
        <w:rPr>
          <w:rFonts w:ascii="Times New Roman" w:eastAsia="Times New Roman" w:hAnsi="Times New Roman" w:cs="Times New Roman"/>
          <w:iCs/>
          <w:noProof/>
          <w:sz w:val="24"/>
          <w:szCs w:val="24"/>
          <w:highlight w:val="yellow"/>
          <w:lang w:eastAsia="en-GB"/>
        </w:rPr>
      </w:pPr>
    </w:p>
    <w:p w14:paraId="3A883ECF" w14:textId="77777777" w:rsidR="005D4F4D" w:rsidRPr="007E41C5" w:rsidRDefault="005D4F4D" w:rsidP="005D4F4D">
      <w:pPr>
        <w:pStyle w:val="ListParagraph"/>
        <w:spacing w:after="200" w:line="276" w:lineRule="auto"/>
        <w:ind w:left="360"/>
        <w:rPr>
          <w:rFonts w:ascii="Times New Roman" w:eastAsia="Times New Roman" w:hAnsi="Times New Roman" w:cs="Times New Roman"/>
          <w:i/>
          <w:noProof/>
          <w:color w:val="000000"/>
          <w:sz w:val="24"/>
          <w:szCs w:val="24"/>
          <w:highlight w:val="yellow"/>
          <w:lang w:eastAsia="en-GB"/>
        </w:rPr>
      </w:pPr>
      <w:r w:rsidRPr="007E41C5">
        <w:rPr>
          <w:rFonts w:ascii="Times New Roman" w:eastAsia="Times New Roman" w:hAnsi="Times New Roman" w:cs="Times New Roman"/>
          <w:iCs/>
          <w:noProof/>
          <w:sz w:val="24"/>
          <w:szCs w:val="24"/>
          <w:highlight w:val="yellow"/>
          <w:lang w:eastAsia="en-GB"/>
        </w:rPr>
        <w:t>Table 5: Dimension 2 – form of financing</w:t>
      </w:r>
    </w:p>
    <w:tbl>
      <w:tblPr>
        <w:tblStyle w:val="TableGrid1"/>
        <w:tblW w:w="9975" w:type="dxa"/>
        <w:tblInd w:w="-147" w:type="dxa"/>
        <w:tblLook w:val="04A0" w:firstRow="1" w:lastRow="0" w:firstColumn="1" w:lastColumn="0" w:noHBand="0" w:noVBand="1"/>
      </w:tblPr>
      <w:tblGrid>
        <w:gridCol w:w="2126"/>
        <w:gridCol w:w="1753"/>
        <w:gridCol w:w="2008"/>
        <w:gridCol w:w="1274"/>
        <w:gridCol w:w="2814"/>
      </w:tblGrid>
      <w:tr w:rsidR="005D4F4D" w:rsidRPr="007E41C5" w14:paraId="4757CB1E" w14:textId="77777777" w:rsidTr="0096715F">
        <w:trPr>
          <w:trHeight w:val="208"/>
        </w:trPr>
        <w:tc>
          <w:tcPr>
            <w:tcW w:w="2126" w:type="dxa"/>
          </w:tcPr>
          <w:p w14:paraId="17DE4BAE" w14:textId="77777777" w:rsidR="005D4F4D" w:rsidRPr="007E41C5" w:rsidRDefault="005D4F4D" w:rsidP="0096715F">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Priority no</w:t>
            </w:r>
          </w:p>
        </w:tc>
        <w:tc>
          <w:tcPr>
            <w:tcW w:w="1753" w:type="dxa"/>
          </w:tcPr>
          <w:p w14:paraId="4609FE1E" w14:textId="77777777" w:rsidR="005D4F4D" w:rsidRPr="007E41C5" w:rsidRDefault="005D4F4D" w:rsidP="0096715F">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Fund</w:t>
            </w:r>
          </w:p>
        </w:tc>
        <w:tc>
          <w:tcPr>
            <w:tcW w:w="2008" w:type="dxa"/>
          </w:tcPr>
          <w:p w14:paraId="0866AFAD" w14:textId="77777777" w:rsidR="005D4F4D" w:rsidRPr="007E41C5" w:rsidRDefault="005D4F4D" w:rsidP="0096715F">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Specific objective</w:t>
            </w:r>
          </w:p>
        </w:tc>
        <w:tc>
          <w:tcPr>
            <w:tcW w:w="1274" w:type="dxa"/>
          </w:tcPr>
          <w:p w14:paraId="666E2D1A" w14:textId="77777777" w:rsidR="005D4F4D" w:rsidRPr="007E41C5" w:rsidRDefault="005D4F4D" w:rsidP="0096715F">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 xml:space="preserve">Code </w:t>
            </w:r>
          </w:p>
        </w:tc>
        <w:tc>
          <w:tcPr>
            <w:tcW w:w="2814" w:type="dxa"/>
          </w:tcPr>
          <w:p w14:paraId="2BC5338F" w14:textId="77777777" w:rsidR="005D4F4D" w:rsidRPr="007E41C5" w:rsidRDefault="005D4F4D" w:rsidP="0096715F">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Amount (EUR)</w:t>
            </w:r>
          </w:p>
        </w:tc>
      </w:tr>
      <w:tr w:rsidR="005D4F4D" w:rsidRPr="007E41C5" w14:paraId="53639267" w14:textId="77777777" w:rsidTr="0096715F">
        <w:trPr>
          <w:trHeight w:val="404"/>
        </w:trPr>
        <w:tc>
          <w:tcPr>
            <w:tcW w:w="2126" w:type="dxa"/>
            <w:vAlign w:val="center"/>
          </w:tcPr>
          <w:p w14:paraId="0E181365" w14:textId="77777777" w:rsidR="005D4F4D" w:rsidRPr="007E41C5" w:rsidRDefault="005D4F4D" w:rsidP="0096715F">
            <w:pPr>
              <w:jc w:val="cente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2</w:t>
            </w:r>
          </w:p>
        </w:tc>
        <w:tc>
          <w:tcPr>
            <w:tcW w:w="1753" w:type="dxa"/>
          </w:tcPr>
          <w:p w14:paraId="4CACC6D5" w14:textId="77777777" w:rsidR="005D4F4D" w:rsidRPr="007E41C5" w:rsidRDefault="005D4F4D" w:rsidP="0096715F">
            <w:pPr>
              <w:rPr>
                <w:rFonts w:ascii="Times New Roman" w:eastAsia="Times New Roman" w:hAnsi="Times New Roman" w:cs="Times New Roman"/>
                <w:iCs/>
                <w:noProof/>
                <w:sz w:val="20"/>
                <w:szCs w:val="20"/>
                <w:highlight w:val="yellow"/>
                <w:lang w:eastAsia="en-GB"/>
              </w:rPr>
            </w:pPr>
            <w:r w:rsidRPr="007E41C5">
              <w:rPr>
                <w:rFonts w:ascii="Times New Roman" w:eastAsia="Times New Roman" w:hAnsi="Times New Roman" w:cs="Times New Roman"/>
                <w:iCs/>
                <w:noProof/>
                <w:sz w:val="20"/>
                <w:szCs w:val="20"/>
                <w:highlight w:val="yellow"/>
                <w:lang w:eastAsia="en-GB"/>
              </w:rPr>
              <w:t>Union funds (ERDF and IPA)</w:t>
            </w:r>
          </w:p>
        </w:tc>
        <w:tc>
          <w:tcPr>
            <w:tcW w:w="2008" w:type="dxa"/>
            <w:vAlign w:val="center"/>
          </w:tcPr>
          <w:p w14:paraId="1B54BB9D" w14:textId="77777777" w:rsidR="005D4F4D" w:rsidRPr="007E41C5" w:rsidRDefault="005D4F4D" w:rsidP="0096715F">
            <w:pPr>
              <w:jc w:val="cente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2.1</w:t>
            </w:r>
          </w:p>
        </w:tc>
        <w:tc>
          <w:tcPr>
            <w:tcW w:w="1274" w:type="dxa"/>
            <w:vAlign w:val="center"/>
          </w:tcPr>
          <w:p w14:paraId="1CAE2E89" w14:textId="77777777" w:rsidR="005D4F4D" w:rsidRPr="007E41C5" w:rsidRDefault="005D4F4D" w:rsidP="0096715F">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01 Grant</w:t>
            </w:r>
          </w:p>
        </w:tc>
        <w:tc>
          <w:tcPr>
            <w:tcW w:w="2814" w:type="dxa"/>
            <w:vAlign w:val="center"/>
          </w:tcPr>
          <w:p w14:paraId="613BEF98" w14:textId="77777777" w:rsidR="005D4F4D" w:rsidRPr="007E41C5" w:rsidRDefault="001655B6" w:rsidP="0096715F">
            <w:pPr>
              <w:jc w:val="cente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7 983 003,97</w:t>
            </w:r>
          </w:p>
        </w:tc>
      </w:tr>
    </w:tbl>
    <w:p w14:paraId="2DF460BF" w14:textId="77777777" w:rsidR="005D4F4D" w:rsidRPr="007E41C5" w:rsidRDefault="005D4F4D" w:rsidP="00583567">
      <w:pPr>
        <w:spacing w:after="200" w:line="276" w:lineRule="auto"/>
        <w:rPr>
          <w:rFonts w:ascii="Times New Roman" w:eastAsia="Times New Roman" w:hAnsi="Times New Roman" w:cs="Times New Roman"/>
          <w:iCs/>
          <w:noProof/>
          <w:sz w:val="24"/>
          <w:szCs w:val="24"/>
          <w:highlight w:val="yellow"/>
          <w:lang w:eastAsia="en-GB"/>
        </w:rPr>
      </w:pPr>
    </w:p>
    <w:p w14:paraId="1330455F" w14:textId="77777777" w:rsidR="00583567" w:rsidRPr="007E41C5" w:rsidRDefault="00583567" w:rsidP="005D4F4D">
      <w:pPr>
        <w:pStyle w:val="ListParagraph"/>
        <w:spacing w:after="200" w:line="276" w:lineRule="auto"/>
        <w:ind w:left="360"/>
        <w:rPr>
          <w:rFonts w:ascii="Times New Roman" w:eastAsia="Times New Roman" w:hAnsi="Times New Roman" w:cs="Times New Roman"/>
          <w:iCs/>
          <w:noProof/>
          <w:sz w:val="24"/>
          <w:szCs w:val="24"/>
          <w:highlight w:val="yellow"/>
          <w:lang w:eastAsia="en-GB"/>
        </w:rPr>
      </w:pPr>
    </w:p>
    <w:p w14:paraId="3DE21A04" w14:textId="77777777" w:rsidR="00583567" w:rsidRPr="007E41C5" w:rsidRDefault="00583567" w:rsidP="005D4F4D">
      <w:pPr>
        <w:pStyle w:val="ListParagraph"/>
        <w:spacing w:after="200" w:line="276" w:lineRule="auto"/>
        <w:ind w:left="360"/>
        <w:rPr>
          <w:rFonts w:ascii="Times New Roman" w:eastAsia="Times New Roman" w:hAnsi="Times New Roman" w:cs="Times New Roman"/>
          <w:iCs/>
          <w:noProof/>
          <w:sz w:val="24"/>
          <w:szCs w:val="24"/>
          <w:highlight w:val="yellow"/>
          <w:lang w:eastAsia="en-GB"/>
        </w:rPr>
      </w:pPr>
    </w:p>
    <w:p w14:paraId="260CD064" w14:textId="77777777" w:rsidR="005D4F4D" w:rsidRPr="007E41C5" w:rsidRDefault="005D4F4D" w:rsidP="005D4F4D">
      <w:pPr>
        <w:pStyle w:val="ListParagraph"/>
        <w:spacing w:after="200" w:line="276" w:lineRule="auto"/>
        <w:ind w:left="360"/>
        <w:rPr>
          <w:rFonts w:ascii="Times New Roman" w:eastAsia="Times New Roman" w:hAnsi="Times New Roman" w:cs="Times New Roman"/>
          <w:i/>
          <w:noProof/>
          <w:color w:val="000000"/>
          <w:sz w:val="24"/>
          <w:szCs w:val="24"/>
          <w:highlight w:val="yellow"/>
          <w:lang w:eastAsia="en-GB"/>
        </w:rPr>
      </w:pPr>
      <w:r w:rsidRPr="007E41C5">
        <w:rPr>
          <w:rFonts w:ascii="Times New Roman" w:eastAsia="Times New Roman" w:hAnsi="Times New Roman" w:cs="Times New Roman"/>
          <w:iCs/>
          <w:noProof/>
          <w:sz w:val="24"/>
          <w:szCs w:val="24"/>
          <w:highlight w:val="yellow"/>
          <w:lang w:eastAsia="en-GB"/>
        </w:rPr>
        <w:t>Table 6: Dimension 3 – territorial delivery mechanism and territorial focus</w:t>
      </w:r>
    </w:p>
    <w:tbl>
      <w:tblPr>
        <w:tblStyle w:val="TableGrid1"/>
        <w:tblW w:w="9923" w:type="dxa"/>
        <w:tblInd w:w="-147" w:type="dxa"/>
        <w:tblLook w:val="04A0" w:firstRow="1" w:lastRow="0" w:firstColumn="1" w:lastColumn="0" w:noHBand="0" w:noVBand="1"/>
      </w:tblPr>
      <w:tblGrid>
        <w:gridCol w:w="1932"/>
        <w:gridCol w:w="1591"/>
        <w:gridCol w:w="1828"/>
        <w:gridCol w:w="1595"/>
        <w:gridCol w:w="2977"/>
      </w:tblGrid>
      <w:tr w:rsidR="005D4F4D" w:rsidRPr="007E41C5" w14:paraId="1DBBF18E" w14:textId="77777777" w:rsidTr="0096715F">
        <w:tc>
          <w:tcPr>
            <w:tcW w:w="2017" w:type="dxa"/>
          </w:tcPr>
          <w:p w14:paraId="54A34400" w14:textId="77777777" w:rsidR="005D4F4D" w:rsidRPr="007E41C5" w:rsidRDefault="005D4F4D" w:rsidP="0096715F">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lastRenderedPageBreak/>
              <w:t>Priority No</w:t>
            </w:r>
          </w:p>
        </w:tc>
        <w:tc>
          <w:tcPr>
            <w:tcW w:w="1657" w:type="dxa"/>
          </w:tcPr>
          <w:p w14:paraId="16748C45" w14:textId="77777777" w:rsidR="005D4F4D" w:rsidRPr="007E41C5" w:rsidRDefault="005D4F4D" w:rsidP="0096715F">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Fund</w:t>
            </w:r>
          </w:p>
        </w:tc>
        <w:tc>
          <w:tcPr>
            <w:tcW w:w="1898" w:type="dxa"/>
          </w:tcPr>
          <w:p w14:paraId="1035E57F" w14:textId="77777777" w:rsidR="005D4F4D" w:rsidRPr="007E41C5" w:rsidRDefault="005D4F4D" w:rsidP="0096715F">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Specific objective</w:t>
            </w:r>
          </w:p>
        </w:tc>
        <w:tc>
          <w:tcPr>
            <w:tcW w:w="1204" w:type="dxa"/>
          </w:tcPr>
          <w:p w14:paraId="7EB1F5FA" w14:textId="77777777" w:rsidR="005D4F4D" w:rsidRPr="007E41C5" w:rsidRDefault="005D4F4D" w:rsidP="0096715F">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 xml:space="preserve">Code </w:t>
            </w:r>
          </w:p>
        </w:tc>
        <w:tc>
          <w:tcPr>
            <w:tcW w:w="3147" w:type="dxa"/>
          </w:tcPr>
          <w:p w14:paraId="0C36648B" w14:textId="77777777" w:rsidR="005D4F4D" w:rsidRPr="007E41C5" w:rsidRDefault="005D4F4D" w:rsidP="0096715F">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Amount (EUR)</w:t>
            </w:r>
          </w:p>
        </w:tc>
      </w:tr>
      <w:tr w:rsidR="00236A27" w:rsidRPr="00A10ECC" w14:paraId="619B000B" w14:textId="77777777" w:rsidTr="0085533B">
        <w:tc>
          <w:tcPr>
            <w:tcW w:w="2017" w:type="dxa"/>
          </w:tcPr>
          <w:p w14:paraId="4E2E8BE2" w14:textId="77777777" w:rsidR="00236A27" w:rsidRPr="007E41C5" w:rsidRDefault="00236A27" w:rsidP="00236A27">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1</w:t>
            </w:r>
          </w:p>
        </w:tc>
        <w:tc>
          <w:tcPr>
            <w:tcW w:w="1657" w:type="dxa"/>
            <w:vAlign w:val="center"/>
          </w:tcPr>
          <w:p w14:paraId="6AB938E3" w14:textId="77777777" w:rsidR="00236A27" w:rsidRPr="007E41C5" w:rsidRDefault="00236A27" w:rsidP="00236A27">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iCs/>
                <w:noProof/>
                <w:sz w:val="20"/>
                <w:szCs w:val="20"/>
                <w:highlight w:val="yellow"/>
                <w:lang w:eastAsia="en-GB"/>
              </w:rPr>
              <w:t>Union funds (ERDF and IPA)</w:t>
            </w:r>
          </w:p>
        </w:tc>
        <w:tc>
          <w:tcPr>
            <w:tcW w:w="1898" w:type="dxa"/>
          </w:tcPr>
          <w:p w14:paraId="5EC849DC" w14:textId="77777777" w:rsidR="00236A27" w:rsidRPr="007E41C5" w:rsidRDefault="00236A27" w:rsidP="00236A27">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1.1.</w:t>
            </w:r>
          </w:p>
        </w:tc>
        <w:tc>
          <w:tcPr>
            <w:tcW w:w="1204" w:type="dxa"/>
            <w:vAlign w:val="center"/>
          </w:tcPr>
          <w:p w14:paraId="44C65E41" w14:textId="77777777" w:rsidR="00236A27" w:rsidRPr="00A10ECC" w:rsidRDefault="00236A27" w:rsidP="00236A27">
            <w:pPr>
              <w:rPr>
                <w:rFonts w:ascii="Times New Roman" w:eastAsia="Times New Roman" w:hAnsi="Times New Roman" w:cs="Times New Roman"/>
                <w:b/>
                <w:iCs/>
                <w:noProof/>
                <w:sz w:val="20"/>
                <w:szCs w:val="20"/>
                <w:lang w:eastAsia="en-GB"/>
              </w:rPr>
            </w:pPr>
            <w:r w:rsidRPr="007E41C5">
              <w:rPr>
                <w:rFonts w:ascii="Times New Roman" w:eastAsia="Times New Roman" w:hAnsi="Times New Roman" w:cs="Times New Roman"/>
                <w:b/>
                <w:iCs/>
                <w:noProof/>
                <w:sz w:val="20"/>
                <w:szCs w:val="20"/>
                <w:highlight w:val="yellow"/>
                <w:lang w:eastAsia="en-GB"/>
              </w:rPr>
              <w:t>17 Urban neighbourhoods</w:t>
            </w:r>
            <w:r w:rsidRPr="00451D78">
              <w:rPr>
                <w:rFonts w:ascii="Times New Roman" w:eastAsia="Times New Roman" w:hAnsi="Times New Roman" w:cs="Times New Roman"/>
                <w:b/>
                <w:iCs/>
                <w:noProof/>
                <w:sz w:val="20"/>
                <w:szCs w:val="20"/>
                <w:lang w:eastAsia="en-GB"/>
              </w:rPr>
              <w:t xml:space="preserve"> </w:t>
            </w:r>
          </w:p>
        </w:tc>
        <w:tc>
          <w:tcPr>
            <w:tcW w:w="3147" w:type="dxa"/>
          </w:tcPr>
          <w:p w14:paraId="091ABB95" w14:textId="77777777" w:rsidR="00236A27" w:rsidRPr="00A10ECC" w:rsidRDefault="00236A27" w:rsidP="00236A27">
            <w:pPr>
              <w:rPr>
                <w:rFonts w:ascii="Times New Roman" w:eastAsia="Times New Roman" w:hAnsi="Times New Roman" w:cs="Times New Roman"/>
                <w:b/>
                <w:iCs/>
                <w:noProof/>
                <w:sz w:val="20"/>
                <w:szCs w:val="20"/>
                <w:lang w:eastAsia="en-GB"/>
              </w:rPr>
            </w:pPr>
          </w:p>
        </w:tc>
      </w:tr>
    </w:tbl>
    <w:p w14:paraId="125D99B0" w14:textId="77777777" w:rsidR="005D4F4D" w:rsidRPr="00BA7B95" w:rsidRDefault="005D4F4D" w:rsidP="005D4F4D">
      <w:pPr>
        <w:rPr>
          <w:noProof/>
          <w:color w:val="000000"/>
          <w:lang w:eastAsia="en-GB"/>
        </w:rPr>
      </w:pPr>
    </w:p>
    <w:p w14:paraId="2BDDB9CC" w14:textId="77777777" w:rsidR="007802EC" w:rsidRPr="003A7ED9" w:rsidRDefault="007802EC" w:rsidP="003A7ED9">
      <w:pPr>
        <w:spacing w:before="240" w:after="200" w:line="276" w:lineRule="auto"/>
        <w:jc w:val="both"/>
        <w:rPr>
          <w:rFonts w:ascii="Times New Roman" w:eastAsia="Times New Roman" w:hAnsi="Times New Roman" w:cs="Times New Roman"/>
          <w:b/>
          <w:noProof/>
          <w:color w:val="000000"/>
          <w:sz w:val="24"/>
          <w:szCs w:val="24"/>
          <w:lang w:eastAsia="en-GB"/>
        </w:rPr>
      </w:pPr>
    </w:p>
    <w:p w14:paraId="742D9E2C" w14:textId="77777777" w:rsidR="00E953DF" w:rsidRPr="00C50610" w:rsidRDefault="00272B33" w:rsidP="0066363A">
      <w:pPr>
        <w:pStyle w:val="ListParagraph"/>
        <w:numPr>
          <w:ilvl w:val="1"/>
          <w:numId w:val="4"/>
        </w:numPr>
        <w:spacing w:before="240" w:after="200" w:line="276" w:lineRule="auto"/>
        <w:jc w:val="both"/>
        <w:rPr>
          <w:rFonts w:ascii="Times New Roman" w:eastAsia="Times New Roman" w:hAnsi="Times New Roman" w:cs="Times New Roman"/>
          <w:b/>
          <w:noProof/>
          <w:color w:val="000000"/>
          <w:sz w:val="24"/>
          <w:szCs w:val="24"/>
          <w:lang w:eastAsia="en-GB"/>
        </w:rPr>
      </w:pPr>
      <w:r>
        <w:rPr>
          <w:rFonts w:ascii="Times New Roman" w:eastAsia="Times New Roman" w:hAnsi="Times New Roman" w:cs="Times New Roman"/>
          <w:b/>
          <w:noProof/>
          <w:color w:val="000000"/>
          <w:sz w:val="24"/>
          <w:szCs w:val="24"/>
          <w:lang w:eastAsia="en-GB"/>
        </w:rPr>
        <w:t xml:space="preserve"> </w:t>
      </w:r>
      <w:r w:rsidR="00E953DF" w:rsidRPr="001F57D0">
        <w:rPr>
          <w:rFonts w:ascii="Times New Roman" w:eastAsia="Times New Roman" w:hAnsi="Times New Roman" w:cs="Times New Roman"/>
          <w:b/>
          <w:noProof/>
          <w:color w:val="000000"/>
          <w:sz w:val="24"/>
          <w:szCs w:val="24"/>
          <w:lang w:eastAsia="en-GB"/>
        </w:rPr>
        <w:t>Priority 3. Integrated development of the cross-border region</w:t>
      </w:r>
    </w:p>
    <w:p w14:paraId="151A00BD" w14:textId="77777777" w:rsidR="006F2384" w:rsidRPr="00E953DF" w:rsidRDefault="006F2384" w:rsidP="0066363A">
      <w:pPr>
        <w:spacing w:before="240" w:after="200" w:line="276" w:lineRule="auto"/>
        <w:jc w:val="both"/>
        <w:rPr>
          <w:rFonts w:ascii="Times New Roman" w:eastAsia="Times New Roman" w:hAnsi="Times New Roman" w:cs="Times New Roman"/>
          <w:i/>
          <w:noProof/>
          <w:color w:val="000000"/>
          <w:sz w:val="24"/>
          <w:szCs w:val="24"/>
          <w:lang w:eastAsia="en-GB"/>
        </w:rPr>
      </w:pPr>
      <w:r w:rsidRPr="00E953DF">
        <w:rPr>
          <w:rFonts w:ascii="Times New Roman" w:eastAsia="Times New Roman" w:hAnsi="Times New Roman" w:cs="Times New Roman"/>
          <w:i/>
          <w:noProof/>
          <w:color w:val="000000"/>
          <w:sz w:val="24"/>
          <w:szCs w:val="24"/>
          <w:lang w:eastAsia="en-GB"/>
        </w:rPr>
        <w:t>Reference: point (d) of Article 17(3)</w:t>
      </w:r>
    </w:p>
    <w:p w14:paraId="219B04CA" w14:textId="77777777" w:rsidR="00FC4FDE" w:rsidRDefault="006F2384" w:rsidP="006F2384">
      <w:pPr>
        <w:pBdr>
          <w:top w:val="single" w:sz="4" w:space="1" w:color="auto"/>
          <w:left w:val="single" w:sz="4" w:space="4" w:color="auto"/>
          <w:bottom w:val="single" w:sz="4" w:space="1" w:color="auto"/>
          <w:right w:val="single" w:sz="4" w:space="14" w:color="auto"/>
        </w:pBdr>
        <w:spacing w:after="200" w:line="276" w:lineRule="auto"/>
        <w:jc w:val="both"/>
        <w:rPr>
          <w:rFonts w:ascii="Times New Roman" w:eastAsia="Times New Roman" w:hAnsi="Times New Roman" w:cs="Times New Roman"/>
          <w:b/>
          <w:i/>
          <w:iCs/>
          <w:noProof/>
          <w:lang w:eastAsia="en-GB"/>
        </w:rPr>
      </w:pPr>
      <w:r w:rsidRPr="00A10ECC">
        <w:rPr>
          <w:rFonts w:ascii="Times New Roman" w:eastAsia="Times New Roman" w:hAnsi="Times New Roman" w:cs="Times New Roman"/>
          <w:i/>
          <w:iCs/>
          <w:noProof/>
          <w:lang w:eastAsia="en-GB"/>
        </w:rPr>
        <w:t>Text field: [300]</w:t>
      </w:r>
      <w:r w:rsidRPr="00DF7695">
        <w:rPr>
          <w:rFonts w:ascii="Times New Roman" w:eastAsia="Times New Roman" w:hAnsi="Times New Roman" w:cs="Times New Roman"/>
          <w:b/>
          <w:i/>
          <w:iCs/>
          <w:noProof/>
          <w:lang w:eastAsia="en-GB"/>
        </w:rPr>
        <w:t xml:space="preserve"> </w:t>
      </w:r>
    </w:p>
    <w:p w14:paraId="531380B7" w14:textId="77777777" w:rsidR="00FC4FDE" w:rsidRPr="00851D3E" w:rsidRDefault="009D1526" w:rsidP="006F2384">
      <w:pPr>
        <w:pBdr>
          <w:top w:val="single" w:sz="4" w:space="1" w:color="auto"/>
          <w:left w:val="single" w:sz="4" w:space="4" w:color="auto"/>
          <w:bottom w:val="single" w:sz="4" w:space="1" w:color="auto"/>
          <w:right w:val="single" w:sz="4" w:space="14" w:color="auto"/>
        </w:pBdr>
        <w:spacing w:after="200" w:line="276" w:lineRule="auto"/>
        <w:jc w:val="both"/>
        <w:rPr>
          <w:rFonts w:ascii="Times New Roman" w:eastAsia="Times New Roman" w:hAnsi="Times New Roman" w:cs="Times New Roman"/>
          <w:i/>
          <w:noProof/>
          <w:color w:val="000000"/>
          <w:sz w:val="24"/>
          <w:szCs w:val="24"/>
          <w:lang w:eastAsia="en-GB"/>
        </w:rPr>
      </w:pPr>
      <w:r w:rsidRPr="0066363A">
        <w:rPr>
          <w:rFonts w:ascii="Times New Roman" w:eastAsia="Times New Roman" w:hAnsi="Times New Roman" w:cs="Times New Roman"/>
          <w:i/>
          <w:iCs/>
          <w:noProof/>
          <w:lang w:eastAsia="en-GB"/>
        </w:rPr>
        <w:t>Support of integrated territorial development strategy for economic, environmental, climate</w:t>
      </w:r>
      <w:r w:rsidRPr="009D1526">
        <w:rPr>
          <w:rFonts w:ascii="Times New Roman" w:eastAsia="Times New Roman" w:hAnsi="Times New Roman" w:cs="Times New Roman"/>
          <w:i/>
          <w:iCs/>
          <w:noProof/>
          <w:lang w:eastAsia="en-GB"/>
        </w:rPr>
        <w:t>, demographic and social growth</w:t>
      </w:r>
    </w:p>
    <w:p w14:paraId="2E3DC353" w14:textId="77777777" w:rsidR="006F2384" w:rsidRPr="00A10ECC" w:rsidRDefault="006F2384" w:rsidP="006F2384">
      <w:pPr>
        <w:spacing w:before="240" w:after="240" w:line="240" w:lineRule="auto"/>
        <w:ind w:left="709" w:hanging="709"/>
        <w:rPr>
          <w:rFonts w:ascii="Times New Roman" w:eastAsia="Times New Roman" w:hAnsi="Times New Roman" w:cs="Times New Roman"/>
          <w:iCs/>
          <w:noProof/>
          <w:sz w:val="24"/>
          <w:szCs w:val="24"/>
          <w:lang w:eastAsia="en-GB"/>
        </w:rPr>
      </w:pPr>
      <w:r>
        <w:rPr>
          <w:rFonts w:ascii="Times New Roman" w:eastAsia="Times New Roman" w:hAnsi="Times New Roman" w:cs="Times New Roman"/>
          <w:b/>
          <w:iCs/>
          <w:noProof/>
          <w:sz w:val="24"/>
          <w:szCs w:val="24"/>
          <w:lang w:eastAsia="en-GB"/>
        </w:rPr>
        <w:t>2.3</w:t>
      </w:r>
      <w:r w:rsidRPr="00A10ECC">
        <w:rPr>
          <w:rFonts w:ascii="Times New Roman" w:eastAsia="Times New Roman" w:hAnsi="Times New Roman" w:cs="Times New Roman"/>
          <w:b/>
          <w:iCs/>
          <w:noProof/>
          <w:sz w:val="24"/>
          <w:szCs w:val="24"/>
          <w:lang w:eastAsia="en-GB"/>
        </w:rPr>
        <w:t>.1.</w:t>
      </w:r>
      <w:r w:rsidRPr="00A10ECC">
        <w:rPr>
          <w:rFonts w:ascii="Times New Roman" w:eastAsia="Times New Roman" w:hAnsi="Times New Roman" w:cs="Times New Roman"/>
          <w:b/>
          <w:iCs/>
          <w:noProof/>
          <w:sz w:val="24"/>
          <w:szCs w:val="24"/>
          <w:lang w:eastAsia="en-GB"/>
        </w:rPr>
        <w:tab/>
        <w:t xml:space="preserve">Specific objective </w:t>
      </w:r>
      <w:r w:rsidRPr="00A10ECC">
        <w:rPr>
          <w:rFonts w:ascii="Times New Roman" w:eastAsia="Times New Roman" w:hAnsi="Times New Roman" w:cs="Times New Roman"/>
          <w:iCs/>
          <w:noProof/>
          <w:sz w:val="24"/>
          <w:szCs w:val="24"/>
          <w:lang w:eastAsia="en-GB"/>
        </w:rPr>
        <w:t>(repeated for each selected specific objective)</w:t>
      </w:r>
    </w:p>
    <w:p w14:paraId="127B0EA3" w14:textId="77777777" w:rsidR="00FC4FDE" w:rsidRDefault="006F2384" w:rsidP="00FC4FDE">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lang w:eastAsia="en-GB"/>
        </w:rPr>
      </w:pPr>
      <w:r w:rsidRPr="00A10ECC">
        <w:rPr>
          <w:rFonts w:ascii="Times New Roman" w:eastAsia="Times New Roman" w:hAnsi="Times New Roman" w:cs="Times New Roman"/>
          <w:bCs/>
          <w:i/>
          <w:iCs/>
          <w:noProof/>
          <w:lang w:eastAsia="en-GB"/>
        </w:rPr>
        <w:t>Text field: [300]</w:t>
      </w:r>
      <w:r w:rsidRPr="00DF7695">
        <w:rPr>
          <w:rFonts w:ascii="Times New Roman" w:eastAsia="Times New Roman" w:hAnsi="Times New Roman" w:cs="Times New Roman"/>
          <w:i/>
          <w:iCs/>
          <w:noProof/>
          <w:lang w:eastAsia="en-GB"/>
        </w:rPr>
        <w:t xml:space="preserve"> </w:t>
      </w:r>
    </w:p>
    <w:p w14:paraId="15ED41A2" w14:textId="77777777" w:rsidR="006F2384" w:rsidRPr="00BA7B95" w:rsidRDefault="00FC4FDE" w:rsidP="006F2384">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b/>
          <w:i/>
          <w:iCs/>
          <w:noProof/>
          <w:lang w:val="en-US" w:eastAsia="en-GB"/>
        </w:rPr>
      </w:pPr>
      <w:r w:rsidRPr="00BA7B95">
        <w:rPr>
          <w:rFonts w:ascii="Times New Roman" w:eastAsia="Times New Roman" w:hAnsi="Times New Roman" w:cs="Times New Roman"/>
          <w:i/>
          <w:iCs/>
          <w:noProof/>
          <w:lang w:val="en-US" w:eastAsia="en-GB"/>
        </w:rPr>
        <w:t xml:space="preserve">3.1 Fostering the integrated social, economic and environmental development, cultural heritage and security in </w:t>
      </w:r>
      <w:r w:rsidR="00C50610" w:rsidRPr="00BA7B95">
        <w:rPr>
          <w:rFonts w:ascii="Times New Roman" w:eastAsia="Times New Roman" w:hAnsi="Times New Roman" w:cs="Times New Roman"/>
          <w:i/>
          <w:iCs/>
          <w:noProof/>
          <w:lang w:val="en-US" w:eastAsia="en-GB"/>
        </w:rPr>
        <w:t xml:space="preserve">areas other than </w:t>
      </w:r>
      <w:r w:rsidRPr="00BA7B95">
        <w:rPr>
          <w:rFonts w:ascii="Times New Roman" w:eastAsia="Times New Roman" w:hAnsi="Times New Roman" w:cs="Times New Roman"/>
          <w:i/>
          <w:iCs/>
          <w:noProof/>
          <w:lang w:val="en-US" w:eastAsia="en-GB"/>
        </w:rPr>
        <w:t xml:space="preserve">urban </w:t>
      </w:r>
    </w:p>
    <w:p w14:paraId="49FBA317" w14:textId="77777777" w:rsidR="006F2384" w:rsidRPr="00A10ECC" w:rsidRDefault="006F2384" w:rsidP="006F2384">
      <w:pPr>
        <w:spacing w:after="200" w:line="276" w:lineRule="auto"/>
        <w:jc w:val="both"/>
        <w:rPr>
          <w:rFonts w:ascii="Times New Roman" w:eastAsia="Times New Roman" w:hAnsi="Times New Roman" w:cs="Times New Roman"/>
          <w:i/>
          <w:noProof/>
          <w:color w:val="000000"/>
          <w:sz w:val="24"/>
          <w:szCs w:val="24"/>
          <w:lang w:eastAsia="en-GB"/>
        </w:rPr>
      </w:pPr>
      <w:r w:rsidRPr="00A10ECC">
        <w:rPr>
          <w:rFonts w:ascii="Times New Roman" w:eastAsia="Times New Roman" w:hAnsi="Times New Roman" w:cs="Times New Roman"/>
          <w:i/>
          <w:noProof/>
          <w:color w:val="000000"/>
          <w:sz w:val="24"/>
          <w:szCs w:val="24"/>
          <w:lang w:eastAsia="en-GB"/>
        </w:rPr>
        <w:t>Reference: point (e) of Article 17(3)</w:t>
      </w:r>
    </w:p>
    <w:p w14:paraId="55AC8EE2" w14:textId="77777777" w:rsidR="006F2384" w:rsidRPr="00A10ECC" w:rsidRDefault="006F2384" w:rsidP="006F2384">
      <w:pPr>
        <w:spacing w:before="240" w:after="240" w:line="240" w:lineRule="auto"/>
        <w:ind w:left="709" w:hanging="709"/>
        <w:rPr>
          <w:rFonts w:ascii="Times New Roman" w:eastAsia="Times New Roman" w:hAnsi="Times New Roman" w:cs="Times New Roman"/>
          <w:iCs/>
          <w:noProof/>
          <w:sz w:val="24"/>
          <w:szCs w:val="24"/>
          <w:lang w:eastAsia="en-GB"/>
        </w:rPr>
      </w:pPr>
      <w:r>
        <w:rPr>
          <w:rFonts w:ascii="Times New Roman" w:eastAsia="Times New Roman" w:hAnsi="Times New Roman" w:cs="Times New Roman"/>
          <w:b/>
          <w:iCs/>
          <w:noProof/>
          <w:sz w:val="24"/>
          <w:szCs w:val="24"/>
          <w:lang w:eastAsia="en-GB"/>
        </w:rPr>
        <w:t>2.3</w:t>
      </w:r>
      <w:r w:rsidRPr="00A10ECC">
        <w:rPr>
          <w:rFonts w:ascii="Times New Roman" w:eastAsia="Times New Roman" w:hAnsi="Times New Roman" w:cs="Times New Roman"/>
          <w:b/>
          <w:iCs/>
          <w:noProof/>
          <w:sz w:val="24"/>
          <w:szCs w:val="24"/>
          <w:lang w:eastAsia="en-GB"/>
        </w:rPr>
        <w:t>.2. Related types of action,  and their expected contribution to those specific objectives and to macro-regional strategies and sea-basis strategies, where appropriate</w:t>
      </w:r>
    </w:p>
    <w:p w14:paraId="57F252A9" w14:textId="77777777" w:rsidR="006F2384" w:rsidRDefault="006F2384" w:rsidP="006F2384">
      <w:pPr>
        <w:spacing w:after="200" w:line="276" w:lineRule="auto"/>
        <w:jc w:val="both"/>
        <w:rPr>
          <w:rFonts w:ascii="Times New Roman" w:eastAsia="Times New Roman" w:hAnsi="Times New Roman" w:cs="Times New Roman"/>
          <w:i/>
          <w:noProof/>
          <w:color w:val="000000"/>
          <w:sz w:val="24"/>
          <w:szCs w:val="24"/>
          <w:lang w:val="en-US" w:eastAsia="en-GB"/>
        </w:rPr>
      </w:pPr>
      <w:r w:rsidRPr="00A10ECC">
        <w:rPr>
          <w:rFonts w:ascii="Times New Roman" w:eastAsia="Times New Roman" w:hAnsi="Times New Roman" w:cs="Times New Roman"/>
          <w:i/>
          <w:noProof/>
          <w:color w:val="000000"/>
          <w:sz w:val="24"/>
          <w:szCs w:val="24"/>
          <w:lang w:val="en-US" w:eastAsia="en-GB"/>
        </w:rPr>
        <w:t>Reference: point (e)(i) of Article 17(3), point (c)(ii) of Article 17(9)</w:t>
      </w:r>
    </w:p>
    <w:p w14:paraId="065A0014" w14:textId="77777777" w:rsidR="00B04EC8" w:rsidRDefault="00B04EC8" w:rsidP="00851D3E">
      <w:pPr>
        <w:pBdr>
          <w:top w:val="single" w:sz="4" w:space="0"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sz w:val="24"/>
          <w:szCs w:val="24"/>
          <w:lang w:eastAsia="en-GB"/>
        </w:rPr>
      </w:pPr>
      <w:r w:rsidRPr="00A10ECC">
        <w:rPr>
          <w:rFonts w:ascii="Times New Roman" w:eastAsia="Times New Roman" w:hAnsi="Times New Roman" w:cs="Times New Roman"/>
          <w:i/>
          <w:iCs/>
          <w:noProof/>
          <w:sz w:val="24"/>
          <w:szCs w:val="24"/>
          <w:lang w:eastAsia="en-GB"/>
        </w:rPr>
        <w:t>Text field [7000]</w:t>
      </w:r>
    </w:p>
    <w:p w14:paraId="45C1BB35" w14:textId="77777777" w:rsidR="00F02273" w:rsidRPr="00BA7B95" w:rsidRDefault="00F02273" w:rsidP="001F57D0">
      <w:pPr>
        <w:pBdr>
          <w:top w:val="single" w:sz="4" w:space="0"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lang w:eastAsia="en-GB"/>
        </w:rPr>
      </w:pPr>
      <w:r w:rsidRPr="00BA7B95">
        <w:rPr>
          <w:rFonts w:ascii="Times New Roman" w:eastAsia="Times New Roman" w:hAnsi="Times New Roman" w:cs="Times New Roman"/>
          <w:i/>
          <w:iCs/>
          <w:noProof/>
          <w:lang w:eastAsia="en-GB"/>
        </w:rPr>
        <w:t xml:space="preserve">Priority 3 </w:t>
      </w:r>
      <w:r w:rsidR="00472CAD">
        <w:rPr>
          <w:rFonts w:ascii="Times New Roman" w:eastAsia="Times New Roman" w:hAnsi="Times New Roman" w:cs="Times New Roman"/>
          <w:i/>
          <w:iCs/>
          <w:noProof/>
          <w:lang w:eastAsia="en-GB"/>
        </w:rPr>
        <w:t>‘</w:t>
      </w:r>
      <w:r w:rsidRPr="00BA7B95">
        <w:rPr>
          <w:rFonts w:ascii="Times New Roman" w:eastAsia="Times New Roman" w:hAnsi="Times New Roman" w:cs="Times New Roman"/>
          <w:i/>
          <w:iCs/>
          <w:noProof/>
          <w:lang w:eastAsia="en-GB"/>
        </w:rPr>
        <w:t>Integrated development of the border region</w:t>
      </w:r>
      <w:r w:rsidR="00472CAD">
        <w:rPr>
          <w:rFonts w:ascii="Times New Roman" w:eastAsia="Times New Roman" w:hAnsi="Times New Roman" w:cs="Times New Roman"/>
          <w:i/>
          <w:iCs/>
          <w:noProof/>
          <w:lang w:eastAsia="en-GB"/>
        </w:rPr>
        <w:t>’</w:t>
      </w:r>
      <w:r w:rsidRPr="00BA7B95">
        <w:rPr>
          <w:rFonts w:ascii="Times New Roman" w:eastAsia="Times New Roman" w:hAnsi="Times New Roman" w:cs="Times New Roman"/>
          <w:i/>
          <w:iCs/>
          <w:noProof/>
          <w:lang w:eastAsia="en-GB"/>
        </w:rPr>
        <w:t xml:space="preserve"> will give the opportunity the multi-thematic challenges of the border area to be tackled through a territorial development strategy, applying integrated measures across different sectors. The integrated investments for fostering the territorial development in local economy will bring higher added value and ensure the leverage effect of the </w:t>
      </w:r>
      <w:r w:rsidR="00076A3E">
        <w:rPr>
          <w:rFonts w:ascii="Times New Roman" w:eastAsia="Times New Roman" w:hAnsi="Times New Roman" w:cs="Times New Roman"/>
          <w:i/>
          <w:iCs/>
          <w:noProof/>
          <w:lang w:eastAsia="en-GB"/>
        </w:rPr>
        <w:t xml:space="preserve">ERDF and IPA </w:t>
      </w:r>
      <w:r w:rsidRPr="00BA7B95">
        <w:rPr>
          <w:rFonts w:ascii="Times New Roman" w:eastAsia="Times New Roman" w:hAnsi="Times New Roman" w:cs="Times New Roman"/>
          <w:i/>
          <w:iCs/>
          <w:noProof/>
          <w:lang w:eastAsia="en-GB"/>
        </w:rPr>
        <w:t>funds.</w:t>
      </w:r>
    </w:p>
    <w:p w14:paraId="3437C615" w14:textId="77777777" w:rsidR="007E791C" w:rsidRDefault="00A9154B" w:rsidP="00851D3E">
      <w:pPr>
        <w:pBdr>
          <w:top w:val="single" w:sz="4" w:space="0"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lang w:val="en-US" w:eastAsia="en-GB"/>
        </w:rPr>
      </w:pPr>
      <w:r w:rsidRPr="00C90CBC">
        <w:rPr>
          <w:rFonts w:ascii="Times New Roman" w:eastAsia="Times New Roman" w:hAnsi="Times New Roman" w:cs="Times New Roman"/>
          <w:i/>
          <w:iCs/>
          <w:noProof/>
          <w:lang w:val="en-US" w:eastAsia="en-GB"/>
        </w:rPr>
        <w:t xml:space="preserve">The experience from the previously implemented programmes and provided recommendations from the performed evaluation shows that there is a need </w:t>
      </w:r>
      <w:r w:rsidR="007E791C">
        <w:rPr>
          <w:rFonts w:ascii="Times New Roman" w:eastAsia="Times New Roman" w:hAnsi="Times New Roman" w:cs="Times New Roman"/>
          <w:i/>
          <w:iCs/>
          <w:noProof/>
          <w:lang w:val="en-US" w:eastAsia="en-GB"/>
        </w:rPr>
        <w:t>to change</w:t>
      </w:r>
      <w:r w:rsidRPr="00C90CBC">
        <w:rPr>
          <w:rFonts w:ascii="Times New Roman" w:eastAsia="Times New Roman" w:hAnsi="Times New Roman" w:cs="Times New Roman"/>
          <w:i/>
          <w:iCs/>
          <w:noProof/>
          <w:lang w:val="en-US" w:eastAsia="en-GB"/>
        </w:rPr>
        <w:t xml:space="preserve"> the approach </w:t>
      </w:r>
      <w:r w:rsidR="00DF568F">
        <w:rPr>
          <w:rFonts w:ascii="Times New Roman" w:eastAsia="Times New Roman" w:hAnsi="Times New Roman" w:cs="Times New Roman"/>
          <w:i/>
          <w:iCs/>
          <w:noProof/>
          <w:lang w:val="en-US" w:eastAsia="en-GB"/>
        </w:rPr>
        <w:t>for achieving</w:t>
      </w:r>
      <w:r w:rsidRPr="00C90CBC">
        <w:rPr>
          <w:rFonts w:ascii="Times New Roman" w:eastAsia="Times New Roman" w:hAnsi="Times New Roman" w:cs="Times New Roman"/>
          <w:i/>
          <w:iCs/>
          <w:noProof/>
          <w:lang w:val="en-US" w:eastAsia="en-GB"/>
        </w:rPr>
        <w:t xml:space="preserve"> programme </w:t>
      </w:r>
      <w:r w:rsidR="007E791C">
        <w:rPr>
          <w:rFonts w:ascii="Times New Roman" w:eastAsia="Times New Roman" w:hAnsi="Times New Roman" w:cs="Times New Roman"/>
          <w:i/>
          <w:iCs/>
          <w:noProof/>
          <w:lang w:val="en-US" w:eastAsia="en-GB"/>
        </w:rPr>
        <w:t>targets and objectives</w:t>
      </w:r>
      <w:r w:rsidRPr="00C90CBC">
        <w:rPr>
          <w:rFonts w:ascii="Times New Roman" w:eastAsia="Times New Roman" w:hAnsi="Times New Roman" w:cs="Times New Roman"/>
          <w:i/>
          <w:iCs/>
          <w:noProof/>
          <w:lang w:val="en-US" w:eastAsia="en-GB"/>
        </w:rPr>
        <w:t xml:space="preserve">. The implemented so far programmes delivered wide number and range of outputs, but at the same time it was difficult to establish the effect of these and the particular value added </w:t>
      </w:r>
      <w:r w:rsidR="007E791C">
        <w:rPr>
          <w:rFonts w:ascii="Times New Roman" w:eastAsia="Times New Roman" w:hAnsi="Times New Roman" w:cs="Times New Roman"/>
          <w:i/>
          <w:iCs/>
          <w:noProof/>
          <w:lang w:val="en-US" w:eastAsia="en-GB"/>
        </w:rPr>
        <w:t xml:space="preserve">of the cross-border </w:t>
      </w:r>
      <w:r w:rsidRPr="00C90CBC">
        <w:rPr>
          <w:rFonts w:ascii="Times New Roman" w:eastAsia="Times New Roman" w:hAnsi="Times New Roman" w:cs="Times New Roman"/>
          <w:i/>
          <w:iCs/>
          <w:noProof/>
          <w:lang w:val="en-US" w:eastAsia="en-GB"/>
        </w:rPr>
        <w:t xml:space="preserve"> cooperation. </w:t>
      </w:r>
      <w:r w:rsidR="007E791C">
        <w:rPr>
          <w:rFonts w:ascii="Times New Roman" w:eastAsia="Times New Roman" w:hAnsi="Times New Roman" w:cs="Times New Roman"/>
          <w:i/>
          <w:iCs/>
          <w:noProof/>
          <w:lang w:val="en-US" w:eastAsia="en-GB"/>
        </w:rPr>
        <w:t>Therefore, the</w:t>
      </w:r>
      <w:r w:rsidR="00EF2FD7">
        <w:rPr>
          <w:rFonts w:ascii="Times New Roman" w:eastAsia="Times New Roman" w:hAnsi="Times New Roman" w:cs="Times New Roman"/>
          <w:i/>
          <w:iCs/>
          <w:noProof/>
          <w:lang w:val="en-US" w:eastAsia="en-GB"/>
        </w:rPr>
        <w:t>re is a strong</w:t>
      </w:r>
      <w:r w:rsidR="007E791C">
        <w:rPr>
          <w:rFonts w:ascii="Times New Roman" w:eastAsia="Times New Roman" w:hAnsi="Times New Roman" w:cs="Times New Roman"/>
          <w:i/>
          <w:iCs/>
          <w:noProof/>
          <w:lang w:val="en-US" w:eastAsia="en-GB"/>
        </w:rPr>
        <w:t xml:space="preserve"> need to substitute the uncoordinated and</w:t>
      </w:r>
      <w:r w:rsidRPr="00C90CBC">
        <w:rPr>
          <w:rFonts w:ascii="Times New Roman" w:eastAsia="Times New Roman" w:hAnsi="Times New Roman" w:cs="Times New Roman"/>
          <w:i/>
          <w:iCs/>
          <w:noProof/>
          <w:lang w:val="en-US" w:eastAsia="en-GB"/>
        </w:rPr>
        <w:t xml:space="preserve"> dot-like investments </w:t>
      </w:r>
      <w:r w:rsidR="007E791C">
        <w:rPr>
          <w:rFonts w:ascii="Times New Roman" w:eastAsia="Times New Roman" w:hAnsi="Times New Roman" w:cs="Times New Roman"/>
          <w:i/>
          <w:iCs/>
          <w:noProof/>
          <w:lang w:val="en-US" w:eastAsia="en-GB"/>
        </w:rPr>
        <w:t xml:space="preserve">with multilateral- </w:t>
      </w:r>
      <w:r w:rsidR="00EF2FD7">
        <w:rPr>
          <w:rFonts w:ascii="Times New Roman" w:eastAsia="Times New Roman" w:hAnsi="Times New Roman" w:cs="Times New Roman"/>
          <w:i/>
          <w:iCs/>
          <w:noProof/>
          <w:lang w:val="en-US" w:eastAsia="en-GB"/>
        </w:rPr>
        <w:t xml:space="preserve">and multi-sectoral- </w:t>
      </w:r>
      <w:r w:rsidR="007E791C">
        <w:rPr>
          <w:rFonts w:ascii="Times New Roman" w:eastAsia="Times New Roman" w:hAnsi="Times New Roman" w:cs="Times New Roman"/>
          <w:i/>
          <w:iCs/>
          <w:noProof/>
          <w:lang w:val="en-US" w:eastAsia="en-GB"/>
        </w:rPr>
        <w:t>driven solutions</w:t>
      </w:r>
      <w:r w:rsidR="00EF2FD7">
        <w:rPr>
          <w:rFonts w:ascii="Times New Roman" w:eastAsia="Times New Roman" w:hAnsi="Times New Roman" w:cs="Times New Roman"/>
          <w:i/>
          <w:iCs/>
          <w:noProof/>
          <w:lang w:val="en-US" w:eastAsia="en-GB"/>
        </w:rPr>
        <w:t xml:space="preserve"> in all key policy domains that define the degree of territorial cohesion.</w:t>
      </w:r>
    </w:p>
    <w:p w14:paraId="5AB6E7B2" w14:textId="77777777" w:rsidR="0034602A" w:rsidRPr="00512924" w:rsidRDefault="00EF2FD7" w:rsidP="00851D3E">
      <w:pPr>
        <w:pBdr>
          <w:top w:val="single" w:sz="4" w:space="0"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lang w:val="bg-BG" w:eastAsia="en-GB"/>
        </w:rPr>
      </w:pPr>
      <w:r>
        <w:rPr>
          <w:rFonts w:ascii="Times New Roman" w:eastAsia="Times New Roman" w:hAnsi="Times New Roman" w:cs="Times New Roman"/>
          <w:i/>
          <w:iCs/>
          <w:noProof/>
          <w:lang w:val="en-US" w:eastAsia="en-GB"/>
        </w:rPr>
        <w:t xml:space="preserve">The policy domain that outlines the prospects of economic development is the </w:t>
      </w:r>
      <w:r w:rsidR="0034602A">
        <w:rPr>
          <w:rFonts w:ascii="Times New Roman" w:eastAsia="Times New Roman" w:hAnsi="Times New Roman" w:cs="Times New Roman"/>
          <w:i/>
          <w:iCs/>
          <w:noProof/>
          <w:lang w:val="en-US" w:eastAsia="en-GB"/>
        </w:rPr>
        <w:t xml:space="preserve">European </w:t>
      </w:r>
      <w:r w:rsidR="00FC774F">
        <w:rPr>
          <w:rFonts w:ascii="Times New Roman" w:eastAsia="Times New Roman" w:hAnsi="Times New Roman" w:cs="Times New Roman"/>
          <w:i/>
          <w:iCs/>
          <w:noProof/>
          <w:lang w:val="en-US" w:eastAsia="en-GB"/>
        </w:rPr>
        <w:t>G</w:t>
      </w:r>
      <w:r w:rsidR="0034602A">
        <w:rPr>
          <w:rFonts w:ascii="Times New Roman" w:eastAsia="Times New Roman" w:hAnsi="Times New Roman" w:cs="Times New Roman"/>
          <w:i/>
          <w:iCs/>
          <w:noProof/>
          <w:lang w:val="en-US" w:eastAsia="en-GB"/>
        </w:rPr>
        <w:t>reen Deal (EGD)</w:t>
      </w:r>
      <w:r w:rsidR="00DD701C">
        <w:rPr>
          <w:rFonts w:ascii="Times New Roman" w:eastAsia="Times New Roman" w:hAnsi="Times New Roman" w:cs="Times New Roman"/>
          <w:i/>
          <w:iCs/>
          <w:noProof/>
          <w:lang w:val="en-US" w:eastAsia="en-GB"/>
        </w:rPr>
        <w:t xml:space="preserve"> with its three objectives: (1)</w:t>
      </w:r>
      <w:r w:rsidR="00DD701C" w:rsidRPr="00DD701C">
        <w:t xml:space="preserve"> </w:t>
      </w:r>
      <w:r w:rsidR="00DD701C">
        <w:rPr>
          <w:rFonts w:ascii="Times New Roman" w:eastAsia="Times New Roman" w:hAnsi="Times New Roman" w:cs="Times New Roman"/>
          <w:i/>
          <w:iCs/>
          <w:noProof/>
          <w:lang w:val="en-US" w:eastAsia="en-GB"/>
        </w:rPr>
        <w:t>N</w:t>
      </w:r>
      <w:r w:rsidR="00DD701C" w:rsidRPr="00DD701C">
        <w:rPr>
          <w:rFonts w:ascii="Times New Roman" w:eastAsia="Times New Roman" w:hAnsi="Times New Roman" w:cs="Times New Roman"/>
          <w:i/>
          <w:iCs/>
          <w:noProof/>
          <w:lang w:val="en-US" w:eastAsia="en-GB"/>
        </w:rPr>
        <w:t>o net emissions of greenhouse gases by 2050</w:t>
      </w:r>
      <w:r w:rsidR="00DD701C">
        <w:rPr>
          <w:rFonts w:ascii="Times New Roman" w:eastAsia="Times New Roman" w:hAnsi="Times New Roman" w:cs="Times New Roman"/>
          <w:i/>
          <w:iCs/>
          <w:noProof/>
          <w:lang w:val="en-US" w:eastAsia="en-GB"/>
        </w:rPr>
        <w:t>; (2) E</w:t>
      </w:r>
      <w:r w:rsidR="00DD701C" w:rsidRPr="00DD701C">
        <w:rPr>
          <w:rFonts w:ascii="Times New Roman" w:eastAsia="Times New Roman" w:hAnsi="Times New Roman" w:cs="Times New Roman"/>
          <w:i/>
          <w:iCs/>
          <w:noProof/>
          <w:lang w:val="en-US" w:eastAsia="en-GB"/>
        </w:rPr>
        <w:t>conomic growth decoupled from resource use</w:t>
      </w:r>
      <w:r w:rsidR="00DD701C">
        <w:rPr>
          <w:rFonts w:ascii="Times New Roman" w:eastAsia="Times New Roman" w:hAnsi="Times New Roman" w:cs="Times New Roman"/>
          <w:i/>
          <w:iCs/>
          <w:noProof/>
          <w:lang w:val="en-US" w:eastAsia="en-GB"/>
        </w:rPr>
        <w:t>, and (3) N</w:t>
      </w:r>
      <w:r w:rsidR="00DD701C" w:rsidRPr="00DD701C">
        <w:rPr>
          <w:rFonts w:ascii="Times New Roman" w:eastAsia="Times New Roman" w:hAnsi="Times New Roman" w:cs="Times New Roman"/>
          <w:i/>
          <w:iCs/>
          <w:noProof/>
          <w:lang w:val="en-US" w:eastAsia="en-GB"/>
        </w:rPr>
        <w:t>o person and no place left behind</w:t>
      </w:r>
      <w:r w:rsidR="0034602A">
        <w:rPr>
          <w:rFonts w:ascii="Times New Roman" w:eastAsia="Times New Roman" w:hAnsi="Times New Roman" w:cs="Times New Roman"/>
          <w:i/>
          <w:iCs/>
          <w:noProof/>
          <w:lang w:val="en-US" w:eastAsia="en-GB"/>
        </w:rPr>
        <w:t>.</w:t>
      </w:r>
      <w:r w:rsidR="00FC774F">
        <w:rPr>
          <w:rFonts w:ascii="Times New Roman" w:eastAsia="Times New Roman" w:hAnsi="Times New Roman" w:cs="Times New Roman"/>
          <w:i/>
          <w:iCs/>
          <w:noProof/>
          <w:lang w:val="en-US" w:eastAsia="en-GB"/>
        </w:rPr>
        <w:t xml:space="preserve"> </w:t>
      </w:r>
      <w:r w:rsidR="0002187B">
        <w:rPr>
          <w:rFonts w:ascii="Times New Roman" w:eastAsia="Times New Roman" w:hAnsi="Times New Roman" w:cs="Times New Roman"/>
          <w:i/>
          <w:iCs/>
          <w:noProof/>
          <w:lang w:val="en-US" w:eastAsia="en-GB"/>
        </w:rPr>
        <w:t>A</w:t>
      </w:r>
      <w:r w:rsidR="0002187B" w:rsidRPr="0002187B">
        <w:rPr>
          <w:rFonts w:ascii="Times New Roman" w:eastAsia="Times New Roman" w:hAnsi="Times New Roman" w:cs="Times New Roman"/>
          <w:i/>
          <w:iCs/>
          <w:noProof/>
          <w:lang w:val="en-US" w:eastAsia="en-GB"/>
        </w:rPr>
        <w:t xml:space="preserve"> just and inclusive transition </w:t>
      </w:r>
      <w:r w:rsidR="0002187B">
        <w:rPr>
          <w:rFonts w:ascii="Times New Roman" w:eastAsia="Times New Roman" w:hAnsi="Times New Roman" w:cs="Times New Roman"/>
          <w:i/>
          <w:iCs/>
          <w:noProof/>
          <w:lang w:val="en-US" w:eastAsia="en-GB"/>
        </w:rPr>
        <w:t xml:space="preserve">is the leading </w:t>
      </w:r>
      <w:r w:rsidR="0034602A">
        <w:rPr>
          <w:rFonts w:ascii="Times New Roman" w:eastAsia="Times New Roman" w:hAnsi="Times New Roman" w:cs="Times New Roman"/>
          <w:i/>
          <w:iCs/>
          <w:noProof/>
          <w:lang w:val="en-US" w:eastAsia="en-GB"/>
        </w:rPr>
        <w:t xml:space="preserve">EGD </w:t>
      </w:r>
      <w:r w:rsidR="0002187B">
        <w:rPr>
          <w:rFonts w:ascii="Times New Roman" w:eastAsia="Times New Roman" w:hAnsi="Times New Roman" w:cs="Times New Roman"/>
          <w:i/>
          <w:iCs/>
          <w:noProof/>
          <w:lang w:val="en-US" w:eastAsia="en-GB"/>
        </w:rPr>
        <w:t>principle</w:t>
      </w:r>
      <w:r w:rsidR="0034602A">
        <w:rPr>
          <w:rFonts w:ascii="Times New Roman" w:eastAsia="Times New Roman" w:hAnsi="Times New Roman" w:cs="Times New Roman"/>
          <w:i/>
          <w:iCs/>
          <w:noProof/>
          <w:lang w:val="en-US" w:eastAsia="en-GB"/>
        </w:rPr>
        <w:t xml:space="preserve"> </w:t>
      </w:r>
      <w:r w:rsidR="00066060">
        <w:rPr>
          <w:rFonts w:ascii="Times New Roman" w:eastAsia="Times New Roman" w:hAnsi="Times New Roman" w:cs="Times New Roman"/>
          <w:i/>
          <w:iCs/>
          <w:noProof/>
          <w:lang w:val="en-US" w:eastAsia="en-GB"/>
        </w:rPr>
        <w:t>that need</w:t>
      </w:r>
      <w:r w:rsidR="0002187B">
        <w:rPr>
          <w:rFonts w:ascii="Times New Roman" w:eastAsia="Times New Roman" w:hAnsi="Times New Roman" w:cs="Times New Roman"/>
          <w:i/>
          <w:iCs/>
          <w:noProof/>
          <w:lang w:val="en-US" w:eastAsia="en-GB"/>
        </w:rPr>
        <w:t>s</w:t>
      </w:r>
      <w:r w:rsidR="0034602A">
        <w:rPr>
          <w:rFonts w:ascii="Times New Roman" w:eastAsia="Times New Roman" w:hAnsi="Times New Roman" w:cs="Times New Roman"/>
          <w:i/>
          <w:iCs/>
          <w:noProof/>
          <w:lang w:val="en-US" w:eastAsia="en-GB"/>
        </w:rPr>
        <w:t xml:space="preserve"> </w:t>
      </w:r>
      <w:r w:rsidR="00393DEA">
        <w:rPr>
          <w:rFonts w:ascii="Times New Roman" w:eastAsia="Times New Roman" w:hAnsi="Times New Roman" w:cs="Times New Roman"/>
          <w:i/>
          <w:iCs/>
          <w:noProof/>
          <w:lang w:val="en-US" w:eastAsia="en-GB"/>
        </w:rPr>
        <w:t xml:space="preserve">urgent </w:t>
      </w:r>
      <w:r w:rsidR="00512924">
        <w:rPr>
          <w:rFonts w:ascii="Times New Roman" w:eastAsia="Times New Roman" w:hAnsi="Times New Roman" w:cs="Times New Roman"/>
          <w:i/>
          <w:iCs/>
          <w:noProof/>
          <w:lang w:val="en-US" w:eastAsia="en-GB"/>
        </w:rPr>
        <w:t xml:space="preserve">implementation across all sectors, but particualry those of high </w:t>
      </w:r>
      <w:r w:rsidR="004455B7">
        <w:rPr>
          <w:rFonts w:ascii="Times New Roman" w:eastAsia="Times New Roman" w:hAnsi="Times New Roman" w:cs="Times New Roman"/>
          <w:i/>
          <w:iCs/>
          <w:noProof/>
          <w:lang w:val="en-US" w:eastAsia="en-GB"/>
        </w:rPr>
        <w:t>environmental footprint</w:t>
      </w:r>
      <w:r w:rsidR="005775C8">
        <w:rPr>
          <w:rFonts w:ascii="Times New Roman" w:eastAsia="Times New Roman" w:hAnsi="Times New Roman" w:cs="Times New Roman"/>
          <w:i/>
          <w:iCs/>
          <w:noProof/>
          <w:lang w:val="en-US" w:eastAsia="en-GB"/>
        </w:rPr>
        <w:t xml:space="preserve">, such as enterprise </w:t>
      </w:r>
      <w:r w:rsidR="005775C8" w:rsidRPr="005775C8">
        <w:rPr>
          <w:rFonts w:ascii="Times New Roman" w:eastAsia="Times New Roman" w:hAnsi="Times New Roman" w:cs="Times New Roman"/>
          <w:i/>
          <w:iCs/>
          <w:noProof/>
          <w:lang w:val="en-US" w:eastAsia="en-GB"/>
        </w:rPr>
        <w:t>operation</w:t>
      </w:r>
      <w:r w:rsidR="005775C8">
        <w:rPr>
          <w:rFonts w:ascii="Times New Roman" w:eastAsia="Times New Roman" w:hAnsi="Times New Roman" w:cs="Times New Roman"/>
          <w:i/>
          <w:iCs/>
          <w:noProof/>
          <w:lang w:val="en-US" w:eastAsia="en-GB"/>
        </w:rPr>
        <w:t>s</w:t>
      </w:r>
      <w:r w:rsidR="005775C8" w:rsidRPr="005775C8">
        <w:rPr>
          <w:rFonts w:ascii="Times New Roman" w:eastAsia="Times New Roman" w:hAnsi="Times New Roman" w:cs="Times New Roman"/>
          <w:i/>
          <w:iCs/>
          <w:noProof/>
          <w:lang w:val="en-US" w:eastAsia="en-GB"/>
        </w:rPr>
        <w:t xml:space="preserve"> and tourism</w:t>
      </w:r>
      <w:r w:rsidR="005775C8">
        <w:rPr>
          <w:rFonts w:ascii="Times New Roman" w:eastAsia="Times New Roman" w:hAnsi="Times New Roman" w:cs="Times New Roman"/>
          <w:i/>
          <w:iCs/>
          <w:noProof/>
          <w:lang w:val="en-US" w:eastAsia="en-GB"/>
        </w:rPr>
        <w:t xml:space="preserve">. </w:t>
      </w:r>
      <w:r w:rsidR="007B75FD">
        <w:rPr>
          <w:rFonts w:ascii="Times New Roman" w:eastAsia="Times New Roman" w:hAnsi="Times New Roman" w:cs="Times New Roman"/>
          <w:i/>
          <w:iCs/>
          <w:noProof/>
          <w:lang w:val="en-US" w:eastAsia="en-GB"/>
        </w:rPr>
        <w:t xml:space="preserve">The combination of EGD and Territoral agenda 2030 further challenges small and underdeveloped areas to re-consider their territorial obstacles and potential in addressing local needs with globally </w:t>
      </w:r>
      <w:r w:rsidR="0002187B">
        <w:rPr>
          <w:rFonts w:ascii="Times New Roman" w:eastAsia="Times New Roman" w:hAnsi="Times New Roman" w:cs="Times New Roman"/>
          <w:i/>
          <w:iCs/>
          <w:noProof/>
          <w:lang w:val="en-US" w:eastAsia="en-GB"/>
        </w:rPr>
        <w:t xml:space="preserve">agreed approaches (decarbonization, industrial symbiosis, </w:t>
      </w:r>
      <w:r w:rsidR="0002187B">
        <w:rPr>
          <w:rFonts w:ascii="Times New Roman" w:eastAsia="Times New Roman" w:hAnsi="Times New Roman" w:cs="Times New Roman"/>
          <w:i/>
          <w:iCs/>
          <w:noProof/>
          <w:lang w:val="en-US" w:eastAsia="en-GB"/>
        </w:rPr>
        <w:lastRenderedPageBreak/>
        <w:t>inclusiveness)</w:t>
      </w:r>
      <w:r w:rsidR="007B75FD">
        <w:rPr>
          <w:rFonts w:ascii="Times New Roman" w:eastAsia="Times New Roman" w:hAnsi="Times New Roman" w:cs="Times New Roman"/>
          <w:i/>
          <w:iCs/>
          <w:noProof/>
          <w:lang w:val="en-US" w:eastAsia="en-GB"/>
        </w:rPr>
        <w:t xml:space="preserve">. This is the </w:t>
      </w:r>
      <w:r w:rsidR="0002187B">
        <w:rPr>
          <w:rFonts w:ascii="Times New Roman" w:eastAsia="Times New Roman" w:hAnsi="Times New Roman" w:cs="Times New Roman"/>
          <w:i/>
          <w:iCs/>
          <w:noProof/>
          <w:lang w:val="en-US" w:eastAsia="en-GB"/>
        </w:rPr>
        <w:t xml:space="preserve">precise </w:t>
      </w:r>
      <w:r w:rsidR="007B75FD">
        <w:rPr>
          <w:rFonts w:ascii="Times New Roman" w:eastAsia="Times New Roman" w:hAnsi="Times New Roman" w:cs="Times New Roman"/>
          <w:i/>
          <w:iCs/>
          <w:noProof/>
          <w:lang w:val="en-US" w:eastAsia="en-GB"/>
        </w:rPr>
        <w:t xml:space="preserve">territorial agenda </w:t>
      </w:r>
      <w:r w:rsidR="0002187B">
        <w:rPr>
          <w:rFonts w:ascii="Times New Roman" w:eastAsia="Times New Roman" w:hAnsi="Times New Roman" w:cs="Times New Roman"/>
          <w:i/>
          <w:iCs/>
          <w:noProof/>
          <w:lang w:val="en-US" w:eastAsia="en-GB"/>
        </w:rPr>
        <w:t xml:space="preserve">for integrated development </w:t>
      </w:r>
      <w:r w:rsidR="007B75FD">
        <w:rPr>
          <w:rFonts w:ascii="Times New Roman" w:eastAsia="Times New Roman" w:hAnsi="Times New Roman" w:cs="Times New Roman"/>
          <w:i/>
          <w:iCs/>
          <w:noProof/>
          <w:lang w:val="en-US" w:eastAsia="en-GB"/>
        </w:rPr>
        <w:t xml:space="preserve">of the </w:t>
      </w:r>
      <w:r w:rsidR="0067549E">
        <w:rPr>
          <w:rFonts w:ascii="Times New Roman" w:eastAsia="Times New Roman" w:hAnsi="Times New Roman" w:cs="Times New Roman"/>
          <w:i/>
          <w:iCs/>
          <w:noProof/>
          <w:lang w:val="en-US" w:eastAsia="en-GB"/>
        </w:rPr>
        <w:t>programme</w:t>
      </w:r>
      <w:r w:rsidR="007B75FD">
        <w:rPr>
          <w:rFonts w:ascii="Times New Roman" w:eastAsia="Times New Roman" w:hAnsi="Times New Roman" w:cs="Times New Roman"/>
          <w:i/>
          <w:iCs/>
          <w:noProof/>
          <w:lang w:val="en-US" w:eastAsia="en-GB"/>
        </w:rPr>
        <w:t xml:space="preserve"> area </w:t>
      </w:r>
      <w:r w:rsidR="0067549E">
        <w:rPr>
          <w:rFonts w:ascii="Times New Roman" w:eastAsia="Times New Roman" w:hAnsi="Times New Roman" w:cs="Times New Roman"/>
          <w:i/>
          <w:iCs/>
          <w:noProof/>
          <w:lang w:val="en-US" w:eastAsia="en-GB"/>
        </w:rPr>
        <w:t>– to improve today’s life with resilient, resource efficient and zero-carbon solutions</w:t>
      </w:r>
      <w:r w:rsidR="0047685E">
        <w:rPr>
          <w:rFonts w:ascii="Times New Roman" w:eastAsia="Times New Roman" w:hAnsi="Times New Roman" w:cs="Times New Roman"/>
          <w:i/>
          <w:iCs/>
          <w:noProof/>
          <w:lang w:val="en-US" w:eastAsia="en-GB"/>
        </w:rPr>
        <w:t>.</w:t>
      </w:r>
      <w:r w:rsidR="0067549E">
        <w:rPr>
          <w:rFonts w:ascii="Times New Roman" w:eastAsia="Times New Roman" w:hAnsi="Times New Roman" w:cs="Times New Roman"/>
          <w:i/>
          <w:iCs/>
          <w:noProof/>
          <w:lang w:val="en-US" w:eastAsia="en-GB"/>
        </w:rPr>
        <w:t xml:space="preserve"> </w:t>
      </w:r>
      <w:r w:rsidR="007B75FD">
        <w:rPr>
          <w:rFonts w:ascii="Times New Roman" w:eastAsia="Times New Roman" w:hAnsi="Times New Roman" w:cs="Times New Roman"/>
          <w:i/>
          <w:iCs/>
          <w:noProof/>
          <w:lang w:val="en-US" w:eastAsia="en-GB"/>
        </w:rPr>
        <w:t xml:space="preserve">  </w:t>
      </w:r>
    </w:p>
    <w:p w14:paraId="35E3903A" w14:textId="77777777" w:rsidR="00A9154B" w:rsidRDefault="003E3585" w:rsidP="00851D3E">
      <w:pPr>
        <w:pBdr>
          <w:top w:val="single" w:sz="4" w:space="0"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lang w:val="en-US" w:eastAsia="en-GB"/>
        </w:rPr>
      </w:pPr>
      <w:r w:rsidRPr="00EE685F">
        <w:rPr>
          <w:rFonts w:ascii="Times New Roman" w:eastAsia="Times New Roman" w:hAnsi="Times New Roman" w:cs="Times New Roman"/>
          <w:i/>
          <w:iCs/>
          <w:noProof/>
          <w:lang w:val="en-US" w:eastAsia="en-GB"/>
        </w:rPr>
        <w:t xml:space="preserve">The CBC </w:t>
      </w:r>
      <w:r w:rsidR="0067549E">
        <w:rPr>
          <w:rFonts w:ascii="Times New Roman" w:eastAsia="Times New Roman" w:hAnsi="Times New Roman" w:cs="Times New Roman"/>
          <w:i/>
          <w:iCs/>
          <w:noProof/>
          <w:lang w:val="en-US" w:eastAsia="en-GB"/>
        </w:rPr>
        <w:t>territory</w:t>
      </w:r>
      <w:r w:rsidRPr="00EE685F">
        <w:rPr>
          <w:rFonts w:ascii="Times New Roman" w:eastAsia="Times New Roman" w:hAnsi="Times New Roman" w:cs="Times New Roman"/>
          <w:i/>
          <w:iCs/>
          <w:noProof/>
          <w:lang w:val="en-US" w:eastAsia="en-GB"/>
        </w:rPr>
        <w:t xml:space="preserve"> is considered to have untapped economic potential </w:t>
      </w:r>
      <w:r w:rsidR="00276435">
        <w:rPr>
          <w:rFonts w:ascii="Times New Roman" w:eastAsia="Times New Roman" w:hAnsi="Times New Roman" w:cs="Times New Roman"/>
          <w:i/>
          <w:iCs/>
          <w:noProof/>
          <w:lang w:val="en-US" w:eastAsia="en-GB"/>
        </w:rPr>
        <w:t>due to weak structural relations between enterprises</w:t>
      </w:r>
      <w:r w:rsidR="00B75775">
        <w:rPr>
          <w:rFonts w:ascii="Times New Roman" w:eastAsia="Times New Roman" w:hAnsi="Times New Roman" w:cs="Times New Roman"/>
          <w:i/>
          <w:iCs/>
          <w:noProof/>
          <w:lang w:val="en-US" w:eastAsia="en-GB"/>
        </w:rPr>
        <w:t>, low internaliza</w:t>
      </w:r>
      <w:r w:rsidR="0027366C">
        <w:rPr>
          <w:rFonts w:ascii="Times New Roman" w:eastAsia="Times New Roman" w:hAnsi="Times New Roman" w:cs="Times New Roman"/>
          <w:i/>
          <w:iCs/>
          <w:noProof/>
          <w:lang w:val="en-US" w:eastAsia="en-GB"/>
        </w:rPr>
        <w:t>tion, limited productivity, etc., at the background of existing competitive advantages: a border betw</w:t>
      </w:r>
      <w:r w:rsidR="0047685E">
        <w:rPr>
          <w:rFonts w:ascii="Times New Roman" w:eastAsia="Times New Roman" w:hAnsi="Times New Roman" w:cs="Times New Roman"/>
          <w:i/>
          <w:iCs/>
          <w:noProof/>
          <w:lang w:val="en-US" w:eastAsia="en-GB"/>
        </w:rPr>
        <w:t>een Western and Eastern Balkans;</w:t>
      </w:r>
      <w:r w:rsidR="0027366C">
        <w:rPr>
          <w:rFonts w:ascii="Times New Roman" w:eastAsia="Times New Roman" w:hAnsi="Times New Roman" w:cs="Times New Roman"/>
          <w:i/>
          <w:iCs/>
          <w:noProof/>
          <w:lang w:val="en-US" w:eastAsia="en-GB"/>
        </w:rPr>
        <w:t xml:space="preserve"> area located in the most developed NUTS 2 region in </w:t>
      </w:r>
      <w:r w:rsidR="00A1491D">
        <w:rPr>
          <w:rFonts w:ascii="Times New Roman" w:eastAsia="Times New Roman" w:hAnsi="Times New Roman" w:cs="Times New Roman"/>
          <w:i/>
          <w:iCs/>
          <w:noProof/>
          <w:lang w:val="en-US" w:eastAsia="en-GB"/>
        </w:rPr>
        <w:t xml:space="preserve">Republic of </w:t>
      </w:r>
      <w:r w:rsidR="0027366C">
        <w:rPr>
          <w:rFonts w:ascii="Times New Roman" w:eastAsia="Times New Roman" w:hAnsi="Times New Roman" w:cs="Times New Roman"/>
          <w:i/>
          <w:iCs/>
          <w:noProof/>
          <w:lang w:val="en-US" w:eastAsia="en-GB"/>
        </w:rPr>
        <w:t xml:space="preserve">Bulgaria, abundance of natural resources. </w:t>
      </w:r>
      <w:r w:rsidR="00276435">
        <w:rPr>
          <w:rFonts w:ascii="Times New Roman" w:eastAsia="Times New Roman" w:hAnsi="Times New Roman" w:cs="Times New Roman"/>
          <w:i/>
          <w:iCs/>
          <w:noProof/>
          <w:lang w:val="en-US" w:eastAsia="en-GB"/>
        </w:rPr>
        <w:t>Therefore,</w:t>
      </w:r>
      <w:r w:rsidRPr="00EE685F">
        <w:rPr>
          <w:rFonts w:ascii="Times New Roman" w:eastAsia="Times New Roman" w:hAnsi="Times New Roman" w:cs="Times New Roman"/>
          <w:i/>
          <w:iCs/>
          <w:noProof/>
          <w:lang w:val="en-US" w:eastAsia="en-GB"/>
        </w:rPr>
        <w:t xml:space="preserve"> actions ta</w:t>
      </w:r>
      <w:r w:rsidR="0027366C">
        <w:rPr>
          <w:rFonts w:ascii="Times New Roman" w:eastAsia="Times New Roman" w:hAnsi="Times New Roman" w:cs="Times New Roman"/>
          <w:i/>
          <w:iCs/>
          <w:noProof/>
          <w:lang w:val="en-US" w:eastAsia="en-GB"/>
        </w:rPr>
        <w:t xml:space="preserve">rgeted at SMEs, </w:t>
      </w:r>
      <w:r w:rsidRPr="00EE685F">
        <w:rPr>
          <w:rFonts w:ascii="Times New Roman" w:eastAsia="Times New Roman" w:hAnsi="Times New Roman" w:cs="Times New Roman"/>
          <w:i/>
          <w:iCs/>
          <w:noProof/>
          <w:lang w:val="en-US" w:eastAsia="en-GB"/>
        </w:rPr>
        <w:t xml:space="preserve">their improved particiaption in </w:t>
      </w:r>
      <w:r w:rsidR="00C329DA">
        <w:rPr>
          <w:rFonts w:ascii="Times New Roman" w:eastAsia="Times New Roman" w:hAnsi="Times New Roman" w:cs="Times New Roman"/>
          <w:i/>
          <w:iCs/>
          <w:noProof/>
          <w:lang w:val="en-US" w:eastAsia="en-GB"/>
        </w:rPr>
        <w:t>international</w:t>
      </w:r>
      <w:r w:rsidRPr="00EE685F">
        <w:rPr>
          <w:rFonts w:ascii="Times New Roman" w:eastAsia="Times New Roman" w:hAnsi="Times New Roman" w:cs="Times New Roman"/>
          <w:i/>
          <w:iCs/>
          <w:noProof/>
          <w:lang w:val="en-US" w:eastAsia="en-GB"/>
        </w:rPr>
        <w:t xml:space="preserve"> value chains</w:t>
      </w:r>
      <w:r w:rsidR="00276435">
        <w:rPr>
          <w:rFonts w:ascii="Times New Roman" w:eastAsia="Times New Roman" w:hAnsi="Times New Roman" w:cs="Times New Roman"/>
          <w:i/>
          <w:iCs/>
          <w:noProof/>
          <w:lang w:val="en-US" w:eastAsia="en-GB"/>
        </w:rPr>
        <w:t xml:space="preserve"> (which </w:t>
      </w:r>
      <w:r w:rsidR="0002187B">
        <w:rPr>
          <w:rFonts w:ascii="Times New Roman" w:eastAsia="Times New Roman" w:hAnsi="Times New Roman" w:cs="Times New Roman"/>
          <w:i/>
          <w:iCs/>
          <w:noProof/>
          <w:lang w:val="en-US" w:eastAsia="en-GB"/>
        </w:rPr>
        <w:t>otherwise</w:t>
      </w:r>
      <w:r w:rsidR="00276435">
        <w:rPr>
          <w:rFonts w:ascii="Times New Roman" w:eastAsia="Times New Roman" w:hAnsi="Times New Roman" w:cs="Times New Roman"/>
          <w:i/>
          <w:iCs/>
          <w:noProof/>
          <w:lang w:val="en-US" w:eastAsia="en-GB"/>
        </w:rPr>
        <w:t xml:space="preserve"> would indicate </w:t>
      </w:r>
      <w:r w:rsidR="0002187B">
        <w:rPr>
          <w:rFonts w:ascii="Times New Roman" w:eastAsia="Times New Roman" w:hAnsi="Times New Roman" w:cs="Times New Roman"/>
          <w:i/>
          <w:iCs/>
          <w:noProof/>
          <w:lang w:val="en-US" w:eastAsia="en-GB"/>
        </w:rPr>
        <w:t>successful</w:t>
      </w:r>
      <w:r w:rsidR="00C329DA">
        <w:rPr>
          <w:rFonts w:ascii="Times New Roman" w:eastAsia="Times New Roman" w:hAnsi="Times New Roman" w:cs="Times New Roman"/>
          <w:i/>
          <w:iCs/>
          <w:noProof/>
          <w:lang w:val="en-US" w:eastAsia="en-GB"/>
        </w:rPr>
        <w:t xml:space="preserve"> </w:t>
      </w:r>
      <w:r w:rsidR="0002187B">
        <w:rPr>
          <w:rFonts w:ascii="Times New Roman" w:eastAsia="Times New Roman" w:hAnsi="Times New Roman" w:cs="Times New Roman"/>
          <w:i/>
          <w:iCs/>
          <w:noProof/>
          <w:lang w:val="en-US" w:eastAsia="en-GB"/>
        </w:rPr>
        <w:t xml:space="preserve">green and digital transitioning) </w:t>
      </w:r>
      <w:r w:rsidR="0027366C">
        <w:rPr>
          <w:rFonts w:ascii="Times New Roman" w:eastAsia="Times New Roman" w:hAnsi="Times New Roman" w:cs="Times New Roman"/>
          <w:i/>
          <w:iCs/>
          <w:noProof/>
          <w:lang w:val="en-US" w:eastAsia="en-GB"/>
        </w:rPr>
        <w:t xml:space="preserve">and sustainably utilized </w:t>
      </w:r>
      <w:r w:rsidR="0024135F">
        <w:rPr>
          <w:rFonts w:ascii="Times New Roman" w:eastAsia="Times New Roman" w:hAnsi="Times New Roman" w:cs="Times New Roman"/>
          <w:i/>
          <w:iCs/>
          <w:noProof/>
          <w:lang w:val="en-US" w:eastAsia="en-GB"/>
        </w:rPr>
        <w:t>tourism</w:t>
      </w:r>
      <w:r w:rsidR="0027366C">
        <w:rPr>
          <w:rFonts w:ascii="Times New Roman" w:eastAsia="Times New Roman" w:hAnsi="Times New Roman" w:cs="Times New Roman"/>
          <w:i/>
          <w:iCs/>
          <w:noProof/>
          <w:lang w:val="en-US" w:eastAsia="en-GB"/>
        </w:rPr>
        <w:t xml:space="preserve"> resources, </w:t>
      </w:r>
      <w:r w:rsidRPr="00EE685F">
        <w:rPr>
          <w:rFonts w:ascii="Times New Roman" w:eastAsia="Times New Roman" w:hAnsi="Times New Roman" w:cs="Times New Roman"/>
          <w:i/>
          <w:iCs/>
          <w:noProof/>
          <w:lang w:val="en-US" w:eastAsia="en-GB"/>
        </w:rPr>
        <w:t>are expected to strengthen the territorial cohesion a</w:t>
      </w:r>
      <w:r>
        <w:rPr>
          <w:rFonts w:ascii="Times New Roman" w:eastAsia="Times New Roman" w:hAnsi="Times New Roman" w:cs="Times New Roman"/>
          <w:i/>
          <w:iCs/>
          <w:noProof/>
          <w:lang w:val="en-US" w:eastAsia="en-GB"/>
        </w:rPr>
        <w:t>nd positevely contribute to the</w:t>
      </w:r>
      <w:r w:rsidRPr="00EE685F">
        <w:rPr>
          <w:rFonts w:ascii="Times New Roman" w:eastAsia="Times New Roman" w:hAnsi="Times New Roman" w:cs="Times New Roman"/>
          <w:i/>
          <w:iCs/>
          <w:noProof/>
          <w:lang w:val="en-US" w:eastAsia="en-GB"/>
        </w:rPr>
        <w:t xml:space="preserve"> economic growth of the region. </w:t>
      </w:r>
      <w:r w:rsidR="00536857" w:rsidRPr="00536857">
        <w:rPr>
          <w:rFonts w:ascii="Times New Roman" w:eastAsia="Times New Roman" w:hAnsi="Times New Roman" w:cs="Times New Roman"/>
          <w:i/>
          <w:iCs/>
          <w:noProof/>
          <w:lang w:val="en-US" w:eastAsia="en-GB"/>
        </w:rPr>
        <w:t xml:space="preserve">SMEs need to catch up on key production indicators and economic performance with their EU counterparts as a precondition to combat the inertness of the regional economy. That will generate positive spillover effects to main areas of live which will utlimately result in improved living quality and standards. </w:t>
      </w:r>
    </w:p>
    <w:p w14:paraId="7620BE82" w14:textId="77777777" w:rsidR="00EB4ABF" w:rsidRPr="00EB4ABF" w:rsidRDefault="00EB4ABF" w:rsidP="00EB4ABF">
      <w:pPr>
        <w:pBdr>
          <w:top w:val="single" w:sz="4" w:space="0"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Pr>
          <w:rFonts w:ascii="Times New Roman" w:eastAsia="Times New Roman" w:hAnsi="Times New Roman" w:cs="Times New Roman"/>
          <w:i/>
          <w:iCs/>
          <w:noProof/>
          <w:lang w:eastAsia="en-GB"/>
        </w:rPr>
        <w:t>Therefore, a</w:t>
      </w:r>
      <w:r w:rsidRPr="00EB4ABF">
        <w:rPr>
          <w:rFonts w:ascii="Times New Roman" w:eastAsia="Times New Roman" w:hAnsi="Times New Roman" w:cs="Times New Roman"/>
          <w:i/>
          <w:iCs/>
          <w:noProof/>
          <w:lang w:eastAsia="en-GB"/>
        </w:rPr>
        <w:t>ll these findings and territorial particularities shape the strategic orientation and focus of the ITS. When designing the strategy, a reasonable level of strategic framework aggregation has been pursued in line with the new programming approaches manifested in the 2021-2027 EU cohesion policy, as well as a means to precondition simplifying implementa</w:t>
      </w:r>
      <w:r w:rsidR="00C4531E">
        <w:rPr>
          <w:rFonts w:ascii="Times New Roman" w:eastAsia="Times New Roman" w:hAnsi="Times New Roman" w:cs="Times New Roman"/>
          <w:i/>
          <w:iCs/>
          <w:noProof/>
          <w:lang w:eastAsia="en-GB"/>
        </w:rPr>
        <w:t>tion. Therefore, the ITS pursues</w:t>
      </w:r>
      <w:r w:rsidRPr="00EB4ABF">
        <w:rPr>
          <w:rFonts w:ascii="Times New Roman" w:eastAsia="Times New Roman" w:hAnsi="Times New Roman" w:cs="Times New Roman"/>
          <w:i/>
          <w:iCs/>
          <w:noProof/>
          <w:lang w:eastAsia="en-GB"/>
        </w:rPr>
        <w:t xml:space="preserve"> </w:t>
      </w:r>
      <w:r w:rsidR="00C4531E">
        <w:rPr>
          <w:rFonts w:ascii="Times New Roman" w:eastAsia="Times New Roman" w:hAnsi="Times New Roman" w:cs="Times New Roman"/>
          <w:i/>
          <w:iCs/>
          <w:noProof/>
          <w:lang w:eastAsia="en-GB"/>
        </w:rPr>
        <w:t>one</w:t>
      </w:r>
      <w:r w:rsidRPr="00EB4ABF">
        <w:rPr>
          <w:rFonts w:ascii="Times New Roman" w:eastAsia="Times New Roman" w:hAnsi="Times New Roman" w:cs="Times New Roman"/>
          <w:i/>
          <w:iCs/>
          <w:noProof/>
          <w:lang w:eastAsia="en-GB"/>
        </w:rPr>
        <w:t xml:space="preserve"> main strate</w:t>
      </w:r>
      <w:r w:rsidR="00C4531E">
        <w:rPr>
          <w:rFonts w:ascii="Times New Roman" w:eastAsia="Times New Roman" w:hAnsi="Times New Roman" w:cs="Times New Roman"/>
          <w:i/>
          <w:iCs/>
          <w:noProof/>
          <w:lang w:eastAsia="en-GB"/>
        </w:rPr>
        <w:t>gic objective</w:t>
      </w:r>
      <w:r w:rsidRPr="00EB4ABF">
        <w:rPr>
          <w:rFonts w:ascii="Times New Roman" w:eastAsia="Times New Roman" w:hAnsi="Times New Roman" w:cs="Times New Roman"/>
          <w:i/>
          <w:iCs/>
          <w:noProof/>
          <w:lang w:eastAsia="en-GB"/>
        </w:rPr>
        <w:t xml:space="preserve">, </w:t>
      </w:r>
      <w:r w:rsidR="00C4531E">
        <w:rPr>
          <w:rFonts w:ascii="Times New Roman" w:eastAsia="Times New Roman" w:hAnsi="Times New Roman" w:cs="Times New Roman"/>
          <w:i/>
          <w:iCs/>
          <w:noProof/>
          <w:lang w:eastAsia="en-GB"/>
        </w:rPr>
        <w:t xml:space="preserve">underpinned by two specific objectives, </w:t>
      </w:r>
      <w:r w:rsidRPr="00EB4ABF">
        <w:rPr>
          <w:rFonts w:ascii="Times New Roman" w:eastAsia="Times New Roman" w:hAnsi="Times New Roman" w:cs="Times New Roman"/>
          <w:i/>
          <w:iCs/>
          <w:noProof/>
          <w:lang w:eastAsia="en-GB"/>
        </w:rPr>
        <w:t>namely:</w:t>
      </w:r>
    </w:p>
    <w:p w14:paraId="61397F54" w14:textId="77777777" w:rsidR="00391C2A" w:rsidRDefault="00391C2A" w:rsidP="00BA7B95">
      <w:pPr>
        <w:pBdr>
          <w:top w:val="single" w:sz="4" w:space="0"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val="en-US" w:eastAsia="en-GB"/>
        </w:rPr>
      </w:pPr>
    </w:p>
    <w:p w14:paraId="75D6AE53" w14:textId="77777777" w:rsidR="00484774" w:rsidRDefault="00C4531E" w:rsidP="00484774">
      <w:pPr>
        <w:pBdr>
          <w:top w:val="single" w:sz="4" w:space="0"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val="en-US" w:eastAsia="en-GB"/>
        </w:rPr>
      </w:pPr>
      <w:r w:rsidRPr="004F07BA">
        <w:rPr>
          <w:rFonts w:ascii="Times New Roman" w:eastAsia="Times New Roman" w:hAnsi="Times New Roman" w:cs="Times New Roman"/>
          <w:b/>
          <w:i/>
          <w:iCs/>
          <w:noProof/>
          <w:lang w:val="en-US" w:eastAsia="en-GB"/>
        </w:rPr>
        <w:t>Strategic objective:</w:t>
      </w:r>
      <w:r w:rsidR="00484774" w:rsidRPr="004F07BA">
        <w:rPr>
          <w:rFonts w:ascii="Times New Roman" w:eastAsia="Times New Roman" w:hAnsi="Times New Roman" w:cs="Times New Roman"/>
          <w:i/>
          <w:iCs/>
          <w:noProof/>
          <w:lang w:val="en-US" w:eastAsia="en-GB"/>
        </w:rPr>
        <w:t xml:space="preserve"> </w:t>
      </w:r>
      <w:r w:rsidR="005E751A" w:rsidRPr="004F07BA">
        <w:rPr>
          <w:rFonts w:ascii="Times New Roman" w:eastAsia="Times New Roman" w:hAnsi="Times New Roman" w:cs="Times New Roman"/>
          <w:i/>
          <w:iCs/>
          <w:noProof/>
          <w:lang w:val="en-US" w:eastAsia="en-GB"/>
        </w:rPr>
        <w:t xml:space="preserve">Achieving integrated territorial development </w:t>
      </w:r>
      <w:r w:rsidR="00E115DE" w:rsidRPr="004F07BA">
        <w:rPr>
          <w:rFonts w:ascii="Times New Roman" w:eastAsia="Times New Roman" w:hAnsi="Times New Roman" w:cs="Times New Roman"/>
          <w:i/>
          <w:iCs/>
          <w:noProof/>
          <w:lang w:val="en-US" w:eastAsia="en-GB"/>
        </w:rPr>
        <w:t>with a focus on competitiveness and tourism development</w:t>
      </w:r>
    </w:p>
    <w:p w14:paraId="47EAAD2C" w14:textId="77777777" w:rsidR="00484774" w:rsidRDefault="00484774" w:rsidP="00484774">
      <w:pPr>
        <w:pBdr>
          <w:top w:val="single" w:sz="4" w:space="0"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val="en-US" w:eastAsia="en-GB"/>
        </w:rPr>
      </w:pPr>
    </w:p>
    <w:p w14:paraId="21D4BD1E" w14:textId="586B35C2" w:rsidR="00484774" w:rsidRDefault="00C4531E" w:rsidP="00484774">
      <w:pPr>
        <w:pBdr>
          <w:top w:val="single" w:sz="4" w:space="0"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val="en-US" w:eastAsia="en-GB"/>
        </w:rPr>
      </w:pPr>
      <w:r w:rsidRPr="00B0100F">
        <w:rPr>
          <w:rFonts w:ascii="Times New Roman" w:eastAsia="Times New Roman" w:hAnsi="Times New Roman" w:cs="Times New Roman"/>
          <w:i/>
          <w:iCs/>
          <w:noProof/>
          <w:u w:val="single"/>
          <w:lang w:val="en-US" w:eastAsia="en-GB"/>
        </w:rPr>
        <w:t>Specific objective 1:</w:t>
      </w:r>
      <w:r>
        <w:rPr>
          <w:rFonts w:ascii="Times New Roman" w:eastAsia="Times New Roman" w:hAnsi="Times New Roman" w:cs="Times New Roman"/>
          <w:i/>
          <w:iCs/>
          <w:noProof/>
          <w:lang w:val="en-US" w:eastAsia="en-GB"/>
        </w:rPr>
        <w:t xml:space="preserve"> </w:t>
      </w:r>
      <w:r w:rsidR="000E1A69" w:rsidRPr="000E1A69">
        <w:rPr>
          <w:rFonts w:ascii="Times New Roman" w:eastAsia="Times New Roman" w:hAnsi="Times New Roman" w:cs="Times New Roman"/>
          <w:bCs/>
          <w:i/>
          <w:iCs/>
          <w:noProof/>
          <w:lang w:eastAsia="en-GB"/>
        </w:rPr>
        <w:t>Increase the competitiveness of the local economy and improve the business environment</w:t>
      </w:r>
      <w:r w:rsidR="000E1A69" w:rsidRPr="000E1A69" w:rsidDel="000E1A69">
        <w:rPr>
          <w:rFonts w:ascii="Times New Roman" w:eastAsia="Times New Roman" w:hAnsi="Times New Roman" w:cs="Times New Roman"/>
          <w:bCs/>
          <w:i/>
          <w:iCs/>
          <w:noProof/>
          <w:lang w:eastAsia="en-GB"/>
        </w:rPr>
        <w:t xml:space="preserve"> </w:t>
      </w:r>
    </w:p>
    <w:p w14:paraId="7967E99B" w14:textId="77777777" w:rsidR="000E1A69" w:rsidRDefault="00B0100F" w:rsidP="00BA7B95">
      <w:pPr>
        <w:pBdr>
          <w:top w:val="single" w:sz="4" w:space="0"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bCs/>
          <w:i/>
          <w:iCs/>
          <w:noProof/>
          <w:lang w:val="en-US" w:eastAsia="en-GB"/>
        </w:rPr>
      </w:pPr>
      <w:r w:rsidRPr="00B0100F">
        <w:rPr>
          <w:rFonts w:ascii="Times New Roman" w:eastAsia="Times New Roman" w:hAnsi="Times New Roman" w:cs="Times New Roman"/>
          <w:i/>
          <w:iCs/>
          <w:noProof/>
          <w:u w:val="single"/>
          <w:lang w:val="en-US" w:eastAsia="en-GB"/>
        </w:rPr>
        <w:t xml:space="preserve">Specific objective </w:t>
      </w:r>
      <w:r>
        <w:rPr>
          <w:rFonts w:ascii="Times New Roman" w:eastAsia="Times New Roman" w:hAnsi="Times New Roman" w:cs="Times New Roman"/>
          <w:i/>
          <w:iCs/>
          <w:noProof/>
          <w:u w:val="single"/>
          <w:lang w:val="en-US" w:eastAsia="en-GB"/>
        </w:rPr>
        <w:t>2</w:t>
      </w:r>
      <w:r w:rsidRPr="00B0100F">
        <w:rPr>
          <w:rFonts w:ascii="Times New Roman" w:eastAsia="Times New Roman" w:hAnsi="Times New Roman" w:cs="Times New Roman"/>
          <w:i/>
          <w:iCs/>
          <w:noProof/>
          <w:u w:val="single"/>
          <w:lang w:val="en-US" w:eastAsia="en-GB"/>
        </w:rPr>
        <w:t>:</w:t>
      </w:r>
      <w:r>
        <w:rPr>
          <w:rFonts w:ascii="Times New Roman" w:eastAsia="Times New Roman" w:hAnsi="Times New Roman" w:cs="Times New Roman"/>
          <w:i/>
          <w:iCs/>
          <w:noProof/>
          <w:u w:val="single"/>
          <w:lang w:val="en-US" w:eastAsia="en-GB"/>
        </w:rPr>
        <w:t xml:space="preserve"> </w:t>
      </w:r>
      <w:r w:rsidR="000E1A69" w:rsidRPr="000E1A69">
        <w:rPr>
          <w:rFonts w:ascii="Times New Roman" w:eastAsia="Times New Roman" w:hAnsi="Times New Roman" w:cs="Times New Roman"/>
          <w:bCs/>
          <w:i/>
          <w:iCs/>
          <w:noProof/>
          <w:lang w:val="en-US" w:eastAsia="en-GB"/>
        </w:rPr>
        <w:t>The cultural and historical heritage of the Republic of Bulgaria and the Republic of North Macedonia: a prerequisite for the development of an attractive, all-season tourism product by means of smart solutions that ensure universal access and participation</w:t>
      </w:r>
    </w:p>
    <w:p w14:paraId="1B5B0B01" w14:textId="77777777" w:rsidR="003D504F" w:rsidRDefault="00EB4ABF" w:rsidP="00BA7B95">
      <w:pPr>
        <w:pBdr>
          <w:top w:val="single" w:sz="4" w:space="0"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sidRPr="007648AF">
        <w:rPr>
          <w:rFonts w:ascii="Times New Roman" w:eastAsia="Times New Roman" w:hAnsi="Times New Roman" w:cs="Times New Roman"/>
          <w:i/>
          <w:iCs/>
          <w:noProof/>
          <w:lang w:val="en-US" w:eastAsia="en-GB"/>
        </w:rPr>
        <w:t>The a</w:t>
      </w:r>
      <w:r>
        <w:rPr>
          <w:rFonts w:ascii="Times New Roman" w:eastAsia="Times New Roman" w:hAnsi="Times New Roman" w:cs="Times New Roman"/>
          <w:i/>
          <w:iCs/>
          <w:noProof/>
          <w:lang w:val="en-US" w:eastAsia="en-GB"/>
        </w:rPr>
        <w:t xml:space="preserve">ctions under </w:t>
      </w:r>
      <w:r w:rsidR="00B0100F">
        <w:rPr>
          <w:rFonts w:ascii="Times New Roman" w:eastAsia="Times New Roman" w:hAnsi="Times New Roman" w:cs="Times New Roman"/>
          <w:i/>
          <w:iCs/>
          <w:noProof/>
          <w:lang w:val="en-US" w:eastAsia="en-GB"/>
        </w:rPr>
        <w:t>these objectives</w:t>
      </w:r>
      <w:r>
        <w:rPr>
          <w:rFonts w:ascii="Times New Roman" w:eastAsia="Times New Roman" w:hAnsi="Times New Roman" w:cs="Times New Roman"/>
          <w:i/>
          <w:iCs/>
          <w:noProof/>
          <w:lang w:val="en-US" w:eastAsia="en-GB"/>
        </w:rPr>
        <w:t xml:space="preserve"> are determined </w:t>
      </w:r>
      <w:r w:rsidRPr="007648AF">
        <w:rPr>
          <w:rFonts w:ascii="Times New Roman" w:eastAsia="Times New Roman" w:hAnsi="Times New Roman" w:cs="Times New Roman"/>
          <w:i/>
          <w:iCs/>
          <w:noProof/>
          <w:lang w:val="en-US" w:eastAsia="en-GB"/>
        </w:rPr>
        <w:t>on the basis of an integra</w:t>
      </w:r>
      <w:r>
        <w:rPr>
          <w:rFonts w:ascii="Times New Roman" w:eastAsia="Times New Roman" w:hAnsi="Times New Roman" w:cs="Times New Roman"/>
          <w:i/>
          <w:iCs/>
          <w:noProof/>
          <w:lang w:val="en-US" w:eastAsia="en-GB"/>
        </w:rPr>
        <w:t xml:space="preserve">ted territorial strategy (ITS) in pursuit of art. </w:t>
      </w:r>
      <w:r w:rsidR="00316314">
        <w:rPr>
          <w:rFonts w:ascii="Times New Roman" w:eastAsia="Times New Roman" w:hAnsi="Times New Roman" w:cs="Times New Roman"/>
          <w:i/>
          <w:iCs/>
          <w:noProof/>
          <w:lang w:val="en-US" w:eastAsia="en-GB"/>
        </w:rPr>
        <w:t>2</w:t>
      </w:r>
      <w:r w:rsidR="00316314">
        <w:rPr>
          <w:rFonts w:ascii="Times New Roman" w:eastAsia="Times New Roman" w:hAnsi="Times New Roman" w:cs="Times New Roman"/>
          <w:i/>
          <w:iCs/>
          <w:noProof/>
          <w:lang w:val="bg-BG" w:eastAsia="en-GB"/>
        </w:rPr>
        <w:t>8</w:t>
      </w:r>
      <w:r w:rsidR="00316314">
        <w:rPr>
          <w:rFonts w:ascii="Times New Roman" w:eastAsia="Times New Roman" w:hAnsi="Times New Roman" w:cs="Times New Roman"/>
          <w:i/>
          <w:iCs/>
          <w:noProof/>
          <w:lang w:val="en-US" w:eastAsia="en-GB"/>
        </w:rPr>
        <w:t xml:space="preserve"> </w:t>
      </w:r>
      <w:r>
        <w:rPr>
          <w:rFonts w:ascii="Times New Roman" w:eastAsia="Times New Roman" w:hAnsi="Times New Roman" w:cs="Times New Roman"/>
          <w:i/>
          <w:iCs/>
          <w:noProof/>
          <w:lang w:val="en-US" w:eastAsia="en-GB"/>
        </w:rPr>
        <w:t xml:space="preserve">(c) of the </w:t>
      </w:r>
      <w:r w:rsidR="00316314" w:rsidRPr="00316314">
        <w:rPr>
          <w:rFonts w:ascii="Times New Roman" w:eastAsia="Times New Roman" w:hAnsi="Times New Roman" w:cs="Times New Roman"/>
          <w:i/>
          <w:iCs/>
          <w:noProof/>
          <w:lang w:val="en-US" w:eastAsia="en-GB"/>
        </w:rPr>
        <w:t xml:space="preserve">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w:t>
      </w:r>
      <w:r w:rsidR="00316314">
        <w:rPr>
          <w:rFonts w:ascii="Times New Roman" w:eastAsia="Times New Roman" w:hAnsi="Times New Roman" w:cs="Times New Roman"/>
          <w:i/>
          <w:iCs/>
          <w:noProof/>
          <w:lang w:val="en-US" w:eastAsia="en-GB"/>
        </w:rPr>
        <w:t>(</w:t>
      </w:r>
      <w:r>
        <w:rPr>
          <w:rFonts w:ascii="Times New Roman" w:eastAsia="Times New Roman" w:hAnsi="Times New Roman" w:cs="Times New Roman"/>
          <w:i/>
          <w:iCs/>
          <w:noProof/>
          <w:lang w:val="en-US" w:eastAsia="en-GB"/>
        </w:rPr>
        <w:t>CPR</w:t>
      </w:r>
      <w:r w:rsidR="00316314">
        <w:rPr>
          <w:rFonts w:ascii="Times New Roman" w:eastAsia="Times New Roman" w:hAnsi="Times New Roman" w:cs="Times New Roman"/>
          <w:i/>
          <w:iCs/>
          <w:noProof/>
          <w:lang w:val="en-US" w:eastAsia="en-GB"/>
        </w:rPr>
        <w:t>)</w:t>
      </w:r>
      <w:r>
        <w:rPr>
          <w:rFonts w:ascii="Times New Roman" w:eastAsia="Times New Roman" w:hAnsi="Times New Roman" w:cs="Times New Roman"/>
          <w:i/>
          <w:iCs/>
          <w:noProof/>
          <w:lang w:val="en-US" w:eastAsia="en-GB"/>
        </w:rPr>
        <w:t xml:space="preserve">. </w:t>
      </w:r>
      <w:r w:rsidRPr="00536857">
        <w:rPr>
          <w:rFonts w:ascii="Times New Roman" w:eastAsia="Times New Roman" w:hAnsi="Times New Roman" w:cs="Times New Roman"/>
          <w:i/>
          <w:iCs/>
          <w:noProof/>
          <w:lang w:val="en-US" w:eastAsia="en-GB"/>
        </w:rPr>
        <w:t>Thus, the ITS addresses the root of one of t</w:t>
      </w:r>
      <w:r>
        <w:rPr>
          <w:rFonts w:ascii="Times New Roman" w:eastAsia="Times New Roman" w:hAnsi="Times New Roman" w:cs="Times New Roman"/>
          <w:i/>
          <w:iCs/>
          <w:noProof/>
          <w:lang w:val="en-US" w:eastAsia="en-GB"/>
        </w:rPr>
        <w:t xml:space="preserve">he main territorial challenges - </w:t>
      </w:r>
      <w:r w:rsidRPr="00536857">
        <w:rPr>
          <w:rFonts w:ascii="Times New Roman" w:eastAsia="Times New Roman" w:hAnsi="Times New Roman" w:cs="Times New Roman"/>
          <w:i/>
          <w:iCs/>
          <w:noProof/>
          <w:lang w:val="en-US" w:eastAsia="en-GB"/>
        </w:rPr>
        <w:t xml:space="preserve">income levels </w:t>
      </w:r>
      <w:r>
        <w:rPr>
          <w:rFonts w:ascii="Times New Roman" w:eastAsia="Times New Roman" w:hAnsi="Times New Roman" w:cs="Times New Roman"/>
          <w:i/>
          <w:iCs/>
          <w:noProof/>
          <w:lang w:val="en-US" w:eastAsia="en-GB"/>
        </w:rPr>
        <w:t xml:space="preserve">that are </w:t>
      </w:r>
      <w:r w:rsidRPr="00536857">
        <w:rPr>
          <w:rFonts w:ascii="Times New Roman" w:eastAsia="Times New Roman" w:hAnsi="Times New Roman" w:cs="Times New Roman"/>
          <w:i/>
          <w:iCs/>
          <w:noProof/>
          <w:lang w:val="en-US" w:eastAsia="en-GB"/>
        </w:rPr>
        <w:t>far below the EU average</w:t>
      </w:r>
      <w:r>
        <w:rPr>
          <w:rFonts w:ascii="Times New Roman" w:eastAsia="Times New Roman" w:hAnsi="Times New Roman" w:cs="Times New Roman"/>
          <w:i/>
          <w:iCs/>
          <w:noProof/>
          <w:lang w:val="en-US" w:eastAsia="en-GB"/>
        </w:rPr>
        <w:t>. To correct this deficiency</w:t>
      </w:r>
      <w:r w:rsidRPr="00EE685F">
        <w:rPr>
          <w:rFonts w:ascii="Times New Roman" w:eastAsia="Times New Roman" w:hAnsi="Times New Roman" w:cs="Times New Roman"/>
          <w:i/>
          <w:iCs/>
          <w:noProof/>
          <w:lang w:val="en-US" w:eastAsia="en-GB"/>
        </w:rPr>
        <w:t>, a proportion of 20% of the priority budget shall be allocated under the form of direct support to SMEs</w:t>
      </w:r>
      <w:r w:rsidR="003656B6">
        <w:rPr>
          <w:rFonts w:ascii="Times New Roman" w:eastAsia="Times New Roman" w:hAnsi="Times New Roman" w:cs="Times New Roman"/>
          <w:i/>
          <w:iCs/>
          <w:noProof/>
          <w:lang w:val="en-US" w:eastAsia="en-GB"/>
        </w:rPr>
        <w:t>, where applicable</w:t>
      </w:r>
      <w:r w:rsidRPr="00EE685F">
        <w:rPr>
          <w:rFonts w:ascii="Times New Roman" w:eastAsia="Times New Roman" w:hAnsi="Times New Roman" w:cs="Times New Roman"/>
          <w:i/>
          <w:iCs/>
          <w:noProof/>
          <w:lang w:val="en-US" w:eastAsia="en-GB"/>
        </w:rPr>
        <w:t xml:space="preserve"> through the tool of Small Project Fund in compliance with art. </w:t>
      </w:r>
      <w:r w:rsidR="00316314" w:rsidRPr="00EE685F">
        <w:rPr>
          <w:rFonts w:ascii="Times New Roman" w:eastAsia="Times New Roman" w:hAnsi="Times New Roman" w:cs="Times New Roman"/>
          <w:i/>
          <w:iCs/>
          <w:noProof/>
          <w:lang w:val="en-US" w:eastAsia="en-GB"/>
        </w:rPr>
        <w:t>2</w:t>
      </w:r>
      <w:r w:rsidR="00316314">
        <w:rPr>
          <w:rFonts w:ascii="Times New Roman" w:eastAsia="Times New Roman" w:hAnsi="Times New Roman" w:cs="Times New Roman"/>
          <w:i/>
          <w:iCs/>
          <w:noProof/>
          <w:lang w:val="en-US" w:eastAsia="en-GB"/>
        </w:rPr>
        <w:t>5</w:t>
      </w:r>
      <w:r w:rsidR="00316314" w:rsidRPr="00EE685F">
        <w:rPr>
          <w:rFonts w:ascii="Times New Roman" w:eastAsia="Times New Roman" w:hAnsi="Times New Roman" w:cs="Times New Roman"/>
          <w:i/>
          <w:iCs/>
          <w:noProof/>
          <w:lang w:val="en-US" w:eastAsia="en-GB"/>
        </w:rPr>
        <w:t xml:space="preserve"> </w:t>
      </w:r>
      <w:r w:rsidRPr="00EE685F">
        <w:rPr>
          <w:rFonts w:ascii="Times New Roman" w:eastAsia="Times New Roman" w:hAnsi="Times New Roman" w:cs="Times New Roman"/>
          <w:i/>
          <w:iCs/>
          <w:noProof/>
          <w:lang w:val="en-US" w:eastAsia="en-GB"/>
        </w:rPr>
        <w:t xml:space="preserve">of the </w:t>
      </w:r>
      <w:r w:rsidR="00316314" w:rsidRPr="00316314">
        <w:rPr>
          <w:rFonts w:ascii="Times New Roman" w:eastAsia="Times New Roman" w:hAnsi="Times New Roman" w:cs="Times New Roman"/>
          <w:i/>
          <w:iCs/>
          <w:noProof/>
          <w:lang w:val="en-US" w:eastAsia="en-GB"/>
        </w:rPr>
        <w:t xml:space="preserve">REGULATION (EU) 2021/1059 OF THE EUROPEAN PARLIAMENT AND OF THE COUNCIL of 24 June 2021 on specific provisions for the European territorial cooperation goal (Interreg) supported by the European Regional Development Fund and external financing instruments </w:t>
      </w:r>
      <w:r w:rsidR="00316314">
        <w:rPr>
          <w:rFonts w:ascii="Times New Roman" w:eastAsia="Times New Roman" w:hAnsi="Times New Roman" w:cs="Times New Roman"/>
          <w:i/>
          <w:iCs/>
          <w:noProof/>
          <w:lang w:val="en-US" w:eastAsia="en-GB"/>
        </w:rPr>
        <w:t>(</w:t>
      </w:r>
      <w:r w:rsidRPr="00EE685F">
        <w:rPr>
          <w:rFonts w:ascii="Times New Roman" w:eastAsia="Times New Roman" w:hAnsi="Times New Roman" w:cs="Times New Roman"/>
          <w:i/>
          <w:iCs/>
          <w:noProof/>
          <w:lang w:val="en-US" w:eastAsia="en-GB"/>
        </w:rPr>
        <w:t>ETC Regulation</w:t>
      </w:r>
      <w:r w:rsidR="00316314">
        <w:rPr>
          <w:rFonts w:ascii="Times New Roman" w:eastAsia="Times New Roman" w:hAnsi="Times New Roman" w:cs="Times New Roman"/>
          <w:i/>
          <w:iCs/>
          <w:noProof/>
          <w:lang w:val="en-US" w:eastAsia="en-GB"/>
        </w:rPr>
        <w:t>)</w:t>
      </w:r>
      <w:r w:rsidRPr="00EE685F">
        <w:rPr>
          <w:rFonts w:ascii="Times New Roman" w:eastAsia="Times New Roman" w:hAnsi="Times New Roman" w:cs="Times New Roman"/>
          <w:i/>
          <w:iCs/>
          <w:noProof/>
          <w:lang w:val="en-US" w:eastAsia="en-GB"/>
        </w:rPr>
        <w:t>.</w:t>
      </w:r>
    </w:p>
    <w:p w14:paraId="0EC1E02F" w14:textId="77777777" w:rsidR="00EB4ABF" w:rsidRDefault="00EB4ABF" w:rsidP="00BA7B95">
      <w:pPr>
        <w:pBdr>
          <w:top w:val="single" w:sz="4" w:space="0"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p>
    <w:p w14:paraId="3EC2351B" w14:textId="77777777" w:rsidR="00A14D16" w:rsidRDefault="00930CA5" w:rsidP="00930CA5">
      <w:pPr>
        <w:pBdr>
          <w:top w:val="single" w:sz="4" w:space="0"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sidRPr="00930CA5">
        <w:rPr>
          <w:rFonts w:ascii="Times New Roman" w:eastAsia="Times New Roman" w:hAnsi="Times New Roman" w:cs="Times New Roman"/>
          <w:i/>
          <w:iCs/>
          <w:noProof/>
          <w:lang w:eastAsia="en-GB"/>
        </w:rPr>
        <w:t xml:space="preserve">From a typoligical pioint of view the ITS shall support a wide range of actions – research and development activities; creation and dissemination of information, knowledge and skills; trainings; services; networking; policy making; minor renovation, improvement, and maintenance of roads and facilities of public importance; </w:t>
      </w:r>
      <w:r w:rsidR="00A5098D">
        <w:rPr>
          <w:rFonts w:ascii="Times New Roman" w:eastAsia="Times New Roman" w:hAnsi="Times New Roman" w:cs="Times New Roman"/>
          <w:i/>
          <w:iCs/>
          <w:noProof/>
          <w:lang w:eastAsia="en-GB"/>
        </w:rPr>
        <w:t xml:space="preserve">environmental </w:t>
      </w:r>
      <w:r w:rsidRPr="00930CA5">
        <w:rPr>
          <w:rFonts w:ascii="Times New Roman" w:eastAsia="Times New Roman" w:hAnsi="Times New Roman" w:cs="Times New Roman"/>
          <w:i/>
          <w:iCs/>
          <w:noProof/>
          <w:lang w:eastAsia="en-GB"/>
        </w:rPr>
        <w:t xml:space="preserve">protection and preservation, etc. The cumulative outcomes of all these diverse actions that are going to address broad thematic obstacles and challenges shall produce the integrated effect on the territorial development. </w:t>
      </w:r>
    </w:p>
    <w:p w14:paraId="3B7C11F8" w14:textId="77777777" w:rsidR="00A14D16" w:rsidRDefault="00A14D16" w:rsidP="00930CA5">
      <w:pPr>
        <w:pBdr>
          <w:top w:val="single" w:sz="4" w:space="0"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p>
    <w:p w14:paraId="21CA23AC" w14:textId="77777777" w:rsidR="00930CA5" w:rsidRPr="00930CA5" w:rsidRDefault="00930CA5" w:rsidP="00930CA5">
      <w:pPr>
        <w:pBdr>
          <w:top w:val="single" w:sz="4" w:space="0"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sidRPr="00930CA5">
        <w:rPr>
          <w:rFonts w:ascii="Times New Roman" w:eastAsia="Times New Roman" w:hAnsi="Times New Roman" w:cs="Times New Roman"/>
          <w:i/>
          <w:iCs/>
          <w:noProof/>
          <w:lang w:eastAsia="en-GB"/>
        </w:rPr>
        <w:t>The non-exhaustive list of a</w:t>
      </w:r>
      <w:r w:rsidR="00A14D16">
        <w:rPr>
          <w:rFonts w:ascii="Times New Roman" w:eastAsia="Times New Roman" w:hAnsi="Times New Roman" w:cs="Times New Roman"/>
          <w:i/>
          <w:iCs/>
          <w:noProof/>
          <w:lang w:eastAsia="en-GB"/>
        </w:rPr>
        <w:t>ctions to be supported includes</w:t>
      </w:r>
      <w:r w:rsidRPr="00930CA5">
        <w:rPr>
          <w:rFonts w:ascii="Times New Roman" w:eastAsia="Times New Roman" w:hAnsi="Times New Roman" w:cs="Times New Roman"/>
          <w:i/>
          <w:iCs/>
          <w:noProof/>
          <w:lang w:eastAsia="en-GB"/>
        </w:rPr>
        <w:t>:</w:t>
      </w:r>
    </w:p>
    <w:p w14:paraId="62C74963" w14:textId="3415F80D" w:rsidR="00A5098D" w:rsidRPr="00A5098D" w:rsidRDefault="00A5098D" w:rsidP="00A5098D">
      <w:pPr>
        <w:pBdr>
          <w:top w:val="single" w:sz="4" w:space="0"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Pr>
          <w:rFonts w:ascii="Times New Roman" w:eastAsia="Times New Roman" w:hAnsi="Times New Roman" w:cs="Times New Roman"/>
          <w:i/>
          <w:iCs/>
          <w:noProof/>
          <w:lang w:eastAsia="en-GB"/>
        </w:rPr>
        <w:lastRenderedPageBreak/>
        <w:t xml:space="preserve">- </w:t>
      </w:r>
      <w:r w:rsidR="000E1A69" w:rsidRPr="000E1A69">
        <w:rPr>
          <w:rFonts w:ascii="Times New Roman" w:eastAsia="Times New Roman" w:hAnsi="Times New Roman" w:cs="Times New Roman"/>
          <w:i/>
          <w:iCs/>
          <w:noProof/>
          <w:lang w:eastAsia="en-GB"/>
        </w:rPr>
        <w:t>Actions aimed at increasing the productive capacity of the SMEs to become greener, more digital and more competitive (technological modernization)</w:t>
      </w:r>
      <w:r w:rsidRPr="00A5098D">
        <w:rPr>
          <w:rFonts w:ascii="Times New Roman" w:eastAsia="Times New Roman" w:hAnsi="Times New Roman" w:cs="Times New Roman"/>
          <w:i/>
          <w:iCs/>
          <w:noProof/>
          <w:lang w:eastAsia="en-GB"/>
        </w:rPr>
        <w:t xml:space="preserve">; </w:t>
      </w:r>
    </w:p>
    <w:p w14:paraId="125734E2" w14:textId="2A417E41" w:rsidR="00A5098D" w:rsidRPr="00A5098D" w:rsidRDefault="00A5098D" w:rsidP="00A5098D">
      <w:pPr>
        <w:pBdr>
          <w:top w:val="single" w:sz="4" w:space="0"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Pr>
          <w:rFonts w:ascii="Times New Roman" w:eastAsia="Times New Roman" w:hAnsi="Times New Roman" w:cs="Times New Roman"/>
          <w:i/>
          <w:iCs/>
          <w:noProof/>
          <w:lang w:eastAsia="en-GB"/>
        </w:rPr>
        <w:t xml:space="preserve">- </w:t>
      </w:r>
      <w:r w:rsidR="000E1A69" w:rsidRPr="000E1A69">
        <w:rPr>
          <w:rFonts w:ascii="Times New Roman" w:eastAsia="Times New Roman" w:hAnsi="Times New Roman" w:cs="Times New Roman"/>
          <w:i/>
          <w:iCs/>
          <w:noProof/>
          <w:lang w:eastAsia="en-GB"/>
        </w:rPr>
        <w:t>Actions aimed at improving the knowledge capacity of the SMEs to operate in a greener, more digital and more competitive environment (acquiring new knowledge and skills, incl. access to external finances)</w:t>
      </w:r>
      <w:r w:rsidRPr="00A5098D">
        <w:rPr>
          <w:rFonts w:ascii="Times New Roman" w:eastAsia="Times New Roman" w:hAnsi="Times New Roman" w:cs="Times New Roman"/>
          <w:i/>
          <w:iCs/>
          <w:noProof/>
          <w:lang w:eastAsia="en-GB"/>
        </w:rPr>
        <w:t xml:space="preserve">; </w:t>
      </w:r>
    </w:p>
    <w:p w14:paraId="043883D5" w14:textId="08E4C02B" w:rsidR="002B2BF0" w:rsidRPr="00561F22" w:rsidRDefault="00A5098D" w:rsidP="006F295D">
      <w:pPr>
        <w:pBdr>
          <w:top w:val="single" w:sz="4" w:space="0"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val="bg-BG" w:eastAsia="en-GB"/>
        </w:rPr>
      </w:pPr>
      <w:r>
        <w:rPr>
          <w:rFonts w:ascii="Times New Roman" w:eastAsia="Times New Roman" w:hAnsi="Times New Roman" w:cs="Times New Roman"/>
          <w:i/>
          <w:iCs/>
          <w:noProof/>
          <w:lang w:eastAsia="en-GB"/>
        </w:rPr>
        <w:t xml:space="preserve">- </w:t>
      </w:r>
      <w:r w:rsidR="000E1A69" w:rsidRPr="000E1A69">
        <w:rPr>
          <w:rFonts w:ascii="Times New Roman" w:eastAsia="Times New Roman" w:hAnsi="Times New Roman" w:cs="Times New Roman"/>
          <w:i/>
          <w:iCs/>
          <w:noProof/>
          <w:lang w:eastAsia="en-GB"/>
        </w:rPr>
        <w:t>Actions aimed at building effective product development process (it encompasses all steps needed to take a product from concept to market availability) and reaching new markets (marketing, entrepreneurship, internationalization)</w:t>
      </w:r>
      <w:r w:rsidR="004F784D">
        <w:rPr>
          <w:rFonts w:ascii="Times New Roman" w:eastAsia="Times New Roman" w:hAnsi="Times New Roman" w:cs="Times New Roman"/>
          <w:i/>
          <w:iCs/>
          <w:noProof/>
          <w:lang w:eastAsia="en-GB"/>
        </w:rPr>
        <w:t>;</w:t>
      </w:r>
    </w:p>
    <w:p w14:paraId="07262453" w14:textId="2D24BD88" w:rsidR="000E1A69" w:rsidRDefault="00654B61" w:rsidP="00BA7B95">
      <w:pPr>
        <w:pBdr>
          <w:top w:val="single" w:sz="4" w:space="0"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Pr>
          <w:rFonts w:ascii="Times New Roman" w:eastAsia="Times New Roman" w:hAnsi="Times New Roman" w:cs="Times New Roman"/>
          <w:i/>
          <w:iCs/>
          <w:noProof/>
          <w:lang w:eastAsia="en-GB"/>
        </w:rPr>
        <w:t xml:space="preserve">- </w:t>
      </w:r>
      <w:r w:rsidR="000E1A69" w:rsidRPr="000E1A69">
        <w:rPr>
          <w:rFonts w:ascii="Times New Roman" w:eastAsia="Times New Roman" w:hAnsi="Times New Roman" w:cs="Times New Roman"/>
          <w:i/>
          <w:iCs/>
          <w:noProof/>
          <w:lang w:eastAsia="en-GB"/>
        </w:rPr>
        <w:t>Improving the mobility and connectivity of the transport and engineering infrastructure by a system of alternative mobility, including a grid of bicycle lanes, ‘dirt’ forest and country roads, helipads, etc.</w:t>
      </w:r>
      <w:r w:rsidRPr="00654B61">
        <w:rPr>
          <w:rFonts w:ascii="Times New Roman" w:eastAsia="Times New Roman" w:hAnsi="Times New Roman" w:cs="Times New Roman"/>
          <w:i/>
          <w:iCs/>
          <w:noProof/>
          <w:lang w:eastAsia="en-GB"/>
        </w:rPr>
        <w:t xml:space="preserve">; </w:t>
      </w:r>
    </w:p>
    <w:p w14:paraId="5D4C427E" w14:textId="77777777" w:rsidR="00CC3DEA" w:rsidRDefault="000E1A69" w:rsidP="00BA7B95">
      <w:pPr>
        <w:pBdr>
          <w:top w:val="single" w:sz="4" w:space="0"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Pr>
          <w:rFonts w:ascii="Times New Roman" w:eastAsia="Times New Roman" w:hAnsi="Times New Roman" w:cs="Times New Roman"/>
          <w:i/>
          <w:iCs/>
          <w:noProof/>
          <w:lang w:val="bg-BG" w:eastAsia="en-GB"/>
        </w:rPr>
        <w:t xml:space="preserve">- </w:t>
      </w:r>
      <w:r w:rsidR="00CC3DEA">
        <w:rPr>
          <w:rFonts w:ascii="Times New Roman" w:eastAsia="Times New Roman" w:hAnsi="Times New Roman" w:cs="Times New Roman"/>
          <w:i/>
          <w:iCs/>
          <w:noProof/>
          <w:lang w:eastAsia="en-GB"/>
        </w:rPr>
        <w:t xml:space="preserve"> </w:t>
      </w:r>
      <w:r w:rsidRPr="000E1A69">
        <w:rPr>
          <w:rFonts w:ascii="Times New Roman" w:eastAsia="Times New Roman" w:hAnsi="Times New Roman" w:cs="Times New Roman"/>
          <w:i/>
          <w:iCs/>
          <w:noProof/>
          <w:lang w:eastAsia="en-GB"/>
        </w:rPr>
        <w:t>Development and marketing of integrated regional tourism products suitable for various activities through the inclusion of the cultural and historical heritage and natural assets; joint efforts for diversification of the forms of tourism services and the realisation of all-season tourism in the CBC region;</w:t>
      </w:r>
    </w:p>
    <w:p w14:paraId="519FBA68" w14:textId="77777777" w:rsidR="000E1A69" w:rsidRDefault="000E1A69" w:rsidP="00BA7B95">
      <w:pPr>
        <w:pBdr>
          <w:top w:val="single" w:sz="4" w:space="0"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val="bg-BG" w:eastAsia="en-GB"/>
        </w:rPr>
      </w:pPr>
      <w:r>
        <w:rPr>
          <w:rFonts w:ascii="Times New Roman" w:eastAsia="Times New Roman" w:hAnsi="Times New Roman" w:cs="Times New Roman"/>
          <w:i/>
          <w:iCs/>
          <w:noProof/>
          <w:lang w:val="bg-BG" w:eastAsia="en-GB"/>
        </w:rPr>
        <w:t xml:space="preserve">- </w:t>
      </w:r>
      <w:r w:rsidRPr="000E1A69">
        <w:rPr>
          <w:rFonts w:ascii="Times New Roman" w:eastAsia="Times New Roman" w:hAnsi="Times New Roman" w:cs="Times New Roman"/>
          <w:i/>
          <w:iCs/>
          <w:noProof/>
          <w:lang w:val="bg-BG" w:eastAsia="en-GB"/>
        </w:rPr>
        <w:t>Development of integrated targeted financial packages for supporting business activity and the creation of new SMEs in tourism with a focus on family businesses and the offering of local tourism products: wine and gourmet tourism, rural eco-tourism, cycling tourism, hunting and fishing, off-road tourism, etc.;</w:t>
      </w:r>
    </w:p>
    <w:p w14:paraId="77BF116D" w14:textId="77777777" w:rsidR="000E1A69" w:rsidRPr="00531FA3" w:rsidRDefault="000E1A69" w:rsidP="00BA7B95">
      <w:pPr>
        <w:pBdr>
          <w:top w:val="single" w:sz="4" w:space="0"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val="bg-BG" w:eastAsia="en-GB"/>
        </w:rPr>
      </w:pPr>
      <w:r>
        <w:rPr>
          <w:rFonts w:ascii="Times New Roman" w:eastAsia="Times New Roman" w:hAnsi="Times New Roman" w:cs="Times New Roman"/>
          <w:i/>
          <w:iCs/>
          <w:noProof/>
          <w:lang w:val="bg-BG" w:eastAsia="en-GB"/>
        </w:rPr>
        <w:t xml:space="preserve">- </w:t>
      </w:r>
      <w:r w:rsidRPr="000E1A69">
        <w:rPr>
          <w:rFonts w:ascii="Times New Roman" w:eastAsia="Times New Roman" w:hAnsi="Times New Roman" w:cs="Times New Roman"/>
          <w:i/>
          <w:iCs/>
          <w:noProof/>
          <w:lang w:val="bg-BG" w:eastAsia="en-GB"/>
        </w:rPr>
        <w:t>Creating a joint network of locations for the realisation of concepts like ‘green school’, ‘in the country’, ‘visiting with...’, ‘made by...’, etc.;</w:t>
      </w:r>
    </w:p>
    <w:p w14:paraId="780C8725" w14:textId="0141E48F" w:rsidR="00847DFE" w:rsidRDefault="00847DFE" w:rsidP="00BA7B95">
      <w:pPr>
        <w:pBdr>
          <w:top w:val="single" w:sz="4" w:space="0"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Pr>
          <w:rFonts w:ascii="Times New Roman" w:eastAsia="Times New Roman" w:hAnsi="Times New Roman" w:cs="Times New Roman"/>
          <w:i/>
          <w:iCs/>
          <w:noProof/>
          <w:lang w:eastAsia="en-GB"/>
        </w:rPr>
        <w:t xml:space="preserve">- </w:t>
      </w:r>
      <w:r w:rsidR="000E1A69" w:rsidRPr="000E1A69">
        <w:rPr>
          <w:rFonts w:ascii="Times New Roman" w:eastAsia="Times New Roman" w:hAnsi="Times New Roman" w:cs="Times New Roman"/>
          <w:i/>
          <w:iCs/>
          <w:noProof/>
          <w:lang w:eastAsia="en-GB"/>
        </w:rPr>
        <w:t>Elaborating and applying joint measures for reducing the vulnerability of services in the tourism sector to the effects of pandemic and epidemic situations; promoting the development of health and recreational tourism: products and services related to physical exercise, outdoor sports, strengthening the immune system and improving the health status through spa procedures, climate therapy, mud therapy; combining short breaks of different kinds with individual travel</w:t>
      </w:r>
      <w:r w:rsidR="000E1A69">
        <w:rPr>
          <w:rFonts w:ascii="Times New Roman" w:eastAsia="Times New Roman" w:hAnsi="Times New Roman" w:cs="Times New Roman"/>
          <w:i/>
          <w:iCs/>
          <w:noProof/>
          <w:lang w:val="bg-BG" w:eastAsia="en-GB"/>
        </w:rPr>
        <w:t>.</w:t>
      </w:r>
      <w:r w:rsidR="00A1491D">
        <w:rPr>
          <w:rFonts w:ascii="Times New Roman" w:eastAsia="Times New Roman" w:hAnsi="Times New Roman" w:cs="Times New Roman"/>
          <w:i/>
          <w:iCs/>
          <w:noProof/>
          <w:lang w:eastAsia="en-GB"/>
        </w:rPr>
        <w:t>.</w:t>
      </w:r>
    </w:p>
    <w:p w14:paraId="13A97CB9" w14:textId="77777777" w:rsidR="00255F90" w:rsidRDefault="00255F90" w:rsidP="00BA7B95">
      <w:pPr>
        <w:pBdr>
          <w:top w:val="single" w:sz="4" w:space="0"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p>
    <w:p w14:paraId="6822766F" w14:textId="77777777" w:rsidR="00272184" w:rsidRDefault="00255F90" w:rsidP="00BA7B95">
      <w:pPr>
        <w:pBdr>
          <w:top w:val="single" w:sz="4" w:space="0"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Pr>
          <w:rFonts w:ascii="Times New Roman" w:eastAsia="Times New Roman" w:hAnsi="Times New Roman" w:cs="Times New Roman"/>
          <w:i/>
          <w:iCs/>
          <w:noProof/>
          <w:lang w:eastAsia="en-GB"/>
        </w:rPr>
        <w:t>It should be noted that g</w:t>
      </w:r>
      <w:r w:rsidR="003B1E80">
        <w:rPr>
          <w:rFonts w:ascii="Times New Roman" w:eastAsia="Times New Roman" w:hAnsi="Times New Roman" w:cs="Times New Roman"/>
          <w:i/>
          <w:iCs/>
          <w:noProof/>
          <w:lang w:eastAsia="en-GB"/>
        </w:rPr>
        <w:t>reen and digital solutions shall be incorporated as horizontal principle</w:t>
      </w:r>
      <w:r w:rsidR="00EB3ED9">
        <w:rPr>
          <w:rFonts w:ascii="Times New Roman" w:eastAsia="Times New Roman" w:hAnsi="Times New Roman" w:cs="Times New Roman"/>
          <w:i/>
          <w:iCs/>
          <w:noProof/>
          <w:lang w:eastAsia="en-GB"/>
        </w:rPr>
        <w:t xml:space="preserve">s and </w:t>
      </w:r>
      <w:r w:rsidR="00EB3ED9">
        <w:rPr>
          <w:rFonts w:ascii="Times New Roman" w:eastAsia="Times New Roman" w:hAnsi="Times New Roman" w:cs="Times New Roman"/>
          <w:i/>
          <w:iCs/>
          <w:noProof/>
          <w:lang w:val="en-US" w:eastAsia="en-GB"/>
        </w:rPr>
        <w:t xml:space="preserve">thus </w:t>
      </w:r>
      <w:r w:rsidR="003B1E80">
        <w:rPr>
          <w:rFonts w:ascii="Times New Roman" w:eastAsia="Times New Roman" w:hAnsi="Times New Roman" w:cs="Times New Roman"/>
          <w:i/>
          <w:iCs/>
          <w:noProof/>
          <w:lang w:eastAsia="en-GB"/>
        </w:rPr>
        <w:t>become integral part of all supported, under the ITS,</w:t>
      </w:r>
      <w:r w:rsidR="00272184">
        <w:rPr>
          <w:rFonts w:ascii="Times New Roman" w:eastAsia="Times New Roman" w:hAnsi="Times New Roman" w:cs="Times New Roman"/>
          <w:i/>
          <w:iCs/>
          <w:noProof/>
          <w:lang w:eastAsia="en-GB"/>
        </w:rPr>
        <w:t xml:space="preserve"> </w:t>
      </w:r>
      <w:r w:rsidR="003B1E80">
        <w:rPr>
          <w:rFonts w:ascii="Times New Roman" w:eastAsia="Times New Roman" w:hAnsi="Times New Roman" w:cs="Times New Roman"/>
          <w:i/>
          <w:iCs/>
          <w:noProof/>
          <w:lang w:eastAsia="en-GB"/>
        </w:rPr>
        <w:t xml:space="preserve">projects. </w:t>
      </w:r>
      <w:r w:rsidR="00F04F04">
        <w:rPr>
          <w:rFonts w:ascii="Times New Roman" w:eastAsia="Times New Roman" w:hAnsi="Times New Roman" w:cs="Times New Roman"/>
          <w:i/>
          <w:iCs/>
          <w:noProof/>
          <w:lang w:eastAsia="en-GB"/>
        </w:rPr>
        <w:t xml:space="preserve">This </w:t>
      </w:r>
      <w:r w:rsidR="00A54312">
        <w:rPr>
          <w:rFonts w:ascii="Times New Roman" w:eastAsia="Times New Roman" w:hAnsi="Times New Roman" w:cs="Times New Roman"/>
          <w:i/>
          <w:iCs/>
          <w:noProof/>
          <w:lang w:eastAsia="en-GB"/>
        </w:rPr>
        <w:t>decision</w:t>
      </w:r>
      <w:r w:rsidR="00F04F04">
        <w:rPr>
          <w:rFonts w:ascii="Times New Roman" w:eastAsia="Times New Roman" w:hAnsi="Times New Roman" w:cs="Times New Roman"/>
          <w:i/>
          <w:iCs/>
          <w:noProof/>
          <w:lang w:eastAsia="en-GB"/>
        </w:rPr>
        <w:t xml:space="preserve"> </w:t>
      </w:r>
      <w:r w:rsidR="00A54312">
        <w:rPr>
          <w:rFonts w:ascii="Times New Roman" w:eastAsia="Times New Roman" w:hAnsi="Times New Roman" w:cs="Times New Roman"/>
          <w:i/>
          <w:iCs/>
          <w:noProof/>
          <w:lang w:eastAsia="en-GB"/>
        </w:rPr>
        <w:t xml:space="preserve">is </w:t>
      </w:r>
      <w:r w:rsidR="00A11F1D">
        <w:rPr>
          <w:rFonts w:ascii="Times New Roman" w:eastAsia="Times New Roman" w:hAnsi="Times New Roman" w:cs="Times New Roman"/>
          <w:i/>
          <w:iCs/>
          <w:noProof/>
          <w:lang w:eastAsia="en-GB"/>
        </w:rPr>
        <w:t xml:space="preserve">seen as </w:t>
      </w:r>
      <w:r w:rsidR="00A54312">
        <w:rPr>
          <w:rFonts w:ascii="Times New Roman" w:eastAsia="Times New Roman" w:hAnsi="Times New Roman" w:cs="Times New Roman"/>
          <w:i/>
          <w:iCs/>
          <w:noProof/>
          <w:lang w:eastAsia="en-GB"/>
        </w:rPr>
        <w:t xml:space="preserve">a </w:t>
      </w:r>
      <w:r w:rsidR="00A54312">
        <w:rPr>
          <w:rFonts w:ascii="Times New Roman" w:eastAsia="Times New Roman" w:hAnsi="Times New Roman" w:cs="Times New Roman"/>
          <w:i/>
          <w:iCs/>
          <w:noProof/>
          <w:lang w:val="en-US" w:eastAsia="en-GB"/>
        </w:rPr>
        <w:t>programme</w:t>
      </w:r>
      <w:r w:rsidR="00A11F1D">
        <w:rPr>
          <w:rFonts w:ascii="Times New Roman" w:eastAsia="Times New Roman" w:hAnsi="Times New Roman" w:cs="Times New Roman"/>
          <w:i/>
          <w:iCs/>
          <w:noProof/>
          <w:lang w:eastAsia="en-GB"/>
        </w:rPr>
        <w:t xml:space="preserve"> instrument to </w:t>
      </w:r>
      <w:r w:rsidR="00F04F04">
        <w:rPr>
          <w:rFonts w:ascii="Times New Roman" w:eastAsia="Times New Roman" w:hAnsi="Times New Roman" w:cs="Times New Roman"/>
          <w:i/>
          <w:iCs/>
          <w:noProof/>
          <w:lang w:eastAsia="en-GB"/>
        </w:rPr>
        <w:t xml:space="preserve">promote </w:t>
      </w:r>
      <w:r w:rsidR="006452B6">
        <w:rPr>
          <w:rFonts w:ascii="Times New Roman" w:eastAsia="Times New Roman" w:hAnsi="Times New Roman" w:cs="Times New Roman"/>
          <w:i/>
          <w:iCs/>
          <w:noProof/>
          <w:lang w:eastAsia="en-GB"/>
        </w:rPr>
        <w:t xml:space="preserve">the </w:t>
      </w:r>
      <w:r w:rsidR="005B5B2A">
        <w:rPr>
          <w:rFonts w:ascii="Times New Roman" w:eastAsia="Times New Roman" w:hAnsi="Times New Roman" w:cs="Times New Roman"/>
          <w:i/>
          <w:iCs/>
          <w:noProof/>
          <w:lang w:eastAsia="en-GB"/>
        </w:rPr>
        <w:t xml:space="preserve">new cohesion policy. </w:t>
      </w:r>
      <w:r w:rsidR="006452B6">
        <w:rPr>
          <w:rFonts w:ascii="Times New Roman" w:eastAsia="Times New Roman" w:hAnsi="Times New Roman" w:cs="Times New Roman"/>
          <w:i/>
          <w:iCs/>
          <w:noProof/>
          <w:lang w:eastAsia="en-GB"/>
        </w:rPr>
        <w:t xml:space="preserve"> </w:t>
      </w:r>
      <w:r w:rsidR="00272184">
        <w:rPr>
          <w:rFonts w:ascii="Times New Roman" w:eastAsia="Times New Roman" w:hAnsi="Times New Roman" w:cs="Times New Roman"/>
          <w:i/>
          <w:iCs/>
          <w:noProof/>
          <w:lang w:eastAsia="en-GB"/>
        </w:rPr>
        <w:t xml:space="preserve"> </w:t>
      </w:r>
    </w:p>
    <w:p w14:paraId="0D266721" w14:textId="77777777" w:rsidR="006B2BA6" w:rsidRDefault="006B2BA6" w:rsidP="00BA7B95">
      <w:pPr>
        <w:pBdr>
          <w:top w:val="single" w:sz="4" w:space="0"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p>
    <w:p w14:paraId="154F188F" w14:textId="77777777" w:rsidR="006955CE" w:rsidRDefault="003728A5" w:rsidP="00BA7B95">
      <w:pPr>
        <w:pBdr>
          <w:top w:val="single" w:sz="4" w:space="0"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sidRPr="003728A5">
        <w:rPr>
          <w:rFonts w:ascii="Times New Roman" w:eastAsia="Times New Roman" w:hAnsi="Times New Roman" w:cs="Times New Roman"/>
          <w:i/>
          <w:iCs/>
          <w:noProof/>
          <w:lang w:val="en-US" w:eastAsia="en-GB"/>
        </w:rPr>
        <w:t>The ITS is a multisectoral strategy</w:t>
      </w:r>
      <w:r w:rsidR="00CD7FF5">
        <w:rPr>
          <w:rFonts w:ascii="Times New Roman" w:eastAsia="Times New Roman" w:hAnsi="Times New Roman" w:cs="Times New Roman"/>
          <w:i/>
          <w:iCs/>
          <w:noProof/>
          <w:lang w:val="en-US" w:eastAsia="en-GB"/>
        </w:rPr>
        <w:t xml:space="preserve"> </w:t>
      </w:r>
      <w:r w:rsidR="006D6E5C">
        <w:rPr>
          <w:rFonts w:ascii="Times New Roman" w:eastAsia="Times New Roman" w:hAnsi="Times New Roman" w:cs="Times New Roman"/>
          <w:i/>
          <w:iCs/>
          <w:noProof/>
          <w:lang w:val="en-US" w:eastAsia="en-GB"/>
        </w:rPr>
        <w:t xml:space="preserve">and it develops interlinkages </w:t>
      </w:r>
      <w:r w:rsidR="00CC4BAD">
        <w:rPr>
          <w:rFonts w:ascii="Times New Roman" w:eastAsia="Times New Roman" w:hAnsi="Times New Roman" w:cs="Times New Roman"/>
          <w:i/>
          <w:iCs/>
          <w:noProof/>
          <w:lang w:val="en-US" w:eastAsia="en-GB"/>
        </w:rPr>
        <w:t>with the</w:t>
      </w:r>
      <w:r w:rsidR="006D6E5C">
        <w:rPr>
          <w:rFonts w:ascii="Times New Roman" w:eastAsia="Times New Roman" w:hAnsi="Times New Roman" w:cs="Times New Roman"/>
          <w:i/>
          <w:iCs/>
          <w:noProof/>
          <w:lang w:val="en-US" w:eastAsia="en-GB"/>
        </w:rPr>
        <w:t xml:space="preserve"> </w:t>
      </w:r>
      <w:r w:rsidR="0080327C">
        <w:rPr>
          <w:rFonts w:ascii="Times New Roman" w:eastAsia="Times New Roman" w:hAnsi="Times New Roman" w:cs="Times New Roman"/>
          <w:i/>
          <w:iCs/>
          <w:noProof/>
          <w:lang w:eastAsia="en-GB"/>
        </w:rPr>
        <w:t>EUSDR</w:t>
      </w:r>
      <w:r w:rsidR="00CC4BAD">
        <w:rPr>
          <w:rFonts w:ascii="Times New Roman" w:eastAsia="Times New Roman" w:hAnsi="Times New Roman" w:cs="Times New Roman"/>
          <w:i/>
          <w:iCs/>
          <w:noProof/>
          <w:lang w:eastAsia="en-GB"/>
        </w:rPr>
        <w:t xml:space="preserve"> and </w:t>
      </w:r>
      <w:r w:rsidR="0080327C">
        <w:rPr>
          <w:rFonts w:ascii="Times New Roman" w:eastAsia="Times New Roman" w:hAnsi="Times New Roman" w:cs="Times New Roman"/>
          <w:i/>
          <w:iCs/>
          <w:noProof/>
          <w:lang w:eastAsia="en-GB"/>
        </w:rPr>
        <w:t xml:space="preserve">the </w:t>
      </w:r>
      <w:r w:rsidR="00CC4BAD">
        <w:rPr>
          <w:rFonts w:ascii="Times New Roman" w:eastAsia="Times New Roman" w:hAnsi="Times New Roman" w:cs="Times New Roman"/>
          <w:i/>
          <w:iCs/>
          <w:noProof/>
          <w:lang w:val="en-US" w:eastAsia="en-GB"/>
        </w:rPr>
        <w:t>EUSAIR</w:t>
      </w:r>
      <w:r w:rsidR="0080327C">
        <w:rPr>
          <w:rFonts w:ascii="Times New Roman" w:eastAsia="Times New Roman" w:hAnsi="Times New Roman" w:cs="Times New Roman"/>
          <w:i/>
          <w:iCs/>
          <w:noProof/>
          <w:lang w:val="en-US" w:eastAsia="en-GB"/>
        </w:rPr>
        <w:t xml:space="preserve"> in a number of cross-startegy areas such as: culture and tourism, knowledge society, competitiveness, instituional capacity and cooperation</w:t>
      </w:r>
      <w:r w:rsidR="002D6C77">
        <w:rPr>
          <w:rFonts w:ascii="Times New Roman" w:eastAsia="Times New Roman" w:hAnsi="Times New Roman" w:cs="Times New Roman"/>
          <w:i/>
          <w:iCs/>
          <w:noProof/>
          <w:lang w:val="en-US" w:eastAsia="en-GB"/>
        </w:rPr>
        <w:t xml:space="preserve">. </w:t>
      </w:r>
    </w:p>
    <w:p w14:paraId="166DE8F0" w14:textId="77777777" w:rsidR="009E4ABC" w:rsidRPr="007E41C5" w:rsidRDefault="009E4ABC" w:rsidP="009E4ABC">
      <w:pPr>
        <w:spacing w:before="240" w:after="240" w:line="240" w:lineRule="auto"/>
        <w:ind w:left="709" w:hanging="709"/>
        <w:jc w:val="both"/>
        <w:rPr>
          <w:rFonts w:ascii="Times New Roman" w:hAnsi="Times New Roman"/>
          <w:b/>
          <w:sz w:val="24"/>
          <w:highlight w:val="yellow"/>
          <w:lang w:val="en-US"/>
        </w:rPr>
      </w:pPr>
      <w:r>
        <w:rPr>
          <w:rFonts w:ascii="Times New Roman" w:eastAsia="Times New Roman" w:hAnsi="Times New Roman" w:cs="Times New Roman"/>
          <w:b/>
          <w:iCs/>
          <w:noProof/>
          <w:sz w:val="24"/>
          <w:szCs w:val="24"/>
          <w:lang w:eastAsia="en-GB"/>
        </w:rPr>
        <w:t>2.3</w:t>
      </w:r>
      <w:r w:rsidRPr="00A10ECC">
        <w:rPr>
          <w:rFonts w:ascii="Times New Roman" w:eastAsia="Times New Roman" w:hAnsi="Times New Roman" w:cs="Times New Roman"/>
          <w:b/>
          <w:iCs/>
          <w:noProof/>
          <w:sz w:val="24"/>
          <w:szCs w:val="24"/>
          <w:lang w:eastAsia="en-GB"/>
        </w:rPr>
        <w:t>.3.</w:t>
      </w:r>
      <w:r w:rsidRPr="00A10ECC">
        <w:rPr>
          <w:rFonts w:ascii="Times New Roman" w:eastAsia="Times New Roman" w:hAnsi="Times New Roman" w:cs="Times New Roman"/>
          <w:b/>
          <w:iCs/>
          <w:noProof/>
          <w:sz w:val="24"/>
          <w:szCs w:val="24"/>
          <w:lang w:eastAsia="en-GB"/>
        </w:rPr>
        <w:tab/>
      </w:r>
      <w:r w:rsidRPr="007E41C5">
        <w:rPr>
          <w:rFonts w:ascii="Times New Roman" w:eastAsia="Times New Roman" w:hAnsi="Times New Roman" w:cs="Times New Roman"/>
          <w:b/>
          <w:iCs/>
          <w:noProof/>
          <w:sz w:val="24"/>
          <w:szCs w:val="24"/>
          <w:highlight w:val="yellow"/>
          <w:lang w:eastAsia="en-GB"/>
        </w:rPr>
        <w:t xml:space="preserve">Indicators </w:t>
      </w:r>
    </w:p>
    <w:p w14:paraId="118E0181" w14:textId="77777777" w:rsidR="009E4ABC" w:rsidRPr="007E41C5" w:rsidRDefault="009E4ABC" w:rsidP="009E4ABC">
      <w:pPr>
        <w:spacing w:after="200" w:line="276" w:lineRule="auto"/>
        <w:jc w:val="both"/>
        <w:rPr>
          <w:rFonts w:ascii="Times New Roman" w:eastAsia="Times New Roman" w:hAnsi="Times New Roman" w:cs="Times New Roman"/>
          <w:i/>
          <w:noProof/>
          <w:color w:val="000000"/>
          <w:sz w:val="24"/>
          <w:szCs w:val="24"/>
          <w:highlight w:val="yellow"/>
          <w:lang w:eastAsia="en-GB"/>
        </w:rPr>
      </w:pPr>
      <w:r w:rsidRPr="007E41C5">
        <w:rPr>
          <w:rFonts w:ascii="Times New Roman" w:eastAsia="Times New Roman" w:hAnsi="Times New Roman" w:cs="Times New Roman"/>
          <w:i/>
          <w:noProof/>
          <w:color w:val="000000"/>
          <w:sz w:val="24"/>
          <w:szCs w:val="24"/>
          <w:highlight w:val="yellow"/>
          <w:lang w:eastAsia="en-GB"/>
        </w:rPr>
        <w:t>Reference: point (e)(ii) of Article 17(3), Article point (c)(iii)17(9)</w:t>
      </w:r>
    </w:p>
    <w:p w14:paraId="0FDC5BD4" w14:textId="77777777" w:rsidR="009E4ABC" w:rsidRPr="007E41C5" w:rsidRDefault="009E4ABC" w:rsidP="009E4ABC">
      <w:pPr>
        <w:spacing w:before="240" w:after="240" w:line="240" w:lineRule="auto"/>
        <w:rPr>
          <w:rFonts w:ascii="Times New Roman" w:eastAsia="Times New Roman" w:hAnsi="Times New Roman" w:cs="Times New Roman"/>
          <w:iCs/>
          <w:noProof/>
          <w:sz w:val="24"/>
          <w:szCs w:val="24"/>
          <w:highlight w:val="yellow"/>
          <w:lang w:eastAsia="en-GB"/>
        </w:rPr>
      </w:pPr>
      <w:r w:rsidRPr="007E41C5">
        <w:rPr>
          <w:rFonts w:ascii="Times New Roman" w:eastAsia="Times New Roman" w:hAnsi="Times New Roman" w:cs="Times New Roman"/>
          <w:iCs/>
          <w:noProof/>
          <w:sz w:val="24"/>
          <w:szCs w:val="24"/>
          <w:highlight w:val="yellow"/>
          <w:lang w:eastAsia="en-GB"/>
        </w:rPr>
        <w:t>Table 2: Output indicators</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7"/>
        <w:gridCol w:w="1832"/>
        <w:gridCol w:w="1386"/>
        <w:gridCol w:w="1685"/>
        <w:gridCol w:w="1857"/>
        <w:gridCol w:w="884"/>
        <w:gridCol w:w="925"/>
      </w:tblGrid>
      <w:tr w:rsidR="00185F6F" w:rsidRPr="007E41C5" w14:paraId="6AE791D3" w14:textId="77777777" w:rsidTr="00583567">
        <w:trPr>
          <w:trHeight w:val="836"/>
        </w:trPr>
        <w:tc>
          <w:tcPr>
            <w:tcW w:w="617" w:type="pct"/>
          </w:tcPr>
          <w:p w14:paraId="13BB7CB4" w14:textId="77777777" w:rsidR="009E4ABC" w:rsidRPr="007E41C5" w:rsidRDefault="009E4ABC" w:rsidP="0096715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 xml:space="preserve">Priority </w:t>
            </w:r>
          </w:p>
        </w:tc>
        <w:tc>
          <w:tcPr>
            <w:tcW w:w="937" w:type="pct"/>
          </w:tcPr>
          <w:p w14:paraId="1AABD112" w14:textId="77777777" w:rsidR="009E4ABC" w:rsidRPr="007E41C5" w:rsidRDefault="009E4ABC" w:rsidP="0096715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Specific objective</w:t>
            </w:r>
          </w:p>
        </w:tc>
        <w:tc>
          <w:tcPr>
            <w:tcW w:w="709" w:type="pct"/>
          </w:tcPr>
          <w:p w14:paraId="4C80648C" w14:textId="77777777" w:rsidR="009E4ABC" w:rsidRPr="007E41C5" w:rsidRDefault="009E4ABC" w:rsidP="0096715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ID</w:t>
            </w:r>
          </w:p>
          <w:p w14:paraId="749E33DC" w14:textId="77777777" w:rsidR="009E4ABC" w:rsidRPr="007E41C5" w:rsidRDefault="009E4ABC" w:rsidP="0096715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[5]</w:t>
            </w:r>
          </w:p>
        </w:tc>
        <w:tc>
          <w:tcPr>
            <w:tcW w:w="862" w:type="pct"/>
            <w:shd w:val="clear" w:color="auto" w:fill="auto"/>
          </w:tcPr>
          <w:p w14:paraId="7438796D" w14:textId="77777777" w:rsidR="009E4ABC" w:rsidRPr="007E41C5" w:rsidRDefault="009E4ABC" w:rsidP="0096715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 xml:space="preserve">Indicator </w:t>
            </w:r>
          </w:p>
        </w:tc>
        <w:tc>
          <w:tcPr>
            <w:tcW w:w="950" w:type="pct"/>
          </w:tcPr>
          <w:p w14:paraId="35974A34" w14:textId="77777777" w:rsidR="009E4ABC" w:rsidRPr="007E41C5" w:rsidRDefault="009E4ABC" w:rsidP="0096715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Measurement unit</w:t>
            </w:r>
          </w:p>
          <w:p w14:paraId="08066D42" w14:textId="77777777" w:rsidR="009E4ABC" w:rsidRPr="007E41C5" w:rsidRDefault="009E4ABC" w:rsidP="0096715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[255]</w:t>
            </w:r>
          </w:p>
        </w:tc>
        <w:tc>
          <w:tcPr>
            <w:tcW w:w="452" w:type="pct"/>
            <w:shd w:val="clear" w:color="auto" w:fill="auto"/>
          </w:tcPr>
          <w:p w14:paraId="799A3193" w14:textId="77777777" w:rsidR="009E4ABC" w:rsidRPr="007E41C5" w:rsidRDefault="009E4ABC" w:rsidP="0096715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Milestone (2024)</w:t>
            </w:r>
          </w:p>
          <w:p w14:paraId="2B6CC1E0" w14:textId="77777777" w:rsidR="009E4ABC" w:rsidRPr="007E41C5" w:rsidRDefault="009E4ABC" w:rsidP="0096715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[200]</w:t>
            </w:r>
          </w:p>
        </w:tc>
        <w:tc>
          <w:tcPr>
            <w:tcW w:w="473" w:type="pct"/>
            <w:shd w:val="clear" w:color="auto" w:fill="auto"/>
          </w:tcPr>
          <w:p w14:paraId="06567064" w14:textId="77777777" w:rsidR="009E4ABC" w:rsidRPr="007E41C5" w:rsidRDefault="009E4ABC" w:rsidP="0096715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Final target (2029)</w:t>
            </w:r>
          </w:p>
          <w:p w14:paraId="3D2260C7" w14:textId="77777777" w:rsidR="009E4ABC" w:rsidRPr="007E41C5" w:rsidRDefault="009E4ABC" w:rsidP="0096715F">
            <w:pPr>
              <w:spacing w:before="120" w:after="120" w:line="240" w:lineRule="auto"/>
              <w:jc w:val="both"/>
              <w:rPr>
                <w:rFonts w:ascii="Times New Roman" w:eastAsia="Calibri" w:hAnsi="Times New Roman" w:cs="Arial"/>
                <w:b/>
                <w:noProof/>
                <w:sz w:val="16"/>
                <w:szCs w:val="16"/>
                <w:highlight w:val="yellow"/>
              </w:rPr>
            </w:pPr>
            <w:r w:rsidRPr="007E41C5">
              <w:rPr>
                <w:rFonts w:ascii="Times New Roman" w:eastAsia="Calibri" w:hAnsi="Times New Roman" w:cs="Arial"/>
                <w:b/>
                <w:noProof/>
                <w:sz w:val="16"/>
                <w:szCs w:val="16"/>
                <w:highlight w:val="yellow"/>
              </w:rPr>
              <w:t>[200]</w:t>
            </w:r>
          </w:p>
        </w:tc>
      </w:tr>
      <w:tr w:rsidR="00583567" w:rsidRPr="007E41C5" w14:paraId="0F764EC1" w14:textId="77777777" w:rsidTr="00583567">
        <w:trPr>
          <w:trHeight w:val="579"/>
        </w:trPr>
        <w:tc>
          <w:tcPr>
            <w:tcW w:w="617" w:type="pct"/>
          </w:tcPr>
          <w:p w14:paraId="50D23C32" w14:textId="77777777" w:rsidR="00583567" w:rsidRPr="007E41C5" w:rsidRDefault="00583567" w:rsidP="00583567">
            <w:pPr>
              <w:spacing w:before="120" w:after="120" w:line="240" w:lineRule="auto"/>
              <w:jc w:val="both"/>
              <w:rPr>
                <w:rFonts w:ascii="Times New Roman" w:eastAsia="Times New Roman" w:hAnsi="Times New Roman" w:cs="Times New Roman"/>
                <w:i/>
                <w:noProof/>
                <w:color w:val="000000"/>
                <w:sz w:val="18"/>
                <w:szCs w:val="18"/>
                <w:highlight w:val="yellow"/>
                <w:lang w:eastAsia="en-GB"/>
              </w:rPr>
            </w:pPr>
            <w:r w:rsidRPr="007E41C5">
              <w:rPr>
                <w:rFonts w:ascii="Times New Roman" w:eastAsia="Times New Roman" w:hAnsi="Times New Roman" w:cs="Times New Roman"/>
                <w:i/>
                <w:noProof/>
                <w:color w:val="000000"/>
                <w:sz w:val="18"/>
                <w:szCs w:val="18"/>
                <w:highlight w:val="yellow"/>
                <w:lang w:eastAsia="en-GB"/>
              </w:rPr>
              <w:t>Integrated developkment of cross-border region</w:t>
            </w:r>
          </w:p>
        </w:tc>
        <w:tc>
          <w:tcPr>
            <w:tcW w:w="937" w:type="pct"/>
          </w:tcPr>
          <w:p w14:paraId="2C5C1D69" w14:textId="77777777" w:rsidR="00583567" w:rsidRPr="007E41C5" w:rsidRDefault="00583567" w:rsidP="00583567">
            <w:pPr>
              <w:spacing w:before="120" w:after="120" w:line="240" w:lineRule="auto"/>
              <w:jc w:val="both"/>
              <w:rPr>
                <w:rFonts w:ascii="Times New Roman" w:eastAsia="Times New Roman" w:hAnsi="Times New Roman" w:cs="Times New Roman"/>
                <w:i/>
                <w:noProof/>
                <w:color w:val="000000"/>
                <w:sz w:val="18"/>
                <w:szCs w:val="18"/>
                <w:highlight w:val="yellow"/>
                <w:lang w:eastAsia="en-GB"/>
              </w:rPr>
            </w:pPr>
            <w:r w:rsidRPr="007E41C5">
              <w:rPr>
                <w:rFonts w:ascii="Times New Roman" w:eastAsia="Times New Roman" w:hAnsi="Times New Roman" w:cs="Times New Roman"/>
                <w:i/>
                <w:noProof/>
                <w:color w:val="000000"/>
                <w:sz w:val="18"/>
                <w:szCs w:val="18"/>
                <w:highlight w:val="yellow"/>
                <w:lang w:eastAsia="en-GB"/>
              </w:rPr>
              <w:t>SO (ii) Fostering the integrated social, economic and environmental development, cultural heritage and security in areas other than urban</w:t>
            </w:r>
          </w:p>
        </w:tc>
        <w:tc>
          <w:tcPr>
            <w:tcW w:w="709" w:type="pct"/>
          </w:tcPr>
          <w:p w14:paraId="64E1176A" w14:textId="77777777" w:rsidR="00583567" w:rsidRPr="007E41C5" w:rsidRDefault="00583567" w:rsidP="00583567">
            <w:pPr>
              <w:spacing w:before="120" w:after="120" w:line="240" w:lineRule="auto"/>
              <w:jc w:val="both"/>
              <w:rPr>
                <w:rFonts w:ascii="Times New Roman" w:eastAsia="Times New Roman" w:hAnsi="Times New Roman" w:cs="Times New Roman"/>
                <w:i/>
                <w:noProof/>
                <w:color w:val="000000"/>
                <w:sz w:val="18"/>
                <w:szCs w:val="18"/>
                <w:highlight w:val="yellow"/>
                <w:lang w:eastAsia="en-GB"/>
              </w:rPr>
            </w:pPr>
            <w:r w:rsidRPr="007E41C5">
              <w:rPr>
                <w:rFonts w:ascii="Times New Roman" w:eastAsia="Times New Roman" w:hAnsi="Times New Roman" w:cs="Times New Roman"/>
                <w:i/>
                <w:noProof/>
                <w:color w:val="000000"/>
                <w:sz w:val="18"/>
                <w:szCs w:val="18"/>
                <w:highlight w:val="yellow"/>
                <w:lang w:eastAsia="en-GB"/>
              </w:rPr>
              <w:t>RCO87</w:t>
            </w:r>
          </w:p>
        </w:tc>
        <w:tc>
          <w:tcPr>
            <w:tcW w:w="862" w:type="pct"/>
            <w:shd w:val="clear" w:color="auto" w:fill="auto"/>
          </w:tcPr>
          <w:p w14:paraId="2A4C2848" w14:textId="77777777" w:rsidR="00583567" w:rsidRPr="007E41C5" w:rsidRDefault="00583567" w:rsidP="00583567">
            <w:pPr>
              <w:spacing w:before="120" w:after="120" w:line="240" w:lineRule="auto"/>
              <w:jc w:val="both"/>
              <w:rPr>
                <w:rFonts w:ascii="Times New Roman" w:eastAsia="Times New Roman" w:hAnsi="Times New Roman" w:cs="Times New Roman"/>
                <w:i/>
                <w:noProof/>
                <w:color w:val="000000"/>
                <w:sz w:val="18"/>
                <w:szCs w:val="18"/>
                <w:highlight w:val="yellow"/>
                <w:lang w:eastAsia="en-GB"/>
              </w:rPr>
            </w:pPr>
            <w:r w:rsidRPr="007E41C5">
              <w:rPr>
                <w:rFonts w:ascii="Times New Roman" w:eastAsia="Times New Roman" w:hAnsi="Times New Roman" w:cs="Times New Roman"/>
                <w:i/>
                <w:noProof/>
                <w:color w:val="000000"/>
                <w:sz w:val="18"/>
                <w:szCs w:val="18"/>
                <w:highlight w:val="yellow"/>
                <w:lang w:eastAsia="en-GB"/>
              </w:rPr>
              <w:t>Organizations cooperating across borders</w:t>
            </w:r>
          </w:p>
        </w:tc>
        <w:tc>
          <w:tcPr>
            <w:tcW w:w="950" w:type="pct"/>
          </w:tcPr>
          <w:p w14:paraId="46B225C7" w14:textId="77777777" w:rsidR="00583567" w:rsidRPr="007E41C5" w:rsidRDefault="00583567" w:rsidP="00583567">
            <w:pPr>
              <w:spacing w:before="120" w:after="120" w:line="240" w:lineRule="auto"/>
              <w:jc w:val="both"/>
              <w:rPr>
                <w:rFonts w:ascii="Times New Roman" w:eastAsia="Calibri" w:hAnsi="Times New Roman" w:cs="Arial"/>
                <w:i/>
                <w:noProof/>
                <w:sz w:val="18"/>
                <w:szCs w:val="18"/>
                <w:highlight w:val="yellow"/>
              </w:rPr>
            </w:pPr>
            <w:r w:rsidRPr="007E41C5">
              <w:rPr>
                <w:rFonts w:ascii="Times New Roman" w:eastAsia="Calibri" w:hAnsi="Times New Roman" w:cs="Arial"/>
                <w:i/>
                <w:noProof/>
                <w:sz w:val="18"/>
                <w:szCs w:val="18"/>
                <w:highlight w:val="yellow"/>
              </w:rPr>
              <w:t>organisations</w:t>
            </w:r>
          </w:p>
        </w:tc>
        <w:tc>
          <w:tcPr>
            <w:tcW w:w="452" w:type="pct"/>
            <w:shd w:val="clear" w:color="auto" w:fill="auto"/>
          </w:tcPr>
          <w:p w14:paraId="3B60120B" w14:textId="77777777" w:rsidR="00583567" w:rsidRPr="007E41C5" w:rsidRDefault="00156283" w:rsidP="00583567">
            <w:pPr>
              <w:spacing w:before="120" w:after="120" w:line="240" w:lineRule="auto"/>
              <w:jc w:val="both"/>
              <w:rPr>
                <w:rFonts w:ascii="Times New Roman" w:eastAsia="Calibri" w:hAnsi="Times New Roman" w:cs="Arial"/>
                <w:b/>
                <w:i/>
                <w:noProof/>
                <w:sz w:val="16"/>
                <w:szCs w:val="16"/>
                <w:highlight w:val="yellow"/>
              </w:rPr>
            </w:pPr>
            <w:r w:rsidRPr="007E41C5">
              <w:rPr>
                <w:rFonts w:ascii="Times New Roman" w:eastAsia="Calibri" w:hAnsi="Times New Roman" w:cs="Arial"/>
                <w:b/>
                <w:i/>
                <w:noProof/>
                <w:sz w:val="16"/>
                <w:szCs w:val="16"/>
                <w:highlight w:val="yellow"/>
              </w:rPr>
              <w:t>14</w:t>
            </w:r>
          </w:p>
        </w:tc>
        <w:tc>
          <w:tcPr>
            <w:tcW w:w="473" w:type="pct"/>
            <w:shd w:val="clear" w:color="auto" w:fill="auto"/>
          </w:tcPr>
          <w:p w14:paraId="6FA10629" w14:textId="77777777" w:rsidR="00583567" w:rsidRPr="007E41C5" w:rsidRDefault="00156283" w:rsidP="00583567">
            <w:pPr>
              <w:spacing w:before="120" w:after="120" w:line="240" w:lineRule="auto"/>
              <w:jc w:val="both"/>
              <w:rPr>
                <w:rFonts w:ascii="Times New Roman" w:eastAsia="Calibri" w:hAnsi="Times New Roman" w:cs="Arial"/>
                <w:b/>
                <w:i/>
                <w:noProof/>
                <w:sz w:val="16"/>
                <w:szCs w:val="16"/>
                <w:highlight w:val="yellow"/>
              </w:rPr>
            </w:pPr>
            <w:r w:rsidRPr="007E41C5">
              <w:rPr>
                <w:rFonts w:ascii="Times New Roman" w:eastAsia="Calibri" w:hAnsi="Times New Roman" w:cs="Arial"/>
                <w:b/>
                <w:i/>
                <w:noProof/>
                <w:sz w:val="16"/>
                <w:szCs w:val="16"/>
                <w:highlight w:val="yellow"/>
              </w:rPr>
              <w:t>34</w:t>
            </w:r>
          </w:p>
        </w:tc>
      </w:tr>
      <w:tr w:rsidR="00583567" w:rsidRPr="007E41C5" w14:paraId="34DF5C34" w14:textId="77777777" w:rsidTr="00583567">
        <w:trPr>
          <w:trHeight w:val="579"/>
        </w:trPr>
        <w:tc>
          <w:tcPr>
            <w:tcW w:w="617" w:type="pct"/>
          </w:tcPr>
          <w:p w14:paraId="48B7FF54" w14:textId="77777777" w:rsidR="00583567" w:rsidRPr="007E41C5" w:rsidRDefault="00583567" w:rsidP="00583567">
            <w:pPr>
              <w:spacing w:before="120" w:after="120" w:line="240" w:lineRule="auto"/>
              <w:jc w:val="both"/>
              <w:rPr>
                <w:rFonts w:ascii="Times New Roman" w:eastAsia="Times New Roman" w:hAnsi="Times New Roman" w:cs="Times New Roman"/>
                <w:i/>
                <w:noProof/>
                <w:color w:val="000000"/>
                <w:sz w:val="18"/>
                <w:szCs w:val="18"/>
                <w:highlight w:val="yellow"/>
                <w:lang w:eastAsia="en-GB"/>
              </w:rPr>
            </w:pPr>
            <w:r w:rsidRPr="007E41C5">
              <w:rPr>
                <w:rFonts w:ascii="Times New Roman" w:eastAsia="Times New Roman" w:hAnsi="Times New Roman" w:cs="Times New Roman"/>
                <w:i/>
                <w:noProof/>
                <w:color w:val="000000"/>
                <w:sz w:val="18"/>
                <w:szCs w:val="18"/>
                <w:highlight w:val="yellow"/>
                <w:lang w:eastAsia="en-GB"/>
              </w:rPr>
              <w:t>Integrated developkment of cross-</w:t>
            </w:r>
            <w:r w:rsidRPr="007E41C5">
              <w:rPr>
                <w:rFonts w:ascii="Times New Roman" w:eastAsia="Times New Roman" w:hAnsi="Times New Roman" w:cs="Times New Roman"/>
                <w:i/>
                <w:noProof/>
                <w:color w:val="000000"/>
                <w:sz w:val="18"/>
                <w:szCs w:val="18"/>
                <w:highlight w:val="yellow"/>
                <w:lang w:eastAsia="en-GB"/>
              </w:rPr>
              <w:lastRenderedPageBreak/>
              <w:t>border region</w:t>
            </w:r>
          </w:p>
        </w:tc>
        <w:tc>
          <w:tcPr>
            <w:tcW w:w="937" w:type="pct"/>
          </w:tcPr>
          <w:p w14:paraId="55CB22B7" w14:textId="77777777" w:rsidR="00583567" w:rsidRPr="007E41C5" w:rsidRDefault="00583567" w:rsidP="00583567">
            <w:pPr>
              <w:spacing w:before="120" w:after="120" w:line="240" w:lineRule="auto"/>
              <w:jc w:val="both"/>
              <w:rPr>
                <w:rFonts w:ascii="Times New Roman" w:eastAsia="Times New Roman" w:hAnsi="Times New Roman" w:cs="Times New Roman"/>
                <w:i/>
                <w:noProof/>
                <w:color w:val="000000"/>
                <w:sz w:val="18"/>
                <w:szCs w:val="18"/>
                <w:highlight w:val="yellow"/>
                <w:lang w:eastAsia="en-GB"/>
              </w:rPr>
            </w:pPr>
            <w:r w:rsidRPr="007E41C5">
              <w:rPr>
                <w:rFonts w:ascii="Times New Roman" w:eastAsia="Times New Roman" w:hAnsi="Times New Roman" w:cs="Times New Roman"/>
                <w:i/>
                <w:noProof/>
                <w:color w:val="000000"/>
                <w:sz w:val="18"/>
                <w:szCs w:val="18"/>
                <w:highlight w:val="yellow"/>
                <w:lang w:eastAsia="en-GB"/>
              </w:rPr>
              <w:lastRenderedPageBreak/>
              <w:t xml:space="preserve">SO (ii) Fostering the integrated social, economic and </w:t>
            </w:r>
            <w:r w:rsidRPr="007E41C5">
              <w:rPr>
                <w:rFonts w:ascii="Times New Roman" w:eastAsia="Times New Roman" w:hAnsi="Times New Roman" w:cs="Times New Roman"/>
                <w:i/>
                <w:noProof/>
                <w:color w:val="000000"/>
                <w:sz w:val="18"/>
                <w:szCs w:val="18"/>
                <w:highlight w:val="yellow"/>
                <w:lang w:eastAsia="en-GB"/>
              </w:rPr>
              <w:lastRenderedPageBreak/>
              <w:t>environmental development, cultural heritage and security in areas other than urban</w:t>
            </w:r>
          </w:p>
        </w:tc>
        <w:tc>
          <w:tcPr>
            <w:tcW w:w="709" w:type="pct"/>
          </w:tcPr>
          <w:p w14:paraId="6CFFA137" w14:textId="77777777" w:rsidR="00583567" w:rsidRPr="007E41C5" w:rsidRDefault="00583567" w:rsidP="00583567">
            <w:pPr>
              <w:spacing w:before="120" w:after="120" w:line="240" w:lineRule="auto"/>
              <w:jc w:val="both"/>
              <w:rPr>
                <w:rFonts w:ascii="Times New Roman" w:eastAsia="Times New Roman" w:hAnsi="Times New Roman" w:cs="Times New Roman"/>
                <w:i/>
                <w:noProof/>
                <w:color w:val="000000"/>
                <w:sz w:val="18"/>
                <w:szCs w:val="18"/>
                <w:highlight w:val="yellow"/>
                <w:lang w:eastAsia="en-GB"/>
              </w:rPr>
            </w:pPr>
            <w:r w:rsidRPr="007E41C5">
              <w:rPr>
                <w:rFonts w:ascii="Times New Roman" w:eastAsia="Times New Roman" w:hAnsi="Times New Roman" w:cs="Times New Roman"/>
                <w:i/>
                <w:noProof/>
                <w:color w:val="000000"/>
                <w:sz w:val="18"/>
                <w:szCs w:val="18"/>
                <w:highlight w:val="yellow"/>
                <w:lang w:eastAsia="en-GB"/>
              </w:rPr>
              <w:lastRenderedPageBreak/>
              <w:t>RCO116</w:t>
            </w:r>
          </w:p>
        </w:tc>
        <w:tc>
          <w:tcPr>
            <w:tcW w:w="862" w:type="pct"/>
            <w:shd w:val="clear" w:color="auto" w:fill="auto"/>
          </w:tcPr>
          <w:p w14:paraId="25D8B9E9" w14:textId="77777777" w:rsidR="00583567" w:rsidRPr="007E41C5" w:rsidRDefault="00583567" w:rsidP="00583567">
            <w:pPr>
              <w:spacing w:before="120" w:after="120" w:line="240" w:lineRule="auto"/>
              <w:jc w:val="both"/>
              <w:rPr>
                <w:rFonts w:ascii="Times New Roman" w:eastAsia="Times New Roman" w:hAnsi="Times New Roman" w:cs="Times New Roman"/>
                <w:i/>
                <w:noProof/>
                <w:color w:val="000000"/>
                <w:sz w:val="18"/>
                <w:szCs w:val="18"/>
                <w:highlight w:val="yellow"/>
                <w:lang w:eastAsia="en-GB"/>
              </w:rPr>
            </w:pPr>
            <w:r w:rsidRPr="007E41C5">
              <w:rPr>
                <w:rFonts w:ascii="Times New Roman" w:eastAsia="Times New Roman" w:hAnsi="Times New Roman" w:cs="Times New Roman"/>
                <w:i/>
                <w:noProof/>
                <w:color w:val="000000"/>
                <w:sz w:val="18"/>
                <w:szCs w:val="18"/>
                <w:highlight w:val="yellow"/>
                <w:lang w:eastAsia="en-GB"/>
              </w:rPr>
              <w:t>Jointly developed solutions</w:t>
            </w:r>
          </w:p>
        </w:tc>
        <w:tc>
          <w:tcPr>
            <w:tcW w:w="950" w:type="pct"/>
          </w:tcPr>
          <w:p w14:paraId="0660EE19" w14:textId="77777777" w:rsidR="00583567" w:rsidRPr="007E41C5" w:rsidRDefault="00583567" w:rsidP="00583567">
            <w:pPr>
              <w:spacing w:before="120" w:after="120" w:line="240" w:lineRule="auto"/>
              <w:jc w:val="both"/>
              <w:rPr>
                <w:rFonts w:ascii="Times New Roman" w:eastAsia="Calibri" w:hAnsi="Times New Roman" w:cs="Arial"/>
                <w:i/>
                <w:noProof/>
                <w:sz w:val="18"/>
                <w:szCs w:val="18"/>
                <w:highlight w:val="yellow"/>
              </w:rPr>
            </w:pPr>
            <w:r w:rsidRPr="007E41C5">
              <w:rPr>
                <w:rFonts w:ascii="Times New Roman" w:eastAsia="Calibri" w:hAnsi="Times New Roman" w:cs="Arial"/>
                <w:i/>
                <w:noProof/>
                <w:sz w:val="18"/>
                <w:szCs w:val="18"/>
                <w:highlight w:val="yellow"/>
              </w:rPr>
              <w:t>solutions</w:t>
            </w:r>
          </w:p>
        </w:tc>
        <w:tc>
          <w:tcPr>
            <w:tcW w:w="452" w:type="pct"/>
            <w:shd w:val="clear" w:color="auto" w:fill="auto"/>
          </w:tcPr>
          <w:p w14:paraId="4F9AEF60" w14:textId="77777777" w:rsidR="00583567" w:rsidRPr="007E41C5" w:rsidRDefault="00156283" w:rsidP="00583567">
            <w:pPr>
              <w:spacing w:before="120" w:after="120" w:line="240" w:lineRule="auto"/>
              <w:jc w:val="both"/>
              <w:rPr>
                <w:rFonts w:ascii="Times New Roman" w:eastAsia="Calibri" w:hAnsi="Times New Roman" w:cs="Arial"/>
                <w:b/>
                <w:i/>
                <w:noProof/>
                <w:sz w:val="16"/>
                <w:szCs w:val="16"/>
                <w:highlight w:val="yellow"/>
              </w:rPr>
            </w:pPr>
            <w:r w:rsidRPr="007E41C5">
              <w:rPr>
                <w:rFonts w:ascii="Times New Roman" w:eastAsia="Calibri" w:hAnsi="Times New Roman" w:cs="Arial"/>
                <w:b/>
                <w:i/>
                <w:noProof/>
                <w:sz w:val="16"/>
                <w:szCs w:val="16"/>
                <w:highlight w:val="yellow"/>
              </w:rPr>
              <w:t>6</w:t>
            </w:r>
          </w:p>
        </w:tc>
        <w:tc>
          <w:tcPr>
            <w:tcW w:w="473" w:type="pct"/>
            <w:shd w:val="clear" w:color="auto" w:fill="auto"/>
          </w:tcPr>
          <w:p w14:paraId="05DE1BDB" w14:textId="77777777" w:rsidR="00583567" w:rsidRPr="007E41C5" w:rsidRDefault="00156283" w:rsidP="00583567">
            <w:pPr>
              <w:spacing w:before="120" w:after="120" w:line="240" w:lineRule="auto"/>
              <w:jc w:val="both"/>
              <w:rPr>
                <w:rFonts w:ascii="Times New Roman" w:eastAsia="Calibri" w:hAnsi="Times New Roman" w:cs="Arial"/>
                <w:b/>
                <w:i/>
                <w:noProof/>
                <w:sz w:val="16"/>
                <w:szCs w:val="16"/>
                <w:highlight w:val="yellow"/>
              </w:rPr>
            </w:pPr>
            <w:r w:rsidRPr="007E41C5">
              <w:rPr>
                <w:rFonts w:ascii="Times New Roman" w:eastAsia="Calibri" w:hAnsi="Times New Roman" w:cs="Arial"/>
                <w:b/>
                <w:i/>
                <w:noProof/>
                <w:sz w:val="16"/>
                <w:szCs w:val="16"/>
                <w:highlight w:val="yellow"/>
              </w:rPr>
              <w:t>15</w:t>
            </w:r>
          </w:p>
        </w:tc>
      </w:tr>
    </w:tbl>
    <w:p w14:paraId="77E100D7" w14:textId="77777777" w:rsidR="009E4ABC" w:rsidRPr="007E41C5" w:rsidRDefault="009E4ABC" w:rsidP="009E4ABC">
      <w:pPr>
        <w:spacing w:before="240" w:after="240" w:line="240" w:lineRule="auto"/>
        <w:rPr>
          <w:rFonts w:ascii="Times New Roman" w:eastAsia="Times New Roman" w:hAnsi="Times New Roman" w:cs="Times New Roman"/>
          <w:iCs/>
          <w:noProof/>
          <w:sz w:val="24"/>
          <w:szCs w:val="24"/>
          <w:highlight w:val="yellow"/>
          <w:lang w:eastAsia="en-GB"/>
        </w:rPr>
      </w:pPr>
    </w:p>
    <w:p w14:paraId="0DEA4307" w14:textId="77777777" w:rsidR="009E4ABC" w:rsidRPr="007E41C5" w:rsidRDefault="009E4ABC" w:rsidP="009E4ABC">
      <w:pPr>
        <w:spacing w:before="240" w:after="240" w:line="240" w:lineRule="auto"/>
        <w:rPr>
          <w:rFonts w:ascii="Times New Roman" w:eastAsia="Times New Roman" w:hAnsi="Times New Roman" w:cs="Times New Roman"/>
          <w:iCs/>
          <w:noProof/>
          <w:sz w:val="24"/>
          <w:szCs w:val="24"/>
          <w:highlight w:val="yellow"/>
          <w:lang w:eastAsia="en-GB"/>
        </w:rPr>
      </w:pPr>
      <w:r w:rsidRPr="007E41C5">
        <w:rPr>
          <w:rFonts w:ascii="Times New Roman" w:eastAsia="Times New Roman" w:hAnsi="Times New Roman" w:cs="Times New Roman"/>
          <w:iCs/>
          <w:noProof/>
          <w:sz w:val="24"/>
          <w:szCs w:val="24"/>
          <w:highlight w:val="yellow"/>
          <w:lang w:eastAsia="en-GB"/>
        </w:rPr>
        <w:t>Table 3: Result indicators</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1507"/>
        <w:gridCol w:w="903"/>
        <w:gridCol w:w="1353"/>
        <w:gridCol w:w="1056"/>
        <w:gridCol w:w="925"/>
        <w:gridCol w:w="581"/>
        <w:gridCol w:w="753"/>
        <w:gridCol w:w="790"/>
        <w:gridCol w:w="708"/>
      </w:tblGrid>
      <w:tr w:rsidR="00185F6F" w:rsidRPr="007E41C5" w14:paraId="40D08DBF" w14:textId="77777777" w:rsidTr="008F38BF">
        <w:trPr>
          <w:trHeight w:val="947"/>
        </w:trPr>
        <w:tc>
          <w:tcPr>
            <w:tcW w:w="613" w:type="pct"/>
          </w:tcPr>
          <w:p w14:paraId="6F1A0E06" w14:textId="77777777" w:rsidR="009E4ABC" w:rsidRPr="007E41C5" w:rsidRDefault="009E4ABC" w:rsidP="0096715F">
            <w:pPr>
              <w:spacing w:before="120" w:after="120" w:line="240" w:lineRule="auto"/>
              <w:jc w:val="both"/>
              <w:rPr>
                <w:rFonts w:ascii="Times New Roman" w:eastAsia="Calibri" w:hAnsi="Times New Roman" w:cs="Times New Roman"/>
                <w:b/>
                <w:noProof/>
                <w:sz w:val="16"/>
                <w:szCs w:val="16"/>
                <w:highlight w:val="yellow"/>
              </w:rPr>
            </w:pPr>
            <w:r w:rsidRPr="007E41C5">
              <w:rPr>
                <w:rFonts w:ascii="Times New Roman" w:eastAsia="Calibri" w:hAnsi="Times New Roman" w:cs="Times New Roman"/>
                <w:b/>
                <w:noProof/>
                <w:sz w:val="16"/>
                <w:szCs w:val="16"/>
                <w:highlight w:val="yellow"/>
              </w:rPr>
              <w:t xml:space="preserve">Priority </w:t>
            </w:r>
          </w:p>
        </w:tc>
        <w:tc>
          <w:tcPr>
            <w:tcW w:w="771" w:type="pct"/>
          </w:tcPr>
          <w:p w14:paraId="5598FC02" w14:textId="77777777" w:rsidR="009E4ABC" w:rsidRPr="007E41C5" w:rsidRDefault="009E4ABC" w:rsidP="0096715F">
            <w:pPr>
              <w:spacing w:before="120" w:after="120" w:line="240" w:lineRule="auto"/>
              <w:jc w:val="both"/>
              <w:rPr>
                <w:rFonts w:ascii="Times New Roman" w:eastAsia="Calibri" w:hAnsi="Times New Roman" w:cs="Times New Roman"/>
                <w:b/>
                <w:noProof/>
                <w:sz w:val="16"/>
                <w:szCs w:val="16"/>
                <w:highlight w:val="yellow"/>
              </w:rPr>
            </w:pPr>
            <w:r w:rsidRPr="007E41C5">
              <w:rPr>
                <w:rFonts w:ascii="Times New Roman" w:eastAsia="Calibri" w:hAnsi="Times New Roman" w:cs="Times New Roman"/>
                <w:b/>
                <w:noProof/>
                <w:sz w:val="16"/>
                <w:szCs w:val="16"/>
                <w:highlight w:val="yellow"/>
              </w:rPr>
              <w:t>Specific objective</w:t>
            </w:r>
          </w:p>
        </w:tc>
        <w:tc>
          <w:tcPr>
            <w:tcW w:w="462" w:type="pct"/>
          </w:tcPr>
          <w:p w14:paraId="6908AE11" w14:textId="77777777" w:rsidR="009E4ABC" w:rsidRPr="007E41C5" w:rsidRDefault="009E4ABC" w:rsidP="0096715F">
            <w:pPr>
              <w:spacing w:before="120" w:after="120" w:line="240" w:lineRule="auto"/>
              <w:jc w:val="both"/>
              <w:rPr>
                <w:rFonts w:ascii="Times New Roman" w:eastAsia="Calibri" w:hAnsi="Times New Roman" w:cs="Times New Roman"/>
                <w:b/>
                <w:noProof/>
                <w:sz w:val="16"/>
                <w:szCs w:val="16"/>
                <w:highlight w:val="yellow"/>
              </w:rPr>
            </w:pPr>
            <w:r w:rsidRPr="007E41C5">
              <w:rPr>
                <w:rFonts w:ascii="Times New Roman" w:eastAsia="Calibri" w:hAnsi="Times New Roman" w:cs="Times New Roman"/>
                <w:b/>
                <w:noProof/>
                <w:sz w:val="16"/>
                <w:szCs w:val="16"/>
                <w:highlight w:val="yellow"/>
              </w:rPr>
              <w:t>ID</w:t>
            </w:r>
          </w:p>
        </w:tc>
        <w:tc>
          <w:tcPr>
            <w:tcW w:w="692" w:type="pct"/>
            <w:shd w:val="clear" w:color="auto" w:fill="auto"/>
          </w:tcPr>
          <w:p w14:paraId="0D0ABE1C" w14:textId="77777777" w:rsidR="009E4ABC" w:rsidRPr="007E41C5" w:rsidRDefault="009E4ABC" w:rsidP="0096715F">
            <w:pPr>
              <w:spacing w:before="120" w:after="120" w:line="240" w:lineRule="auto"/>
              <w:jc w:val="both"/>
              <w:rPr>
                <w:rFonts w:ascii="Times New Roman" w:eastAsia="Calibri" w:hAnsi="Times New Roman" w:cs="Times New Roman"/>
                <w:b/>
                <w:noProof/>
                <w:sz w:val="16"/>
                <w:szCs w:val="16"/>
                <w:highlight w:val="yellow"/>
              </w:rPr>
            </w:pPr>
            <w:r w:rsidRPr="007E41C5">
              <w:rPr>
                <w:rFonts w:ascii="Times New Roman" w:eastAsia="Calibri" w:hAnsi="Times New Roman" w:cs="Times New Roman"/>
                <w:b/>
                <w:noProof/>
                <w:sz w:val="16"/>
                <w:szCs w:val="16"/>
                <w:highlight w:val="yellow"/>
              </w:rPr>
              <w:t xml:space="preserve">Indicator </w:t>
            </w:r>
          </w:p>
        </w:tc>
        <w:tc>
          <w:tcPr>
            <w:tcW w:w="540" w:type="pct"/>
          </w:tcPr>
          <w:p w14:paraId="702BFC47" w14:textId="77777777" w:rsidR="009E4ABC" w:rsidRPr="007E41C5" w:rsidRDefault="009E4ABC" w:rsidP="0096715F">
            <w:pPr>
              <w:spacing w:before="120" w:after="120" w:line="240" w:lineRule="auto"/>
              <w:jc w:val="both"/>
              <w:rPr>
                <w:rFonts w:ascii="Times New Roman" w:eastAsia="Calibri" w:hAnsi="Times New Roman" w:cs="Times New Roman"/>
                <w:b/>
                <w:noProof/>
                <w:sz w:val="16"/>
                <w:szCs w:val="16"/>
                <w:highlight w:val="yellow"/>
              </w:rPr>
            </w:pPr>
            <w:r w:rsidRPr="007E41C5">
              <w:rPr>
                <w:rFonts w:ascii="Times New Roman" w:eastAsia="Calibri" w:hAnsi="Times New Roman" w:cs="Times New Roman"/>
                <w:b/>
                <w:noProof/>
                <w:sz w:val="16"/>
                <w:szCs w:val="16"/>
                <w:highlight w:val="yellow"/>
              </w:rPr>
              <w:t>Measurement unit</w:t>
            </w:r>
          </w:p>
        </w:tc>
        <w:tc>
          <w:tcPr>
            <w:tcW w:w="473" w:type="pct"/>
          </w:tcPr>
          <w:p w14:paraId="627A3444" w14:textId="77777777" w:rsidR="009E4ABC" w:rsidRPr="007E41C5" w:rsidRDefault="009E4ABC" w:rsidP="0096715F">
            <w:pPr>
              <w:spacing w:before="120" w:after="120" w:line="240" w:lineRule="auto"/>
              <w:jc w:val="both"/>
              <w:rPr>
                <w:rFonts w:ascii="Times New Roman" w:eastAsia="Calibri" w:hAnsi="Times New Roman" w:cs="Times New Roman"/>
                <w:b/>
                <w:noProof/>
                <w:sz w:val="16"/>
                <w:szCs w:val="16"/>
                <w:highlight w:val="yellow"/>
              </w:rPr>
            </w:pPr>
            <w:r w:rsidRPr="007E41C5">
              <w:rPr>
                <w:rFonts w:ascii="Times New Roman" w:eastAsia="Calibri" w:hAnsi="Times New Roman" w:cs="Times New Roman"/>
                <w:b/>
                <w:noProof/>
                <w:sz w:val="16"/>
                <w:szCs w:val="16"/>
                <w:highlight w:val="yellow"/>
              </w:rPr>
              <w:t>Baseline</w:t>
            </w:r>
          </w:p>
        </w:tc>
        <w:tc>
          <w:tcPr>
            <w:tcW w:w="297" w:type="pct"/>
          </w:tcPr>
          <w:p w14:paraId="0533F3F1" w14:textId="77777777" w:rsidR="009E4ABC" w:rsidRPr="007E41C5" w:rsidRDefault="009E4ABC" w:rsidP="0096715F">
            <w:pPr>
              <w:spacing w:before="120" w:after="120" w:line="240" w:lineRule="auto"/>
              <w:jc w:val="both"/>
              <w:rPr>
                <w:rFonts w:ascii="Times New Roman" w:eastAsia="Calibri" w:hAnsi="Times New Roman" w:cs="Times New Roman"/>
                <w:b/>
                <w:noProof/>
                <w:sz w:val="16"/>
                <w:szCs w:val="16"/>
                <w:highlight w:val="yellow"/>
              </w:rPr>
            </w:pPr>
            <w:r w:rsidRPr="007E41C5">
              <w:rPr>
                <w:rFonts w:ascii="Times New Roman" w:eastAsia="Calibri" w:hAnsi="Times New Roman" w:cs="Times New Roman"/>
                <w:b/>
                <w:noProof/>
                <w:sz w:val="16"/>
                <w:szCs w:val="16"/>
                <w:highlight w:val="yellow"/>
              </w:rPr>
              <w:t>Reference year</w:t>
            </w:r>
          </w:p>
        </w:tc>
        <w:tc>
          <w:tcPr>
            <w:tcW w:w="385" w:type="pct"/>
            <w:shd w:val="clear" w:color="auto" w:fill="auto"/>
          </w:tcPr>
          <w:p w14:paraId="352212DC" w14:textId="77777777" w:rsidR="009E4ABC" w:rsidRPr="007E41C5" w:rsidRDefault="009E4ABC" w:rsidP="0096715F">
            <w:pPr>
              <w:spacing w:before="120" w:after="120" w:line="240" w:lineRule="auto"/>
              <w:jc w:val="both"/>
              <w:rPr>
                <w:rFonts w:ascii="Times New Roman" w:eastAsia="Calibri" w:hAnsi="Times New Roman" w:cs="Times New Roman"/>
                <w:b/>
                <w:noProof/>
                <w:sz w:val="16"/>
                <w:szCs w:val="16"/>
                <w:highlight w:val="yellow"/>
              </w:rPr>
            </w:pPr>
            <w:r w:rsidRPr="007E41C5">
              <w:rPr>
                <w:rFonts w:ascii="Times New Roman" w:eastAsia="Calibri" w:hAnsi="Times New Roman" w:cs="Times New Roman"/>
                <w:b/>
                <w:noProof/>
                <w:sz w:val="16"/>
                <w:szCs w:val="16"/>
                <w:highlight w:val="yellow"/>
              </w:rPr>
              <w:t>Final target (2029)</w:t>
            </w:r>
          </w:p>
        </w:tc>
        <w:tc>
          <w:tcPr>
            <w:tcW w:w="404" w:type="pct"/>
            <w:shd w:val="clear" w:color="auto" w:fill="auto"/>
          </w:tcPr>
          <w:p w14:paraId="773A3F23" w14:textId="77777777" w:rsidR="009E4ABC" w:rsidRPr="007E41C5" w:rsidRDefault="009E4ABC" w:rsidP="0096715F">
            <w:pPr>
              <w:spacing w:before="120" w:after="120" w:line="480" w:lineRule="auto"/>
              <w:jc w:val="both"/>
              <w:rPr>
                <w:rFonts w:ascii="Times New Roman" w:eastAsia="Calibri" w:hAnsi="Times New Roman" w:cs="Times New Roman"/>
                <w:b/>
                <w:noProof/>
                <w:sz w:val="16"/>
                <w:szCs w:val="16"/>
                <w:highlight w:val="yellow"/>
              </w:rPr>
            </w:pPr>
            <w:r w:rsidRPr="007E41C5">
              <w:rPr>
                <w:rFonts w:ascii="Times New Roman" w:eastAsia="Calibri" w:hAnsi="Times New Roman" w:cs="Times New Roman"/>
                <w:b/>
                <w:noProof/>
                <w:sz w:val="16"/>
                <w:szCs w:val="16"/>
                <w:highlight w:val="yellow"/>
              </w:rPr>
              <w:t>Source of data</w:t>
            </w:r>
          </w:p>
        </w:tc>
        <w:tc>
          <w:tcPr>
            <w:tcW w:w="362" w:type="pct"/>
          </w:tcPr>
          <w:p w14:paraId="10950AEB" w14:textId="77777777" w:rsidR="009E4ABC" w:rsidRPr="007E41C5" w:rsidRDefault="009E4ABC" w:rsidP="0096715F">
            <w:pPr>
              <w:spacing w:before="120" w:after="120" w:line="480" w:lineRule="auto"/>
              <w:jc w:val="both"/>
              <w:rPr>
                <w:rFonts w:ascii="Times New Roman" w:eastAsia="Calibri" w:hAnsi="Times New Roman" w:cs="Times New Roman"/>
                <w:b/>
                <w:noProof/>
                <w:sz w:val="16"/>
                <w:szCs w:val="16"/>
                <w:highlight w:val="yellow"/>
              </w:rPr>
            </w:pPr>
            <w:r w:rsidRPr="007E41C5">
              <w:rPr>
                <w:rFonts w:ascii="Times New Roman" w:eastAsia="Calibri" w:hAnsi="Times New Roman" w:cs="Times New Roman"/>
                <w:b/>
                <w:noProof/>
                <w:sz w:val="16"/>
                <w:szCs w:val="16"/>
                <w:highlight w:val="yellow"/>
              </w:rPr>
              <w:t>Comments</w:t>
            </w:r>
          </w:p>
        </w:tc>
      </w:tr>
      <w:tr w:rsidR="00185F6F" w:rsidRPr="00A10ECC" w14:paraId="099F49AE" w14:textId="77777777" w:rsidTr="008F38BF">
        <w:trPr>
          <w:trHeight w:val="629"/>
        </w:trPr>
        <w:tc>
          <w:tcPr>
            <w:tcW w:w="613" w:type="pct"/>
          </w:tcPr>
          <w:p w14:paraId="1BDAB0F4" w14:textId="77777777" w:rsidR="00185F6F" w:rsidRPr="007E41C5" w:rsidRDefault="00185F6F" w:rsidP="008F38BF">
            <w:pPr>
              <w:spacing w:before="120" w:after="120" w:line="240" w:lineRule="auto"/>
              <w:jc w:val="both"/>
              <w:rPr>
                <w:rFonts w:ascii="Times New Roman" w:eastAsia="Times New Roman" w:hAnsi="Times New Roman" w:cs="Times New Roman"/>
                <w:i/>
                <w:noProof/>
                <w:color w:val="000000"/>
                <w:sz w:val="18"/>
                <w:szCs w:val="18"/>
                <w:highlight w:val="yellow"/>
                <w:lang w:eastAsia="en-GB"/>
              </w:rPr>
            </w:pPr>
            <w:r w:rsidRPr="007E41C5">
              <w:rPr>
                <w:rFonts w:ascii="Times New Roman" w:eastAsia="Times New Roman" w:hAnsi="Times New Roman" w:cs="Times New Roman"/>
                <w:i/>
                <w:noProof/>
                <w:color w:val="000000"/>
                <w:sz w:val="18"/>
                <w:szCs w:val="18"/>
                <w:highlight w:val="yellow"/>
                <w:lang w:eastAsia="en-GB"/>
              </w:rPr>
              <w:t>Integrated developkment of cross-border region</w:t>
            </w:r>
          </w:p>
        </w:tc>
        <w:tc>
          <w:tcPr>
            <w:tcW w:w="771" w:type="pct"/>
          </w:tcPr>
          <w:p w14:paraId="2FC34EF1" w14:textId="77777777" w:rsidR="00185F6F" w:rsidRPr="007E41C5" w:rsidRDefault="00185F6F" w:rsidP="008F38BF">
            <w:pPr>
              <w:spacing w:before="120" w:after="120" w:line="240" w:lineRule="auto"/>
              <w:jc w:val="both"/>
              <w:rPr>
                <w:rFonts w:ascii="Times New Roman" w:eastAsia="Times New Roman" w:hAnsi="Times New Roman" w:cs="Times New Roman"/>
                <w:i/>
                <w:noProof/>
                <w:color w:val="000000"/>
                <w:sz w:val="18"/>
                <w:szCs w:val="18"/>
                <w:highlight w:val="yellow"/>
                <w:lang w:eastAsia="en-GB"/>
              </w:rPr>
            </w:pPr>
            <w:r w:rsidRPr="007E41C5">
              <w:rPr>
                <w:rFonts w:ascii="Times New Roman" w:eastAsia="Times New Roman" w:hAnsi="Times New Roman" w:cs="Times New Roman"/>
                <w:i/>
                <w:noProof/>
                <w:color w:val="000000"/>
                <w:sz w:val="18"/>
                <w:szCs w:val="18"/>
                <w:highlight w:val="yellow"/>
                <w:lang w:eastAsia="en-GB"/>
              </w:rPr>
              <w:t xml:space="preserve">SO (ii) </w:t>
            </w:r>
            <w:r w:rsidR="003C74B2" w:rsidRPr="007E41C5">
              <w:rPr>
                <w:rFonts w:ascii="Times New Roman" w:eastAsia="Times New Roman" w:hAnsi="Times New Roman" w:cs="Times New Roman"/>
                <w:i/>
                <w:noProof/>
                <w:color w:val="000000"/>
                <w:sz w:val="18"/>
                <w:szCs w:val="18"/>
                <w:highlight w:val="yellow"/>
                <w:lang w:eastAsia="en-GB"/>
              </w:rPr>
              <w:t>Fostering the integrated social, economic and environmental development, cultural heritage and security in areas other than urban</w:t>
            </w:r>
          </w:p>
        </w:tc>
        <w:tc>
          <w:tcPr>
            <w:tcW w:w="462" w:type="pct"/>
          </w:tcPr>
          <w:p w14:paraId="72B84645" w14:textId="77777777" w:rsidR="00185F6F" w:rsidRPr="007E41C5" w:rsidRDefault="00185F6F" w:rsidP="00185F6F">
            <w:pPr>
              <w:spacing w:before="120" w:after="120" w:line="240" w:lineRule="auto"/>
              <w:jc w:val="both"/>
              <w:rPr>
                <w:rFonts w:ascii="Times New Roman" w:eastAsia="Calibri" w:hAnsi="Times New Roman" w:cs="Arial"/>
                <w:i/>
                <w:noProof/>
                <w:sz w:val="18"/>
                <w:szCs w:val="18"/>
                <w:highlight w:val="yellow"/>
              </w:rPr>
            </w:pPr>
            <w:r w:rsidRPr="007E41C5">
              <w:rPr>
                <w:rFonts w:ascii="Times New Roman" w:eastAsia="Calibri" w:hAnsi="Times New Roman" w:cs="Arial"/>
                <w:i/>
                <w:noProof/>
                <w:sz w:val="18"/>
                <w:szCs w:val="18"/>
                <w:highlight w:val="yellow"/>
              </w:rPr>
              <w:t>RCR104</w:t>
            </w:r>
          </w:p>
        </w:tc>
        <w:tc>
          <w:tcPr>
            <w:tcW w:w="692" w:type="pct"/>
            <w:shd w:val="clear" w:color="auto" w:fill="auto"/>
          </w:tcPr>
          <w:p w14:paraId="226CB34A" w14:textId="77777777" w:rsidR="00185F6F" w:rsidRPr="007E41C5" w:rsidRDefault="00185F6F" w:rsidP="00185F6F">
            <w:pPr>
              <w:spacing w:before="120" w:after="120" w:line="240" w:lineRule="auto"/>
              <w:jc w:val="both"/>
              <w:rPr>
                <w:rFonts w:ascii="Times New Roman" w:eastAsia="Times New Roman" w:hAnsi="Times New Roman" w:cs="Times New Roman"/>
                <w:i/>
                <w:noProof/>
                <w:color w:val="000000"/>
                <w:sz w:val="18"/>
                <w:szCs w:val="18"/>
                <w:highlight w:val="yellow"/>
                <w:lang w:eastAsia="en-GB"/>
              </w:rPr>
            </w:pPr>
            <w:r w:rsidRPr="007E41C5">
              <w:rPr>
                <w:rFonts w:ascii="Times New Roman" w:eastAsia="Times New Roman" w:hAnsi="Times New Roman" w:cs="Times New Roman"/>
                <w:i/>
                <w:noProof/>
                <w:color w:val="000000"/>
                <w:sz w:val="18"/>
                <w:szCs w:val="18"/>
                <w:highlight w:val="yellow"/>
                <w:lang w:eastAsia="en-GB"/>
              </w:rPr>
              <w:t>Solutions taken up or up-scaled by organizations</w:t>
            </w:r>
          </w:p>
        </w:tc>
        <w:tc>
          <w:tcPr>
            <w:tcW w:w="540" w:type="pct"/>
          </w:tcPr>
          <w:p w14:paraId="3F26D8DA" w14:textId="77777777" w:rsidR="00185F6F" w:rsidRPr="007E41C5" w:rsidRDefault="00185F6F" w:rsidP="00185F6F">
            <w:pPr>
              <w:spacing w:before="120" w:after="120" w:line="240" w:lineRule="auto"/>
              <w:jc w:val="both"/>
              <w:rPr>
                <w:rFonts w:ascii="Times New Roman" w:eastAsia="Times New Roman" w:hAnsi="Times New Roman" w:cs="Times New Roman"/>
                <w:i/>
                <w:noProof/>
                <w:color w:val="000000"/>
                <w:sz w:val="20"/>
                <w:szCs w:val="20"/>
                <w:highlight w:val="yellow"/>
                <w:lang w:eastAsia="en-GB"/>
              </w:rPr>
            </w:pPr>
            <w:r w:rsidRPr="007E41C5">
              <w:rPr>
                <w:rFonts w:ascii="Times New Roman" w:eastAsia="Times New Roman" w:hAnsi="Times New Roman" w:cs="Times New Roman"/>
                <w:i/>
                <w:noProof/>
                <w:color w:val="000000"/>
                <w:sz w:val="20"/>
                <w:szCs w:val="20"/>
                <w:highlight w:val="yellow"/>
                <w:lang w:eastAsia="en-GB"/>
              </w:rPr>
              <w:t>solutions</w:t>
            </w:r>
          </w:p>
        </w:tc>
        <w:tc>
          <w:tcPr>
            <w:tcW w:w="473" w:type="pct"/>
          </w:tcPr>
          <w:p w14:paraId="5059FB29" w14:textId="77777777" w:rsidR="00185F6F" w:rsidRPr="007E41C5" w:rsidRDefault="00185F6F" w:rsidP="00185F6F">
            <w:pPr>
              <w:spacing w:before="120" w:after="120" w:line="240" w:lineRule="auto"/>
              <w:jc w:val="both"/>
              <w:rPr>
                <w:rFonts w:ascii="Times New Roman" w:eastAsia="Calibri" w:hAnsi="Times New Roman" w:cs="Arial"/>
                <w:i/>
                <w:noProof/>
                <w:sz w:val="14"/>
                <w:szCs w:val="14"/>
                <w:highlight w:val="yellow"/>
              </w:rPr>
            </w:pPr>
          </w:p>
        </w:tc>
        <w:tc>
          <w:tcPr>
            <w:tcW w:w="297" w:type="pct"/>
          </w:tcPr>
          <w:p w14:paraId="2705372D" w14:textId="77777777" w:rsidR="00185F6F" w:rsidRPr="007E41C5" w:rsidRDefault="00185F6F" w:rsidP="00185F6F">
            <w:pPr>
              <w:spacing w:before="120" w:after="120" w:line="240" w:lineRule="auto"/>
              <w:jc w:val="both"/>
              <w:rPr>
                <w:rFonts w:ascii="Times New Roman" w:eastAsia="Calibri" w:hAnsi="Times New Roman" w:cs="Arial"/>
                <w:b/>
                <w:noProof/>
                <w:sz w:val="14"/>
                <w:szCs w:val="14"/>
                <w:highlight w:val="yellow"/>
              </w:rPr>
            </w:pPr>
          </w:p>
        </w:tc>
        <w:tc>
          <w:tcPr>
            <w:tcW w:w="385" w:type="pct"/>
            <w:shd w:val="clear" w:color="auto" w:fill="auto"/>
          </w:tcPr>
          <w:p w14:paraId="0E2286AD" w14:textId="77777777" w:rsidR="00185F6F" w:rsidRPr="007E41C5" w:rsidRDefault="00156283" w:rsidP="00185F6F">
            <w:pPr>
              <w:spacing w:before="120" w:after="120" w:line="240" w:lineRule="auto"/>
              <w:jc w:val="center"/>
              <w:rPr>
                <w:rFonts w:ascii="Times New Roman" w:eastAsia="Calibri" w:hAnsi="Times New Roman" w:cs="Arial"/>
                <w:b/>
                <w:noProof/>
                <w:sz w:val="14"/>
                <w:szCs w:val="14"/>
                <w:highlight w:val="yellow"/>
              </w:rPr>
            </w:pPr>
            <w:r w:rsidRPr="007E41C5">
              <w:rPr>
                <w:rFonts w:ascii="Times New Roman" w:eastAsia="Calibri" w:hAnsi="Times New Roman" w:cs="Arial"/>
                <w:b/>
                <w:noProof/>
                <w:sz w:val="14"/>
                <w:szCs w:val="14"/>
                <w:highlight w:val="yellow"/>
              </w:rPr>
              <w:t>28</w:t>
            </w:r>
          </w:p>
        </w:tc>
        <w:tc>
          <w:tcPr>
            <w:tcW w:w="404" w:type="pct"/>
            <w:shd w:val="clear" w:color="auto" w:fill="auto"/>
          </w:tcPr>
          <w:p w14:paraId="5D955FB5" w14:textId="77777777" w:rsidR="00185F6F" w:rsidRPr="007E41C5" w:rsidRDefault="00185F6F" w:rsidP="00185F6F">
            <w:pPr>
              <w:spacing w:before="120" w:after="120" w:line="480" w:lineRule="auto"/>
              <w:jc w:val="both"/>
              <w:rPr>
                <w:rFonts w:ascii="Times New Roman" w:eastAsia="Calibri" w:hAnsi="Times New Roman" w:cs="Arial"/>
                <w:i/>
                <w:noProof/>
                <w:sz w:val="18"/>
                <w:szCs w:val="18"/>
                <w:highlight w:val="yellow"/>
              </w:rPr>
            </w:pPr>
            <w:r w:rsidRPr="007E41C5">
              <w:rPr>
                <w:rFonts w:ascii="Times New Roman" w:eastAsia="Calibri" w:hAnsi="Times New Roman" w:cs="Arial"/>
                <w:i/>
                <w:noProof/>
                <w:sz w:val="18"/>
                <w:szCs w:val="18"/>
                <w:highlight w:val="yellow"/>
              </w:rPr>
              <w:t>MA monitoring system</w:t>
            </w:r>
          </w:p>
        </w:tc>
        <w:tc>
          <w:tcPr>
            <w:tcW w:w="362" w:type="pct"/>
          </w:tcPr>
          <w:p w14:paraId="468579D2" w14:textId="77777777" w:rsidR="00185F6F" w:rsidRPr="007E41C5" w:rsidRDefault="00185F6F" w:rsidP="00185F6F">
            <w:pPr>
              <w:spacing w:after="200" w:line="276" w:lineRule="auto"/>
              <w:rPr>
                <w:rFonts w:ascii="Calibri" w:eastAsia="Calibri" w:hAnsi="Calibri" w:cs="Arial"/>
                <w:i/>
                <w:noProof/>
                <w:sz w:val="14"/>
                <w:szCs w:val="14"/>
                <w:highlight w:val="yellow"/>
              </w:rPr>
            </w:pPr>
          </w:p>
        </w:tc>
      </w:tr>
    </w:tbl>
    <w:p w14:paraId="3EDA4A43" w14:textId="77777777" w:rsidR="006F2384" w:rsidRPr="00A10ECC" w:rsidRDefault="006F2384" w:rsidP="006F2384">
      <w:pPr>
        <w:spacing w:before="240" w:after="240" w:line="240" w:lineRule="auto"/>
        <w:rPr>
          <w:rFonts w:ascii="Times New Roman" w:eastAsia="Times New Roman" w:hAnsi="Times New Roman" w:cs="Times New Roman"/>
          <w:iCs/>
          <w:noProof/>
          <w:sz w:val="24"/>
          <w:szCs w:val="24"/>
          <w:lang w:eastAsia="en-GB"/>
        </w:rPr>
      </w:pPr>
    </w:p>
    <w:p w14:paraId="575FD311" w14:textId="77777777" w:rsidR="006F2384" w:rsidRPr="00A10ECC" w:rsidRDefault="006F2384" w:rsidP="006F2384">
      <w:pPr>
        <w:spacing w:before="240" w:after="240" w:line="240" w:lineRule="auto"/>
        <w:ind w:left="709" w:hanging="709"/>
        <w:rPr>
          <w:rFonts w:ascii="Times New Roman" w:eastAsia="Times New Roman" w:hAnsi="Times New Roman" w:cs="Times New Roman"/>
          <w:b/>
          <w:iCs/>
          <w:noProof/>
          <w:sz w:val="24"/>
          <w:szCs w:val="24"/>
          <w:lang w:eastAsia="en-GB"/>
        </w:rPr>
      </w:pPr>
      <w:r>
        <w:rPr>
          <w:rFonts w:ascii="Times New Roman" w:eastAsia="Times New Roman" w:hAnsi="Times New Roman" w:cs="Times New Roman"/>
          <w:b/>
          <w:iCs/>
          <w:noProof/>
          <w:sz w:val="24"/>
          <w:szCs w:val="24"/>
          <w:lang w:eastAsia="en-GB"/>
        </w:rPr>
        <w:t>2.3</w:t>
      </w:r>
      <w:r w:rsidRPr="00A10ECC">
        <w:rPr>
          <w:rFonts w:ascii="Times New Roman" w:eastAsia="Times New Roman" w:hAnsi="Times New Roman" w:cs="Times New Roman"/>
          <w:b/>
          <w:iCs/>
          <w:noProof/>
          <w:sz w:val="24"/>
          <w:szCs w:val="24"/>
          <w:lang w:eastAsia="en-GB"/>
        </w:rPr>
        <w:t>.4.</w:t>
      </w:r>
      <w:r w:rsidRPr="00A10ECC">
        <w:rPr>
          <w:rFonts w:ascii="Times New Roman" w:eastAsia="Times New Roman" w:hAnsi="Times New Roman" w:cs="Times New Roman"/>
          <w:b/>
          <w:iCs/>
          <w:noProof/>
          <w:sz w:val="24"/>
          <w:szCs w:val="24"/>
          <w:lang w:eastAsia="en-GB"/>
        </w:rPr>
        <w:tab/>
        <w:t>The main target groups</w:t>
      </w:r>
    </w:p>
    <w:p w14:paraId="12310E24" w14:textId="77777777" w:rsidR="006F2384" w:rsidRPr="00A10ECC" w:rsidRDefault="006F2384" w:rsidP="006F2384">
      <w:pPr>
        <w:spacing w:after="200" w:line="276" w:lineRule="auto"/>
        <w:jc w:val="both"/>
        <w:rPr>
          <w:rFonts w:ascii="Times New Roman" w:eastAsia="Times New Roman" w:hAnsi="Times New Roman" w:cs="Times New Roman"/>
          <w:i/>
          <w:noProof/>
          <w:color w:val="000000"/>
          <w:sz w:val="24"/>
          <w:szCs w:val="24"/>
          <w:lang w:eastAsia="en-GB"/>
        </w:rPr>
      </w:pPr>
      <w:r w:rsidRPr="00A10ECC">
        <w:rPr>
          <w:rFonts w:ascii="Times New Roman" w:eastAsia="Times New Roman" w:hAnsi="Times New Roman" w:cs="Times New Roman"/>
          <w:i/>
          <w:noProof/>
          <w:color w:val="000000"/>
          <w:sz w:val="24"/>
          <w:szCs w:val="24"/>
          <w:lang w:eastAsia="en-GB"/>
        </w:rPr>
        <w:t>Reference: Article point (e)(iii) of 17(3), point (c)(iv) of Article 17(9)</w:t>
      </w:r>
    </w:p>
    <w:p w14:paraId="7EF8422E" w14:textId="77777777" w:rsidR="00D07428" w:rsidRDefault="006F2384" w:rsidP="00D07428">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sz w:val="24"/>
          <w:szCs w:val="24"/>
          <w:lang w:eastAsia="en-GB"/>
        </w:rPr>
      </w:pPr>
      <w:r w:rsidRPr="00A10ECC">
        <w:rPr>
          <w:rFonts w:ascii="Times New Roman" w:eastAsia="Times New Roman" w:hAnsi="Times New Roman" w:cs="Times New Roman"/>
          <w:i/>
          <w:iCs/>
          <w:noProof/>
          <w:sz w:val="24"/>
          <w:szCs w:val="24"/>
          <w:lang w:eastAsia="en-GB"/>
        </w:rPr>
        <w:t>Text field [7000]</w:t>
      </w:r>
    </w:p>
    <w:p w14:paraId="150FED61" w14:textId="77777777" w:rsidR="008B7B4D" w:rsidRDefault="008B7B4D" w:rsidP="00561F22">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val="bg-BG" w:eastAsia="en-GB"/>
        </w:rPr>
      </w:pPr>
      <w:r w:rsidRPr="008B7B4D">
        <w:rPr>
          <w:rFonts w:ascii="Times New Roman" w:eastAsia="Times New Roman" w:hAnsi="Times New Roman" w:cs="Times New Roman"/>
          <w:i/>
          <w:iCs/>
          <w:noProof/>
          <w:lang w:val="bg-BG" w:eastAsia="en-GB"/>
        </w:rPr>
        <w:t xml:space="preserve">In the implementation of the framework of PO5 the support for some projects/operations/activities will be a priority. That is specifically valid for the integrated territorial development of business services, services of general interest, city-village relations, etc. The CBC area is considered to have untapped economic potential and actions targeted at SMEs and their improved participation in regional value chains are expected to strengthen the territorial cohesion and positively contribute to the economic growth of the region. The coverage of </w:t>
      </w:r>
      <w:r w:rsidR="005C2DF0">
        <w:rPr>
          <w:rFonts w:ascii="Times New Roman" w:eastAsia="Times New Roman" w:hAnsi="Times New Roman" w:cs="Times New Roman"/>
          <w:i/>
          <w:iCs/>
          <w:noProof/>
          <w:lang w:val="en-US" w:eastAsia="en-GB"/>
        </w:rPr>
        <w:t>the listed below</w:t>
      </w:r>
      <w:r w:rsidRPr="008B7B4D">
        <w:rPr>
          <w:rFonts w:ascii="Times New Roman" w:eastAsia="Times New Roman" w:hAnsi="Times New Roman" w:cs="Times New Roman"/>
          <w:i/>
          <w:iCs/>
          <w:noProof/>
          <w:lang w:val="bg-BG" w:eastAsia="en-GB"/>
        </w:rPr>
        <w:t xml:space="preserve"> target groups will have a favorable effect on the use of the economic potential of the contiguous territories to the maximum extent. This should increase the competitiveness of the local economy and improve the business environment in the region.</w:t>
      </w:r>
    </w:p>
    <w:p w14:paraId="1F124FB9" w14:textId="77777777" w:rsidR="00612676" w:rsidRPr="00BA7B95" w:rsidRDefault="00612676" w:rsidP="00561269">
      <w:pPr>
        <w:numPr>
          <w:ilvl w:val="0"/>
          <w:numId w:val="3"/>
        </w:num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val="en-US" w:eastAsia="en-GB"/>
        </w:rPr>
      </w:pPr>
      <w:r w:rsidRPr="00BA7B95">
        <w:rPr>
          <w:rFonts w:ascii="Times New Roman" w:eastAsia="Times New Roman" w:hAnsi="Times New Roman" w:cs="Times New Roman"/>
          <w:i/>
          <w:iCs/>
          <w:noProof/>
          <w:lang w:val="en-US" w:eastAsia="en-GB"/>
        </w:rPr>
        <w:t>Civil society</w:t>
      </w:r>
    </w:p>
    <w:p w14:paraId="1C892980" w14:textId="77777777" w:rsidR="00612676" w:rsidRPr="00BA7B95" w:rsidRDefault="00612676" w:rsidP="00561269">
      <w:pPr>
        <w:numPr>
          <w:ilvl w:val="0"/>
          <w:numId w:val="3"/>
        </w:num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val="en-US" w:eastAsia="en-GB"/>
        </w:rPr>
      </w:pPr>
      <w:r w:rsidRPr="00BA7B95">
        <w:rPr>
          <w:rFonts w:ascii="Times New Roman" w:eastAsia="Times New Roman" w:hAnsi="Times New Roman" w:cs="Times New Roman"/>
          <w:i/>
          <w:iCs/>
          <w:noProof/>
          <w:lang w:val="en-US" w:eastAsia="en-GB"/>
        </w:rPr>
        <w:t>Local/ regional bodies and authorities, regional structures of central public authorities</w:t>
      </w:r>
    </w:p>
    <w:p w14:paraId="5509DD4E" w14:textId="77777777" w:rsidR="00612676" w:rsidRPr="00BA7B95" w:rsidRDefault="00612676" w:rsidP="00561269">
      <w:pPr>
        <w:numPr>
          <w:ilvl w:val="0"/>
          <w:numId w:val="3"/>
        </w:num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val="en-US" w:eastAsia="en-GB"/>
        </w:rPr>
      </w:pPr>
      <w:r w:rsidRPr="00BA7B95">
        <w:rPr>
          <w:rFonts w:ascii="Times New Roman" w:eastAsia="Times New Roman" w:hAnsi="Times New Roman" w:cs="Times New Roman"/>
          <w:i/>
          <w:iCs/>
          <w:noProof/>
          <w:lang w:val="en-US" w:eastAsia="en-GB"/>
        </w:rPr>
        <w:t>NGOs</w:t>
      </w:r>
    </w:p>
    <w:p w14:paraId="767BCFF3" w14:textId="77777777" w:rsidR="00612676" w:rsidRPr="00BA7B95" w:rsidRDefault="00612676" w:rsidP="00561269">
      <w:pPr>
        <w:numPr>
          <w:ilvl w:val="0"/>
          <w:numId w:val="3"/>
        </w:num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val="en-US" w:eastAsia="en-GB"/>
        </w:rPr>
      </w:pPr>
      <w:r w:rsidRPr="00BA7B95">
        <w:rPr>
          <w:rFonts w:ascii="Times New Roman" w:eastAsia="Times New Roman" w:hAnsi="Times New Roman" w:cs="Times New Roman"/>
          <w:i/>
          <w:iCs/>
          <w:noProof/>
          <w:lang w:val="en-US" w:eastAsia="en-GB"/>
        </w:rPr>
        <w:t>R&amp;D, academic and training institutions</w:t>
      </w:r>
    </w:p>
    <w:p w14:paraId="06E59C96" w14:textId="77777777" w:rsidR="00612676" w:rsidRDefault="00612676" w:rsidP="00561269">
      <w:pPr>
        <w:numPr>
          <w:ilvl w:val="0"/>
          <w:numId w:val="3"/>
        </w:num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val="en-US" w:eastAsia="en-GB"/>
        </w:rPr>
      </w:pPr>
      <w:r w:rsidRPr="00BA7B95">
        <w:rPr>
          <w:rFonts w:ascii="Times New Roman" w:eastAsia="Times New Roman" w:hAnsi="Times New Roman" w:cs="Times New Roman"/>
          <w:i/>
          <w:iCs/>
          <w:noProof/>
          <w:lang w:val="en-US" w:eastAsia="en-GB"/>
        </w:rPr>
        <w:t>Social institutions</w:t>
      </w:r>
    </w:p>
    <w:p w14:paraId="31B4CAFC" w14:textId="77777777" w:rsidR="002535A4" w:rsidRDefault="002A5B5E" w:rsidP="00561269">
      <w:pPr>
        <w:numPr>
          <w:ilvl w:val="0"/>
          <w:numId w:val="3"/>
        </w:num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val="en-US" w:eastAsia="en-GB"/>
        </w:rPr>
      </w:pPr>
      <w:r>
        <w:rPr>
          <w:rFonts w:ascii="Times New Roman" w:eastAsia="Times New Roman" w:hAnsi="Times New Roman" w:cs="Times New Roman"/>
          <w:i/>
          <w:iCs/>
          <w:noProof/>
          <w:lang w:val="bg-BG" w:eastAsia="en-GB"/>
        </w:rPr>
        <w:t>М</w:t>
      </w:r>
      <w:r w:rsidR="002535A4">
        <w:rPr>
          <w:rFonts w:ascii="Times New Roman" w:eastAsia="Times New Roman" w:hAnsi="Times New Roman" w:cs="Times New Roman"/>
          <w:i/>
          <w:iCs/>
          <w:noProof/>
          <w:lang w:val="en-US" w:eastAsia="en-GB"/>
        </w:rPr>
        <w:t>SME’s</w:t>
      </w:r>
    </w:p>
    <w:p w14:paraId="7FDBEAA1" w14:textId="77777777" w:rsidR="002535A4" w:rsidRPr="00BA7B95" w:rsidRDefault="002535A4" w:rsidP="00561269">
      <w:pPr>
        <w:numPr>
          <w:ilvl w:val="0"/>
          <w:numId w:val="3"/>
        </w:num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val="en-US" w:eastAsia="en-GB"/>
        </w:rPr>
      </w:pPr>
      <w:r>
        <w:rPr>
          <w:rFonts w:ascii="Times New Roman" w:eastAsia="Times New Roman" w:hAnsi="Times New Roman" w:cs="Times New Roman"/>
          <w:i/>
          <w:iCs/>
          <w:noProof/>
          <w:lang w:val="en-US" w:eastAsia="en-GB"/>
        </w:rPr>
        <w:t>Local population</w:t>
      </w:r>
    </w:p>
    <w:p w14:paraId="32C50E76" w14:textId="77777777" w:rsidR="006F2384" w:rsidRPr="00A10ECC" w:rsidRDefault="006F2384" w:rsidP="006F2384">
      <w:pPr>
        <w:spacing w:before="240" w:after="240" w:line="240" w:lineRule="auto"/>
        <w:ind w:left="709" w:hanging="709"/>
        <w:rPr>
          <w:rFonts w:ascii="Times New Roman" w:eastAsia="Times New Roman" w:hAnsi="Times New Roman" w:cs="Times New Roman"/>
          <w:b/>
          <w:iCs/>
          <w:noProof/>
          <w:sz w:val="24"/>
          <w:szCs w:val="24"/>
          <w:lang w:eastAsia="en-GB"/>
        </w:rPr>
      </w:pPr>
      <w:r>
        <w:rPr>
          <w:rFonts w:ascii="Times New Roman" w:eastAsia="Times New Roman" w:hAnsi="Times New Roman" w:cs="Times New Roman"/>
          <w:b/>
          <w:iCs/>
          <w:noProof/>
          <w:sz w:val="24"/>
          <w:szCs w:val="24"/>
          <w:lang w:eastAsia="en-GB"/>
        </w:rPr>
        <w:t>2.3</w:t>
      </w:r>
      <w:r w:rsidRPr="00A10ECC">
        <w:rPr>
          <w:rFonts w:ascii="Times New Roman" w:eastAsia="Times New Roman" w:hAnsi="Times New Roman" w:cs="Times New Roman"/>
          <w:b/>
          <w:iCs/>
          <w:noProof/>
          <w:sz w:val="24"/>
          <w:szCs w:val="24"/>
          <w:lang w:eastAsia="en-GB"/>
        </w:rPr>
        <w:t>.5.</w:t>
      </w:r>
      <w:r w:rsidRPr="00A10ECC">
        <w:rPr>
          <w:rFonts w:ascii="Times New Roman" w:eastAsia="Times New Roman" w:hAnsi="Times New Roman" w:cs="Times New Roman"/>
          <w:b/>
          <w:iCs/>
          <w:noProof/>
          <w:sz w:val="24"/>
          <w:szCs w:val="24"/>
          <w:lang w:eastAsia="en-GB"/>
        </w:rPr>
        <w:tab/>
        <w:t>Indication of the specific territories targeted, including the planned use of ITI, CLLD or other territorial tools</w:t>
      </w:r>
    </w:p>
    <w:p w14:paraId="4CC894F7" w14:textId="77777777" w:rsidR="006F2384" w:rsidRPr="00A10ECC" w:rsidRDefault="006F2384" w:rsidP="006F2384">
      <w:pPr>
        <w:spacing w:after="200" w:line="276" w:lineRule="auto"/>
        <w:jc w:val="both"/>
        <w:rPr>
          <w:rFonts w:ascii="Times New Roman" w:eastAsia="Times New Roman" w:hAnsi="Times New Roman" w:cs="Times New Roman"/>
          <w:i/>
          <w:noProof/>
          <w:color w:val="000000"/>
          <w:sz w:val="24"/>
          <w:szCs w:val="24"/>
          <w:lang w:eastAsia="en-GB"/>
        </w:rPr>
      </w:pPr>
      <w:r w:rsidRPr="00A10ECC">
        <w:rPr>
          <w:rFonts w:ascii="Times New Roman" w:eastAsia="Times New Roman" w:hAnsi="Times New Roman" w:cs="Times New Roman"/>
          <w:i/>
          <w:noProof/>
          <w:color w:val="000000"/>
          <w:sz w:val="24"/>
          <w:szCs w:val="24"/>
          <w:lang w:eastAsia="en-GB"/>
        </w:rPr>
        <w:t>Reference: Article point (e)(iv) of 17(3)</w:t>
      </w:r>
    </w:p>
    <w:p w14:paraId="4607A83D" w14:textId="77777777" w:rsidR="006F2384" w:rsidRDefault="006F2384" w:rsidP="006F2384">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iCs/>
          <w:noProof/>
          <w:sz w:val="24"/>
          <w:szCs w:val="24"/>
          <w:lang w:eastAsia="en-GB"/>
        </w:rPr>
      </w:pPr>
      <w:r w:rsidRPr="00A10ECC">
        <w:rPr>
          <w:rFonts w:ascii="Times New Roman" w:eastAsia="Times New Roman" w:hAnsi="Times New Roman" w:cs="Times New Roman"/>
          <w:i/>
          <w:iCs/>
          <w:noProof/>
          <w:sz w:val="24"/>
          <w:szCs w:val="24"/>
          <w:lang w:eastAsia="en-GB"/>
        </w:rPr>
        <w:t>Text field [7000]</w:t>
      </w:r>
    </w:p>
    <w:p w14:paraId="2ECE0434" w14:textId="77777777" w:rsidR="00A2065C" w:rsidRPr="009F1CF8" w:rsidRDefault="008A68F4" w:rsidP="00A2065C">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sidRPr="003105A2">
        <w:rPr>
          <w:rFonts w:ascii="Times New Roman" w:eastAsia="Times New Roman" w:hAnsi="Times New Roman" w:cs="Times New Roman"/>
          <w:i/>
          <w:iCs/>
          <w:noProof/>
          <w:lang w:eastAsia="en-GB"/>
        </w:rPr>
        <w:lastRenderedPageBreak/>
        <w:t xml:space="preserve">The implementation of Priority </w:t>
      </w:r>
      <w:r w:rsidR="009B7576">
        <w:rPr>
          <w:rFonts w:ascii="Times New Roman" w:eastAsia="Times New Roman" w:hAnsi="Times New Roman" w:cs="Times New Roman"/>
          <w:i/>
          <w:iCs/>
          <w:noProof/>
          <w:lang w:eastAsia="en-GB"/>
        </w:rPr>
        <w:t>3</w:t>
      </w:r>
      <w:r w:rsidR="009B7576" w:rsidRPr="003105A2">
        <w:rPr>
          <w:rFonts w:ascii="Times New Roman" w:eastAsia="Times New Roman" w:hAnsi="Times New Roman" w:cs="Times New Roman"/>
          <w:i/>
          <w:iCs/>
          <w:noProof/>
          <w:lang w:eastAsia="en-GB"/>
        </w:rPr>
        <w:t xml:space="preserve"> </w:t>
      </w:r>
      <w:r w:rsidRPr="003105A2">
        <w:rPr>
          <w:rFonts w:ascii="Times New Roman" w:eastAsia="Times New Roman" w:hAnsi="Times New Roman" w:cs="Times New Roman"/>
          <w:i/>
          <w:iCs/>
          <w:noProof/>
          <w:lang w:eastAsia="en-GB"/>
        </w:rPr>
        <w:t>Integrated development of the cross-border region is planned to be</w:t>
      </w:r>
      <w:r w:rsidRPr="003105A2" w:rsidDel="0092160C">
        <w:rPr>
          <w:rFonts w:ascii="Times New Roman" w:eastAsia="Times New Roman" w:hAnsi="Times New Roman" w:cs="Times New Roman"/>
          <w:i/>
          <w:iCs/>
          <w:noProof/>
          <w:lang w:eastAsia="en-GB"/>
        </w:rPr>
        <w:t xml:space="preserve"> </w:t>
      </w:r>
      <w:r w:rsidRPr="003105A2">
        <w:rPr>
          <w:rFonts w:ascii="Times New Roman" w:eastAsia="Times New Roman" w:hAnsi="Times New Roman" w:cs="Times New Roman"/>
          <w:i/>
          <w:iCs/>
          <w:noProof/>
          <w:lang w:eastAsia="en-GB"/>
        </w:rPr>
        <w:t xml:space="preserve">carried out through the instrument of Integrated territorial strategy (ITS), i.e. other territorial tools (art. </w:t>
      </w:r>
      <w:r w:rsidR="002B2BF0" w:rsidRPr="003105A2">
        <w:rPr>
          <w:rFonts w:ascii="Times New Roman" w:eastAsia="Times New Roman" w:hAnsi="Times New Roman" w:cs="Times New Roman"/>
          <w:i/>
          <w:iCs/>
          <w:noProof/>
          <w:lang w:eastAsia="en-GB"/>
        </w:rPr>
        <w:t>2</w:t>
      </w:r>
      <w:r w:rsidR="002B2BF0">
        <w:rPr>
          <w:rFonts w:ascii="Times New Roman" w:eastAsia="Times New Roman" w:hAnsi="Times New Roman" w:cs="Times New Roman"/>
          <w:i/>
          <w:iCs/>
          <w:noProof/>
          <w:lang w:val="bg-BG" w:eastAsia="en-GB"/>
        </w:rPr>
        <w:t>8</w:t>
      </w:r>
      <w:r w:rsidR="002B2BF0" w:rsidRPr="003105A2">
        <w:rPr>
          <w:rFonts w:ascii="Times New Roman" w:eastAsia="Times New Roman" w:hAnsi="Times New Roman" w:cs="Times New Roman"/>
          <w:i/>
          <w:iCs/>
          <w:noProof/>
          <w:lang w:eastAsia="en-GB"/>
        </w:rPr>
        <w:t xml:space="preserve"> </w:t>
      </w:r>
      <w:r w:rsidRPr="003105A2">
        <w:rPr>
          <w:rFonts w:ascii="Times New Roman" w:eastAsia="Times New Roman" w:hAnsi="Times New Roman" w:cs="Times New Roman"/>
          <w:i/>
          <w:iCs/>
          <w:noProof/>
          <w:lang w:eastAsia="en-GB"/>
        </w:rPr>
        <w:t xml:space="preserve">(c) of the CPR). </w:t>
      </w:r>
      <w:r w:rsidR="00A2065C" w:rsidRPr="006E2961">
        <w:rPr>
          <w:rFonts w:ascii="Times New Roman" w:eastAsia="Times New Roman" w:hAnsi="Times New Roman" w:cs="Times New Roman"/>
          <w:i/>
          <w:iCs/>
          <w:noProof/>
          <w:lang w:eastAsia="en-GB"/>
        </w:rPr>
        <w:t xml:space="preserve">The </w:t>
      </w:r>
      <w:r w:rsidR="00A2065C">
        <w:rPr>
          <w:rFonts w:ascii="Times New Roman" w:eastAsia="Times New Roman" w:hAnsi="Times New Roman" w:cs="Times New Roman"/>
          <w:i/>
          <w:iCs/>
          <w:noProof/>
          <w:lang w:eastAsia="en-GB"/>
        </w:rPr>
        <w:t xml:space="preserve">goals of the ITS and </w:t>
      </w:r>
      <w:r w:rsidR="00A2065C" w:rsidRPr="006E2961">
        <w:rPr>
          <w:rFonts w:ascii="Times New Roman" w:eastAsia="Times New Roman" w:hAnsi="Times New Roman" w:cs="Times New Roman"/>
          <w:i/>
          <w:iCs/>
          <w:noProof/>
          <w:lang w:eastAsia="en-GB"/>
        </w:rPr>
        <w:t xml:space="preserve">the </w:t>
      </w:r>
      <w:r w:rsidR="00A2065C">
        <w:rPr>
          <w:rFonts w:ascii="Times New Roman" w:eastAsia="Times New Roman" w:hAnsi="Times New Roman" w:cs="Times New Roman"/>
          <w:i/>
          <w:iCs/>
          <w:noProof/>
          <w:lang w:eastAsia="en-GB"/>
        </w:rPr>
        <w:t>ways</w:t>
      </w:r>
      <w:r w:rsidR="00A2065C" w:rsidRPr="006E2961">
        <w:rPr>
          <w:rFonts w:ascii="Times New Roman" w:eastAsia="Times New Roman" w:hAnsi="Times New Roman" w:cs="Times New Roman"/>
          <w:i/>
          <w:iCs/>
          <w:noProof/>
          <w:lang w:eastAsia="en-GB"/>
        </w:rPr>
        <w:t xml:space="preserve"> for their achievement </w:t>
      </w:r>
      <w:r w:rsidR="00A2065C">
        <w:rPr>
          <w:rFonts w:ascii="Times New Roman" w:eastAsia="Times New Roman" w:hAnsi="Times New Roman" w:cs="Times New Roman"/>
          <w:i/>
          <w:iCs/>
          <w:noProof/>
          <w:lang w:eastAsia="en-GB"/>
        </w:rPr>
        <w:t>are th</w:t>
      </w:r>
      <w:r w:rsidR="00A2065C" w:rsidRPr="006E2961">
        <w:rPr>
          <w:rFonts w:ascii="Times New Roman" w:eastAsia="Times New Roman" w:hAnsi="Times New Roman" w:cs="Times New Roman"/>
          <w:i/>
          <w:iCs/>
          <w:noProof/>
          <w:lang w:eastAsia="en-GB"/>
        </w:rPr>
        <w:t>e basis for</w:t>
      </w:r>
      <w:r w:rsidR="00A2065C">
        <w:rPr>
          <w:rFonts w:ascii="Times New Roman" w:eastAsia="Times New Roman" w:hAnsi="Times New Roman" w:cs="Times New Roman"/>
          <w:i/>
          <w:iCs/>
          <w:noProof/>
          <w:lang w:eastAsia="en-GB"/>
        </w:rPr>
        <w:t xml:space="preserve"> setting up</w:t>
      </w:r>
      <w:r w:rsidR="00A2065C" w:rsidRPr="006E2961">
        <w:rPr>
          <w:rFonts w:ascii="Times New Roman" w:eastAsia="Times New Roman" w:hAnsi="Times New Roman" w:cs="Times New Roman"/>
          <w:i/>
          <w:iCs/>
          <w:noProof/>
          <w:lang w:eastAsia="en-GB"/>
        </w:rPr>
        <w:t xml:space="preserve"> the criteria according to which the needs and development potentials are defined on the basis of the regional r</w:t>
      </w:r>
      <w:r w:rsidR="00A2065C">
        <w:rPr>
          <w:rFonts w:ascii="Times New Roman" w:eastAsia="Times New Roman" w:hAnsi="Times New Roman" w:cs="Times New Roman"/>
          <w:i/>
          <w:iCs/>
          <w:noProof/>
          <w:lang w:eastAsia="en-GB"/>
        </w:rPr>
        <w:t xml:space="preserve">eality. </w:t>
      </w:r>
      <w:r w:rsidR="00A2065C" w:rsidRPr="009F1CF8">
        <w:rPr>
          <w:rFonts w:ascii="Times New Roman" w:eastAsia="Times New Roman" w:hAnsi="Times New Roman" w:cs="Times New Roman"/>
          <w:i/>
          <w:iCs/>
          <w:noProof/>
          <w:lang w:eastAsia="en-GB"/>
        </w:rPr>
        <w:t xml:space="preserve">The Territorial Analysis carried out for the needs of the Integrated Territorial Strategy revealed similar economic, social and territorial challenges, needs and potentials. This is considered for a motive conditionally to define the entire CBC region as a single functional area for a subject of the ITS. For the purposes of operations to be implemented, specific functional areas are motivated as recommended spaces for investing depending on their character. The 5 district centres in the CBC region (Kumanovo, Kyustendil, Stip, Blagoevgrad, Strumica) are the development centres of the cross-border territory and “knots” of a polycentric settlements’ network. They serve the rest of the territory, realize complex interactions and interdependencies to smaller towns and other settlements. Each of these 5 districts exhibit the common characteristics of a functional area, but due to their limited geographical coverage it is hard to tailor them with individual investment plans. While operating in these systems, the spatial scope of the ITS may go beyond the formal borders of the CBC region. This comes to illustrate that functional zones have conditional borders depending on the functional scope of the initiated activity/intervention/measure. </w:t>
      </w:r>
    </w:p>
    <w:p w14:paraId="308402C7" w14:textId="77777777" w:rsidR="00A2065C" w:rsidRPr="009F1CF8" w:rsidRDefault="00A2065C" w:rsidP="00A2065C">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sidRPr="009F1CF8">
        <w:rPr>
          <w:rFonts w:ascii="Times New Roman" w:eastAsia="Times New Roman" w:hAnsi="Times New Roman" w:cs="Times New Roman"/>
          <w:i/>
          <w:iCs/>
          <w:noProof/>
          <w:lang w:eastAsia="en-GB"/>
        </w:rPr>
        <w:t>Therefore, it can be stated that the ITS’s territory:</w:t>
      </w:r>
    </w:p>
    <w:p w14:paraId="536B557F" w14:textId="77777777" w:rsidR="00A2065C" w:rsidRPr="009F1CF8" w:rsidRDefault="00A2065C" w:rsidP="00A2065C">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sidRPr="0041389B">
        <w:rPr>
          <w:rFonts w:ascii="Times New Roman" w:eastAsia="Times New Roman" w:hAnsi="Times New Roman" w:cs="Times New Roman"/>
          <w:i/>
          <w:iCs/>
          <w:noProof/>
          <w:lang w:eastAsia="en-GB"/>
        </w:rPr>
        <w:t xml:space="preserve"> </w:t>
      </w:r>
      <w:r>
        <w:rPr>
          <w:rFonts w:ascii="Times New Roman" w:eastAsia="Times New Roman" w:hAnsi="Times New Roman" w:cs="Times New Roman"/>
          <w:i/>
          <w:iCs/>
          <w:noProof/>
          <w:lang w:eastAsia="en-GB"/>
        </w:rPr>
        <w:t xml:space="preserve">- </w:t>
      </w:r>
      <w:r w:rsidRPr="009F1CF8">
        <w:rPr>
          <w:rFonts w:ascii="Times New Roman" w:eastAsia="Times New Roman" w:hAnsi="Times New Roman" w:cs="Times New Roman"/>
          <w:i/>
          <w:iCs/>
          <w:noProof/>
          <w:lang w:eastAsia="en-GB"/>
        </w:rPr>
        <w:t>Favours elaboration and implementation of an integrated response to revealed needs and development potentials, narrowed in scope to cover the feasibility criterion;</w:t>
      </w:r>
    </w:p>
    <w:p w14:paraId="57BBD4BC" w14:textId="77777777" w:rsidR="00A2065C" w:rsidRPr="009F1CF8" w:rsidRDefault="00A2065C" w:rsidP="00A2065C">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Pr>
          <w:rFonts w:ascii="Times New Roman" w:eastAsia="Times New Roman" w:hAnsi="Times New Roman" w:cs="Times New Roman"/>
          <w:i/>
          <w:iCs/>
          <w:noProof/>
          <w:lang w:eastAsia="en-GB"/>
        </w:rPr>
        <w:t xml:space="preserve">- </w:t>
      </w:r>
      <w:r w:rsidRPr="009F1CF8">
        <w:rPr>
          <w:rFonts w:ascii="Times New Roman" w:eastAsia="Times New Roman" w:hAnsi="Times New Roman" w:cs="Times New Roman"/>
          <w:i/>
          <w:iCs/>
          <w:noProof/>
          <w:lang w:eastAsia="en-GB"/>
        </w:rPr>
        <w:t>Conditionally meets official definitions of a “functional area/zone” (areas with a high degree of interactions and interdependencies, where simultaneous actions in different sectors (education, employment, transport, healthcare, support for business) are required in orde</w:t>
      </w:r>
      <w:r w:rsidRPr="0041389B">
        <w:rPr>
          <w:rFonts w:ascii="Times New Roman" w:eastAsia="Times New Roman" w:hAnsi="Times New Roman" w:cs="Times New Roman"/>
          <w:i/>
          <w:iCs/>
          <w:noProof/>
          <w:lang w:eastAsia="en-GB"/>
        </w:rPr>
        <w:t>r to achieve future development</w:t>
      </w:r>
      <w:r w:rsidRPr="009F1CF8">
        <w:rPr>
          <w:rFonts w:ascii="Times New Roman" w:eastAsia="Times New Roman" w:hAnsi="Times New Roman" w:cs="Times New Roman"/>
          <w:i/>
          <w:iCs/>
          <w:noProof/>
          <w:lang w:eastAsia="en-GB"/>
        </w:rPr>
        <w:t>);</w:t>
      </w:r>
    </w:p>
    <w:p w14:paraId="5BDD03D7" w14:textId="77777777" w:rsidR="00A2065C" w:rsidRPr="009F1CF8" w:rsidRDefault="00A2065C" w:rsidP="00A2065C">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Pr>
          <w:rFonts w:ascii="Times New Roman" w:eastAsia="Times New Roman" w:hAnsi="Times New Roman" w:cs="Times New Roman"/>
          <w:i/>
          <w:iCs/>
          <w:noProof/>
          <w:lang w:eastAsia="en-GB"/>
        </w:rPr>
        <w:t xml:space="preserve">- </w:t>
      </w:r>
      <w:r w:rsidRPr="009F1CF8">
        <w:rPr>
          <w:rFonts w:ascii="Times New Roman" w:eastAsia="Times New Roman" w:hAnsi="Times New Roman" w:cs="Times New Roman"/>
          <w:i/>
          <w:iCs/>
          <w:noProof/>
          <w:lang w:eastAsia="en-GB"/>
        </w:rPr>
        <w:t>Is a result of a stakeholders’ consensus along with their commitment to participate in development and implementation of the ITS</w:t>
      </w:r>
    </w:p>
    <w:p w14:paraId="48E93D40" w14:textId="77777777" w:rsidR="00A2065C" w:rsidRDefault="00A2065C" w:rsidP="00A2065C">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p>
    <w:p w14:paraId="36DF9A8A" w14:textId="77777777" w:rsidR="00A2065C" w:rsidRPr="008A0755" w:rsidRDefault="00A2065C" w:rsidP="00A2065C">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sidRPr="008A0755">
        <w:rPr>
          <w:rFonts w:ascii="Times New Roman" w:eastAsia="Times New Roman" w:hAnsi="Times New Roman" w:cs="Times New Roman"/>
          <w:i/>
          <w:iCs/>
          <w:noProof/>
          <w:lang w:eastAsia="en-GB"/>
        </w:rPr>
        <w:t xml:space="preserve">For the elaboration of the </w:t>
      </w:r>
      <w:r>
        <w:rPr>
          <w:rFonts w:ascii="Times New Roman" w:eastAsia="Times New Roman" w:hAnsi="Times New Roman" w:cs="Times New Roman"/>
          <w:i/>
          <w:iCs/>
          <w:noProof/>
          <w:lang w:eastAsia="en-GB"/>
        </w:rPr>
        <w:t>ITS</w:t>
      </w:r>
      <w:r w:rsidRPr="008A0755">
        <w:rPr>
          <w:rFonts w:ascii="Times New Roman" w:eastAsia="Times New Roman" w:hAnsi="Times New Roman" w:cs="Times New Roman"/>
          <w:i/>
          <w:iCs/>
          <w:noProof/>
          <w:lang w:eastAsia="en-GB"/>
        </w:rPr>
        <w:t xml:space="preserve"> the</w:t>
      </w:r>
      <w:r>
        <w:rPr>
          <w:rFonts w:ascii="Times New Roman" w:eastAsia="Times New Roman" w:hAnsi="Times New Roman" w:cs="Times New Roman"/>
          <w:i/>
          <w:iCs/>
          <w:noProof/>
          <w:lang w:eastAsia="en-GB"/>
        </w:rPr>
        <w:t xml:space="preserve"> strategic orientations, priorities and considerations of the </w:t>
      </w:r>
      <w:r w:rsidRPr="008A0755">
        <w:rPr>
          <w:rFonts w:ascii="Times New Roman" w:eastAsia="Times New Roman" w:hAnsi="Times New Roman" w:cs="Times New Roman"/>
          <w:i/>
          <w:iCs/>
          <w:noProof/>
          <w:lang w:eastAsia="en-GB"/>
        </w:rPr>
        <w:t xml:space="preserve">following strategic documents </w:t>
      </w:r>
      <w:r>
        <w:rPr>
          <w:rFonts w:ascii="Times New Roman" w:eastAsia="Times New Roman" w:hAnsi="Times New Roman" w:cs="Times New Roman"/>
          <w:i/>
          <w:iCs/>
          <w:noProof/>
          <w:lang w:eastAsia="en-GB"/>
        </w:rPr>
        <w:t xml:space="preserve">of regional and local stakeholders </w:t>
      </w:r>
      <w:r w:rsidRPr="008A0755">
        <w:rPr>
          <w:rFonts w:ascii="Times New Roman" w:eastAsia="Times New Roman" w:hAnsi="Times New Roman" w:cs="Times New Roman"/>
          <w:i/>
          <w:iCs/>
          <w:noProof/>
          <w:lang w:eastAsia="en-GB"/>
        </w:rPr>
        <w:t xml:space="preserve">were </w:t>
      </w:r>
      <w:r>
        <w:rPr>
          <w:rFonts w:ascii="Times New Roman" w:eastAsia="Times New Roman" w:hAnsi="Times New Roman" w:cs="Times New Roman"/>
          <w:i/>
          <w:iCs/>
          <w:noProof/>
          <w:lang w:eastAsia="en-GB"/>
        </w:rPr>
        <w:t>used as a basis</w:t>
      </w:r>
      <w:r w:rsidRPr="008A0755">
        <w:rPr>
          <w:rFonts w:ascii="Times New Roman" w:eastAsia="Times New Roman" w:hAnsi="Times New Roman" w:cs="Times New Roman"/>
          <w:i/>
          <w:iCs/>
          <w:noProof/>
          <w:lang w:eastAsia="en-GB"/>
        </w:rPr>
        <w:t>:</w:t>
      </w:r>
    </w:p>
    <w:p w14:paraId="3B387541" w14:textId="77777777" w:rsidR="00A2065C" w:rsidRPr="0036418F" w:rsidRDefault="00A2065C" w:rsidP="00A2065C">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val="en-US" w:eastAsia="en-GB"/>
        </w:rPr>
      </w:pPr>
      <w:r>
        <w:rPr>
          <w:rFonts w:ascii="Times New Roman" w:eastAsia="Times New Roman" w:hAnsi="Times New Roman" w:cs="Times New Roman"/>
          <w:i/>
          <w:iCs/>
          <w:noProof/>
          <w:lang w:eastAsia="en-GB"/>
        </w:rPr>
        <w:t xml:space="preserve">- </w:t>
      </w:r>
      <w:r w:rsidRPr="008A0755">
        <w:rPr>
          <w:rFonts w:ascii="Times New Roman" w:eastAsia="Times New Roman" w:hAnsi="Times New Roman" w:cs="Times New Roman"/>
          <w:i/>
          <w:iCs/>
          <w:noProof/>
          <w:lang w:eastAsia="en-GB"/>
        </w:rPr>
        <w:t xml:space="preserve">Integrated Territorial Development Strategy </w:t>
      </w:r>
      <w:r w:rsidR="00BD4E35">
        <w:rPr>
          <w:rFonts w:ascii="Times New Roman" w:eastAsia="Times New Roman" w:hAnsi="Times New Roman" w:cs="Times New Roman"/>
          <w:i/>
          <w:iCs/>
          <w:noProof/>
          <w:lang w:val="en-US" w:eastAsia="en-GB"/>
        </w:rPr>
        <w:t>of</w:t>
      </w:r>
      <w:r w:rsidRPr="008A0755">
        <w:rPr>
          <w:rFonts w:ascii="Times New Roman" w:eastAsia="Times New Roman" w:hAnsi="Times New Roman" w:cs="Times New Roman"/>
          <w:i/>
          <w:iCs/>
          <w:noProof/>
          <w:lang w:eastAsia="en-GB"/>
        </w:rPr>
        <w:t xml:space="preserve"> the S</w:t>
      </w:r>
      <w:r w:rsidR="000B174C">
        <w:rPr>
          <w:rFonts w:ascii="Times New Roman" w:eastAsia="Times New Roman" w:hAnsi="Times New Roman" w:cs="Times New Roman"/>
          <w:i/>
          <w:iCs/>
          <w:noProof/>
          <w:lang w:eastAsia="en-GB"/>
        </w:rPr>
        <w:t>outh-West</w:t>
      </w:r>
      <w:r w:rsidRPr="008A0755">
        <w:rPr>
          <w:rFonts w:ascii="Times New Roman" w:eastAsia="Times New Roman" w:hAnsi="Times New Roman" w:cs="Times New Roman"/>
          <w:i/>
          <w:iCs/>
          <w:noProof/>
          <w:lang w:eastAsia="en-GB"/>
        </w:rPr>
        <w:t xml:space="preserve"> Region</w:t>
      </w:r>
      <w:r w:rsidR="0036418F">
        <w:rPr>
          <w:rFonts w:ascii="Times New Roman" w:eastAsia="Times New Roman" w:hAnsi="Times New Roman" w:cs="Times New Roman"/>
          <w:i/>
          <w:iCs/>
          <w:noProof/>
          <w:lang w:val="bg-BG" w:eastAsia="en-GB"/>
        </w:rPr>
        <w:t xml:space="preserve"> </w:t>
      </w:r>
      <w:r w:rsidR="0036418F">
        <w:rPr>
          <w:rFonts w:ascii="Times New Roman" w:eastAsia="Times New Roman" w:hAnsi="Times New Roman" w:cs="Times New Roman"/>
          <w:i/>
          <w:iCs/>
          <w:noProof/>
          <w:lang w:val="en-US" w:eastAsia="en-GB"/>
        </w:rPr>
        <w:t xml:space="preserve">(for </w:t>
      </w:r>
      <w:r w:rsidR="00B86EB6">
        <w:rPr>
          <w:rFonts w:ascii="Times New Roman" w:eastAsia="Times New Roman" w:hAnsi="Times New Roman" w:cs="Times New Roman"/>
          <w:i/>
          <w:iCs/>
          <w:noProof/>
          <w:lang w:val="en-US" w:eastAsia="en-GB"/>
        </w:rPr>
        <w:t xml:space="preserve">Republic of </w:t>
      </w:r>
      <w:r w:rsidR="0036418F">
        <w:rPr>
          <w:rFonts w:ascii="Times New Roman" w:eastAsia="Times New Roman" w:hAnsi="Times New Roman" w:cs="Times New Roman"/>
          <w:i/>
          <w:iCs/>
          <w:noProof/>
          <w:lang w:val="en-US" w:eastAsia="en-GB"/>
        </w:rPr>
        <w:t>Bulgaria)</w:t>
      </w:r>
    </w:p>
    <w:p w14:paraId="7FF6FF46" w14:textId="77777777" w:rsidR="00A2065C" w:rsidRDefault="00A2065C" w:rsidP="00A2065C">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Pr>
          <w:rFonts w:ascii="Times New Roman" w:eastAsia="Times New Roman" w:hAnsi="Times New Roman" w:cs="Times New Roman"/>
          <w:i/>
          <w:iCs/>
          <w:noProof/>
          <w:lang w:eastAsia="en-GB"/>
        </w:rPr>
        <w:t xml:space="preserve">- </w:t>
      </w:r>
      <w:r w:rsidRPr="008A0755">
        <w:rPr>
          <w:rFonts w:ascii="Times New Roman" w:eastAsia="Times New Roman" w:hAnsi="Times New Roman" w:cs="Times New Roman"/>
          <w:i/>
          <w:iCs/>
          <w:noProof/>
          <w:lang w:eastAsia="en-GB"/>
        </w:rPr>
        <w:t xml:space="preserve">Development Programme </w:t>
      </w:r>
      <w:r w:rsidR="00BD4E35">
        <w:rPr>
          <w:rFonts w:ascii="Times New Roman" w:eastAsia="Times New Roman" w:hAnsi="Times New Roman" w:cs="Times New Roman"/>
          <w:i/>
          <w:iCs/>
          <w:noProof/>
          <w:lang w:eastAsia="en-GB"/>
        </w:rPr>
        <w:t>of</w:t>
      </w:r>
      <w:r w:rsidRPr="008A0755">
        <w:rPr>
          <w:rFonts w:ascii="Times New Roman" w:eastAsia="Times New Roman" w:hAnsi="Times New Roman" w:cs="Times New Roman"/>
          <w:i/>
          <w:iCs/>
          <w:noProof/>
          <w:lang w:eastAsia="en-GB"/>
        </w:rPr>
        <w:t xml:space="preserve"> the Nort</w:t>
      </w:r>
      <w:r>
        <w:rPr>
          <w:rFonts w:ascii="Times New Roman" w:eastAsia="Times New Roman" w:hAnsi="Times New Roman" w:cs="Times New Roman"/>
          <w:i/>
          <w:iCs/>
          <w:noProof/>
          <w:lang w:eastAsia="en-GB"/>
        </w:rPr>
        <w:t>h-East</w:t>
      </w:r>
      <w:r w:rsidR="00622994">
        <w:rPr>
          <w:rFonts w:ascii="Times New Roman" w:eastAsia="Times New Roman" w:hAnsi="Times New Roman" w:cs="Times New Roman"/>
          <w:i/>
          <w:iCs/>
          <w:noProof/>
          <w:lang w:eastAsia="en-GB"/>
        </w:rPr>
        <w:t>ern</w:t>
      </w:r>
      <w:r>
        <w:rPr>
          <w:rFonts w:ascii="Times New Roman" w:eastAsia="Times New Roman" w:hAnsi="Times New Roman" w:cs="Times New Roman"/>
          <w:i/>
          <w:iCs/>
          <w:noProof/>
          <w:lang w:eastAsia="en-GB"/>
        </w:rPr>
        <w:t xml:space="preserve"> planning region 2021-2026</w:t>
      </w:r>
      <w:r w:rsidR="0036418F">
        <w:rPr>
          <w:rFonts w:ascii="Times New Roman" w:eastAsia="Times New Roman" w:hAnsi="Times New Roman" w:cs="Times New Roman"/>
          <w:i/>
          <w:iCs/>
          <w:noProof/>
          <w:lang w:eastAsia="en-GB"/>
        </w:rPr>
        <w:t xml:space="preserve"> (for </w:t>
      </w:r>
      <w:r w:rsidR="00B802AF">
        <w:rPr>
          <w:rFonts w:ascii="Times New Roman" w:eastAsia="Times New Roman" w:hAnsi="Times New Roman" w:cs="Times New Roman"/>
          <w:i/>
          <w:iCs/>
          <w:noProof/>
          <w:lang w:eastAsia="en-GB"/>
        </w:rPr>
        <w:t>[Republic of North Macedonia]</w:t>
      </w:r>
      <w:r w:rsidR="0036418F">
        <w:rPr>
          <w:rFonts w:ascii="Times New Roman" w:eastAsia="Times New Roman" w:hAnsi="Times New Roman" w:cs="Times New Roman"/>
          <w:i/>
          <w:iCs/>
          <w:noProof/>
          <w:lang w:eastAsia="en-GB"/>
        </w:rPr>
        <w:t>)</w:t>
      </w:r>
    </w:p>
    <w:p w14:paraId="41AC1744" w14:textId="77777777" w:rsidR="00A2065C" w:rsidRPr="008A0755" w:rsidRDefault="00A2065C" w:rsidP="00A2065C">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bookmarkStart w:id="1" w:name="_Hlk69220213"/>
      <w:r>
        <w:rPr>
          <w:rFonts w:ascii="Times New Roman" w:eastAsia="Times New Roman" w:hAnsi="Times New Roman" w:cs="Times New Roman"/>
          <w:i/>
          <w:iCs/>
          <w:noProof/>
          <w:lang w:eastAsia="en-GB"/>
        </w:rPr>
        <w:t xml:space="preserve">- Development Programme </w:t>
      </w:r>
      <w:r w:rsidR="00BD4E35">
        <w:rPr>
          <w:rFonts w:ascii="Times New Roman" w:eastAsia="Times New Roman" w:hAnsi="Times New Roman" w:cs="Times New Roman"/>
          <w:i/>
          <w:iCs/>
          <w:noProof/>
          <w:lang w:eastAsia="en-GB"/>
        </w:rPr>
        <w:t>of</w:t>
      </w:r>
      <w:r>
        <w:rPr>
          <w:rFonts w:ascii="Times New Roman" w:eastAsia="Times New Roman" w:hAnsi="Times New Roman" w:cs="Times New Roman"/>
          <w:i/>
          <w:iCs/>
          <w:noProof/>
          <w:lang w:eastAsia="en-GB"/>
        </w:rPr>
        <w:t xml:space="preserve"> the East</w:t>
      </w:r>
      <w:r w:rsidR="00622994">
        <w:rPr>
          <w:rFonts w:ascii="Times New Roman" w:eastAsia="Times New Roman" w:hAnsi="Times New Roman" w:cs="Times New Roman"/>
          <w:i/>
          <w:iCs/>
          <w:noProof/>
          <w:lang w:eastAsia="en-GB"/>
        </w:rPr>
        <w:t>ern</w:t>
      </w:r>
      <w:r>
        <w:rPr>
          <w:rFonts w:ascii="Times New Roman" w:eastAsia="Times New Roman" w:hAnsi="Times New Roman" w:cs="Times New Roman"/>
          <w:i/>
          <w:iCs/>
          <w:noProof/>
          <w:lang w:eastAsia="en-GB"/>
        </w:rPr>
        <w:t xml:space="preserve"> planning region 2021-</w:t>
      </w:r>
      <w:r w:rsidRPr="0041389B">
        <w:rPr>
          <w:rFonts w:ascii="Times New Roman" w:eastAsia="Times New Roman" w:hAnsi="Times New Roman" w:cs="Times New Roman"/>
          <w:i/>
          <w:iCs/>
          <w:noProof/>
          <w:lang w:eastAsia="en-GB"/>
        </w:rPr>
        <w:t>202</w:t>
      </w:r>
      <w:bookmarkEnd w:id="1"/>
      <w:r w:rsidRPr="0041389B">
        <w:rPr>
          <w:rFonts w:ascii="Times New Roman" w:eastAsia="Times New Roman" w:hAnsi="Times New Roman" w:cs="Times New Roman"/>
          <w:i/>
          <w:iCs/>
          <w:noProof/>
          <w:lang w:eastAsia="en-GB"/>
        </w:rPr>
        <w:t>6</w:t>
      </w:r>
      <w:r w:rsidR="0036418F">
        <w:rPr>
          <w:rFonts w:ascii="Times New Roman" w:eastAsia="Times New Roman" w:hAnsi="Times New Roman" w:cs="Times New Roman"/>
          <w:i/>
          <w:iCs/>
          <w:noProof/>
          <w:lang w:eastAsia="en-GB"/>
        </w:rPr>
        <w:t xml:space="preserve"> (for </w:t>
      </w:r>
      <w:r w:rsidR="00B802AF">
        <w:rPr>
          <w:rFonts w:ascii="Times New Roman" w:eastAsia="Times New Roman" w:hAnsi="Times New Roman" w:cs="Times New Roman"/>
          <w:i/>
          <w:iCs/>
          <w:noProof/>
          <w:lang w:eastAsia="en-GB"/>
        </w:rPr>
        <w:t>[Republic of North Macedonia]</w:t>
      </w:r>
      <w:r w:rsidR="0036418F">
        <w:rPr>
          <w:rFonts w:ascii="Times New Roman" w:eastAsia="Times New Roman" w:hAnsi="Times New Roman" w:cs="Times New Roman"/>
          <w:i/>
          <w:iCs/>
          <w:noProof/>
          <w:lang w:eastAsia="en-GB"/>
        </w:rPr>
        <w:t>)</w:t>
      </w:r>
    </w:p>
    <w:p w14:paraId="020568D8" w14:textId="77777777" w:rsidR="00A2065C" w:rsidRPr="008A0755" w:rsidRDefault="00A2065C" w:rsidP="00A2065C">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Pr>
          <w:rFonts w:ascii="Times New Roman" w:eastAsia="Times New Roman" w:hAnsi="Times New Roman" w:cs="Times New Roman"/>
          <w:i/>
          <w:iCs/>
          <w:noProof/>
          <w:lang w:eastAsia="en-GB"/>
        </w:rPr>
        <w:t xml:space="preserve">- </w:t>
      </w:r>
      <w:r w:rsidRPr="008A0755">
        <w:rPr>
          <w:rFonts w:ascii="Times New Roman" w:eastAsia="Times New Roman" w:hAnsi="Times New Roman" w:cs="Times New Roman"/>
          <w:i/>
          <w:iCs/>
          <w:noProof/>
          <w:lang w:eastAsia="en-GB"/>
        </w:rPr>
        <w:t xml:space="preserve">Development Programme </w:t>
      </w:r>
      <w:r w:rsidR="00BD4E35">
        <w:rPr>
          <w:rFonts w:ascii="Times New Roman" w:eastAsia="Times New Roman" w:hAnsi="Times New Roman" w:cs="Times New Roman"/>
          <w:i/>
          <w:iCs/>
          <w:noProof/>
          <w:lang w:eastAsia="en-GB"/>
        </w:rPr>
        <w:t>of</w:t>
      </w:r>
      <w:r w:rsidRPr="008A0755">
        <w:rPr>
          <w:rFonts w:ascii="Times New Roman" w:eastAsia="Times New Roman" w:hAnsi="Times New Roman" w:cs="Times New Roman"/>
          <w:i/>
          <w:iCs/>
          <w:noProof/>
          <w:lang w:eastAsia="en-GB"/>
        </w:rPr>
        <w:t xml:space="preserve"> the South-East</w:t>
      </w:r>
      <w:r w:rsidR="00622994">
        <w:rPr>
          <w:rFonts w:ascii="Times New Roman" w:eastAsia="Times New Roman" w:hAnsi="Times New Roman" w:cs="Times New Roman"/>
          <w:i/>
          <w:iCs/>
          <w:noProof/>
          <w:lang w:eastAsia="en-GB"/>
        </w:rPr>
        <w:t>ern</w:t>
      </w:r>
      <w:r w:rsidRPr="008A0755">
        <w:rPr>
          <w:rFonts w:ascii="Times New Roman" w:eastAsia="Times New Roman" w:hAnsi="Times New Roman" w:cs="Times New Roman"/>
          <w:i/>
          <w:iCs/>
          <w:noProof/>
          <w:lang w:eastAsia="en-GB"/>
        </w:rPr>
        <w:t xml:space="preserve"> planning region 202</w:t>
      </w:r>
      <w:r>
        <w:rPr>
          <w:rFonts w:ascii="Times New Roman" w:eastAsia="Times New Roman" w:hAnsi="Times New Roman" w:cs="Times New Roman"/>
          <w:i/>
          <w:iCs/>
          <w:noProof/>
          <w:lang w:eastAsia="en-GB"/>
        </w:rPr>
        <w:t>1-2026</w:t>
      </w:r>
      <w:r w:rsidR="0036418F">
        <w:rPr>
          <w:rFonts w:ascii="Times New Roman" w:eastAsia="Times New Roman" w:hAnsi="Times New Roman" w:cs="Times New Roman"/>
          <w:i/>
          <w:iCs/>
          <w:noProof/>
          <w:lang w:eastAsia="en-GB"/>
        </w:rPr>
        <w:t xml:space="preserve"> (for </w:t>
      </w:r>
      <w:r w:rsidR="00B802AF">
        <w:rPr>
          <w:rFonts w:ascii="Times New Roman" w:eastAsia="Times New Roman" w:hAnsi="Times New Roman" w:cs="Times New Roman"/>
          <w:i/>
          <w:iCs/>
          <w:noProof/>
          <w:lang w:eastAsia="en-GB"/>
        </w:rPr>
        <w:t>[Republic of North Macedonia]</w:t>
      </w:r>
      <w:r w:rsidR="0036418F">
        <w:rPr>
          <w:rFonts w:ascii="Times New Roman" w:eastAsia="Times New Roman" w:hAnsi="Times New Roman" w:cs="Times New Roman"/>
          <w:i/>
          <w:iCs/>
          <w:noProof/>
          <w:lang w:eastAsia="en-GB"/>
        </w:rPr>
        <w:t>)</w:t>
      </w:r>
    </w:p>
    <w:p w14:paraId="2493D17B" w14:textId="77777777" w:rsidR="00A2065C" w:rsidRPr="006E2961" w:rsidRDefault="00A2065C" w:rsidP="00A2065C">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p>
    <w:p w14:paraId="55D81933" w14:textId="77777777" w:rsidR="00A2065C" w:rsidRPr="006E2961" w:rsidRDefault="00A2065C" w:rsidP="00A2065C">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sidRPr="006E2961">
        <w:rPr>
          <w:rFonts w:ascii="Times New Roman" w:eastAsia="Times New Roman" w:hAnsi="Times New Roman" w:cs="Times New Roman"/>
          <w:i/>
          <w:iCs/>
          <w:noProof/>
          <w:lang w:eastAsia="en-GB"/>
        </w:rPr>
        <w:t xml:space="preserve">By performing a </w:t>
      </w:r>
      <w:r>
        <w:rPr>
          <w:rFonts w:ascii="Times New Roman" w:eastAsia="Times New Roman" w:hAnsi="Times New Roman" w:cs="Times New Roman"/>
          <w:i/>
          <w:iCs/>
          <w:noProof/>
          <w:lang w:eastAsia="en-GB"/>
        </w:rPr>
        <w:t xml:space="preserve">comprehensive multi-level analyisis of the </w:t>
      </w:r>
      <w:r w:rsidRPr="006E2961">
        <w:rPr>
          <w:rFonts w:ascii="Times New Roman" w:eastAsia="Times New Roman" w:hAnsi="Times New Roman" w:cs="Times New Roman"/>
          <w:i/>
          <w:iCs/>
          <w:noProof/>
          <w:lang w:eastAsia="en-GB"/>
        </w:rPr>
        <w:t>strategic documents</w:t>
      </w:r>
      <w:r>
        <w:rPr>
          <w:rFonts w:ascii="Times New Roman" w:eastAsia="Times New Roman" w:hAnsi="Times New Roman" w:cs="Times New Roman"/>
          <w:i/>
          <w:iCs/>
          <w:noProof/>
          <w:lang w:eastAsia="en-GB"/>
        </w:rPr>
        <w:t>,</w:t>
      </w:r>
      <w:r w:rsidRPr="006E2961">
        <w:rPr>
          <w:rFonts w:ascii="Times New Roman" w:eastAsia="Times New Roman" w:hAnsi="Times New Roman" w:cs="Times New Roman"/>
          <w:i/>
          <w:iCs/>
          <w:noProof/>
          <w:lang w:eastAsia="en-GB"/>
        </w:rPr>
        <w:t xml:space="preserve"> research</w:t>
      </w:r>
      <w:r>
        <w:rPr>
          <w:rFonts w:ascii="Times New Roman" w:eastAsia="Times New Roman" w:hAnsi="Times New Roman" w:cs="Times New Roman"/>
          <w:i/>
          <w:iCs/>
          <w:noProof/>
          <w:lang w:eastAsia="en-GB"/>
        </w:rPr>
        <w:t>es, assessments</w:t>
      </w:r>
      <w:r w:rsidRPr="006E2961">
        <w:rPr>
          <w:rFonts w:ascii="Times New Roman" w:eastAsia="Times New Roman" w:hAnsi="Times New Roman" w:cs="Times New Roman"/>
          <w:i/>
          <w:iCs/>
          <w:noProof/>
          <w:lang w:eastAsia="en-GB"/>
        </w:rPr>
        <w:t xml:space="preserve"> and data </w:t>
      </w:r>
      <w:r>
        <w:rPr>
          <w:rFonts w:ascii="Times New Roman" w:eastAsia="Times New Roman" w:hAnsi="Times New Roman" w:cs="Times New Roman"/>
          <w:i/>
          <w:iCs/>
          <w:noProof/>
          <w:lang w:eastAsia="en-GB"/>
        </w:rPr>
        <w:t>processing</w:t>
      </w:r>
      <w:r w:rsidRPr="006E2961">
        <w:rPr>
          <w:rFonts w:ascii="Times New Roman" w:eastAsia="Times New Roman" w:hAnsi="Times New Roman" w:cs="Times New Roman"/>
          <w:i/>
          <w:iCs/>
          <w:noProof/>
          <w:lang w:eastAsia="en-GB"/>
        </w:rPr>
        <w:t xml:space="preserve">, the necessary source information has been amassed and summarised for putting together a comprehensive picture of the situation. </w:t>
      </w:r>
      <w:r>
        <w:rPr>
          <w:rFonts w:ascii="Times New Roman" w:eastAsia="Times New Roman" w:hAnsi="Times New Roman" w:cs="Times New Roman"/>
          <w:i/>
          <w:iCs/>
          <w:noProof/>
          <w:lang w:eastAsia="en-GB"/>
        </w:rPr>
        <w:t>A</w:t>
      </w:r>
      <w:r w:rsidRPr="006E2961">
        <w:rPr>
          <w:rFonts w:ascii="Times New Roman" w:eastAsia="Times New Roman" w:hAnsi="Times New Roman" w:cs="Times New Roman"/>
          <w:i/>
          <w:iCs/>
          <w:noProof/>
          <w:lang w:eastAsia="en-GB"/>
        </w:rPr>
        <w:t xml:space="preserve">s a result of the identified needs and development potentials of the territory, the key areas of intervention are identified. </w:t>
      </w:r>
    </w:p>
    <w:p w14:paraId="5E4BAF3D" w14:textId="77777777" w:rsidR="006A5247" w:rsidRDefault="00A2065C" w:rsidP="00A2065C">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sidRPr="006E2961">
        <w:rPr>
          <w:rFonts w:ascii="Times New Roman" w:eastAsia="Times New Roman" w:hAnsi="Times New Roman" w:cs="Times New Roman"/>
          <w:i/>
          <w:iCs/>
          <w:noProof/>
          <w:lang w:eastAsia="en-GB"/>
        </w:rPr>
        <w:t>The integrated approach to addressing needs and utilising the existing potentials will be implemented through a multi-sectoral package of measures (integrated measures) for attaining the objectives of the Strategy and ensuring the active involvement of partners (stakeholders) at all stages of its development, implementation, monitoring and evaluation.</w:t>
      </w:r>
    </w:p>
    <w:p w14:paraId="188E9EB7" w14:textId="77777777" w:rsidR="006A5247" w:rsidRPr="007E51B7" w:rsidRDefault="006A5247" w:rsidP="006A5247">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val="bg-BG" w:eastAsia="en-GB"/>
        </w:rPr>
      </w:pPr>
    </w:p>
    <w:p w14:paraId="326B8702" w14:textId="77777777" w:rsidR="006A5247" w:rsidRDefault="006A5247" w:rsidP="006A5247">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r w:rsidRPr="003105A2">
        <w:rPr>
          <w:rFonts w:ascii="Times New Roman" w:eastAsia="Times New Roman" w:hAnsi="Times New Roman" w:cs="Times New Roman"/>
          <w:i/>
          <w:iCs/>
          <w:noProof/>
          <w:lang w:eastAsia="en-GB"/>
        </w:rPr>
        <w:t>To be complemented based on the work of the Task force group on the elaboration of ITS.</w:t>
      </w:r>
      <w:r w:rsidRPr="008A68F4">
        <w:rPr>
          <w:rFonts w:ascii="Times New Roman" w:eastAsia="Times New Roman" w:hAnsi="Times New Roman" w:cs="Times New Roman"/>
          <w:i/>
          <w:iCs/>
          <w:noProof/>
          <w:lang w:eastAsia="en-GB"/>
        </w:rPr>
        <w:t xml:space="preserve"> </w:t>
      </w:r>
    </w:p>
    <w:p w14:paraId="622717DD" w14:textId="77777777" w:rsidR="006A5247" w:rsidRPr="00E115DE" w:rsidRDefault="006A5247" w:rsidP="00E115DE">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i/>
          <w:iCs/>
          <w:noProof/>
          <w:lang w:eastAsia="en-GB"/>
        </w:rPr>
      </w:pPr>
    </w:p>
    <w:p w14:paraId="10CB65B6" w14:textId="77777777" w:rsidR="001B1197" w:rsidRPr="00693DE0" w:rsidRDefault="001B1197" w:rsidP="001B1197">
      <w:pPr>
        <w:spacing w:before="240" w:after="240" w:line="240" w:lineRule="auto"/>
        <w:ind w:left="709" w:hanging="709"/>
        <w:rPr>
          <w:rFonts w:ascii="Times New Roman" w:eastAsia="Times New Roman" w:hAnsi="Times New Roman" w:cs="Times New Roman"/>
          <w:b/>
          <w:iCs/>
          <w:noProof/>
          <w:sz w:val="24"/>
          <w:szCs w:val="24"/>
          <w:lang w:eastAsia="en-GB"/>
        </w:rPr>
      </w:pPr>
      <w:r w:rsidRPr="00693DE0">
        <w:rPr>
          <w:rFonts w:ascii="Times New Roman" w:eastAsia="Times New Roman" w:hAnsi="Times New Roman" w:cs="Times New Roman"/>
          <w:b/>
          <w:iCs/>
          <w:noProof/>
          <w:sz w:val="24"/>
          <w:szCs w:val="24"/>
          <w:lang w:eastAsia="en-GB"/>
        </w:rPr>
        <w:t>2.</w:t>
      </w:r>
      <w:r>
        <w:rPr>
          <w:rFonts w:ascii="Times New Roman" w:eastAsia="Times New Roman" w:hAnsi="Times New Roman" w:cs="Times New Roman"/>
          <w:b/>
          <w:iCs/>
          <w:noProof/>
          <w:sz w:val="24"/>
          <w:szCs w:val="24"/>
          <w:lang w:eastAsia="en-GB"/>
        </w:rPr>
        <w:t>3</w:t>
      </w:r>
      <w:r w:rsidRPr="00693DE0">
        <w:rPr>
          <w:rFonts w:ascii="Times New Roman" w:eastAsia="Times New Roman" w:hAnsi="Times New Roman" w:cs="Times New Roman"/>
          <w:b/>
          <w:iCs/>
          <w:noProof/>
          <w:sz w:val="24"/>
          <w:szCs w:val="24"/>
          <w:lang w:eastAsia="en-GB"/>
        </w:rPr>
        <w:t>.6.</w:t>
      </w:r>
      <w:r w:rsidRPr="00693DE0">
        <w:rPr>
          <w:rFonts w:ascii="Times New Roman" w:eastAsia="Times New Roman" w:hAnsi="Times New Roman" w:cs="Times New Roman"/>
          <w:b/>
          <w:iCs/>
          <w:noProof/>
          <w:sz w:val="24"/>
          <w:szCs w:val="24"/>
          <w:lang w:eastAsia="en-GB"/>
        </w:rPr>
        <w:tab/>
        <w:t>Planned use of financial instruments</w:t>
      </w:r>
    </w:p>
    <w:p w14:paraId="6609A439" w14:textId="77777777" w:rsidR="001B1197" w:rsidRPr="00693DE0" w:rsidRDefault="001B1197" w:rsidP="001B1197">
      <w:pPr>
        <w:spacing w:after="200" w:line="276" w:lineRule="auto"/>
        <w:jc w:val="both"/>
        <w:rPr>
          <w:rFonts w:ascii="Times New Roman" w:eastAsia="Times New Roman" w:hAnsi="Times New Roman" w:cs="Times New Roman"/>
          <w:i/>
          <w:noProof/>
          <w:color w:val="000000"/>
          <w:sz w:val="24"/>
          <w:szCs w:val="24"/>
          <w:lang w:eastAsia="en-GB"/>
        </w:rPr>
      </w:pPr>
      <w:r w:rsidRPr="00693DE0">
        <w:rPr>
          <w:rFonts w:ascii="Times New Roman" w:eastAsia="Times New Roman" w:hAnsi="Times New Roman" w:cs="Times New Roman"/>
          <w:i/>
          <w:noProof/>
          <w:color w:val="000000"/>
          <w:sz w:val="24"/>
          <w:szCs w:val="24"/>
          <w:lang w:eastAsia="en-GB"/>
        </w:rPr>
        <w:t>Reference: point (e)(v) of Article 17(3)</w:t>
      </w:r>
    </w:p>
    <w:p w14:paraId="1AEE05E3" w14:textId="77777777" w:rsidR="001B1197" w:rsidRPr="00693DE0" w:rsidRDefault="001B1197" w:rsidP="001B1197">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b/>
          <w:iCs/>
          <w:noProof/>
          <w:sz w:val="24"/>
          <w:szCs w:val="24"/>
          <w:lang w:eastAsia="en-GB"/>
        </w:rPr>
      </w:pPr>
      <w:r w:rsidRPr="00693DE0">
        <w:rPr>
          <w:rFonts w:ascii="Times New Roman" w:eastAsia="Times New Roman" w:hAnsi="Times New Roman" w:cs="Times New Roman"/>
          <w:b/>
          <w:iCs/>
          <w:noProof/>
          <w:sz w:val="24"/>
          <w:szCs w:val="24"/>
          <w:lang w:eastAsia="en-GB"/>
        </w:rPr>
        <w:lastRenderedPageBreak/>
        <w:t>Not applicable</w:t>
      </w:r>
    </w:p>
    <w:p w14:paraId="38648D83" w14:textId="77777777" w:rsidR="001B1197" w:rsidRPr="003A7ED9" w:rsidRDefault="001B1197" w:rsidP="003A7ED9">
      <w:pPr>
        <w:pBdr>
          <w:top w:val="single" w:sz="4" w:space="1" w:color="auto"/>
          <w:left w:val="single" w:sz="4" w:space="4" w:color="auto"/>
          <w:bottom w:val="single" w:sz="4" w:space="1" w:color="auto"/>
          <w:right w:val="single" w:sz="4" w:space="4" w:color="auto"/>
        </w:pBdr>
        <w:spacing w:after="200" w:line="276" w:lineRule="auto"/>
        <w:jc w:val="both"/>
        <w:rPr>
          <w:rFonts w:ascii="Times New Roman" w:eastAsia="Times New Roman" w:hAnsi="Times New Roman" w:cs="Times New Roman"/>
          <w:i/>
          <w:noProof/>
          <w:color w:val="000000"/>
          <w:lang w:eastAsia="en-GB"/>
        </w:rPr>
      </w:pPr>
      <w:r w:rsidRPr="00693DE0">
        <w:rPr>
          <w:rFonts w:ascii="Times New Roman" w:eastAsia="Times New Roman" w:hAnsi="Times New Roman" w:cs="Times New Roman"/>
          <w:i/>
          <w:iCs/>
          <w:noProof/>
          <w:sz w:val="24"/>
          <w:szCs w:val="24"/>
          <w:lang w:eastAsia="en-GB"/>
        </w:rPr>
        <w:t>Text field [7000]</w:t>
      </w:r>
    </w:p>
    <w:p w14:paraId="0495AF56" w14:textId="77777777" w:rsidR="001B1197" w:rsidRPr="007E41C5" w:rsidRDefault="001B1197" w:rsidP="001B1197">
      <w:pPr>
        <w:spacing w:before="240" w:after="240" w:line="240" w:lineRule="auto"/>
        <w:ind w:left="709" w:hanging="709"/>
        <w:rPr>
          <w:rFonts w:ascii="Times New Roman" w:eastAsia="Times New Roman" w:hAnsi="Times New Roman" w:cs="Times New Roman"/>
          <w:b/>
          <w:iCs/>
          <w:noProof/>
          <w:sz w:val="24"/>
          <w:szCs w:val="24"/>
          <w:highlight w:val="yellow"/>
          <w:lang w:eastAsia="en-GB"/>
        </w:rPr>
      </w:pPr>
      <w:r w:rsidRPr="00693DE0">
        <w:rPr>
          <w:rFonts w:ascii="Times New Roman" w:eastAsia="Times New Roman" w:hAnsi="Times New Roman" w:cs="Times New Roman"/>
          <w:b/>
          <w:iCs/>
          <w:noProof/>
          <w:sz w:val="24"/>
          <w:szCs w:val="24"/>
          <w:lang w:eastAsia="en-GB"/>
        </w:rPr>
        <w:t>2.</w:t>
      </w:r>
      <w:r>
        <w:rPr>
          <w:rFonts w:ascii="Times New Roman" w:eastAsia="Times New Roman" w:hAnsi="Times New Roman" w:cs="Times New Roman"/>
          <w:b/>
          <w:iCs/>
          <w:noProof/>
          <w:sz w:val="24"/>
          <w:szCs w:val="24"/>
          <w:lang w:eastAsia="en-GB"/>
        </w:rPr>
        <w:t>3</w:t>
      </w:r>
      <w:r w:rsidRPr="00693DE0">
        <w:rPr>
          <w:rFonts w:ascii="Times New Roman" w:eastAsia="Times New Roman" w:hAnsi="Times New Roman" w:cs="Times New Roman"/>
          <w:b/>
          <w:iCs/>
          <w:noProof/>
          <w:sz w:val="24"/>
          <w:szCs w:val="24"/>
          <w:lang w:eastAsia="en-GB"/>
        </w:rPr>
        <w:t>.7.</w:t>
      </w:r>
      <w:r w:rsidRPr="00693DE0">
        <w:rPr>
          <w:rFonts w:ascii="Times New Roman" w:eastAsia="Times New Roman" w:hAnsi="Times New Roman" w:cs="Times New Roman"/>
          <w:b/>
          <w:iCs/>
          <w:noProof/>
          <w:sz w:val="24"/>
          <w:szCs w:val="24"/>
          <w:lang w:eastAsia="en-GB"/>
        </w:rPr>
        <w:tab/>
      </w:r>
      <w:r w:rsidRPr="007E41C5">
        <w:rPr>
          <w:rFonts w:ascii="Times New Roman" w:eastAsia="Times New Roman" w:hAnsi="Times New Roman" w:cs="Times New Roman"/>
          <w:b/>
          <w:iCs/>
          <w:noProof/>
          <w:sz w:val="24"/>
          <w:szCs w:val="24"/>
          <w:highlight w:val="yellow"/>
          <w:lang w:eastAsia="en-GB"/>
        </w:rPr>
        <w:t>Indicative breakdown of the EU programme resources by type of intervention</w:t>
      </w:r>
    </w:p>
    <w:p w14:paraId="7D743A6C" w14:textId="77777777" w:rsidR="001B1197" w:rsidRPr="007E41C5" w:rsidRDefault="001B1197" w:rsidP="001B1197">
      <w:pPr>
        <w:spacing w:after="200" w:line="276" w:lineRule="auto"/>
        <w:jc w:val="both"/>
        <w:rPr>
          <w:rFonts w:ascii="Times New Roman" w:eastAsia="Times New Roman" w:hAnsi="Times New Roman" w:cs="Times New Roman"/>
          <w:i/>
          <w:noProof/>
          <w:color w:val="000000"/>
          <w:sz w:val="24"/>
          <w:szCs w:val="24"/>
          <w:highlight w:val="yellow"/>
          <w:lang w:val="en-IE" w:eastAsia="en-GB"/>
        </w:rPr>
      </w:pPr>
      <w:r w:rsidRPr="007E41C5">
        <w:rPr>
          <w:rFonts w:ascii="Times New Roman" w:eastAsia="Times New Roman" w:hAnsi="Times New Roman" w:cs="Times New Roman"/>
          <w:i/>
          <w:noProof/>
          <w:color w:val="000000"/>
          <w:sz w:val="24"/>
          <w:szCs w:val="24"/>
          <w:highlight w:val="yellow"/>
          <w:lang w:val="en-IE" w:eastAsia="en-GB"/>
        </w:rPr>
        <w:t xml:space="preserve">Reference: point </w:t>
      </w:r>
      <w:r w:rsidRPr="007E41C5">
        <w:rPr>
          <w:rFonts w:ascii="Times New Roman" w:eastAsia="Times New Roman" w:hAnsi="Times New Roman" w:cs="Times New Roman"/>
          <w:i/>
          <w:noProof/>
          <w:color w:val="000000"/>
          <w:sz w:val="24"/>
          <w:szCs w:val="24"/>
          <w:highlight w:val="yellow"/>
          <w:lang w:eastAsia="en-GB"/>
        </w:rPr>
        <w:t>(e)(vi) of</w:t>
      </w:r>
      <w:r w:rsidRPr="007E41C5">
        <w:rPr>
          <w:rFonts w:ascii="Times New Roman" w:eastAsia="Times New Roman" w:hAnsi="Times New Roman" w:cs="Times New Roman"/>
          <w:i/>
          <w:noProof/>
          <w:color w:val="000000"/>
          <w:sz w:val="24"/>
          <w:szCs w:val="24"/>
          <w:highlight w:val="yellow"/>
          <w:lang w:val="en-IE" w:eastAsia="en-GB"/>
        </w:rPr>
        <w:t xml:space="preserve"> Article 17(3), point </w:t>
      </w:r>
      <w:r w:rsidRPr="007E41C5">
        <w:rPr>
          <w:rFonts w:ascii="Times New Roman" w:eastAsia="Times New Roman" w:hAnsi="Times New Roman" w:cs="Times New Roman"/>
          <w:i/>
          <w:noProof/>
          <w:color w:val="000000"/>
          <w:sz w:val="24"/>
          <w:szCs w:val="24"/>
          <w:highlight w:val="yellow"/>
          <w:lang w:eastAsia="en-GB"/>
        </w:rPr>
        <w:t>(e)(v) of</w:t>
      </w:r>
      <w:r w:rsidRPr="007E41C5">
        <w:rPr>
          <w:rFonts w:ascii="Times New Roman" w:eastAsia="Times New Roman" w:hAnsi="Times New Roman" w:cs="Times New Roman"/>
          <w:i/>
          <w:noProof/>
          <w:color w:val="000000"/>
          <w:sz w:val="24"/>
          <w:szCs w:val="24"/>
          <w:highlight w:val="yellow"/>
          <w:lang w:val="en-IE" w:eastAsia="en-GB"/>
        </w:rPr>
        <w:t xml:space="preserve"> Article 17(9)</w:t>
      </w:r>
    </w:p>
    <w:p w14:paraId="6EF24CAC" w14:textId="77777777" w:rsidR="001B1197" w:rsidRPr="007E41C5" w:rsidRDefault="001B1197" w:rsidP="001B1197">
      <w:pPr>
        <w:spacing w:after="200" w:line="276" w:lineRule="auto"/>
        <w:jc w:val="center"/>
        <w:rPr>
          <w:rFonts w:ascii="Times New Roman" w:eastAsia="Times New Roman" w:hAnsi="Times New Roman" w:cs="Times New Roman"/>
          <w:i/>
          <w:noProof/>
          <w:color w:val="000000"/>
          <w:sz w:val="24"/>
          <w:szCs w:val="24"/>
          <w:highlight w:val="yellow"/>
          <w:lang w:val="fr-BE" w:eastAsia="en-GB"/>
        </w:rPr>
      </w:pPr>
      <w:r w:rsidRPr="007E41C5">
        <w:rPr>
          <w:rFonts w:ascii="Times New Roman" w:eastAsia="Times New Roman" w:hAnsi="Times New Roman" w:cs="Times New Roman"/>
          <w:iCs/>
          <w:noProof/>
          <w:sz w:val="24"/>
          <w:szCs w:val="24"/>
          <w:highlight w:val="yellow"/>
          <w:lang w:val="fr-BE" w:eastAsia="en-GB"/>
        </w:rPr>
        <w:t>Table 4: Dimension 1 – intervention field</w:t>
      </w:r>
    </w:p>
    <w:tbl>
      <w:tblPr>
        <w:tblStyle w:val="TableGrid11"/>
        <w:tblW w:w="9923" w:type="dxa"/>
        <w:tblInd w:w="-147" w:type="dxa"/>
        <w:tblLook w:val="04A0" w:firstRow="1" w:lastRow="0" w:firstColumn="1" w:lastColumn="0" w:noHBand="0" w:noVBand="1"/>
      </w:tblPr>
      <w:tblGrid>
        <w:gridCol w:w="1276"/>
        <w:gridCol w:w="1560"/>
        <w:gridCol w:w="1134"/>
        <w:gridCol w:w="4536"/>
        <w:gridCol w:w="1417"/>
      </w:tblGrid>
      <w:tr w:rsidR="001B1197" w:rsidRPr="007E41C5" w14:paraId="03061DA2" w14:textId="77777777" w:rsidTr="0096715F">
        <w:tc>
          <w:tcPr>
            <w:tcW w:w="1276" w:type="dxa"/>
          </w:tcPr>
          <w:p w14:paraId="60746409" w14:textId="77777777" w:rsidR="001B1197" w:rsidRPr="007E41C5" w:rsidRDefault="001B1197" w:rsidP="0096715F">
            <w:pPr>
              <w:spacing w:after="160" w:line="259" w:lineRule="auto"/>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Priority no</w:t>
            </w:r>
          </w:p>
        </w:tc>
        <w:tc>
          <w:tcPr>
            <w:tcW w:w="1560" w:type="dxa"/>
          </w:tcPr>
          <w:p w14:paraId="6C2E895B" w14:textId="77777777" w:rsidR="001B1197" w:rsidRPr="007E41C5" w:rsidRDefault="001B1197" w:rsidP="0096715F">
            <w:pPr>
              <w:spacing w:after="160" w:line="259" w:lineRule="auto"/>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Fund</w:t>
            </w:r>
          </w:p>
        </w:tc>
        <w:tc>
          <w:tcPr>
            <w:tcW w:w="1134" w:type="dxa"/>
          </w:tcPr>
          <w:p w14:paraId="50584AF7" w14:textId="77777777" w:rsidR="001B1197" w:rsidRPr="007E41C5" w:rsidRDefault="001B1197" w:rsidP="0096715F">
            <w:pPr>
              <w:spacing w:after="160" w:line="259" w:lineRule="auto"/>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Specific objective</w:t>
            </w:r>
          </w:p>
        </w:tc>
        <w:tc>
          <w:tcPr>
            <w:tcW w:w="4536" w:type="dxa"/>
          </w:tcPr>
          <w:p w14:paraId="6640B693" w14:textId="77777777" w:rsidR="001B1197" w:rsidRPr="007E41C5" w:rsidRDefault="001B1197" w:rsidP="0096715F">
            <w:pPr>
              <w:spacing w:after="160" w:line="259" w:lineRule="auto"/>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 xml:space="preserve">Code </w:t>
            </w:r>
          </w:p>
        </w:tc>
        <w:tc>
          <w:tcPr>
            <w:tcW w:w="1417" w:type="dxa"/>
          </w:tcPr>
          <w:p w14:paraId="5BA9253B" w14:textId="77777777" w:rsidR="001B1197" w:rsidRPr="007E41C5" w:rsidRDefault="001B1197" w:rsidP="0096715F">
            <w:pPr>
              <w:spacing w:after="160" w:line="259" w:lineRule="auto"/>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Amount (EUR)</w:t>
            </w:r>
          </w:p>
        </w:tc>
      </w:tr>
      <w:tr w:rsidR="007B2D63" w:rsidRPr="007E41C5" w14:paraId="0DB0963D" w14:textId="77777777" w:rsidTr="0096715F">
        <w:tc>
          <w:tcPr>
            <w:tcW w:w="1276" w:type="dxa"/>
            <w:vAlign w:val="center"/>
          </w:tcPr>
          <w:p w14:paraId="1CAB711F" w14:textId="77777777" w:rsidR="007B2D63" w:rsidRPr="007E41C5" w:rsidRDefault="007B2D63" w:rsidP="007B2D63">
            <w:pPr>
              <w:spacing w:after="160" w:line="259" w:lineRule="auto"/>
              <w:jc w:val="center"/>
              <w:rPr>
                <w:rFonts w:ascii="Times New Roman" w:eastAsia="Times New Roman" w:hAnsi="Times New Roman" w:cs="Times New Roman"/>
                <w:iCs/>
                <w:noProof/>
                <w:sz w:val="20"/>
                <w:szCs w:val="20"/>
                <w:highlight w:val="yellow"/>
                <w:lang w:eastAsia="en-GB"/>
              </w:rPr>
            </w:pPr>
            <w:r w:rsidRPr="007E41C5">
              <w:rPr>
                <w:rFonts w:ascii="Times New Roman" w:eastAsia="Times New Roman" w:hAnsi="Times New Roman" w:cs="Times New Roman"/>
                <w:iCs/>
                <w:noProof/>
                <w:sz w:val="20"/>
                <w:szCs w:val="20"/>
                <w:highlight w:val="yellow"/>
                <w:lang w:eastAsia="en-GB"/>
              </w:rPr>
              <w:t>3</w:t>
            </w:r>
          </w:p>
        </w:tc>
        <w:tc>
          <w:tcPr>
            <w:tcW w:w="1560" w:type="dxa"/>
            <w:vAlign w:val="center"/>
          </w:tcPr>
          <w:p w14:paraId="781F7E9D" w14:textId="77777777" w:rsidR="007B2D63" w:rsidRPr="007E41C5" w:rsidRDefault="007B2D63" w:rsidP="007B2D63">
            <w:pPr>
              <w:spacing w:after="160" w:line="259" w:lineRule="auto"/>
              <w:jc w:val="both"/>
              <w:rPr>
                <w:rFonts w:ascii="Times New Roman" w:eastAsia="Times New Roman" w:hAnsi="Times New Roman" w:cs="Times New Roman"/>
                <w:b/>
                <w:iCs/>
                <w:noProof/>
                <w:sz w:val="20"/>
                <w:szCs w:val="20"/>
                <w:highlight w:val="yellow"/>
                <w:lang w:eastAsia="en-GB"/>
              </w:rPr>
            </w:pPr>
            <w:r w:rsidRPr="007E41C5">
              <w:rPr>
                <w:rFonts w:ascii="Times New Roman" w:hAnsi="Times New Roman" w:cs="Times New Roman"/>
                <w:sz w:val="20"/>
                <w:szCs w:val="20"/>
                <w:highlight w:val="yellow"/>
              </w:rPr>
              <w:t>Union funds (ERDF and IPA)</w:t>
            </w:r>
          </w:p>
        </w:tc>
        <w:tc>
          <w:tcPr>
            <w:tcW w:w="1134" w:type="dxa"/>
            <w:vAlign w:val="center"/>
          </w:tcPr>
          <w:p w14:paraId="6B494165" w14:textId="77777777" w:rsidR="007B2D63" w:rsidRPr="007E41C5" w:rsidRDefault="007B2D63" w:rsidP="007B2D63">
            <w:pPr>
              <w:spacing w:after="160" w:line="259" w:lineRule="auto"/>
              <w:jc w:val="cente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3.1</w:t>
            </w:r>
          </w:p>
        </w:tc>
        <w:tc>
          <w:tcPr>
            <w:tcW w:w="4536" w:type="dxa"/>
          </w:tcPr>
          <w:p w14:paraId="745EC356" w14:textId="77777777" w:rsidR="007B2D63" w:rsidRPr="007E41C5" w:rsidRDefault="007B2D63" w:rsidP="007B2D63">
            <w:pPr>
              <w:spacing w:after="160" w:line="259" w:lineRule="auto"/>
              <w:jc w:val="both"/>
              <w:rPr>
                <w:rFonts w:ascii="Times New Roman" w:hAnsi="Times New Roman" w:cs="Times New Roman"/>
                <w:sz w:val="20"/>
                <w:szCs w:val="20"/>
                <w:highlight w:val="yellow"/>
              </w:rPr>
            </w:pPr>
            <w:r w:rsidRPr="007E41C5">
              <w:rPr>
                <w:rFonts w:ascii="Times New Roman" w:hAnsi="Times New Roman" w:cs="Times New Roman"/>
                <w:sz w:val="20"/>
                <w:szCs w:val="20"/>
                <w:highlight w:val="yellow"/>
              </w:rPr>
              <w:t xml:space="preserve">021 SME business development and internationalisation, including productive investments </w:t>
            </w:r>
          </w:p>
        </w:tc>
        <w:tc>
          <w:tcPr>
            <w:tcW w:w="1417" w:type="dxa"/>
          </w:tcPr>
          <w:p w14:paraId="7278BFFD" w14:textId="77777777" w:rsidR="005D7469" w:rsidRPr="007E41C5" w:rsidRDefault="005D7469" w:rsidP="005D7469">
            <w:pPr>
              <w:rPr>
                <w:rFonts w:ascii="Times New Roman" w:eastAsia="Times New Roman" w:hAnsi="Times New Roman" w:cs="Times New Roman"/>
                <w:b/>
                <w:iCs/>
                <w:noProof/>
                <w:sz w:val="20"/>
                <w:szCs w:val="20"/>
                <w:highlight w:val="yellow"/>
                <w:lang w:val="en-US" w:eastAsia="en-GB"/>
              </w:rPr>
            </w:pPr>
            <w:r w:rsidRPr="007E41C5">
              <w:rPr>
                <w:rFonts w:ascii="Times New Roman" w:eastAsia="Times New Roman" w:hAnsi="Times New Roman" w:cs="Times New Roman"/>
                <w:b/>
                <w:iCs/>
                <w:noProof/>
                <w:sz w:val="20"/>
                <w:szCs w:val="20"/>
                <w:highlight w:val="yellow"/>
                <w:lang w:eastAsia="en-GB"/>
              </w:rPr>
              <w:t>1 203 615,46</w:t>
            </w:r>
          </w:p>
          <w:p w14:paraId="1D6A2F98" w14:textId="77777777" w:rsidR="007B2D63" w:rsidRPr="007E41C5" w:rsidRDefault="007B2D63" w:rsidP="007B2D63">
            <w:pPr>
              <w:spacing w:after="160" w:line="259" w:lineRule="auto"/>
              <w:rPr>
                <w:rFonts w:ascii="Times New Roman" w:eastAsia="Times New Roman" w:hAnsi="Times New Roman" w:cs="Times New Roman"/>
                <w:b/>
                <w:iCs/>
                <w:noProof/>
                <w:sz w:val="20"/>
                <w:szCs w:val="20"/>
                <w:highlight w:val="yellow"/>
                <w:lang w:eastAsia="en-GB"/>
              </w:rPr>
            </w:pPr>
          </w:p>
        </w:tc>
      </w:tr>
      <w:tr w:rsidR="007B2D63" w:rsidRPr="007E41C5" w14:paraId="39E9103D" w14:textId="77777777" w:rsidTr="0096715F">
        <w:tc>
          <w:tcPr>
            <w:tcW w:w="1276" w:type="dxa"/>
          </w:tcPr>
          <w:p w14:paraId="4A806898" w14:textId="77777777" w:rsidR="007B2D63" w:rsidRPr="007E41C5" w:rsidRDefault="007B2D63" w:rsidP="007B2D63">
            <w:pPr>
              <w:spacing w:after="160" w:line="259" w:lineRule="auto"/>
              <w:jc w:val="center"/>
              <w:rPr>
                <w:rFonts w:ascii="Times New Roman" w:eastAsia="Times New Roman" w:hAnsi="Times New Roman" w:cs="Times New Roman"/>
                <w:iCs/>
                <w:noProof/>
                <w:sz w:val="20"/>
                <w:szCs w:val="20"/>
                <w:highlight w:val="yellow"/>
                <w:lang w:eastAsia="en-GB"/>
              </w:rPr>
            </w:pPr>
            <w:r w:rsidRPr="007E41C5">
              <w:rPr>
                <w:rFonts w:ascii="Times New Roman" w:eastAsia="Times New Roman" w:hAnsi="Times New Roman" w:cs="Times New Roman"/>
                <w:iCs/>
                <w:noProof/>
                <w:sz w:val="20"/>
                <w:szCs w:val="20"/>
                <w:highlight w:val="yellow"/>
                <w:lang w:eastAsia="en-GB"/>
              </w:rPr>
              <w:t>3</w:t>
            </w:r>
          </w:p>
        </w:tc>
        <w:tc>
          <w:tcPr>
            <w:tcW w:w="1560" w:type="dxa"/>
            <w:vAlign w:val="center"/>
          </w:tcPr>
          <w:p w14:paraId="3B395F2B" w14:textId="77777777" w:rsidR="007B2D63" w:rsidRPr="007E41C5" w:rsidRDefault="007B2D63" w:rsidP="007B2D63">
            <w:pPr>
              <w:spacing w:after="160" w:line="259" w:lineRule="auto"/>
              <w:jc w:val="both"/>
              <w:rPr>
                <w:rFonts w:ascii="Times New Roman" w:eastAsia="Times New Roman" w:hAnsi="Times New Roman" w:cs="Times New Roman"/>
                <w:b/>
                <w:iCs/>
                <w:noProof/>
                <w:sz w:val="20"/>
                <w:szCs w:val="20"/>
                <w:highlight w:val="yellow"/>
                <w:lang w:eastAsia="en-GB"/>
              </w:rPr>
            </w:pPr>
            <w:r w:rsidRPr="007E41C5">
              <w:rPr>
                <w:rFonts w:ascii="Times New Roman" w:hAnsi="Times New Roman" w:cs="Times New Roman"/>
                <w:sz w:val="20"/>
                <w:szCs w:val="20"/>
                <w:highlight w:val="yellow"/>
              </w:rPr>
              <w:t>Union funds (ERDF and IPA)</w:t>
            </w:r>
          </w:p>
        </w:tc>
        <w:tc>
          <w:tcPr>
            <w:tcW w:w="1134" w:type="dxa"/>
          </w:tcPr>
          <w:p w14:paraId="2304C732" w14:textId="77777777" w:rsidR="007B2D63" w:rsidRPr="007E41C5" w:rsidRDefault="007B2D63" w:rsidP="007B2D63">
            <w:pPr>
              <w:spacing w:after="160" w:line="259" w:lineRule="auto"/>
              <w:jc w:val="cente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3.1</w:t>
            </w:r>
          </w:p>
        </w:tc>
        <w:tc>
          <w:tcPr>
            <w:tcW w:w="4536" w:type="dxa"/>
          </w:tcPr>
          <w:p w14:paraId="095A8316" w14:textId="77777777" w:rsidR="007B2D63" w:rsidRPr="007E41C5" w:rsidRDefault="007B2D63" w:rsidP="007B2D63">
            <w:pPr>
              <w:spacing w:after="160" w:line="259" w:lineRule="auto"/>
              <w:jc w:val="both"/>
              <w:rPr>
                <w:rFonts w:ascii="Times New Roman" w:hAnsi="Times New Roman" w:cs="Times New Roman"/>
                <w:sz w:val="20"/>
                <w:szCs w:val="20"/>
                <w:highlight w:val="yellow"/>
              </w:rPr>
            </w:pPr>
            <w:r w:rsidRPr="007E41C5">
              <w:rPr>
                <w:rFonts w:ascii="Times New Roman" w:hAnsi="Times New Roman" w:cs="Times New Roman"/>
                <w:sz w:val="20"/>
                <w:szCs w:val="20"/>
                <w:highlight w:val="yellow"/>
              </w:rPr>
              <w:t>024 Advanced support services for SMEs and groups of SMEs (including management, marketing and design services)</w:t>
            </w:r>
          </w:p>
        </w:tc>
        <w:tc>
          <w:tcPr>
            <w:tcW w:w="1417" w:type="dxa"/>
          </w:tcPr>
          <w:p w14:paraId="7063A620" w14:textId="77777777" w:rsidR="007B2D63" w:rsidRPr="007E41C5" w:rsidRDefault="005D7469" w:rsidP="007B2D63">
            <w:pPr>
              <w:spacing w:after="160" w:line="259" w:lineRule="auto"/>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1 203 615,46</w:t>
            </w:r>
          </w:p>
        </w:tc>
      </w:tr>
      <w:tr w:rsidR="005D7469" w:rsidRPr="007E41C5" w14:paraId="51BCFD15" w14:textId="77777777" w:rsidTr="0096715F">
        <w:tc>
          <w:tcPr>
            <w:tcW w:w="1276" w:type="dxa"/>
          </w:tcPr>
          <w:p w14:paraId="3D20BC51" w14:textId="77777777" w:rsidR="005D7469" w:rsidRPr="007E41C5" w:rsidRDefault="005D7469" w:rsidP="005D7469">
            <w:pPr>
              <w:spacing w:after="160" w:line="259" w:lineRule="auto"/>
              <w:jc w:val="center"/>
              <w:rPr>
                <w:rFonts w:ascii="Times New Roman" w:eastAsia="Times New Roman" w:hAnsi="Times New Roman" w:cs="Times New Roman"/>
                <w:iCs/>
                <w:noProof/>
                <w:sz w:val="20"/>
                <w:szCs w:val="20"/>
                <w:highlight w:val="yellow"/>
                <w:lang w:eastAsia="en-GB"/>
              </w:rPr>
            </w:pPr>
            <w:r w:rsidRPr="007E41C5">
              <w:rPr>
                <w:rFonts w:ascii="Times New Roman" w:eastAsia="Times New Roman" w:hAnsi="Times New Roman" w:cs="Times New Roman"/>
                <w:iCs/>
                <w:noProof/>
                <w:sz w:val="20"/>
                <w:szCs w:val="20"/>
                <w:highlight w:val="yellow"/>
                <w:lang w:eastAsia="en-GB"/>
              </w:rPr>
              <w:t>3</w:t>
            </w:r>
          </w:p>
        </w:tc>
        <w:tc>
          <w:tcPr>
            <w:tcW w:w="1560" w:type="dxa"/>
            <w:vAlign w:val="center"/>
          </w:tcPr>
          <w:p w14:paraId="2BE54632" w14:textId="77777777" w:rsidR="005D7469" w:rsidRPr="007E41C5" w:rsidRDefault="005D7469" w:rsidP="005D7469">
            <w:pPr>
              <w:spacing w:after="160" w:line="259" w:lineRule="auto"/>
              <w:jc w:val="both"/>
              <w:rPr>
                <w:rFonts w:ascii="Times New Roman" w:eastAsia="Times New Roman" w:hAnsi="Times New Roman" w:cs="Times New Roman"/>
                <w:b/>
                <w:iCs/>
                <w:noProof/>
                <w:sz w:val="20"/>
                <w:szCs w:val="20"/>
                <w:highlight w:val="yellow"/>
                <w:lang w:eastAsia="en-GB"/>
              </w:rPr>
            </w:pPr>
            <w:r w:rsidRPr="007E41C5">
              <w:rPr>
                <w:rFonts w:ascii="Times New Roman" w:hAnsi="Times New Roman" w:cs="Times New Roman"/>
                <w:sz w:val="20"/>
                <w:szCs w:val="20"/>
                <w:highlight w:val="yellow"/>
              </w:rPr>
              <w:t>Union funds (ERDF and IPA)</w:t>
            </w:r>
          </w:p>
        </w:tc>
        <w:tc>
          <w:tcPr>
            <w:tcW w:w="1134" w:type="dxa"/>
          </w:tcPr>
          <w:p w14:paraId="15C2ACAE" w14:textId="77777777" w:rsidR="005D7469" w:rsidRPr="007E41C5" w:rsidRDefault="005D7469" w:rsidP="005D7469">
            <w:pPr>
              <w:spacing w:after="160" w:line="259" w:lineRule="auto"/>
              <w:jc w:val="cente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3.1</w:t>
            </w:r>
          </w:p>
        </w:tc>
        <w:tc>
          <w:tcPr>
            <w:tcW w:w="4536" w:type="dxa"/>
          </w:tcPr>
          <w:p w14:paraId="686751BF" w14:textId="77777777" w:rsidR="005D7469" w:rsidRPr="007E41C5" w:rsidRDefault="005D7469" w:rsidP="005D7469">
            <w:pPr>
              <w:spacing w:after="160" w:line="259" w:lineRule="auto"/>
              <w:jc w:val="both"/>
              <w:rPr>
                <w:rFonts w:ascii="Times New Roman" w:hAnsi="Times New Roman" w:cs="Times New Roman"/>
                <w:sz w:val="20"/>
                <w:szCs w:val="20"/>
                <w:highlight w:val="yellow"/>
              </w:rPr>
            </w:pPr>
            <w:r w:rsidRPr="007E41C5">
              <w:rPr>
                <w:rFonts w:ascii="Times New Roman" w:hAnsi="Times New Roman" w:cs="Times New Roman"/>
                <w:sz w:val="20"/>
                <w:szCs w:val="20"/>
                <w:highlight w:val="yellow"/>
              </w:rPr>
              <w:t>165 Protection, development and promotion of public tourism assets and tourism services</w:t>
            </w:r>
          </w:p>
        </w:tc>
        <w:tc>
          <w:tcPr>
            <w:tcW w:w="1417" w:type="dxa"/>
          </w:tcPr>
          <w:p w14:paraId="5EB7F19D" w14:textId="77777777" w:rsidR="005D7469" w:rsidRPr="007E41C5" w:rsidRDefault="005D7469" w:rsidP="005D7469">
            <w:pPr>
              <w:spacing w:after="160" w:line="259" w:lineRule="auto"/>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3 209 641,21</w:t>
            </w:r>
          </w:p>
        </w:tc>
      </w:tr>
      <w:tr w:rsidR="005D7469" w:rsidRPr="007E41C5" w14:paraId="5760A279" w14:textId="77777777" w:rsidTr="003A0DAD">
        <w:tc>
          <w:tcPr>
            <w:tcW w:w="1276" w:type="dxa"/>
          </w:tcPr>
          <w:p w14:paraId="5A4601CB" w14:textId="77777777" w:rsidR="005D7469" w:rsidRPr="007E41C5" w:rsidRDefault="005D7469" w:rsidP="005D7469">
            <w:pPr>
              <w:jc w:val="center"/>
              <w:rPr>
                <w:rFonts w:ascii="Times New Roman" w:eastAsia="Times New Roman" w:hAnsi="Times New Roman" w:cs="Times New Roman"/>
                <w:iCs/>
                <w:noProof/>
                <w:sz w:val="20"/>
                <w:szCs w:val="20"/>
                <w:highlight w:val="yellow"/>
                <w:lang w:eastAsia="en-GB"/>
              </w:rPr>
            </w:pPr>
            <w:r w:rsidRPr="007E41C5">
              <w:rPr>
                <w:rFonts w:ascii="Times New Roman" w:eastAsia="Times New Roman" w:hAnsi="Times New Roman" w:cs="Times New Roman"/>
                <w:iCs/>
                <w:noProof/>
                <w:sz w:val="20"/>
                <w:szCs w:val="20"/>
                <w:highlight w:val="yellow"/>
                <w:lang w:eastAsia="en-GB"/>
              </w:rPr>
              <w:t>3</w:t>
            </w:r>
          </w:p>
        </w:tc>
        <w:tc>
          <w:tcPr>
            <w:tcW w:w="1560" w:type="dxa"/>
            <w:vAlign w:val="center"/>
          </w:tcPr>
          <w:p w14:paraId="4ABFA98E" w14:textId="77777777" w:rsidR="005D7469" w:rsidRPr="007E41C5" w:rsidRDefault="005D7469" w:rsidP="005D7469">
            <w:pPr>
              <w:jc w:val="both"/>
              <w:rPr>
                <w:rFonts w:ascii="Times New Roman" w:hAnsi="Times New Roman" w:cs="Times New Roman"/>
                <w:sz w:val="20"/>
                <w:szCs w:val="20"/>
                <w:highlight w:val="yellow"/>
              </w:rPr>
            </w:pPr>
            <w:r w:rsidRPr="007E41C5">
              <w:rPr>
                <w:rFonts w:ascii="Times New Roman" w:hAnsi="Times New Roman" w:cs="Times New Roman"/>
                <w:sz w:val="20"/>
                <w:szCs w:val="20"/>
                <w:highlight w:val="yellow"/>
              </w:rPr>
              <w:t>Union funds (ERDF and IPA)</w:t>
            </w:r>
          </w:p>
        </w:tc>
        <w:tc>
          <w:tcPr>
            <w:tcW w:w="1134" w:type="dxa"/>
          </w:tcPr>
          <w:p w14:paraId="35D87A23" w14:textId="77777777" w:rsidR="005D7469" w:rsidRPr="007E41C5" w:rsidRDefault="005D7469" w:rsidP="005D7469">
            <w:pPr>
              <w:jc w:val="cente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3.1</w:t>
            </w:r>
          </w:p>
        </w:tc>
        <w:tc>
          <w:tcPr>
            <w:tcW w:w="4536" w:type="dxa"/>
            <w:tcBorders>
              <w:top w:val="single" w:sz="4" w:space="0" w:color="auto"/>
              <w:left w:val="single" w:sz="4" w:space="0" w:color="auto"/>
              <w:bottom w:val="single" w:sz="4" w:space="0" w:color="auto"/>
              <w:right w:val="nil"/>
            </w:tcBorders>
          </w:tcPr>
          <w:p w14:paraId="4CD26A7A" w14:textId="77777777" w:rsidR="005D7469" w:rsidRPr="007E41C5" w:rsidRDefault="005D7469" w:rsidP="005D7469">
            <w:pPr>
              <w:jc w:val="both"/>
              <w:rPr>
                <w:rFonts w:ascii="Times New Roman" w:hAnsi="Times New Roman" w:cs="Times New Roman"/>
                <w:sz w:val="20"/>
                <w:szCs w:val="20"/>
                <w:highlight w:val="yellow"/>
              </w:rPr>
            </w:pPr>
            <w:r w:rsidRPr="007E41C5">
              <w:rPr>
                <w:rFonts w:ascii="Times New Roman" w:hAnsi="Times New Roman" w:cs="Times New Roman"/>
                <w:sz w:val="20"/>
                <w:szCs w:val="20"/>
                <w:highlight w:val="yellow"/>
              </w:rPr>
              <w:t>166 Protection, development and promotion of cultural heritage and cultural services</w:t>
            </w:r>
          </w:p>
        </w:tc>
        <w:tc>
          <w:tcPr>
            <w:tcW w:w="1417" w:type="dxa"/>
          </w:tcPr>
          <w:p w14:paraId="3F4BBB63" w14:textId="77777777" w:rsidR="005D7469" w:rsidRPr="007E41C5" w:rsidRDefault="005D7469" w:rsidP="005D7469">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3 209 641,21</w:t>
            </w:r>
          </w:p>
        </w:tc>
      </w:tr>
      <w:tr w:rsidR="005D7469" w:rsidRPr="007E41C5" w14:paraId="6D48B1EE" w14:textId="77777777" w:rsidTr="003A0DAD">
        <w:tc>
          <w:tcPr>
            <w:tcW w:w="1276" w:type="dxa"/>
          </w:tcPr>
          <w:p w14:paraId="3145F02C" w14:textId="77777777" w:rsidR="005D7469" w:rsidRPr="007E41C5" w:rsidRDefault="005D7469" w:rsidP="005D7469">
            <w:pPr>
              <w:jc w:val="center"/>
              <w:rPr>
                <w:rFonts w:ascii="Times New Roman" w:eastAsia="Times New Roman" w:hAnsi="Times New Roman" w:cs="Times New Roman"/>
                <w:iCs/>
                <w:noProof/>
                <w:sz w:val="20"/>
                <w:szCs w:val="20"/>
                <w:highlight w:val="yellow"/>
                <w:lang w:eastAsia="en-GB"/>
              </w:rPr>
            </w:pPr>
            <w:r w:rsidRPr="007E41C5">
              <w:rPr>
                <w:rFonts w:ascii="Times New Roman" w:eastAsia="Times New Roman" w:hAnsi="Times New Roman" w:cs="Times New Roman"/>
                <w:iCs/>
                <w:noProof/>
                <w:sz w:val="20"/>
                <w:szCs w:val="20"/>
                <w:highlight w:val="yellow"/>
                <w:lang w:eastAsia="en-GB"/>
              </w:rPr>
              <w:t>3</w:t>
            </w:r>
          </w:p>
        </w:tc>
        <w:tc>
          <w:tcPr>
            <w:tcW w:w="1560" w:type="dxa"/>
            <w:vAlign w:val="center"/>
          </w:tcPr>
          <w:p w14:paraId="631B9742" w14:textId="77777777" w:rsidR="005D7469" w:rsidRPr="007E41C5" w:rsidRDefault="005D7469" w:rsidP="005D7469">
            <w:pPr>
              <w:jc w:val="both"/>
              <w:rPr>
                <w:rFonts w:ascii="Times New Roman" w:hAnsi="Times New Roman" w:cs="Times New Roman"/>
                <w:sz w:val="20"/>
                <w:szCs w:val="20"/>
                <w:highlight w:val="yellow"/>
              </w:rPr>
            </w:pPr>
            <w:r w:rsidRPr="007E41C5">
              <w:rPr>
                <w:rFonts w:ascii="Times New Roman" w:hAnsi="Times New Roman" w:cs="Times New Roman"/>
                <w:sz w:val="20"/>
                <w:szCs w:val="20"/>
                <w:highlight w:val="yellow"/>
              </w:rPr>
              <w:t>Union funds (ERDF and IPA)</w:t>
            </w:r>
          </w:p>
        </w:tc>
        <w:tc>
          <w:tcPr>
            <w:tcW w:w="1134" w:type="dxa"/>
          </w:tcPr>
          <w:p w14:paraId="34869F8F" w14:textId="77777777" w:rsidR="005D7469" w:rsidRPr="007E41C5" w:rsidRDefault="005D7469" w:rsidP="005D7469">
            <w:pPr>
              <w:jc w:val="cente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3.1</w:t>
            </w:r>
          </w:p>
        </w:tc>
        <w:tc>
          <w:tcPr>
            <w:tcW w:w="4536" w:type="dxa"/>
            <w:tcBorders>
              <w:top w:val="single" w:sz="4" w:space="0" w:color="auto"/>
              <w:left w:val="single" w:sz="4" w:space="0" w:color="auto"/>
              <w:bottom w:val="single" w:sz="4" w:space="0" w:color="auto"/>
              <w:right w:val="nil"/>
            </w:tcBorders>
            <w:shd w:val="clear" w:color="auto" w:fill="FFFFFF"/>
          </w:tcPr>
          <w:p w14:paraId="2BA40FF6" w14:textId="77777777" w:rsidR="005D7469" w:rsidRPr="007E41C5" w:rsidRDefault="005D7469" w:rsidP="005D7469">
            <w:pPr>
              <w:jc w:val="both"/>
              <w:rPr>
                <w:rFonts w:ascii="Times New Roman" w:hAnsi="Times New Roman" w:cs="Times New Roman"/>
                <w:sz w:val="20"/>
                <w:szCs w:val="20"/>
                <w:highlight w:val="yellow"/>
              </w:rPr>
            </w:pPr>
            <w:r w:rsidRPr="007E41C5">
              <w:rPr>
                <w:rFonts w:ascii="Times New Roman" w:hAnsi="Times New Roman" w:cs="Times New Roman"/>
                <w:sz w:val="20"/>
                <w:szCs w:val="20"/>
                <w:highlight w:val="yellow"/>
              </w:rPr>
              <w:t>171 Enhancing cooperation with partners both within and outside the Member State</w:t>
            </w:r>
          </w:p>
        </w:tc>
        <w:tc>
          <w:tcPr>
            <w:tcW w:w="1417" w:type="dxa"/>
          </w:tcPr>
          <w:p w14:paraId="50051021" w14:textId="77777777" w:rsidR="005D7469" w:rsidRPr="007E41C5" w:rsidRDefault="005D7469" w:rsidP="005D7469">
            <w:pP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3 209 641,21</w:t>
            </w:r>
          </w:p>
        </w:tc>
      </w:tr>
    </w:tbl>
    <w:p w14:paraId="18DEDF8A" w14:textId="77777777" w:rsidR="001B1197" w:rsidRPr="007E41C5" w:rsidRDefault="001B1197" w:rsidP="001B1197">
      <w:pPr>
        <w:spacing w:after="200" w:line="276" w:lineRule="auto"/>
        <w:jc w:val="center"/>
        <w:rPr>
          <w:rFonts w:ascii="Times New Roman" w:eastAsia="Times New Roman" w:hAnsi="Times New Roman" w:cs="Times New Roman"/>
          <w:iCs/>
          <w:noProof/>
          <w:sz w:val="24"/>
          <w:szCs w:val="24"/>
          <w:highlight w:val="yellow"/>
          <w:lang w:eastAsia="en-GB"/>
        </w:rPr>
      </w:pPr>
    </w:p>
    <w:p w14:paraId="39327026" w14:textId="77777777" w:rsidR="001B1197" w:rsidRPr="007E41C5" w:rsidRDefault="001B1197" w:rsidP="001B1197">
      <w:pPr>
        <w:spacing w:after="200" w:line="276" w:lineRule="auto"/>
        <w:jc w:val="center"/>
        <w:rPr>
          <w:rFonts w:ascii="Times New Roman" w:eastAsia="Times New Roman" w:hAnsi="Times New Roman" w:cs="Times New Roman"/>
          <w:i/>
          <w:noProof/>
          <w:color w:val="000000"/>
          <w:sz w:val="24"/>
          <w:szCs w:val="24"/>
          <w:highlight w:val="yellow"/>
          <w:lang w:val="bg-BG" w:eastAsia="en-GB"/>
        </w:rPr>
      </w:pPr>
      <w:r w:rsidRPr="007E41C5">
        <w:rPr>
          <w:rFonts w:ascii="Times New Roman" w:eastAsia="Times New Roman" w:hAnsi="Times New Roman" w:cs="Times New Roman"/>
          <w:iCs/>
          <w:noProof/>
          <w:sz w:val="24"/>
          <w:szCs w:val="24"/>
          <w:highlight w:val="yellow"/>
          <w:lang w:eastAsia="en-GB"/>
        </w:rPr>
        <w:t>Table 5: Dimension 2 – form of financing</w:t>
      </w:r>
    </w:p>
    <w:tbl>
      <w:tblPr>
        <w:tblStyle w:val="TableGrid11"/>
        <w:tblW w:w="9975" w:type="dxa"/>
        <w:tblInd w:w="-147" w:type="dxa"/>
        <w:tblLook w:val="04A0" w:firstRow="1" w:lastRow="0" w:firstColumn="1" w:lastColumn="0" w:noHBand="0" w:noVBand="1"/>
      </w:tblPr>
      <w:tblGrid>
        <w:gridCol w:w="1418"/>
        <w:gridCol w:w="2126"/>
        <w:gridCol w:w="2343"/>
        <w:gridCol w:w="1274"/>
        <w:gridCol w:w="2814"/>
      </w:tblGrid>
      <w:tr w:rsidR="001B1197" w:rsidRPr="007E41C5" w14:paraId="53053344" w14:textId="77777777" w:rsidTr="0096715F">
        <w:trPr>
          <w:trHeight w:val="208"/>
        </w:trPr>
        <w:tc>
          <w:tcPr>
            <w:tcW w:w="1418" w:type="dxa"/>
          </w:tcPr>
          <w:p w14:paraId="5F05326D" w14:textId="77777777" w:rsidR="001B1197" w:rsidRPr="007E41C5" w:rsidRDefault="001B1197" w:rsidP="0096715F">
            <w:pPr>
              <w:spacing w:after="160" w:line="259" w:lineRule="auto"/>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Priority no</w:t>
            </w:r>
          </w:p>
        </w:tc>
        <w:tc>
          <w:tcPr>
            <w:tcW w:w="2126" w:type="dxa"/>
          </w:tcPr>
          <w:p w14:paraId="656C6A85" w14:textId="77777777" w:rsidR="001B1197" w:rsidRPr="007E41C5" w:rsidRDefault="001B1197" w:rsidP="0096715F">
            <w:pPr>
              <w:spacing w:after="160" w:line="259" w:lineRule="auto"/>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Fund</w:t>
            </w:r>
          </w:p>
        </w:tc>
        <w:tc>
          <w:tcPr>
            <w:tcW w:w="2343" w:type="dxa"/>
          </w:tcPr>
          <w:p w14:paraId="0B3F51E0" w14:textId="77777777" w:rsidR="001B1197" w:rsidRPr="007E41C5" w:rsidRDefault="001B1197" w:rsidP="0096715F">
            <w:pPr>
              <w:spacing w:after="160" w:line="259" w:lineRule="auto"/>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Specific objective</w:t>
            </w:r>
          </w:p>
        </w:tc>
        <w:tc>
          <w:tcPr>
            <w:tcW w:w="1274" w:type="dxa"/>
          </w:tcPr>
          <w:p w14:paraId="1734C4E3" w14:textId="77777777" w:rsidR="001B1197" w:rsidRPr="007E41C5" w:rsidRDefault="001B1197" w:rsidP="0096715F">
            <w:pPr>
              <w:spacing w:after="160" w:line="259" w:lineRule="auto"/>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 xml:space="preserve">Code </w:t>
            </w:r>
          </w:p>
        </w:tc>
        <w:tc>
          <w:tcPr>
            <w:tcW w:w="2814" w:type="dxa"/>
          </w:tcPr>
          <w:p w14:paraId="5E71E904" w14:textId="77777777" w:rsidR="001B1197" w:rsidRPr="007E41C5" w:rsidRDefault="001B1197" w:rsidP="0096715F">
            <w:pPr>
              <w:spacing w:after="160" w:line="259" w:lineRule="auto"/>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Amount (EUR)</w:t>
            </w:r>
          </w:p>
        </w:tc>
      </w:tr>
      <w:tr w:rsidR="001B1197" w:rsidRPr="007E41C5" w14:paraId="726B3C9D" w14:textId="77777777" w:rsidTr="0096715F">
        <w:trPr>
          <w:trHeight w:val="404"/>
        </w:trPr>
        <w:tc>
          <w:tcPr>
            <w:tcW w:w="1418" w:type="dxa"/>
            <w:vAlign w:val="center"/>
          </w:tcPr>
          <w:p w14:paraId="098C985D" w14:textId="77777777" w:rsidR="001B1197" w:rsidRPr="007E41C5" w:rsidRDefault="001B1197" w:rsidP="0096715F">
            <w:pPr>
              <w:spacing w:after="160" w:line="259" w:lineRule="auto"/>
              <w:jc w:val="cente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3</w:t>
            </w:r>
          </w:p>
        </w:tc>
        <w:tc>
          <w:tcPr>
            <w:tcW w:w="2126" w:type="dxa"/>
          </w:tcPr>
          <w:p w14:paraId="71BDE766" w14:textId="77777777" w:rsidR="001B1197" w:rsidRPr="007E41C5" w:rsidRDefault="001B1197" w:rsidP="0096715F">
            <w:pPr>
              <w:spacing w:after="160" w:line="259" w:lineRule="auto"/>
              <w:rPr>
                <w:rFonts w:ascii="Times New Roman" w:eastAsia="Times New Roman" w:hAnsi="Times New Roman" w:cs="Times New Roman"/>
                <w:iCs/>
                <w:noProof/>
                <w:sz w:val="20"/>
                <w:szCs w:val="20"/>
                <w:highlight w:val="yellow"/>
                <w:lang w:eastAsia="en-GB"/>
              </w:rPr>
            </w:pPr>
            <w:r w:rsidRPr="007E41C5">
              <w:rPr>
                <w:rFonts w:ascii="Times New Roman" w:eastAsia="Times New Roman" w:hAnsi="Times New Roman" w:cs="Times New Roman"/>
                <w:iCs/>
                <w:noProof/>
                <w:sz w:val="20"/>
                <w:szCs w:val="20"/>
                <w:highlight w:val="yellow"/>
                <w:lang w:eastAsia="en-GB"/>
              </w:rPr>
              <w:t>Union funds (ERDF and IPA)</w:t>
            </w:r>
          </w:p>
        </w:tc>
        <w:tc>
          <w:tcPr>
            <w:tcW w:w="2343" w:type="dxa"/>
            <w:vAlign w:val="center"/>
          </w:tcPr>
          <w:p w14:paraId="1D631610" w14:textId="77777777" w:rsidR="001B1197" w:rsidRPr="007E41C5" w:rsidRDefault="001B1197" w:rsidP="0096715F">
            <w:pPr>
              <w:spacing w:after="160" w:line="259" w:lineRule="auto"/>
              <w:jc w:val="center"/>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3.1</w:t>
            </w:r>
          </w:p>
        </w:tc>
        <w:tc>
          <w:tcPr>
            <w:tcW w:w="1274" w:type="dxa"/>
            <w:vAlign w:val="center"/>
          </w:tcPr>
          <w:p w14:paraId="7D522DC3" w14:textId="77777777" w:rsidR="001B1197" w:rsidRPr="007E41C5" w:rsidRDefault="001B1197" w:rsidP="0096715F">
            <w:pPr>
              <w:spacing w:after="160" w:line="259" w:lineRule="auto"/>
              <w:rPr>
                <w:rFonts w:ascii="Times New Roman" w:eastAsia="Times New Roman" w:hAnsi="Times New Roman" w:cs="Times New Roman"/>
                <w:b/>
                <w:iCs/>
                <w:noProof/>
                <w:sz w:val="20"/>
                <w:szCs w:val="20"/>
                <w:highlight w:val="yellow"/>
                <w:lang w:eastAsia="en-GB"/>
              </w:rPr>
            </w:pPr>
            <w:r w:rsidRPr="007E41C5">
              <w:rPr>
                <w:rFonts w:ascii="Times New Roman" w:eastAsia="Times New Roman" w:hAnsi="Times New Roman" w:cs="Times New Roman"/>
                <w:b/>
                <w:iCs/>
                <w:noProof/>
                <w:sz w:val="20"/>
                <w:szCs w:val="20"/>
                <w:highlight w:val="yellow"/>
                <w:lang w:eastAsia="en-GB"/>
              </w:rPr>
              <w:t>01 Grant</w:t>
            </w:r>
          </w:p>
        </w:tc>
        <w:tc>
          <w:tcPr>
            <w:tcW w:w="2814" w:type="dxa"/>
            <w:vAlign w:val="center"/>
          </w:tcPr>
          <w:p w14:paraId="54B29CC2" w14:textId="77777777" w:rsidR="005D7469" w:rsidRPr="007E41C5" w:rsidRDefault="005D7469" w:rsidP="005D7469">
            <w:pPr>
              <w:jc w:val="center"/>
              <w:rPr>
                <w:rFonts w:ascii="Times New Roman" w:eastAsia="Times New Roman" w:hAnsi="Times New Roman" w:cs="Times New Roman"/>
                <w:b/>
                <w:bCs/>
                <w:iCs/>
                <w:noProof/>
                <w:sz w:val="20"/>
                <w:szCs w:val="20"/>
                <w:highlight w:val="yellow"/>
                <w:lang w:val="en-US" w:eastAsia="en-GB"/>
              </w:rPr>
            </w:pPr>
            <w:r w:rsidRPr="007E41C5">
              <w:rPr>
                <w:rFonts w:ascii="Times New Roman" w:eastAsia="Times New Roman" w:hAnsi="Times New Roman" w:cs="Times New Roman"/>
                <w:b/>
                <w:bCs/>
                <w:iCs/>
                <w:noProof/>
                <w:sz w:val="20"/>
                <w:szCs w:val="20"/>
                <w:highlight w:val="yellow"/>
                <w:lang w:eastAsia="en-GB"/>
              </w:rPr>
              <w:t>12 036 154,55</w:t>
            </w:r>
          </w:p>
          <w:p w14:paraId="63348F53" w14:textId="77777777" w:rsidR="001B1197" w:rsidRPr="007E41C5" w:rsidRDefault="001B1197" w:rsidP="0096715F">
            <w:pPr>
              <w:spacing w:after="160" w:line="259" w:lineRule="auto"/>
              <w:jc w:val="center"/>
              <w:rPr>
                <w:rFonts w:ascii="Times New Roman" w:eastAsia="Times New Roman" w:hAnsi="Times New Roman" w:cs="Times New Roman"/>
                <w:b/>
                <w:iCs/>
                <w:noProof/>
                <w:sz w:val="20"/>
                <w:szCs w:val="20"/>
                <w:highlight w:val="yellow"/>
                <w:lang w:eastAsia="en-GB"/>
              </w:rPr>
            </w:pPr>
          </w:p>
        </w:tc>
      </w:tr>
    </w:tbl>
    <w:p w14:paraId="17014E98" w14:textId="77777777" w:rsidR="001B1197" w:rsidRPr="007E41C5" w:rsidRDefault="001B1197" w:rsidP="001B1197">
      <w:pPr>
        <w:spacing w:before="240" w:after="240" w:line="240" w:lineRule="auto"/>
        <w:rPr>
          <w:rFonts w:ascii="Times New Roman" w:eastAsia="Times New Roman" w:hAnsi="Times New Roman" w:cs="Times New Roman"/>
          <w:b/>
          <w:iCs/>
          <w:noProof/>
          <w:sz w:val="24"/>
          <w:szCs w:val="24"/>
          <w:highlight w:val="yellow"/>
          <w:lang w:eastAsia="en-GB"/>
        </w:rPr>
      </w:pPr>
    </w:p>
    <w:p w14:paraId="2830E4ED" w14:textId="77777777" w:rsidR="00DE386A" w:rsidRPr="007E41C5" w:rsidRDefault="00DE386A" w:rsidP="001B1197">
      <w:pPr>
        <w:spacing w:before="240" w:after="240" w:line="240" w:lineRule="auto"/>
        <w:rPr>
          <w:rFonts w:ascii="Times New Roman" w:eastAsia="Times New Roman" w:hAnsi="Times New Roman" w:cs="Times New Roman"/>
          <w:b/>
          <w:iCs/>
          <w:noProof/>
          <w:sz w:val="24"/>
          <w:szCs w:val="24"/>
          <w:highlight w:val="yellow"/>
          <w:lang w:eastAsia="en-GB"/>
        </w:rPr>
      </w:pPr>
    </w:p>
    <w:p w14:paraId="76CB2B6A" w14:textId="77777777" w:rsidR="001B1197" w:rsidRPr="007E41C5" w:rsidRDefault="002130E5" w:rsidP="001B1197">
      <w:pPr>
        <w:spacing w:before="240" w:after="240" w:line="240" w:lineRule="auto"/>
        <w:rPr>
          <w:rFonts w:ascii="Times New Roman" w:eastAsia="Times New Roman" w:hAnsi="Times New Roman" w:cs="Times New Roman"/>
          <w:b/>
          <w:iCs/>
          <w:noProof/>
          <w:sz w:val="24"/>
          <w:szCs w:val="24"/>
          <w:highlight w:val="yellow"/>
          <w:lang w:eastAsia="en-GB"/>
        </w:rPr>
      </w:pPr>
      <w:r w:rsidRPr="007E41C5">
        <w:rPr>
          <w:rFonts w:ascii="Times New Roman" w:eastAsia="Times New Roman" w:hAnsi="Times New Roman" w:cs="Times New Roman"/>
          <w:b/>
          <w:iCs/>
          <w:noProof/>
          <w:sz w:val="24"/>
          <w:szCs w:val="24"/>
          <w:highlight w:val="yellow"/>
          <w:lang w:eastAsia="en-GB"/>
        </w:rPr>
        <w:t>3</w:t>
      </w:r>
      <w:r w:rsidR="001B1197" w:rsidRPr="007E41C5">
        <w:rPr>
          <w:rFonts w:ascii="Times New Roman" w:eastAsia="Times New Roman" w:hAnsi="Times New Roman" w:cs="Times New Roman"/>
          <w:b/>
          <w:iCs/>
          <w:noProof/>
          <w:sz w:val="24"/>
          <w:szCs w:val="24"/>
          <w:highlight w:val="yellow"/>
          <w:lang w:eastAsia="en-GB"/>
        </w:rPr>
        <w:t>. Financing plan</w:t>
      </w:r>
    </w:p>
    <w:p w14:paraId="6B4D811C" w14:textId="77777777" w:rsidR="001B1197" w:rsidRPr="007E41C5" w:rsidRDefault="001B1197" w:rsidP="001B1197">
      <w:pPr>
        <w:spacing w:after="200" w:line="276" w:lineRule="auto"/>
        <w:jc w:val="both"/>
        <w:rPr>
          <w:rFonts w:ascii="Times New Roman" w:eastAsia="Times New Roman" w:hAnsi="Times New Roman" w:cs="Times New Roman"/>
          <w:i/>
          <w:noProof/>
          <w:color w:val="000000"/>
          <w:sz w:val="24"/>
          <w:szCs w:val="24"/>
          <w:highlight w:val="yellow"/>
          <w:lang w:eastAsia="en-GB"/>
        </w:rPr>
      </w:pPr>
      <w:r w:rsidRPr="007E41C5">
        <w:rPr>
          <w:rFonts w:ascii="Times New Roman" w:eastAsia="Times New Roman" w:hAnsi="Times New Roman" w:cs="Times New Roman"/>
          <w:i/>
          <w:noProof/>
          <w:color w:val="000000"/>
          <w:sz w:val="24"/>
          <w:szCs w:val="24"/>
          <w:highlight w:val="yellow"/>
          <w:lang w:eastAsia="en-GB"/>
        </w:rPr>
        <w:t>Reference: point (g) of Article 17(3)</w:t>
      </w:r>
    </w:p>
    <w:p w14:paraId="175EF5E7" w14:textId="77777777" w:rsidR="001B1197" w:rsidRPr="007E41C5" w:rsidRDefault="001B1197" w:rsidP="001B1197">
      <w:pPr>
        <w:spacing w:before="240" w:after="240" w:line="240" w:lineRule="auto"/>
        <w:ind w:left="709" w:hanging="709"/>
        <w:jc w:val="both"/>
        <w:rPr>
          <w:rFonts w:ascii="Times New Roman" w:eastAsia="Times New Roman" w:hAnsi="Times New Roman" w:cs="Times New Roman"/>
          <w:b/>
          <w:iCs/>
          <w:noProof/>
          <w:sz w:val="24"/>
          <w:szCs w:val="24"/>
          <w:highlight w:val="yellow"/>
          <w:lang w:eastAsia="en-GB"/>
        </w:rPr>
      </w:pPr>
      <w:r w:rsidRPr="007E41C5">
        <w:rPr>
          <w:rFonts w:ascii="Times New Roman" w:eastAsia="Times New Roman" w:hAnsi="Times New Roman" w:cs="Times New Roman"/>
          <w:b/>
          <w:iCs/>
          <w:noProof/>
          <w:sz w:val="24"/>
          <w:szCs w:val="24"/>
          <w:highlight w:val="yellow"/>
          <w:lang w:eastAsia="en-GB"/>
        </w:rPr>
        <w:t>3.1</w:t>
      </w:r>
      <w:r w:rsidRPr="007E41C5">
        <w:rPr>
          <w:rFonts w:ascii="Times New Roman" w:eastAsia="Times New Roman" w:hAnsi="Times New Roman" w:cs="Times New Roman"/>
          <w:b/>
          <w:iCs/>
          <w:noProof/>
          <w:sz w:val="24"/>
          <w:szCs w:val="24"/>
          <w:highlight w:val="yellow"/>
          <w:lang w:eastAsia="en-GB"/>
        </w:rPr>
        <w:tab/>
        <w:t>Financial appropriations by year</w:t>
      </w:r>
    </w:p>
    <w:p w14:paraId="310C5398" w14:textId="77777777" w:rsidR="001B1197" w:rsidRPr="007E41C5" w:rsidRDefault="001B1197" w:rsidP="001B1197">
      <w:pPr>
        <w:spacing w:after="200" w:line="276" w:lineRule="auto"/>
        <w:jc w:val="both"/>
        <w:rPr>
          <w:rFonts w:ascii="Times New Roman" w:eastAsia="Times New Roman" w:hAnsi="Times New Roman" w:cs="Times New Roman"/>
          <w:i/>
          <w:noProof/>
          <w:color w:val="000000"/>
          <w:sz w:val="24"/>
          <w:szCs w:val="24"/>
          <w:highlight w:val="yellow"/>
          <w:lang w:eastAsia="en-GB"/>
        </w:rPr>
      </w:pPr>
      <w:r w:rsidRPr="007E41C5">
        <w:rPr>
          <w:rFonts w:ascii="Times New Roman" w:eastAsia="Times New Roman" w:hAnsi="Times New Roman" w:cs="Times New Roman"/>
          <w:i/>
          <w:noProof/>
          <w:color w:val="000000"/>
          <w:sz w:val="24"/>
          <w:szCs w:val="24"/>
          <w:highlight w:val="yellow"/>
          <w:lang w:eastAsia="en-GB"/>
        </w:rPr>
        <w:t>Reference: point (g)(i) of Article 17(3), points (a)-(d) of Article 17(4)</w:t>
      </w:r>
    </w:p>
    <w:p w14:paraId="40EFBC4B" w14:textId="77777777" w:rsidR="001B1197" w:rsidRPr="007E41C5" w:rsidRDefault="001B1197" w:rsidP="001B1197">
      <w:pPr>
        <w:spacing w:before="240" w:after="240" w:line="240" w:lineRule="auto"/>
        <w:jc w:val="center"/>
        <w:rPr>
          <w:rFonts w:ascii="Times New Roman" w:eastAsia="Times New Roman" w:hAnsi="Times New Roman" w:cs="Times New Roman"/>
          <w:b/>
          <w:iCs/>
          <w:noProof/>
          <w:sz w:val="24"/>
          <w:szCs w:val="24"/>
          <w:highlight w:val="yellow"/>
          <w:lang w:eastAsia="en-GB"/>
        </w:rPr>
      </w:pPr>
      <w:r w:rsidRPr="007E41C5">
        <w:rPr>
          <w:rFonts w:ascii="Times New Roman" w:eastAsia="Times New Roman" w:hAnsi="Times New Roman" w:cs="Times New Roman"/>
          <w:iCs/>
          <w:noProof/>
          <w:sz w:val="24"/>
          <w:szCs w:val="24"/>
          <w:highlight w:val="yellow"/>
          <w:lang w:eastAsia="en-GB"/>
        </w:rPr>
        <w:t>Table 7</w:t>
      </w:r>
    </w:p>
    <w:tbl>
      <w:tblPr>
        <w:tblStyle w:val="TableGrid13"/>
        <w:tblW w:w="9634" w:type="dxa"/>
        <w:tblLook w:val="04A0" w:firstRow="1" w:lastRow="0" w:firstColumn="1" w:lastColumn="0" w:noHBand="0" w:noVBand="1"/>
      </w:tblPr>
      <w:tblGrid>
        <w:gridCol w:w="1472"/>
        <w:gridCol w:w="650"/>
        <w:gridCol w:w="1134"/>
        <w:gridCol w:w="1154"/>
        <w:gridCol w:w="980"/>
        <w:gridCol w:w="981"/>
        <w:gridCol w:w="1137"/>
        <w:gridCol w:w="992"/>
        <w:gridCol w:w="1134"/>
      </w:tblGrid>
      <w:tr w:rsidR="001B1197" w:rsidRPr="007E41C5" w14:paraId="077B9683" w14:textId="77777777" w:rsidTr="0085533B">
        <w:trPr>
          <w:trHeight w:val="226"/>
        </w:trPr>
        <w:tc>
          <w:tcPr>
            <w:tcW w:w="1472" w:type="dxa"/>
          </w:tcPr>
          <w:p w14:paraId="48176D6D" w14:textId="77777777" w:rsidR="001B1197" w:rsidRPr="007E41C5" w:rsidRDefault="001B1197" w:rsidP="001B1197">
            <w:pPr>
              <w:spacing w:after="120"/>
              <w:rPr>
                <w:rFonts w:ascii="Times New Roman" w:eastAsia="Calibri" w:hAnsi="Times New Roman" w:cs="Times New Roman"/>
                <w:b/>
                <w:i/>
                <w:noProof/>
                <w:sz w:val="20"/>
                <w:szCs w:val="20"/>
                <w:highlight w:val="yellow"/>
              </w:rPr>
            </w:pPr>
            <w:r w:rsidRPr="007E41C5">
              <w:rPr>
                <w:rFonts w:ascii="Times New Roman" w:eastAsia="Calibri" w:hAnsi="Times New Roman" w:cs="Times New Roman"/>
                <w:b/>
                <w:i/>
                <w:noProof/>
                <w:sz w:val="20"/>
                <w:szCs w:val="20"/>
                <w:highlight w:val="yellow"/>
              </w:rPr>
              <w:t>Fund</w:t>
            </w:r>
          </w:p>
        </w:tc>
        <w:tc>
          <w:tcPr>
            <w:tcW w:w="650" w:type="dxa"/>
          </w:tcPr>
          <w:p w14:paraId="45CDC2D1" w14:textId="77777777" w:rsidR="001B1197" w:rsidRPr="007E41C5" w:rsidRDefault="001B1197" w:rsidP="001B1197">
            <w:pPr>
              <w:spacing w:after="120"/>
              <w:rPr>
                <w:rFonts w:ascii="Times New Roman" w:eastAsia="Calibri" w:hAnsi="Times New Roman" w:cs="Times New Roman"/>
                <w:b/>
                <w:i/>
                <w:noProof/>
                <w:sz w:val="20"/>
                <w:szCs w:val="20"/>
                <w:highlight w:val="yellow"/>
              </w:rPr>
            </w:pPr>
            <w:r w:rsidRPr="007E41C5">
              <w:rPr>
                <w:rFonts w:ascii="Times New Roman" w:eastAsia="Calibri" w:hAnsi="Times New Roman" w:cs="Times New Roman"/>
                <w:b/>
                <w:i/>
                <w:noProof/>
                <w:sz w:val="20"/>
                <w:szCs w:val="20"/>
                <w:highlight w:val="yellow"/>
              </w:rPr>
              <w:t>2021</w:t>
            </w:r>
          </w:p>
        </w:tc>
        <w:tc>
          <w:tcPr>
            <w:tcW w:w="1134" w:type="dxa"/>
          </w:tcPr>
          <w:p w14:paraId="01B7AC10" w14:textId="77777777" w:rsidR="001B1197" w:rsidRPr="007E41C5" w:rsidRDefault="001B1197" w:rsidP="001B1197">
            <w:pPr>
              <w:spacing w:after="120"/>
              <w:rPr>
                <w:rFonts w:ascii="Times New Roman" w:eastAsia="Calibri" w:hAnsi="Times New Roman" w:cs="Times New Roman"/>
                <w:b/>
                <w:i/>
                <w:noProof/>
                <w:sz w:val="20"/>
                <w:szCs w:val="20"/>
                <w:highlight w:val="yellow"/>
              </w:rPr>
            </w:pPr>
            <w:r w:rsidRPr="007E41C5">
              <w:rPr>
                <w:rFonts w:ascii="Times New Roman" w:eastAsia="Calibri" w:hAnsi="Times New Roman" w:cs="Times New Roman"/>
                <w:b/>
                <w:i/>
                <w:noProof/>
                <w:sz w:val="20"/>
                <w:szCs w:val="20"/>
                <w:highlight w:val="yellow"/>
              </w:rPr>
              <w:t>2022</w:t>
            </w:r>
          </w:p>
        </w:tc>
        <w:tc>
          <w:tcPr>
            <w:tcW w:w="1154" w:type="dxa"/>
          </w:tcPr>
          <w:p w14:paraId="7E509702" w14:textId="77777777" w:rsidR="001B1197" w:rsidRPr="007E41C5" w:rsidRDefault="001B1197" w:rsidP="001B1197">
            <w:pPr>
              <w:spacing w:after="120"/>
              <w:rPr>
                <w:rFonts w:ascii="Times New Roman" w:eastAsia="Calibri" w:hAnsi="Times New Roman" w:cs="Times New Roman"/>
                <w:b/>
                <w:i/>
                <w:noProof/>
                <w:sz w:val="20"/>
                <w:szCs w:val="20"/>
                <w:highlight w:val="yellow"/>
              </w:rPr>
            </w:pPr>
            <w:r w:rsidRPr="007E41C5">
              <w:rPr>
                <w:rFonts w:ascii="Times New Roman" w:eastAsia="Calibri" w:hAnsi="Times New Roman" w:cs="Times New Roman"/>
                <w:b/>
                <w:i/>
                <w:noProof/>
                <w:sz w:val="20"/>
                <w:szCs w:val="20"/>
                <w:highlight w:val="yellow"/>
              </w:rPr>
              <w:t>2023</w:t>
            </w:r>
          </w:p>
        </w:tc>
        <w:tc>
          <w:tcPr>
            <w:tcW w:w="980" w:type="dxa"/>
          </w:tcPr>
          <w:p w14:paraId="74BE2694" w14:textId="77777777" w:rsidR="001B1197" w:rsidRPr="007E41C5" w:rsidRDefault="001B1197" w:rsidP="001B1197">
            <w:pPr>
              <w:spacing w:after="120"/>
              <w:rPr>
                <w:rFonts w:ascii="Times New Roman" w:eastAsia="Calibri" w:hAnsi="Times New Roman" w:cs="Times New Roman"/>
                <w:b/>
                <w:i/>
                <w:noProof/>
                <w:sz w:val="20"/>
                <w:szCs w:val="20"/>
                <w:highlight w:val="yellow"/>
              </w:rPr>
            </w:pPr>
            <w:r w:rsidRPr="007E41C5">
              <w:rPr>
                <w:rFonts w:ascii="Times New Roman" w:eastAsia="Calibri" w:hAnsi="Times New Roman" w:cs="Times New Roman"/>
                <w:b/>
                <w:i/>
                <w:noProof/>
                <w:sz w:val="20"/>
                <w:szCs w:val="20"/>
                <w:highlight w:val="yellow"/>
              </w:rPr>
              <w:t>2024</w:t>
            </w:r>
          </w:p>
        </w:tc>
        <w:tc>
          <w:tcPr>
            <w:tcW w:w="981" w:type="dxa"/>
          </w:tcPr>
          <w:p w14:paraId="3DDB0077" w14:textId="77777777" w:rsidR="001B1197" w:rsidRPr="007E41C5" w:rsidRDefault="001B1197" w:rsidP="001B1197">
            <w:pPr>
              <w:spacing w:after="120"/>
              <w:rPr>
                <w:rFonts w:ascii="Times New Roman" w:eastAsia="Calibri" w:hAnsi="Times New Roman" w:cs="Times New Roman"/>
                <w:b/>
                <w:i/>
                <w:noProof/>
                <w:sz w:val="20"/>
                <w:szCs w:val="20"/>
                <w:highlight w:val="yellow"/>
              </w:rPr>
            </w:pPr>
            <w:r w:rsidRPr="007E41C5">
              <w:rPr>
                <w:rFonts w:ascii="Times New Roman" w:eastAsia="Calibri" w:hAnsi="Times New Roman" w:cs="Times New Roman"/>
                <w:b/>
                <w:i/>
                <w:noProof/>
                <w:sz w:val="20"/>
                <w:szCs w:val="20"/>
                <w:highlight w:val="yellow"/>
              </w:rPr>
              <w:t>2025</w:t>
            </w:r>
          </w:p>
        </w:tc>
        <w:tc>
          <w:tcPr>
            <w:tcW w:w="1137" w:type="dxa"/>
          </w:tcPr>
          <w:p w14:paraId="15ADA315" w14:textId="77777777" w:rsidR="001B1197" w:rsidRPr="007E41C5" w:rsidRDefault="001B1197" w:rsidP="001B1197">
            <w:pPr>
              <w:spacing w:after="120"/>
              <w:rPr>
                <w:rFonts w:ascii="Times New Roman" w:eastAsia="Calibri" w:hAnsi="Times New Roman" w:cs="Times New Roman"/>
                <w:b/>
                <w:i/>
                <w:noProof/>
                <w:sz w:val="20"/>
                <w:szCs w:val="20"/>
                <w:highlight w:val="yellow"/>
              </w:rPr>
            </w:pPr>
            <w:r w:rsidRPr="007E41C5">
              <w:rPr>
                <w:rFonts w:ascii="Times New Roman" w:eastAsia="Calibri" w:hAnsi="Times New Roman" w:cs="Times New Roman"/>
                <w:b/>
                <w:i/>
                <w:noProof/>
                <w:sz w:val="20"/>
                <w:szCs w:val="20"/>
                <w:highlight w:val="yellow"/>
              </w:rPr>
              <w:t>2026</w:t>
            </w:r>
          </w:p>
        </w:tc>
        <w:tc>
          <w:tcPr>
            <w:tcW w:w="992" w:type="dxa"/>
          </w:tcPr>
          <w:p w14:paraId="41562BE7" w14:textId="77777777" w:rsidR="001B1197" w:rsidRPr="007E41C5" w:rsidRDefault="001B1197" w:rsidP="001B1197">
            <w:pPr>
              <w:spacing w:after="120"/>
              <w:rPr>
                <w:rFonts w:ascii="Times New Roman" w:eastAsia="Calibri" w:hAnsi="Times New Roman" w:cs="Times New Roman"/>
                <w:b/>
                <w:i/>
                <w:noProof/>
                <w:sz w:val="20"/>
                <w:szCs w:val="20"/>
                <w:highlight w:val="yellow"/>
              </w:rPr>
            </w:pPr>
            <w:r w:rsidRPr="007E41C5">
              <w:rPr>
                <w:rFonts w:ascii="Times New Roman" w:eastAsia="Calibri" w:hAnsi="Times New Roman" w:cs="Times New Roman"/>
                <w:b/>
                <w:i/>
                <w:noProof/>
                <w:sz w:val="20"/>
                <w:szCs w:val="20"/>
                <w:highlight w:val="yellow"/>
              </w:rPr>
              <w:t>2027</w:t>
            </w:r>
          </w:p>
        </w:tc>
        <w:tc>
          <w:tcPr>
            <w:tcW w:w="1134" w:type="dxa"/>
          </w:tcPr>
          <w:p w14:paraId="21DF1D81" w14:textId="77777777" w:rsidR="001B1197" w:rsidRPr="007E41C5" w:rsidRDefault="001B1197" w:rsidP="001B1197">
            <w:pPr>
              <w:spacing w:after="120"/>
              <w:rPr>
                <w:rFonts w:ascii="Times New Roman" w:eastAsia="Calibri" w:hAnsi="Times New Roman" w:cs="Times New Roman"/>
                <w:b/>
                <w:i/>
                <w:noProof/>
                <w:sz w:val="20"/>
                <w:szCs w:val="20"/>
                <w:highlight w:val="yellow"/>
              </w:rPr>
            </w:pPr>
            <w:r w:rsidRPr="007E41C5">
              <w:rPr>
                <w:rFonts w:ascii="Times New Roman" w:eastAsia="Calibri" w:hAnsi="Times New Roman" w:cs="Times New Roman"/>
                <w:b/>
                <w:i/>
                <w:noProof/>
                <w:sz w:val="20"/>
                <w:szCs w:val="20"/>
                <w:highlight w:val="yellow"/>
              </w:rPr>
              <w:t xml:space="preserve">Total </w:t>
            </w:r>
          </w:p>
        </w:tc>
      </w:tr>
      <w:tr w:rsidR="001635EC" w:rsidRPr="007E41C5" w14:paraId="310F8756" w14:textId="77777777" w:rsidTr="0085533B">
        <w:tc>
          <w:tcPr>
            <w:tcW w:w="1472" w:type="dxa"/>
          </w:tcPr>
          <w:p w14:paraId="2B49DF5B"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ERDF</w:t>
            </w:r>
          </w:p>
          <w:p w14:paraId="4C0A6FA3"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Arial"/>
                <w:i/>
                <w:noProof/>
                <w:sz w:val="20"/>
                <w:szCs w:val="20"/>
                <w:highlight w:val="yellow"/>
              </w:rPr>
              <w:t>(territorial cooperation goal)</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4769A84A"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0</w:t>
            </w:r>
          </w:p>
        </w:tc>
        <w:tc>
          <w:tcPr>
            <w:tcW w:w="1134" w:type="dxa"/>
            <w:tcBorders>
              <w:top w:val="single" w:sz="4" w:space="0" w:color="auto"/>
              <w:left w:val="nil"/>
              <w:bottom w:val="single" w:sz="4" w:space="0" w:color="auto"/>
              <w:right w:val="single" w:sz="4" w:space="0" w:color="auto"/>
            </w:tcBorders>
            <w:shd w:val="clear" w:color="auto" w:fill="auto"/>
            <w:vAlign w:val="bottom"/>
          </w:tcPr>
          <w:p w14:paraId="3B6A0430"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2 195 993,17</w:t>
            </w:r>
          </w:p>
        </w:tc>
        <w:tc>
          <w:tcPr>
            <w:tcW w:w="1154" w:type="dxa"/>
            <w:tcBorders>
              <w:top w:val="single" w:sz="4" w:space="0" w:color="auto"/>
              <w:left w:val="nil"/>
              <w:bottom w:val="single" w:sz="4" w:space="0" w:color="auto"/>
              <w:right w:val="single" w:sz="4" w:space="0" w:color="auto"/>
            </w:tcBorders>
            <w:shd w:val="clear" w:color="auto" w:fill="auto"/>
            <w:vAlign w:val="bottom"/>
          </w:tcPr>
          <w:p w14:paraId="6D2F6F17"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2 231 437,66</w:t>
            </w:r>
          </w:p>
        </w:tc>
        <w:tc>
          <w:tcPr>
            <w:tcW w:w="980" w:type="dxa"/>
            <w:tcBorders>
              <w:top w:val="single" w:sz="4" w:space="0" w:color="auto"/>
              <w:left w:val="nil"/>
              <w:bottom w:val="single" w:sz="4" w:space="0" w:color="auto"/>
              <w:right w:val="single" w:sz="4" w:space="0" w:color="auto"/>
            </w:tcBorders>
            <w:shd w:val="clear" w:color="auto" w:fill="auto"/>
            <w:vAlign w:val="bottom"/>
          </w:tcPr>
          <w:p w14:paraId="4FC5B466"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2 267 590,86</w:t>
            </w:r>
          </w:p>
        </w:tc>
        <w:tc>
          <w:tcPr>
            <w:tcW w:w="981" w:type="dxa"/>
            <w:tcBorders>
              <w:top w:val="single" w:sz="4" w:space="0" w:color="auto"/>
              <w:left w:val="nil"/>
              <w:bottom w:val="single" w:sz="4" w:space="0" w:color="auto"/>
              <w:right w:val="single" w:sz="4" w:space="0" w:color="auto"/>
            </w:tcBorders>
            <w:shd w:val="clear" w:color="auto" w:fill="auto"/>
            <w:vAlign w:val="bottom"/>
          </w:tcPr>
          <w:p w14:paraId="6EA68E62"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2 346 845,23</w:t>
            </w:r>
          </w:p>
        </w:tc>
        <w:tc>
          <w:tcPr>
            <w:tcW w:w="1137" w:type="dxa"/>
            <w:tcBorders>
              <w:top w:val="single" w:sz="4" w:space="0" w:color="auto"/>
              <w:left w:val="nil"/>
              <w:bottom w:val="single" w:sz="4" w:space="0" w:color="auto"/>
              <w:right w:val="single" w:sz="4" w:space="0" w:color="auto"/>
            </w:tcBorders>
            <w:shd w:val="clear" w:color="auto" w:fill="auto"/>
            <w:vAlign w:val="bottom"/>
          </w:tcPr>
          <w:p w14:paraId="06B143EF"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1 918 307,92</w:t>
            </w:r>
          </w:p>
        </w:tc>
        <w:tc>
          <w:tcPr>
            <w:tcW w:w="992" w:type="dxa"/>
            <w:tcBorders>
              <w:top w:val="single" w:sz="4" w:space="0" w:color="auto"/>
              <w:left w:val="nil"/>
              <w:bottom w:val="single" w:sz="4" w:space="0" w:color="auto"/>
              <w:right w:val="single" w:sz="4" w:space="0" w:color="auto"/>
            </w:tcBorders>
            <w:shd w:val="clear" w:color="auto" w:fill="auto"/>
            <w:vAlign w:val="bottom"/>
          </w:tcPr>
          <w:p w14:paraId="5987E4E4"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1 956 674,16</w:t>
            </w:r>
          </w:p>
        </w:tc>
        <w:tc>
          <w:tcPr>
            <w:tcW w:w="1134" w:type="dxa"/>
            <w:tcBorders>
              <w:top w:val="single" w:sz="4" w:space="0" w:color="auto"/>
              <w:left w:val="nil"/>
              <w:bottom w:val="single" w:sz="4" w:space="0" w:color="auto"/>
              <w:right w:val="single" w:sz="4" w:space="0" w:color="auto"/>
            </w:tcBorders>
            <w:shd w:val="clear" w:color="auto" w:fill="auto"/>
            <w:vAlign w:val="bottom"/>
          </w:tcPr>
          <w:p w14:paraId="4D64DA17"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12 916 849,00</w:t>
            </w:r>
          </w:p>
        </w:tc>
      </w:tr>
      <w:tr w:rsidR="001635EC" w:rsidRPr="007E41C5" w14:paraId="01196E8E" w14:textId="77777777" w:rsidTr="0085533B">
        <w:tc>
          <w:tcPr>
            <w:tcW w:w="1472" w:type="dxa"/>
          </w:tcPr>
          <w:p w14:paraId="3BC7C60F" w14:textId="77777777" w:rsidR="001635EC" w:rsidRPr="007E41C5" w:rsidRDefault="001635EC" w:rsidP="001635EC">
            <w:pPr>
              <w:spacing w:after="120"/>
              <w:rPr>
                <w:rFonts w:ascii="Times New Roman" w:eastAsia="Calibri" w:hAnsi="Times New Roman" w:cs="Times New Roman"/>
                <w:b/>
                <w:i/>
                <w:strike/>
                <w:noProof/>
                <w:sz w:val="20"/>
                <w:szCs w:val="20"/>
                <w:highlight w:val="yellow"/>
              </w:rPr>
            </w:pPr>
          </w:p>
        </w:tc>
        <w:tc>
          <w:tcPr>
            <w:tcW w:w="650" w:type="dxa"/>
            <w:tcBorders>
              <w:top w:val="nil"/>
              <w:left w:val="single" w:sz="4" w:space="0" w:color="auto"/>
              <w:bottom w:val="single" w:sz="4" w:space="0" w:color="auto"/>
              <w:right w:val="single" w:sz="4" w:space="0" w:color="auto"/>
            </w:tcBorders>
            <w:shd w:val="clear" w:color="auto" w:fill="auto"/>
            <w:vAlign w:val="bottom"/>
          </w:tcPr>
          <w:p w14:paraId="7A0602CA"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0</w:t>
            </w:r>
          </w:p>
        </w:tc>
        <w:tc>
          <w:tcPr>
            <w:tcW w:w="1134" w:type="dxa"/>
            <w:tcBorders>
              <w:top w:val="nil"/>
              <w:left w:val="nil"/>
              <w:bottom w:val="single" w:sz="4" w:space="0" w:color="auto"/>
              <w:right w:val="single" w:sz="4" w:space="0" w:color="auto"/>
            </w:tcBorders>
            <w:shd w:val="clear" w:color="auto" w:fill="auto"/>
            <w:vAlign w:val="bottom"/>
          </w:tcPr>
          <w:p w14:paraId="53A5FB50"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2 305 792,75</w:t>
            </w:r>
          </w:p>
        </w:tc>
        <w:tc>
          <w:tcPr>
            <w:tcW w:w="1154" w:type="dxa"/>
            <w:tcBorders>
              <w:top w:val="nil"/>
              <w:left w:val="nil"/>
              <w:bottom w:val="single" w:sz="4" w:space="0" w:color="auto"/>
              <w:right w:val="single" w:sz="4" w:space="0" w:color="auto"/>
            </w:tcBorders>
            <w:shd w:val="clear" w:color="auto" w:fill="auto"/>
            <w:vAlign w:val="bottom"/>
          </w:tcPr>
          <w:p w14:paraId="21A716B0"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2 343 009,47</w:t>
            </w:r>
          </w:p>
        </w:tc>
        <w:tc>
          <w:tcPr>
            <w:tcW w:w="980" w:type="dxa"/>
            <w:tcBorders>
              <w:top w:val="nil"/>
              <w:left w:val="nil"/>
              <w:bottom w:val="single" w:sz="4" w:space="0" w:color="auto"/>
              <w:right w:val="single" w:sz="4" w:space="0" w:color="auto"/>
            </w:tcBorders>
            <w:shd w:val="clear" w:color="auto" w:fill="auto"/>
            <w:vAlign w:val="bottom"/>
          </w:tcPr>
          <w:p w14:paraId="221E239F"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2 380 970,33</w:t>
            </w:r>
          </w:p>
        </w:tc>
        <w:tc>
          <w:tcPr>
            <w:tcW w:w="981" w:type="dxa"/>
            <w:tcBorders>
              <w:top w:val="nil"/>
              <w:left w:val="nil"/>
              <w:bottom w:val="single" w:sz="4" w:space="0" w:color="auto"/>
              <w:right w:val="single" w:sz="4" w:space="0" w:color="auto"/>
            </w:tcBorders>
            <w:shd w:val="clear" w:color="auto" w:fill="auto"/>
            <w:vAlign w:val="bottom"/>
          </w:tcPr>
          <w:p w14:paraId="794961C0"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2 464 187,41</w:t>
            </w:r>
          </w:p>
        </w:tc>
        <w:tc>
          <w:tcPr>
            <w:tcW w:w="1137" w:type="dxa"/>
            <w:tcBorders>
              <w:top w:val="nil"/>
              <w:left w:val="nil"/>
              <w:bottom w:val="single" w:sz="4" w:space="0" w:color="auto"/>
              <w:right w:val="single" w:sz="4" w:space="0" w:color="auto"/>
            </w:tcBorders>
            <w:shd w:val="clear" w:color="auto" w:fill="auto"/>
            <w:vAlign w:val="bottom"/>
          </w:tcPr>
          <w:p w14:paraId="0F37FE89"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2 014 223,25</w:t>
            </w:r>
          </w:p>
        </w:tc>
        <w:tc>
          <w:tcPr>
            <w:tcW w:w="992" w:type="dxa"/>
            <w:tcBorders>
              <w:top w:val="nil"/>
              <w:left w:val="nil"/>
              <w:bottom w:val="single" w:sz="4" w:space="0" w:color="auto"/>
              <w:right w:val="single" w:sz="4" w:space="0" w:color="auto"/>
            </w:tcBorders>
            <w:shd w:val="clear" w:color="auto" w:fill="auto"/>
            <w:vAlign w:val="bottom"/>
          </w:tcPr>
          <w:p w14:paraId="722C83F1"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2 054 507,80</w:t>
            </w:r>
          </w:p>
        </w:tc>
        <w:tc>
          <w:tcPr>
            <w:tcW w:w="1134" w:type="dxa"/>
            <w:tcBorders>
              <w:top w:val="nil"/>
              <w:left w:val="nil"/>
              <w:bottom w:val="single" w:sz="4" w:space="0" w:color="auto"/>
              <w:right w:val="single" w:sz="4" w:space="0" w:color="auto"/>
            </w:tcBorders>
            <w:shd w:val="clear" w:color="auto" w:fill="auto"/>
            <w:vAlign w:val="bottom"/>
          </w:tcPr>
          <w:p w14:paraId="30CE9AE7"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13 562 691,00</w:t>
            </w:r>
          </w:p>
        </w:tc>
      </w:tr>
      <w:tr w:rsidR="001635EC" w:rsidRPr="007E41C5" w14:paraId="11D76B0A" w14:textId="77777777" w:rsidTr="0085533B">
        <w:tc>
          <w:tcPr>
            <w:tcW w:w="1472" w:type="dxa"/>
          </w:tcPr>
          <w:p w14:paraId="47B300DF"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IPA</w:t>
            </w:r>
            <w:r w:rsidRPr="007E41C5">
              <w:rPr>
                <w:rFonts w:ascii="Calibri" w:eastAsia="Calibri" w:hAnsi="Calibri" w:cs="Arial"/>
                <w:noProof/>
                <w:highlight w:val="yellow"/>
              </w:rPr>
              <w:t> </w:t>
            </w:r>
            <w:r w:rsidRPr="007E41C5">
              <w:rPr>
                <w:rFonts w:ascii="Times New Roman" w:eastAsia="Calibri" w:hAnsi="Times New Roman" w:cs="Times New Roman"/>
                <w:i/>
                <w:noProof/>
                <w:sz w:val="20"/>
                <w:szCs w:val="20"/>
                <w:highlight w:val="yellow"/>
              </w:rPr>
              <w:t>III CBC</w:t>
            </w:r>
            <w:r w:rsidRPr="007E41C5">
              <w:rPr>
                <w:rFonts w:ascii="Times New Roman" w:eastAsia="Calibri" w:hAnsi="Times New Roman" w:cs="Times New Roman"/>
                <w:i/>
                <w:noProof/>
                <w:sz w:val="20"/>
                <w:szCs w:val="20"/>
                <w:highlight w:val="yellow"/>
                <w:vertAlign w:val="superscript"/>
              </w:rPr>
              <w:footnoteReference w:id="10"/>
            </w:r>
          </w:p>
        </w:tc>
        <w:tc>
          <w:tcPr>
            <w:tcW w:w="650" w:type="dxa"/>
            <w:tcBorders>
              <w:top w:val="nil"/>
              <w:left w:val="single" w:sz="4" w:space="0" w:color="auto"/>
              <w:bottom w:val="single" w:sz="4" w:space="0" w:color="auto"/>
              <w:right w:val="single" w:sz="4" w:space="0" w:color="auto"/>
            </w:tcBorders>
            <w:shd w:val="clear" w:color="auto" w:fill="auto"/>
            <w:vAlign w:val="bottom"/>
          </w:tcPr>
          <w:p w14:paraId="39354933"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1134" w:type="dxa"/>
            <w:tcBorders>
              <w:top w:val="nil"/>
              <w:left w:val="nil"/>
              <w:bottom w:val="single" w:sz="4" w:space="0" w:color="auto"/>
              <w:right w:val="single" w:sz="4" w:space="0" w:color="auto"/>
            </w:tcBorders>
            <w:shd w:val="clear" w:color="auto" w:fill="auto"/>
            <w:vAlign w:val="bottom"/>
          </w:tcPr>
          <w:p w14:paraId="4C45F4D4"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1154" w:type="dxa"/>
            <w:tcBorders>
              <w:top w:val="nil"/>
              <w:left w:val="nil"/>
              <w:bottom w:val="single" w:sz="4" w:space="0" w:color="auto"/>
              <w:right w:val="single" w:sz="4" w:space="0" w:color="auto"/>
            </w:tcBorders>
            <w:shd w:val="clear" w:color="auto" w:fill="auto"/>
            <w:vAlign w:val="bottom"/>
          </w:tcPr>
          <w:p w14:paraId="32CE57E9"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980" w:type="dxa"/>
            <w:tcBorders>
              <w:top w:val="nil"/>
              <w:left w:val="nil"/>
              <w:bottom w:val="single" w:sz="4" w:space="0" w:color="auto"/>
              <w:right w:val="single" w:sz="4" w:space="0" w:color="auto"/>
            </w:tcBorders>
            <w:shd w:val="clear" w:color="auto" w:fill="auto"/>
            <w:vAlign w:val="bottom"/>
          </w:tcPr>
          <w:p w14:paraId="310F58E4"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981" w:type="dxa"/>
            <w:tcBorders>
              <w:top w:val="nil"/>
              <w:left w:val="nil"/>
              <w:bottom w:val="single" w:sz="4" w:space="0" w:color="auto"/>
              <w:right w:val="single" w:sz="4" w:space="0" w:color="auto"/>
            </w:tcBorders>
            <w:shd w:val="clear" w:color="auto" w:fill="auto"/>
            <w:vAlign w:val="bottom"/>
          </w:tcPr>
          <w:p w14:paraId="34D1F51A"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1137" w:type="dxa"/>
            <w:tcBorders>
              <w:top w:val="nil"/>
              <w:left w:val="nil"/>
              <w:bottom w:val="single" w:sz="4" w:space="0" w:color="auto"/>
              <w:right w:val="single" w:sz="4" w:space="0" w:color="auto"/>
            </w:tcBorders>
            <w:shd w:val="clear" w:color="auto" w:fill="auto"/>
            <w:vAlign w:val="bottom"/>
          </w:tcPr>
          <w:p w14:paraId="75B4AADA"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992" w:type="dxa"/>
            <w:tcBorders>
              <w:top w:val="nil"/>
              <w:left w:val="nil"/>
              <w:bottom w:val="single" w:sz="4" w:space="0" w:color="auto"/>
              <w:right w:val="single" w:sz="4" w:space="0" w:color="auto"/>
            </w:tcBorders>
            <w:shd w:val="clear" w:color="auto" w:fill="auto"/>
            <w:vAlign w:val="bottom"/>
          </w:tcPr>
          <w:p w14:paraId="2F0B672E"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1134" w:type="dxa"/>
            <w:tcBorders>
              <w:top w:val="nil"/>
              <w:left w:val="nil"/>
              <w:bottom w:val="single" w:sz="4" w:space="0" w:color="auto"/>
              <w:right w:val="single" w:sz="4" w:space="0" w:color="auto"/>
            </w:tcBorders>
            <w:shd w:val="clear" w:color="auto" w:fill="auto"/>
            <w:vAlign w:val="bottom"/>
          </w:tcPr>
          <w:p w14:paraId="63821E75"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r>
      <w:tr w:rsidR="001635EC" w:rsidRPr="007E41C5" w14:paraId="481A8922" w14:textId="77777777" w:rsidTr="0085533B">
        <w:tc>
          <w:tcPr>
            <w:tcW w:w="1472" w:type="dxa"/>
          </w:tcPr>
          <w:p w14:paraId="10320DC4"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Neighbourhood CBC</w:t>
            </w:r>
            <w:r w:rsidRPr="007E41C5">
              <w:rPr>
                <w:rFonts w:ascii="Times New Roman" w:eastAsia="Calibri" w:hAnsi="Times New Roman" w:cs="Times New Roman"/>
                <w:i/>
                <w:noProof/>
                <w:sz w:val="20"/>
                <w:szCs w:val="20"/>
                <w:highlight w:val="yellow"/>
                <w:vertAlign w:val="superscript"/>
              </w:rPr>
              <w:footnoteReference w:id="11"/>
            </w:r>
          </w:p>
        </w:tc>
        <w:tc>
          <w:tcPr>
            <w:tcW w:w="650" w:type="dxa"/>
            <w:tcBorders>
              <w:top w:val="nil"/>
              <w:left w:val="single" w:sz="4" w:space="0" w:color="auto"/>
              <w:bottom w:val="single" w:sz="4" w:space="0" w:color="auto"/>
              <w:right w:val="single" w:sz="4" w:space="0" w:color="auto"/>
            </w:tcBorders>
            <w:shd w:val="clear" w:color="auto" w:fill="auto"/>
            <w:vAlign w:val="bottom"/>
          </w:tcPr>
          <w:p w14:paraId="6B46D558"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1134" w:type="dxa"/>
            <w:tcBorders>
              <w:top w:val="nil"/>
              <w:left w:val="nil"/>
              <w:bottom w:val="single" w:sz="4" w:space="0" w:color="auto"/>
              <w:right w:val="single" w:sz="4" w:space="0" w:color="auto"/>
            </w:tcBorders>
            <w:shd w:val="clear" w:color="auto" w:fill="auto"/>
            <w:vAlign w:val="bottom"/>
          </w:tcPr>
          <w:p w14:paraId="17737334"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1154" w:type="dxa"/>
            <w:tcBorders>
              <w:top w:val="nil"/>
              <w:left w:val="nil"/>
              <w:bottom w:val="single" w:sz="4" w:space="0" w:color="auto"/>
              <w:right w:val="single" w:sz="4" w:space="0" w:color="auto"/>
            </w:tcBorders>
            <w:shd w:val="clear" w:color="auto" w:fill="auto"/>
            <w:vAlign w:val="bottom"/>
          </w:tcPr>
          <w:p w14:paraId="43174A76"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980" w:type="dxa"/>
            <w:tcBorders>
              <w:top w:val="nil"/>
              <w:left w:val="nil"/>
              <w:bottom w:val="single" w:sz="4" w:space="0" w:color="auto"/>
              <w:right w:val="single" w:sz="4" w:space="0" w:color="auto"/>
            </w:tcBorders>
            <w:shd w:val="clear" w:color="auto" w:fill="auto"/>
            <w:vAlign w:val="bottom"/>
          </w:tcPr>
          <w:p w14:paraId="6F907006"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981" w:type="dxa"/>
            <w:tcBorders>
              <w:top w:val="nil"/>
              <w:left w:val="nil"/>
              <w:bottom w:val="single" w:sz="4" w:space="0" w:color="auto"/>
              <w:right w:val="single" w:sz="4" w:space="0" w:color="auto"/>
            </w:tcBorders>
            <w:shd w:val="clear" w:color="auto" w:fill="auto"/>
            <w:vAlign w:val="bottom"/>
          </w:tcPr>
          <w:p w14:paraId="13268A3F"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1137" w:type="dxa"/>
            <w:tcBorders>
              <w:top w:val="nil"/>
              <w:left w:val="nil"/>
              <w:bottom w:val="single" w:sz="4" w:space="0" w:color="auto"/>
              <w:right w:val="single" w:sz="4" w:space="0" w:color="auto"/>
            </w:tcBorders>
            <w:shd w:val="clear" w:color="auto" w:fill="auto"/>
            <w:vAlign w:val="bottom"/>
          </w:tcPr>
          <w:p w14:paraId="4892544D"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992" w:type="dxa"/>
            <w:tcBorders>
              <w:top w:val="nil"/>
              <w:left w:val="nil"/>
              <w:bottom w:val="single" w:sz="4" w:space="0" w:color="auto"/>
              <w:right w:val="single" w:sz="4" w:space="0" w:color="auto"/>
            </w:tcBorders>
            <w:shd w:val="clear" w:color="auto" w:fill="auto"/>
            <w:vAlign w:val="bottom"/>
          </w:tcPr>
          <w:p w14:paraId="30B8D767"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1134" w:type="dxa"/>
            <w:tcBorders>
              <w:top w:val="nil"/>
              <w:left w:val="nil"/>
              <w:bottom w:val="single" w:sz="4" w:space="0" w:color="auto"/>
              <w:right w:val="single" w:sz="4" w:space="0" w:color="auto"/>
            </w:tcBorders>
            <w:shd w:val="clear" w:color="auto" w:fill="auto"/>
            <w:vAlign w:val="bottom"/>
          </w:tcPr>
          <w:p w14:paraId="3E2C648F"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r>
      <w:tr w:rsidR="001635EC" w:rsidRPr="007E41C5" w14:paraId="4911784E" w14:textId="77777777" w:rsidTr="0085533B">
        <w:tc>
          <w:tcPr>
            <w:tcW w:w="1472" w:type="dxa"/>
          </w:tcPr>
          <w:p w14:paraId="3D0BA642"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IPA III</w:t>
            </w:r>
            <w:r w:rsidRPr="007E41C5">
              <w:rPr>
                <w:rFonts w:ascii="Times New Roman" w:eastAsia="Calibri" w:hAnsi="Times New Roman" w:cs="Times New Roman"/>
                <w:i/>
                <w:noProof/>
                <w:sz w:val="20"/>
                <w:szCs w:val="20"/>
                <w:highlight w:val="yellow"/>
                <w:vertAlign w:val="superscript"/>
              </w:rPr>
              <w:footnoteReference w:id="12"/>
            </w:r>
          </w:p>
        </w:tc>
        <w:tc>
          <w:tcPr>
            <w:tcW w:w="650" w:type="dxa"/>
            <w:tcBorders>
              <w:top w:val="nil"/>
              <w:left w:val="single" w:sz="4" w:space="0" w:color="auto"/>
              <w:bottom w:val="single" w:sz="4" w:space="0" w:color="auto"/>
              <w:right w:val="single" w:sz="4" w:space="0" w:color="auto"/>
            </w:tcBorders>
            <w:shd w:val="clear" w:color="auto" w:fill="auto"/>
            <w:vAlign w:val="bottom"/>
          </w:tcPr>
          <w:p w14:paraId="02F601B4"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1134" w:type="dxa"/>
            <w:tcBorders>
              <w:top w:val="nil"/>
              <w:left w:val="nil"/>
              <w:bottom w:val="single" w:sz="4" w:space="0" w:color="auto"/>
              <w:right w:val="single" w:sz="4" w:space="0" w:color="auto"/>
            </w:tcBorders>
            <w:shd w:val="clear" w:color="auto" w:fill="auto"/>
            <w:vAlign w:val="bottom"/>
          </w:tcPr>
          <w:p w14:paraId="32AC140F"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1154" w:type="dxa"/>
            <w:tcBorders>
              <w:top w:val="nil"/>
              <w:left w:val="nil"/>
              <w:bottom w:val="single" w:sz="4" w:space="0" w:color="auto"/>
              <w:right w:val="single" w:sz="4" w:space="0" w:color="auto"/>
            </w:tcBorders>
            <w:shd w:val="clear" w:color="auto" w:fill="auto"/>
            <w:vAlign w:val="bottom"/>
          </w:tcPr>
          <w:p w14:paraId="0E8A49BD"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980" w:type="dxa"/>
            <w:tcBorders>
              <w:top w:val="nil"/>
              <w:left w:val="nil"/>
              <w:bottom w:val="single" w:sz="4" w:space="0" w:color="auto"/>
              <w:right w:val="single" w:sz="4" w:space="0" w:color="auto"/>
            </w:tcBorders>
            <w:shd w:val="clear" w:color="auto" w:fill="auto"/>
            <w:vAlign w:val="bottom"/>
          </w:tcPr>
          <w:p w14:paraId="6A3B8A4F"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981" w:type="dxa"/>
            <w:tcBorders>
              <w:top w:val="nil"/>
              <w:left w:val="nil"/>
              <w:bottom w:val="single" w:sz="4" w:space="0" w:color="auto"/>
              <w:right w:val="single" w:sz="4" w:space="0" w:color="auto"/>
            </w:tcBorders>
            <w:shd w:val="clear" w:color="auto" w:fill="auto"/>
            <w:vAlign w:val="bottom"/>
          </w:tcPr>
          <w:p w14:paraId="0935F0D0"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1137" w:type="dxa"/>
            <w:tcBorders>
              <w:top w:val="nil"/>
              <w:left w:val="nil"/>
              <w:bottom w:val="single" w:sz="4" w:space="0" w:color="auto"/>
              <w:right w:val="single" w:sz="4" w:space="0" w:color="auto"/>
            </w:tcBorders>
            <w:shd w:val="clear" w:color="auto" w:fill="auto"/>
            <w:vAlign w:val="bottom"/>
          </w:tcPr>
          <w:p w14:paraId="7564158E"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992" w:type="dxa"/>
            <w:tcBorders>
              <w:top w:val="nil"/>
              <w:left w:val="nil"/>
              <w:bottom w:val="single" w:sz="4" w:space="0" w:color="auto"/>
              <w:right w:val="single" w:sz="4" w:space="0" w:color="auto"/>
            </w:tcBorders>
            <w:shd w:val="clear" w:color="auto" w:fill="auto"/>
            <w:vAlign w:val="bottom"/>
          </w:tcPr>
          <w:p w14:paraId="1B9BD90E"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1134" w:type="dxa"/>
            <w:tcBorders>
              <w:top w:val="nil"/>
              <w:left w:val="nil"/>
              <w:bottom w:val="single" w:sz="4" w:space="0" w:color="auto"/>
              <w:right w:val="single" w:sz="4" w:space="0" w:color="auto"/>
            </w:tcBorders>
            <w:shd w:val="clear" w:color="auto" w:fill="auto"/>
            <w:vAlign w:val="bottom"/>
          </w:tcPr>
          <w:p w14:paraId="44E2BA4A"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r>
      <w:tr w:rsidR="001635EC" w:rsidRPr="007E41C5" w14:paraId="07DE2FDE" w14:textId="77777777" w:rsidTr="0085533B">
        <w:tc>
          <w:tcPr>
            <w:tcW w:w="1472" w:type="dxa"/>
          </w:tcPr>
          <w:p w14:paraId="3E4136DB"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NDICI</w:t>
            </w:r>
            <w:r w:rsidRPr="007E41C5">
              <w:rPr>
                <w:rFonts w:ascii="Times New Roman" w:eastAsia="Calibri" w:hAnsi="Times New Roman" w:cs="Times New Roman"/>
                <w:i/>
                <w:noProof/>
                <w:sz w:val="20"/>
                <w:szCs w:val="20"/>
                <w:highlight w:val="yellow"/>
                <w:vertAlign w:val="superscript"/>
              </w:rPr>
              <w:footnoteReference w:id="13"/>
            </w:r>
          </w:p>
        </w:tc>
        <w:tc>
          <w:tcPr>
            <w:tcW w:w="650" w:type="dxa"/>
            <w:tcBorders>
              <w:top w:val="nil"/>
              <w:left w:val="single" w:sz="4" w:space="0" w:color="auto"/>
              <w:bottom w:val="single" w:sz="4" w:space="0" w:color="auto"/>
              <w:right w:val="single" w:sz="4" w:space="0" w:color="auto"/>
            </w:tcBorders>
            <w:shd w:val="clear" w:color="auto" w:fill="auto"/>
            <w:vAlign w:val="bottom"/>
          </w:tcPr>
          <w:p w14:paraId="66E24653"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1134" w:type="dxa"/>
            <w:tcBorders>
              <w:top w:val="nil"/>
              <w:left w:val="nil"/>
              <w:bottom w:val="single" w:sz="4" w:space="0" w:color="auto"/>
              <w:right w:val="single" w:sz="4" w:space="0" w:color="auto"/>
            </w:tcBorders>
            <w:shd w:val="clear" w:color="auto" w:fill="auto"/>
            <w:vAlign w:val="bottom"/>
          </w:tcPr>
          <w:p w14:paraId="11B0C508"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1154" w:type="dxa"/>
            <w:tcBorders>
              <w:top w:val="nil"/>
              <w:left w:val="nil"/>
              <w:bottom w:val="single" w:sz="4" w:space="0" w:color="auto"/>
              <w:right w:val="single" w:sz="4" w:space="0" w:color="auto"/>
            </w:tcBorders>
            <w:shd w:val="clear" w:color="auto" w:fill="auto"/>
            <w:vAlign w:val="bottom"/>
          </w:tcPr>
          <w:p w14:paraId="45838671"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980" w:type="dxa"/>
            <w:tcBorders>
              <w:top w:val="nil"/>
              <w:left w:val="nil"/>
              <w:bottom w:val="single" w:sz="4" w:space="0" w:color="auto"/>
              <w:right w:val="single" w:sz="4" w:space="0" w:color="auto"/>
            </w:tcBorders>
            <w:shd w:val="clear" w:color="auto" w:fill="auto"/>
            <w:vAlign w:val="bottom"/>
          </w:tcPr>
          <w:p w14:paraId="61C98247"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981" w:type="dxa"/>
            <w:tcBorders>
              <w:top w:val="nil"/>
              <w:left w:val="nil"/>
              <w:bottom w:val="single" w:sz="4" w:space="0" w:color="auto"/>
              <w:right w:val="single" w:sz="4" w:space="0" w:color="auto"/>
            </w:tcBorders>
            <w:shd w:val="clear" w:color="auto" w:fill="auto"/>
            <w:vAlign w:val="bottom"/>
          </w:tcPr>
          <w:p w14:paraId="0A97C6D9"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1137" w:type="dxa"/>
            <w:tcBorders>
              <w:top w:val="nil"/>
              <w:left w:val="nil"/>
              <w:bottom w:val="single" w:sz="4" w:space="0" w:color="auto"/>
              <w:right w:val="single" w:sz="4" w:space="0" w:color="auto"/>
            </w:tcBorders>
            <w:shd w:val="clear" w:color="auto" w:fill="auto"/>
            <w:vAlign w:val="bottom"/>
          </w:tcPr>
          <w:p w14:paraId="7BB41944"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992" w:type="dxa"/>
            <w:tcBorders>
              <w:top w:val="nil"/>
              <w:left w:val="nil"/>
              <w:bottom w:val="single" w:sz="4" w:space="0" w:color="auto"/>
              <w:right w:val="single" w:sz="4" w:space="0" w:color="auto"/>
            </w:tcBorders>
            <w:shd w:val="clear" w:color="auto" w:fill="auto"/>
            <w:vAlign w:val="bottom"/>
          </w:tcPr>
          <w:p w14:paraId="473A4CE0"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1134" w:type="dxa"/>
            <w:tcBorders>
              <w:top w:val="nil"/>
              <w:left w:val="nil"/>
              <w:bottom w:val="single" w:sz="4" w:space="0" w:color="auto"/>
              <w:right w:val="single" w:sz="4" w:space="0" w:color="auto"/>
            </w:tcBorders>
            <w:shd w:val="clear" w:color="auto" w:fill="auto"/>
            <w:vAlign w:val="bottom"/>
          </w:tcPr>
          <w:p w14:paraId="22A3FAEE"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r>
      <w:tr w:rsidR="001635EC" w:rsidRPr="007E41C5" w14:paraId="5D926B57" w14:textId="77777777" w:rsidTr="0085533B">
        <w:tc>
          <w:tcPr>
            <w:tcW w:w="1472" w:type="dxa"/>
          </w:tcPr>
          <w:p w14:paraId="71DEFBFC" w14:textId="77777777" w:rsidR="001635EC" w:rsidRPr="007E41C5" w:rsidRDefault="001635EC" w:rsidP="001635EC">
            <w:pPr>
              <w:spacing w:after="120"/>
              <w:rPr>
                <w:rFonts w:ascii="Times New Roman" w:eastAsia="Calibri" w:hAnsi="Times New Roman" w:cs="Times New Roman"/>
                <w:i/>
                <w:strike/>
                <w:noProof/>
                <w:sz w:val="20"/>
                <w:szCs w:val="20"/>
                <w:highlight w:val="yellow"/>
              </w:rPr>
            </w:pPr>
          </w:p>
        </w:tc>
        <w:tc>
          <w:tcPr>
            <w:tcW w:w="650" w:type="dxa"/>
            <w:tcBorders>
              <w:top w:val="nil"/>
              <w:left w:val="single" w:sz="4" w:space="0" w:color="auto"/>
              <w:bottom w:val="single" w:sz="4" w:space="0" w:color="auto"/>
              <w:right w:val="single" w:sz="4" w:space="0" w:color="auto"/>
            </w:tcBorders>
            <w:shd w:val="clear" w:color="auto" w:fill="auto"/>
            <w:vAlign w:val="bottom"/>
          </w:tcPr>
          <w:p w14:paraId="1275F66C"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1134" w:type="dxa"/>
            <w:tcBorders>
              <w:top w:val="nil"/>
              <w:left w:val="nil"/>
              <w:bottom w:val="single" w:sz="4" w:space="0" w:color="auto"/>
              <w:right w:val="single" w:sz="4" w:space="0" w:color="auto"/>
            </w:tcBorders>
            <w:shd w:val="clear" w:color="auto" w:fill="auto"/>
            <w:vAlign w:val="bottom"/>
          </w:tcPr>
          <w:p w14:paraId="527B5B16"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1154" w:type="dxa"/>
            <w:tcBorders>
              <w:top w:val="nil"/>
              <w:left w:val="nil"/>
              <w:bottom w:val="single" w:sz="4" w:space="0" w:color="auto"/>
              <w:right w:val="single" w:sz="4" w:space="0" w:color="auto"/>
            </w:tcBorders>
            <w:shd w:val="clear" w:color="auto" w:fill="auto"/>
            <w:vAlign w:val="bottom"/>
          </w:tcPr>
          <w:p w14:paraId="61622A44"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980" w:type="dxa"/>
            <w:tcBorders>
              <w:top w:val="nil"/>
              <w:left w:val="nil"/>
              <w:bottom w:val="single" w:sz="4" w:space="0" w:color="auto"/>
              <w:right w:val="single" w:sz="4" w:space="0" w:color="auto"/>
            </w:tcBorders>
            <w:shd w:val="clear" w:color="auto" w:fill="auto"/>
            <w:vAlign w:val="bottom"/>
          </w:tcPr>
          <w:p w14:paraId="0DFC534A"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981" w:type="dxa"/>
            <w:tcBorders>
              <w:top w:val="nil"/>
              <w:left w:val="nil"/>
              <w:bottom w:val="single" w:sz="4" w:space="0" w:color="auto"/>
              <w:right w:val="single" w:sz="4" w:space="0" w:color="auto"/>
            </w:tcBorders>
            <w:shd w:val="clear" w:color="auto" w:fill="auto"/>
            <w:vAlign w:val="bottom"/>
          </w:tcPr>
          <w:p w14:paraId="2413F688"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1137" w:type="dxa"/>
            <w:tcBorders>
              <w:top w:val="nil"/>
              <w:left w:val="nil"/>
              <w:bottom w:val="single" w:sz="4" w:space="0" w:color="auto"/>
              <w:right w:val="single" w:sz="4" w:space="0" w:color="auto"/>
            </w:tcBorders>
            <w:shd w:val="clear" w:color="auto" w:fill="auto"/>
            <w:vAlign w:val="bottom"/>
          </w:tcPr>
          <w:p w14:paraId="2CE57F2C"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992" w:type="dxa"/>
            <w:tcBorders>
              <w:top w:val="nil"/>
              <w:left w:val="nil"/>
              <w:bottom w:val="single" w:sz="4" w:space="0" w:color="auto"/>
              <w:right w:val="single" w:sz="4" w:space="0" w:color="auto"/>
            </w:tcBorders>
            <w:shd w:val="clear" w:color="auto" w:fill="auto"/>
            <w:vAlign w:val="bottom"/>
          </w:tcPr>
          <w:p w14:paraId="7B4C8490"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1134" w:type="dxa"/>
            <w:tcBorders>
              <w:top w:val="nil"/>
              <w:left w:val="nil"/>
              <w:bottom w:val="single" w:sz="4" w:space="0" w:color="auto"/>
              <w:right w:val="single" w:sz="4" w:space="0" w:color="auto"/>
            </w:tcBorders>
            <w:shd w:val="clear" w:color="auto" w:fill="auto"/>
            <w:vAlign w:val="bottom"/>
          </w:tcPr>
          <w:p w14:paraId="41867063"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r>
      <w:tr w:rsidR="001635EC" w:rsidRPr="007E41C5" w14:paraId="6B1CFB7A" w14:textId="77777777" w:rsidTr="0085533B">
        <w:tc>
          <w:tcPr>
            <w:tcW w:w="1472" w:type="dxa"/>
          </w:tcPr>
          <w:p w14:paraId="552CDF97"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OCTP</w:t>
            </w:r>
            <w:r w:rsidRPr="007E41C5">
              <w:rPr>
                <w:rFonts w:ascii="Times New Roman" w:eastAsia="Calibri" w:hAnsi="Times New Roman" w:cs="Times New Roman"/>
                <w:i/>
                <w:noProof/>
                <w:sz w:val="20"/>
                <w:szCs w:val="20"/>
                <w:highlight w:val="yellow"/>
                <w:vertAlign w:val="superscript"/>
              </w:rPr>
              <w:footnoteReference w:id="14"/>
            </w:r>
          </w:p>
        </w:tc>
        <w:tc>
          <w:tcPr>
            <w:tcW w:w="650" w:type="dxa"/>
            <w:tcBorders>
              <w:top w:val="nil"/>
              <w:left w:val="single" w:sz="4" w:space="0" w:color="auto"/>
              <w:bottom w:val="single" w:sz="4" w:space="0" w:color="auto"/>
              <w:right w:val="single" w:sz="4" w:space="0" w:color="auto"/>
            </w:tcBorders>
            <w:shd w:val="clear" w:color="auto" w:fill="auto"/>
            <w:vAlign w:val="bottom"/>
          </w:tcPr>
          <w:p w14:paraId="358A8EC7"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1134" w:type="dxa"/>
            <w:tcBorders>
              <w:top w:val="nil"/>
              <w:left w:val="nil"/>
              <w:bottom w:val="single" w:sz="4" w:space="0" w:color="auto"/>
              <w:right w:val="single" w:sz="4" w:space="0" w:color="auto"/>
            </w:tcBorders>
            <w:shd w:val="clear" w:color="auto" w:fill="auto"/>
            <w:vAlign w:val="bottom"/>
          </w:tcPr>
          <w:p w14:paraId="1F9449DA"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1154" w:type="dxa"/>
            <w:tcBorders>
              <w:top w:val="nil"/>
              <w:left w:val="nil"/>
              <w:bottom w:val="single" w:sz="4" w:space="0" w:color="auto"/>
              <w:right w:val="single" w:sz="4" w:space="0" w:color="auto"/>
            </w:tcBorders>
            <w:shd w:val="clear" w:color="auto" w:fill="auto"/>
            <w:vAlign w:val="bottom"/>
          </w:tcPr>
          <w:p w14:paraId="16E1F6B5"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980" w:type="dxa"/>
            <w:tcBorders>
              <w:top w:val="nil"/>
              <w:left w:val="nil"/>
              <w:bottom w:val="single" w:sz="4" w:space="0" w:color="auto"/>
              <w:right w:val="single" w:sz="4" w:space="0" w:color="auto"/>
            </w:tcBorders>
            <w:shd w:val="clear" w:color="auto" w:fill="auto"/>
            <w:vAlign w:val="bottom"/>
          </w:tcPr>
          <w:p w14:paraId="75C22E4E"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981" w:type="dxa"/>
            <w:tcBorders>
              <w:top w:val="nil"/>
              <w:left w:val="nil"/>
              <w:bottom w:val="single" w:sz="4" w:space="0" w:color="auto"/>
              <w:right w:val="single" w:sz="4" w:space="0" w:color="auto"/>
            </w:tcBorders>
            <w:shd w:val="clear" w:color="auto" w:fill="auto"/>
            <w:vAlign w:val="bottom"/>
          </w:tcPr>
          <w:p w14:paraId="35775B26"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1137" w:type="dxa"/>
            <w:tcBorders>
              <w:top w:val="nil"/>
              <w:left w:val="nil"/>
              <w:bottom w:val="single" w:sz="4" w:space="0" w:color="auto"/>
              <w:right w:val="single" w:sz="4" w:space="0" w:color="auto"/>
            </w:tcBorders>
            <w:shd w:val="clear" w:color="auto" w:fill="auto"/>
            <w:vAlign w:val="bottom"/>
          </w:tcPr>
          <w:p w14:paraId="3EF0A18A"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992" w:type="dxa"/>
            <w:tcBorders>
              <w:top w:val="nil"/>
              <w:left w:val="nil"/>
              <w:bottom w:val="single" w:sz="4" w:space="0" w:color="auto"/>
              <w:right w:val="single" w:sz="4" w:space="0" w:color="auto"/>
            </w:tcBorders>
            <w:shd w:val="clear" w:color="auto" w:fill="auto"/>
            <w:vAlign w:val="bottom"/>
          </w:tcPr>
          <w:p w14:paraId="3071F1B7"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c>
          <w:tcPr>
            <w:tcW w:w="1134" w:type="dxa"/>
            <w:tcBorders>
              <w:top w:val="nil"/>
              <w:left w:val="nil"/>
              <w:bottom w:val="single" w:sz="4" w:space="0" w:color="auto"/>
              <w:right w:val="single" w:sz="4" w:space="0" w:color="auto"/>
            </w:tcBorders>
            <w:shd w:val="clear" w:color="auto" w:fill="auto"/>
            <w:vAlign w:val="bottom"/>
          </w:tcPr>
          <w:p w14:paraId="1E52D75E"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 </w:t>
            </w:r>
          </w:p>
        </w:tc>
      </w:tr>
      <w:tr w:rsidR="001635EC" w:rsidRPr="007E41C5" w14:paraId="240AE122" w14:textId="77777777" w:rsidTr="0085533B">
        <w:tc>
          <w:tcPr>
            <w:tcW w:w="1472" w:type="dxa"/>
          </w:tcPr>
          <w:p w14:paraId="51E8585A"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Interreg funds</w:t>
            </w:r>
            <w:r w:rsidRPr="007E41C5">
              <w:rPr>
                <w:rFonts w:ascii="Times New Roman" w:eastAsia="Calibri" w:hAnsi="Times New Roman" w:cs="Times New Roman"/>
                <w:i/>
                <w:noProof/>
                <w:sz w:val="20"/>
                <w:szCs w:val="20"/>
                <w:highlight w:val="yellow"/>
                <w:vertAlign w:val="superscript"/>
              </w:rPr>
              <w:footnoteReference w:id="15"/>
            </w:r>
          </w:p>
        </w:tc>
        <w:tc>
          <w:tcPr>
            <w:tcW w:w="650" w:type="dxa"/>
            <w:tcBorders>
              <w:top w:val="nil"/>
              <w:left w:val="single" w:sz="4" w:space="0" w:color="auto"/>
              <w:bottom w:val="single" w:sz="4" w:space="0" w:color="auto"/>
              <w:right w:val="single" w:sz="4" w:space="0" w:color="auto"/>
            </w:tcBorders>
            <w:shd w:val="clear" w:color="auto" w:fill="auto"/>
            <w:vAlign w:val="bottom"/>
          </w:tcPr>
          <w:p w14:paraId="5992573A" w14:textId="77777777" w:rsidR="001635EC" w:rsidRPr="007E41C5" w:rsidRDefault="001635EC" w:rsidP="001635EC">
            <w:pPr>
              <w:spacing w:after="120"/>
              <w:rPr>
                <w:rFonts w:ascii="Times New Roman" w:eastAsia="Calibri" w:hAnsi="Times New Roman" w:cs="Times New Roman"/>
                <w:i/>
                <w:noProof/>
                <w:sz w:val="20"/>
                <w:szCs w:val="20"/>
                <w:highlight w:val="yellow"/>
              </w:rPr>
            </w:pPr>
          </w:p>
        </w:tc>
        <w:tc>
          <w:tcPr>
            <w:tcW w:w="1134" w:type="dxa"/>
            <w:tcBorders>
              <w:top w:val="nil"/>
              <w:left w:val="nil"/>
              <w:bottom w:val="single" w:sz="4" w:space="0" w:color="auto"/>
              <w:right w:val="single" w:sz="4" w:space="0" w:color="auto"/>
            </w:tcBorders>
            <w:shd w:val="clear" w:color="auto" w:fill="auto"/>
            <w:vAlign w:val="bottom"/>
          </w:tcPr>
          <w:p w14:paraId="5E292070" w14:textId="77777777" w:rsidR="001635EC" w:rsidRPr="007E41C5" w:rsidRDefault="001635EC" w:rsidP="001635EC">
            <w:pPr>
              <w:spacing w:after="120"/>
              <w:rPr>
                <w:rFonts w:ascii="Times New Roman" w:eastAsia="Calibri" w:hAnsi="Times New Roman" w:cs="Times New Roman"/>
                <w:i/>
                <w:noProof/>
                <w:sz w:val="20"/>
                <w:szCs w:val="20"/>
                <w:highlight w:val="yellow"/>
              </w:rPr>
            </w:pPr>
          </w:p>
        </w:tc>
        <w:tc>
          <w:tcPr>
            <w:tcW w:w="1154" w:type="dxa"/>
            <w:tcBorders>
              <w:top w:val="nil"/>
              <w:left w:val="nil"/>
              <w:bottom w:val="single" w:sz="4" w:space="0" w:color="auto"/>
              <w:right w:val="single" w:sz="4" w:space="0" w:color="auto"/>
            </w:tcBorders>
            <w:shd w:val="clear" w:color="auto" w:fill="auto"/>
            <w:vAlign w:val="bottom"/>
          </w:tcPr>
          <w:p w14:paraId="6ACE56C1" w14:textId="77777777" w:rsidR="001635EC" w:rsidRPr="007E41C5" w:rsidRDefault="001635EC" w:rsidP="001635EC">
            <w:pPr>
              <w:spacing w:after="120"/>
              <w:rPr>
                <w:rFonts w:ascii="Times New Roman" w:eastAsia="Calibri" w:hAnsi="Times New Roman" w:cs="Times New Roman"/>
                <w:i/>
                <w:noProof/>
                <w:sz w:val="20"/>
                <w:szCs w:val="20"/>
                <w:highlight w:val="yellow"/>
              </w:rPr>
            </w:pPr>
          </w:p>
        </w:tc>
        <w:tc>
          <w:tcPr>
            <w:tcW w:w="980" w:type="dxa"/>
            <w:tcBorders>
              <w:top w:val="nil"/>
              <w:left w:val="nil"/>
              <w:bottom w:val="single" w:sz="4" w:space="0" w:color="auto"/>
              <w:right w:val="single" w:sz="4" w:space="0" w:color="auto"/>
            </w:tcBorders>
            <w:shd w:val="clear" w:color="auto" w:fill="auto"/>
            <w:vAlign w:val="bottom"/>
          </w:tcPr>
          <w:p w14:paraId="08E323CD" w14:textId="77777777" w:rsidR="001635EC" w:rsidRPr="007E41C5" w:rsidRDefault="001635EC" w:rsidP="001635EC">
            <w:pPr>
              <w:spacing w:after="120"/>
              <w:rPr>
                <w:rFonts w:ascii="Times New Roman" w:eastAsia="Calibri" w:hAnsi="Times New Roman" w:cs="Times New Roman"/>
                <w:i/>
                <w:noProof/>
                <w:sz w:val="20"/>
                <w:szCs w:val="20"/>
                <w:highlight w:val="yellow"/>
              </w:rPr>
            </w:pPr>
          </w:p>
        </w:tc>
        <w:tc>
          <w:tcPr>
            <w:tcW w:w="981" w:type="dxa"/>
            <w:tcBorders>
              <w:top w:val="nil"/>
              <w:left w:val="nil"/>
              <w:bottom w:val="single" w:sz="4" w:space="0" w:color="auto"/>
              <w:right w:val="single" w:sz="4" w:space="0" w:color="auto"/>
            </w:tcBorders>
            <w:shd w:val="clear" w:color="auto" w:fill="auto"/>
            <w:vAlign w:val="bottom"/>
          </w:tcPr>
          <w:p w14:paraId="0CE1225A" w14:textId="77777777" w:rsidR="001635EC" w:rsidRPr="007E41C5" w:rsidRDefault="001635EC" w:rsidP="001635EC">
            <w:pPr>
              <w:spacing w:after="120"/>
              <w:rPr>
                <w:rFonts w:ascii="Times New Roman" w:eastAsia="Calibri" w:hAnsi="Times New Roman" w:cs="Times New Roman"/>
                <w:i/>
                <w:noProof/>
                <w:sz w:val="20"/>
                <w:szCs w:val="20"/>
                <w:highlight w:val="yellow"/>
              </w:rPr>
            </w:pPr>
          </w:p>
        </w:tc>
        <w:tc>
          <w:tcPr>
            <w:tcW w:w="1137" w:type="dxa"/>
            <w:tcBorders>
              <w:top w:val="nil"/>
              <w:left w:val="nil"/>
              <w:bottom w:val="single" w:sz="4" w:space="0" w:color="auto"/>
              <w:right w:val="single" w:sz="4" w:space="0" w:color="auto"/>
            </w:tcBorders>
            <w:shd w:val="clear" w:color="auto" w:fill="auto"/>
            <w:vAlign w:val="bottom"/>
          </w:tcPr>
          <w:p w14:paraId="33EF96FC" w14:textId="77777777" w:rsidR="001635EC" w:rsidRPr="007E41C5" w:rsidRDefault="001635EC" w:rsidP="001635EC">
            <w:pPr>
              <w:spacing w:after="120"/>
              <w:rPr>
                <w:rFonts w:ascii="Times New Roman" w:eastAsia="Calibri" w:hAnsi="Times New Roman" w:cs="Times New Roman"/>
                <w:i/>
                <w:noProof/>
                <w:sz w:val="20"/>
                <w:szCs w:val="20"/>
                <w:highlight w:val="yellow"/>
              </w:rPr>
            </w:pPr>
          </w:p>
        </w:tc>
        <w:tc>
          <w:tcPr>
            <w:tcW w:w="992" w:type="dxa"/>
            <w:tcBorders>
              <w:top w:val="nil"/>
              <w:left w:val="nil"/>
              <w:bottom w:val="single" w:sz="4" w:space="0" w:color="auto"/>
              <w:right w:val="single" w:sz="4" w:space="0" w:color="auto"/>
            </w:tcBorders>
            <w:shd w:val="clear" w:color="auto" w:fill="auto"/>
            <w:vAlign w:val="bottom"/>
          </w:tcPr>
          <w:p w14:paraId="0980158C" w14:textId="77777777" w:rsidR="001635EC" w:rsidRPr="007E41C5" w:rsidRDefault="001635EC" w:rsidP="001635EC">
            <w:pPr>
              <w:spacing w:after="120"/>
              <w:rPr>
                <w:rFonts w:ascii="Times New Roman" w:eastAsia="Calibri" w:hAnsi="Times New Roman" w:cs="Times New Roman"/>
                <w:i/>
                <w:noProof/>
                <w:sz w:val="20"/>
                <w:szCs w:val="20"/>
                <w:highlight w:val="yellow"/>
              </w:rPr>
            </w:pPr>
          </w:p>
        </w:tc>
        <w:tc>
          <w:tcPr>
            <w:tcW w:w="1134" w:type="dxa"/>
            <w:tcBorders>
              <w:top w:val="nil"/>
              <w:left w:val="nil"/>
              <w:bottom w:val="single" w:sz="4" w:space="0" w:color="auto"/>
              <w:right w:val="single" w:sz="4" w:space="0" w:color="auto"/>
            </w:tcBorders>
            <w:shd w:val="clear" w:color="auto" w:fill="auto"/>
            <w:vAlign w:val="bottom"/>
          </w:tcPr>
          <w:p w14:paraId="11C740BA" w14:textId="77777777" w:rsidR="001635EC" w:rsidRPr="007E41C5" w:rsidRDefault="001635EC" w:rsidP="001635EC">
            <w:pPr>
              <w:spacing w:after="120"/>
              <w:rPr>
                <w:rFonts w:ascii="Times New Roman" w:eastAsia="Calibri" w:hAnsi="Times New Roman" w:cs="Times New Roman"/>
                <w:i/>
                <w:noProof/>
                <w:sz w:val="20"/>
                <w:szCs w:val="20"/>
                <w:highlight w:val="yellow"/>
              </w:rPr>
            </w:pPr>
          </w:p>
        </w:tc>
      </w:tr>
      <w:tr w:rsidR="001635EC" w:rsidRPr="001B1197" w14:paraId="60A3DEE5" w14:textId="77777777" w:rsidTr="0085533B">
        <w:tc>
          <w:tcPr>
            <w:tcW w:w="1472" w:type="dxa"/>
          </w:tcPr>
          <w:p w14:paraId="506BACB8" w14:textId="77777777" w:rsidR="001635EC" w:rsidRPr="007E41C5" w:rsidRDefault="001635EC" w:rsidP="001635EC">
            <w:pPr>
              <w:spacing w:after="120"/>
              <w:rPr>
                <w:rFonts w:ascii="Times New Roman" w:eastAsia="Calibri" w:hAnsi="Times New Roman" w:cs="Times New Roman"/>
                <w:b/>
                <w:i/>
                <w:noProof/>
                <w:sz w:val="20"/>
                <w:szCs w:val="20"/>
                <w:highlight w:val="yellow"/>
              </w:rPr>
            </w:pPr>
            <w:r w:rsidRPr="007E41C5">
              <w:rPr>
                <w:rFonts w:ascii="Times New Roman" w:eastAsia="Calibri" w:hAnsi="Times New Roman" w:cs="Times New Roman"/>
                <w:b/>
                <w:i/>
                <w:noProof/>
                <w:sz w:val="20"/>
                <w:szCs w:val="20"/>
                <w:highlight w:val="yellow"/>
              </w:rPr>
              <w:t xml:space="preserve">Total </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4DCDE0BD"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E33A0F4"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4 501 785,92</w:t>
            </w:r>
          </w:p>
        </w:tc>
        <w:tc>
          <w:tcPr>
            <w:tcW w:w="1154" w:type="dxa"/>
            <w:tcBorders>
              <w:top w:val="single" w:sz="4" w:space="0" w:color="auto"/>
              <w:left w:val="nil"/>
              <w:bottom w:val="single" w:sz="4" w:space="0" w:color="auto"/>
              <w:right w:val="single" w:sz="4" w:space="0" w:color="auto"/>
            </w:tcBorders>
            <w:shd w:val="clear" w:color="auto" w:fill="auto"/>
            <w:vAlign w:val="bottom"/>
          </w:tcPr>
          <w:p w14:paraId="4DB298DE"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4 574 447,13</w:t>
            </w:r>
          </w:p>
        </w:tc>
        <w:tc>
          <w:tcPr>
            <w:tcW w:w="980" w:type="dxa"/>
            <w:tcBorders>
              <w:top w:val="single" w:sz="4" w:space="0" w:color="auto"/>
              <w:left w:val="nil"/>
              <w:bottom w:val="single" w:sz="4" w:space="0" w:color="auto"/>
              <w:right w:val="single" w:sz="4" w:space="0" w:color="auto"/>
            </w:tcBorders>
            <w:shd w:val="clear" w:color="auto" w:fill="auto"/>
            <w:vAlign w:val="bottom"/>
          </w:tcPr>
          <w:p w14:paraId="579F4999"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4 648 561,19</w:t>
            </w:r>
          </w:p>
        </w:tc>
        <w:tc>
          <w:tcPr>
            <w:tcW w:w="981" w:type="dxa"/>
            <w:tcBorders>
              <w:top w:val="single" w:sz="4" w:space="0" w:color="auto"/>
              <w:left w:val="nil"/>
              <w:bottom w:val="single" w:sz="4" w:space="0" w:color="auto"/>
              <w:right w:val="single" w:sz="4" w:space="0" w:color="auto"/>
            </w:tcBorders>
            <w:shd w:val="clear" w:color="auto" w:fill="auto"/>
            <w:vAlign w:val="bottom"/>
          </w:tcPr>
          <w:p w14:paraId="14D76154"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4 811 032,63</w:t>
            </w:r>
          </w:p>
        </w:tc>
        <w:tc>
          <w:tcPr>
            <w:tcW w:w="1137" w:type="dxa"/>
            <w:tcBorders>
              <w:top w:val="single" w:sz="4" w:space="0" w:color="auto"/>
              <w:left w:val="nil"/>
              <w:bottom w:val="single" w:sz="4" w:space="0" w:color="auto"/>
              <w:right w:val="single" w:sz="4" w:space="0" w:color="auto"/>
            </w:tcBorders>
            <w:shd w:val="clear" w:color="auto" w:fill="auto"/>
            <w:vAlign w:val="bottom"/>
          </w:tcPr>
          <w:p w14:paraId="25BD98D4"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3 932 531,17</w:t>
            </w:r>
          </w:p>
        </w:tc>
        <w:tc>
          <w:tcPr>
            <w:tcW w:w="992" w:type="dxa"/>
            <w:tcBorders>
              <w:top w:val="single" w:sz="4" w:space="0" w:color="auto"/>
              <w:left w:val="nil"/>
              <w:bottom w:val="single" w:sz="4" w:space="0" w:color="auto"/>
              <w:right w:val="single" w:sz="4" w:space="0" w:color="auto"/>
            </w:tcBorders>
            <w:shd w:val="clear" w:color="auto" w:fill="auto"/>
            <w:vAlign w:val="bottom"/>
          </w:tcPr>
          <w:p w14:paraId="759CB12A" w14:textId="77777777" w:rsidR="001635EC" w:rsidRPr="007E41C5" w:rsidRDefault="001635EC" w:rsidP="001635EC">
            <w:pPr>
              <w:spacing w:after="120"/>
              <w:rPr>
                <w:rFonts w:ascii="Times New Roman" w:eastAsia="Calibri" w:hAnsi="Times New Roman" w:cs="Times New Roman"/>
                <w:i/>
                <w:noProof/>
                <w:sz w:val="20"/>
                <w:szCs w:val="20"/>
                <w:highlight w:val="yellow"/>
              </w:rPr>
            </w:pPr>
            <w:r w:rsidRPr="007E41C5">
              <w:rPr>
                <w:rFonts w:ascii="Times New Roman" w:eastAsia="Calibri" w:hAnsi="Times New Roman" w:cs="Times New Roman"/>
                <w:i/>
                <w:noProof/>
                <w:sz w:val="20"/>
                <w:szCs w:val="20"/>
                <w:highlight w:val="yellow"/>
              </w:rPr>
              <w:t>4 011 181,96</w:t>
            </w:r>
          </w:p>
        </w:tc>
        <w:tc>
          <w:tcPr>
            <w:tcW w:w="1134" w:type="dxa"/>
            <w:tcBorders>
              <w:top w:val="single" w:sz="4" w:space="0" w:color="auto"/>
              <w:left w:val="nil"/>
              <w:bottom w:val="single" w:sz="4" w:space="0" w:color="auto"/>
              <w:right w:val="single" w:sz="4" w:space="0" w:color="auto"/>
            </w:tcBorders>
            <w:shd w:val="clear" w:color="auto" w:fill="auto"/>
            <w:vAlign w:val="bottom"/>
          </w:tcPr>
          <w:p w14:paraId="17458249" w14:textId="77777777" w:rsidR="001635EC" w:rsidRPr="001B1197" w:rsidRDefault="001635EC" w:rsidP="001635EC">
            <w:pPr>
              <w:spacing w:after="120"/>
              <w:rPr>
                <w:rFonts w:ascii="Times New Roman" w:eastAsia="Calibri" w:hAnsi="Times New Roman" w:cs="Times New Roman"/>
                <w:i/>
                <w:noProof/>
                <w:sz w:val="20"/>
                <w:szCs w:val="20"/>
              </w:rPr>
            </w:pPr>
            <w:r w:rsidRPr="007E41C5">
              <w:rPr>
                <w:rFonts w:ascii="Times New Roman" w:eastAsia="Calibri" w:hAnsi="Times New Roman" w:cs="Times New Roman"/>
                <w:i/>
                <w:noProof/>
                <w:sz w:val="20"/>
                <w:szCs w:val="20"/>
                <w:highlight w:val="yellow"/>
              </w:rPr>
              <w:t>26 479 540,00</w:t>
            </w:r>
          </w:p>
        </w:tc>
      </w:tr>
    </w:tbl>
    <w:p w14:paraId="09AACFC3" w14:textId="77777777" w:rsidR="001B1197" w:rsidRPr="001B1197" w:rsidRDefault="001B1197" w:rsidP="001B1197">
      <w:pPr>
        <w:spacing w:before="240" w:after="240" w:line="240" w:lineRule="auto"/>
        <w:ind w:left="709" w:hanging="709"/>
        <w:rPr>
          <w:rFonts w:ascii="Times New Roman" w:eastAsia="Times New Roman" w:hAnsi="Times New Roman" w:cs="Times New Roman"/>
          <w:b/>
          <w:iCs/>
          <w:noProof/>
          <w:sz w:val="24"/>
          <w:szCs w:val="24"/>
          <w:lang w:eastAsia="en-GB"/>
        </w:rPr>
      </w:pPr>
    </w:p>
    <w:p w14:paraId="78F113C6" w14:textId="77777777" w:rsidR="001B1197" w:rsidRPr="001B1197" w:rsidRDefault="001B1197" w:rsidP="001B1197">
      <w:pPr>
        <w:spacing w:before="240" w:after="240" w:line="240" w:lineRule="auto"/>
        <w:rPr>
          <w:rFonts w:ascii="Times New Roman" w:eastAsia="Times New Roman" w:hAnsi="Times New Roman" w:cs="Times New Roman"/>
          <w:b/>
          <w:iCs/>
          <w:noProof/>
          <w:sz w:val="24"/>
          <w:szCs w:val="24"/>
          <w:lang w:eastAsia="en-GB"/>
        </w:rPr>
      </w:pPr>
      <w:r w:rsidRPr="001B1197">
        <w:rPr>
          <w:rFonts w:ascii="Times New Roman" w:eastAsia="Times New Roman" w:hAnsi="Times New Roman" w:cs="Times New Roman"/>
          <w:b/>
          <w:iCs/>
          <w:noProof/>
          <w:sz w:val="24"/>
          <w:szCs w:val="24"/>
          <w:lang w:eastAsia="en-GB"/>
        </w:rPr>
        <w:t>3.2</w:t>
      </w:r>
      <w:r w:rsidRPr="001B1197">
        <w:rPr>
          <w:rFonts w:ascii="Times New Roman" w:eastAsia="Times New Roman" w:hAnsi="Times New Roman" w:cs="Times New Roman"/>
          <w:b/>
          <w:iCs/>
          <w:noProof/>
          <w:sz w:val="24"/>
          <w:szCs w:val="24"/>
          <w:lang w:eastAsia="en-GB"/>
        </w:rPr>
        <w:tab/>
        <w:t>Total financial appropriations by fund and national co-financing</w:t>
      </w: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1B1197" w:rsidRPr="001B1197" w14:paraId="3334E0F5" w14:textId="77777777" w:rsidTr="0096715F">
        <w:tc>
          <w:tcPr>
            <w:tcW w:w="9288" w:type="dxa"/>
          </w:tcPr>
          <w:p w14:paraId="53908C03" w14:textId="77777777" w:rsidR="001B1197" w:rsidRPr="001B1197" w:rsidRDefault="001B1197" w:rsidP="001B1197">
            <w:pPr>
              <w:rPr>
                <w:rFonts w:ascii="Calibri" w:eastAsia="Calibri" w:hAnsi="Calibri" w:cs="Arial"/>
                <w:noProof/>
              </w:rPr>
            </w:pPr>
            <w:r w:rsidRPr="001B1197">
              <w:rPr>
                <w:rFonts w:ascii="Times New Roman" w:eastAsia="Times New Roman" w:hAnsi="Times New Roman" w:cs="Times New Roman"/>
                <w:i/>
                <w:noProof/>
                <w:color w:val="000000"/>
                <w:sz w:val="24"/>
                <w:szCs w:val="24"/>
                <w:lang w:eastAsia="en-GB"/>
              </w:rPr>
              <w:t>Reference: point (f)(ii) of Article 17, points (a)-(d) of Article 17(4)</w:t>
            </w:r>
          </w:p>
          <w:p w14:paraId="6B583D4F" w14:textId="77777777" w:rsidR="001B1197" w:rsidRPr="001B1197" w:rsidRDefault="001B1197" w:rsidP="001B1197">
            <w:pPr>
              <w:rPr>
                <w:rFonts w:ascii="Calibri" w:eastAsia="Calibri" w:hAnsi="Calibri" w:cs="Arial"/>
                <w:noProof/>
              </w:rPr>
            </w:pPr>
          </w:p>
        </w:tc>
      </w:tr>
    </w:tbl>
    <w:p w14:paraId="0EA6E828" w14:textId="77777777" w:rsidR="001B1197" w:rsidRPr="001B1197" w:rsidRDefault="001B1197" w:rsidP="001B1197">
      <w:pPr>
        <w:spacing w:after="120" w:line="240" w:lineRule="auto"/>
        <w:jc w:val="both"/>
        <w:rPr>
          <w:rFonts w:ascii="Times New Roman" w:eastAsia="Times New Roman" w:hAnsi="Times New Roman" w:cs="Times New Roman"/>
          <w:noProof/>
          <w:color w:val="000000"/>
          <w:sz w:val="24"/>
          <w:szCs w:val="24"/>
          <w:lang w:eastAsia="en-GB"/>
        </w:rPr>
        <w:sectPr w:rsidR="001B1197" w:rsidRPr="001B1197" w:rsidSect="00CD1943">
          <w:pgSz w:w="11906" w:h="16838"/>
          <w:pgMar w:top="1134" w:right="1134" w:bottom="1134" w:left="1134" w:header="567" w:footer="567" w:gutter="0"/>
          <w:cols w:space="720"/>
          <w:docGrid w:linePitch="360"/>
        </w:sectPr>
      </w:pPr>
    </w:p>
    <w:p w14:paraId="3424EF25" w14:textId="77777777" w:rsidR="001B1197" w:rsidRPr="007E41C5" w:rsidRDefault="001B1197" w:rsidP="001B1197">
      <w:pPr>
        <w:spacing w:after="120" w:line="240" w:lineRule="auto"/>
        <w:jc w:val="center"/>
        <w:rPr>
          <w:rFonts w:ascii="Times New Roman" w:eastAsia="Times New Roman" w:hAnsi="Times New Roman" w:cs="Times New Roman"/>
          <w:noProof/>
          <w:color w:val="000000"/>
          <w:sz w:val="24"/>
          <w:szCs w:val="24"/>
          <w:highlight w:val="yellow"/>
          <w:lang w:eastAsia="en-GB"/>
        </w:rPr>
      </w:pPr>
      <w:r w:rsidRPr="007E41C5">
        <w:rPr>
          <w:rFonts w:ascii="Times New Roman" w:eastAsia="Times New Roman" w:hAnsi="Times New Roman" w:cs="Times New Roman"/>
          <w:noProof/>
          <w:color w:val="000000"/>
          <w:sz w:val="24"/>
          <w:szCs w:val="24"/>
          <w:highlight w:val="yellow"/>
          <w:lang w:eastAsia="en-GB"/>
        </w:rPr>
        <w:lastRenderedPageBreak/>
        <w:t>Table 8</w:t>
      </w:r>
    </w:p>
    <w:tbl>
      <w:tblPr>
        <w:tblStyle w:val="TableGrid13"/>
        <w:tblW w:w="4915" w:type="pct"/>
        <w:jc w:val="center"/>
        <w:tblLayout w:type="fixed"/>
        <w:tblLook w:val="04A0" w:firstRow="1" w:lastRow="0" w:firstColumn="1" w:lastColumn="0" w:noHBand="0" w:noVBand="1"/>
      </w:tblPr>
      <w:tblGrid>
        <w:gridCol w:w="952"/>
        <w:gridCol w:w="1010"/>
        <w:gridCol w:w="1151"/>
        <w:gridCol w:w="1134"/>
        <w:gridCol w:w="1277"/>
        <w:gridCol w:w="1274"/>
        <w:gridCol w:w="1134"/>
        <w:gridCol w:w="1136"/>
        <w:gridCol w:w="1131"/>
        <w:gridCol w:w="1279"/>
        <w:gridCol w:w="1274"/>
        <w:gridCol w:w="567"/>
        <w:gridCol w:w="993"/>
      </w:tblGrid>
      <w:tr w:rsidR="00874D3A" w:rsidRPr="007E41C5" w14:paraId="63FD93BA" w14:textId="77777777" w:rsidTr="0085533B">
        <w:trPr>
          <w:jc w:val="center"/>
        </w:trPr>
        <w:tc>
          <w:tcPr>
            <w:tcW w:w="333" w:type="pct"/>
            <w:vMerge w:val="restart"/>
          </w:tcPr>
          <w:p w14:paraId="07F72328" w14:textId="77777777" w:rsidR="001B1197" w:rsidRPr="007E41C5" w:rsidRDefault="001B1197" w:rsidP="001B1197">
            <w:pPr>
              <w:spacing w:after="60"/>
              <w:rPr>
                <w:rFonts w:ascii="Times New Roman" w:eastAsia="Calibri" w:hAnsi="Times New Roman" w:cs="Times New Roman"/>
                <w:b/>
                <w:i/>
                <w:noProof/>
                <w:sz w:val="16"/>
                <w:szCs w:val="16"/>
                <w:highlight w:val="yellow"/>
              </w:rPr>
            </w:pPr>
            <w:r w:rsidRPr="007E41C5">
              <w:rPr>
                <w:rFonts w:ascii="Times New Roman" w:eastAsia="Calibri" w:hAnsi="Times New Roman" w:cs="Times New Roman"/>
                <w:b/>
                <w:i/>
                <w:noProof/>
                <w:sz w:val="16"/>
                <w:szCs w:val="16"/>
                <w:highlight w:val="yellow"/>
              </w:rPr>
              <w:t>Policy objective  No or TA</w:t>
            </w:r>
          </w:p>
        </w:tc>
        <w:tc>
          <w:tcPr>
            <w:tcW w:w="353" w:type="pct"/>
            <w:vMerge w:val="restart"/>
          </w:tcPr>
          <w:p w14:paraId="2F0C584D" w14:textId="77777777" w:rsidR="001B1197" w:rsidRPr="007E41C5" w:rsidRDefault="001B1197" w:rsidP="001B1197">
            <w:pPr>
              <w:spacing w:after="60"/>
              <w:rPr>
                <w:rFonts w:ascii="Times New Roman" w:eastAsia="Calibri" w:hAnsi="Times New Roman" w:cs="Times New Roman"/>
                <w:b/>
                <w:i/>
                <w:noProof/>
                <w:sz w:val="16"/>
                <w:szCs w:val="16"/>
                <w:highlight w:val="yellow"/>
              </w:rPr>
            </w:pPr>
            <w:r w:rsidRPr="007E41C5">
              <w:rPr>
                <w:rFonts w:ascii="Times New Roman" w:eastAsia="Calibri" w:hAnsi="Times New Roman" w:cs="Times New Roman"/>
                <w:b/>
                <w:i/>
                <w:noProof/>
                <w:sz w:val="16"/>
                <w:szCs w:val="16"/>
                <w:highlight w:val="yellow"/>
              </w:rPr>
              <w:t>Priority</w:t>
            </w:r>
          </w:p>
        </w:tc>
        <w:tc>
          <w:tcPr>
            <w:tcW w:w="402" w:type="pct"/>
            <w:vMerge w:val="restart"/>
          </w:tcPr>
          <w:p w14:paraId="07A4403E" w14:textId="77777777" w:rsidR="001B1197" w:rsidRPr="007E41C5" w:rsidRDefault="001B1197" w:rsidP="001B1197">
            <w:pPr>
              <w:spacing w:after="60"/>
              <w:rPr>
                <w:rFonts w:ascii="Times New Roman" w:eastAsia="Calibri" w:hAnsi="Times New Roman" w:cs="Times New Roman"/>
                <w:b/>
                <w:i/>
                <w:noProof/>
                <w:sz w:val="16"/>
                <w:szCs w:val="16"/>
                <w:highlight w:val="yellow"/>
              </w:rPr>
            </w:pPr>
            <w:r w:rsidRPr="007E41C5">
              <w:rPr>
                <w:rFonts w:ascii="Times New Roman" w:eastAsia="Calibri" w:hAnsi="Times New Roman" w:cs="Times New Roman"/>
                <w:b/>
                <w:i/>
                <w:noProof/>
                <w:sz w:val="16"/>
                <w:szCs w:val="16"/>
                <w:highlight w:val="yellow"/>
              </w:rPr>
              <w:t>Fund</w:t>
            </w:r>
          </w:p>
          <w:p w14:paraId="43413BD4" w14:textId="77777777" w:rsidR="001B1197" w:rsidRPr="007E41C5" w:rsidRDefault="001B1197" w:rsidP="001B1197">
            <w:pPr>
              <w:spacing w:after="60"/>
              <w:rPr>
                <w:rFonts w:ascii="Times New Roman" w:eastAsia="Calibri" w:hAnsi="Times New Roman" w:cs="Times New Roman"/>
                <w:b/>
                <w:i/>
                <w:noProof/>
                <w:sz w:val="16"/>
                <w:szCs w:val="16"/>
                <w:highlight w:val="yellow"/>
              </w:rPr>
            </w:pPr>
            <w:r w:rsidRPr="007E41C5">
              <w:rPr>
                <w:rFonts w:ascii="Times New Roman" w:eastAsia="Calibri" w:hAnsi="Times New Roman" w:cs="Times New Roman"/>
                <w:b/>
                <w:i/>
                <w:noProof/>
                <w:sz w:val="16"/>
                <w:szCs w:val="16"/>
                <w:highlight w:val="yellow"/>
              </w:rPr>
              <w:t>(as applicable)</w:t>
            </w:r>
          </w:p>
        </w:tc>
        <w:tc>
          <w:tcPr>
            <w:tcW w:w="396" w:type="pct"/>
            <w:vMerge w:val="restart"/>
          </w:tcPr>
          <w:p w14:paraId="38A0FB6C" w14:textId="77777777" w:rsidR="001B1197" w:rsidRPr="007E41C5" w:rsidRDefault="001B1197" w:rsidP="001B1197">
            <w:pPr>
              <w:spacing w:after="60"/>
              <w:rPr>
                <w:rFonts w:ascii="Times New Roman" w:eastAsia="Calibri" w:hAnsi="Times New Roman" w:cs="Times New Roman"/>
                <w:b/>
                <w:i/>
                <w:noProof/>
                <w:sz w:val="16"/>
                <w:szCs w:val="16"/>
                <w:highlight w:val="yellow"/>
              </w:rPr>
            </w:pPr>
            <w:r w:rsidRPr="007E41C5">
              <w:rPr>
                <w:rFonts w:ascii="Times New Roman" w:eastAsia="Calibri" w:hAnsi="Times New Roman" w:cs="Times New Roman"/>
                <w:b/>
                <w:i/>
                <w:noProof/>
                <w:sz w:val="16"/>
                <w:szCs w:val="16"/>
                <w:highlight w:val="yellow"/>
              </w:rPr>
              <w:t>Basis for calculation EU support (total eligible cost or public contribution)</w:t>
            </w:r>
          </w:p>
        </w:tc>
        <w:tc>
          <w:tcPr>
            <w:tcW w:w="446" w:type="pct"/>
            <w:vMerge w:val="restart"/>
          </w:tcPr>
          <w:p w14:paraId="12DA3C0C" w14:textId="77777777" w:rsidR="001B1197" w:rsidRPr="007E41C5" w:rsidRDefault="001B1197" w:rsidP="001B1197">
            <w:pPr>
              <w:spacing w:after="60"/>
              <w:rPr>
                <w:rFonts w:ascii="Times New Roman" w:eastAsia="Calibri" w:hAnsi="Times New Roman" w:cs="Times New Roman"/>
                <w:b/>
                <w:i/>
                <w:noProof/>
                <w:sz w:val="16"/>
                <w:szCs w:val="16"/>
                <w:highlight w:val="yellow"/>
                <w:lang w:val="fr-BE"/>
              </w:rPr>
            </w:pPr>
            <w:r w:rsidRPr="007E41C5">
              <w:rPr>
                <w:rFonts w:ascii="Times New Roman" w:eastAsia="Calibri" w:hAnsi="Times New Roman" w:cs="Times New Roman"/>
                <w:b/>
                <w:i/>
                <w:noProof/>
                <w:sz w:val="16"/>
                <w:szCs w:val="16"/>
                <w:highlight w:val="yellow"/>
                <w:lang w:val="fr-BE"/>
              </w:rPr>
              <w:t>EU contribution</w:t>
            </w:r>
          </w:p>
          <w:p w14:paraId="593E5BB8" w14:textId="77777777" w:rsidR="001B1197" w:rsidRPr="007E41C5" w:rsidRDefault="001B1197" w:rsidP="001B1197">
            <w:pPr>
              <w:spacing w:after="60"/>
              <w:rPr>
                <w:rFonts w:ascii="Times New Roman" w:eastAsia="Calibri" w:hAnsi="Times New Roman" w:cs="Times New Roman"/>
                <w:i/>
                <w:noProof/>
                <w:sz w:val="16"/>
                <w:szCs w:val="16"/>
                <w:highlight w:val="yellow"/>
                <w:lang w:val="fr-BE"/>
              </w:rPr>
            </w:pPr>
            <w:r w:rsidRPr="007E41C5">
              <w:rPr>
                <w:rFonts w:ascii="Times New Roman" w:eastAsia="Calibri" w:hAnsi="Times New Roman" w:cs="Times New Roman"/>
                <w:i/>
                <w:noProof/>
                <w:sz w:val="16"/>
                <w:szCs w:val="16"/>
                <w:highlight w:val="yellow"/>
                <w:lang w:val="fr-BE"/>
              </w:rPr>
              <w:t>(a)=(a1)+(a2)</w:t>
            </w:r>
          </w:p>
          <w:p w14:paraId="485186FF" w14:textId="77777777" w:rsidR="001B1197" w:rsidRPr="007E41C5" w:rsidRDefault="001B1197" w:rsidP="001B1197">
            <w:pPr>
              <w:spacing w:after="60"/>
              <w:rPr>
                <w:rFonts w:ascii="Times New Roman" w:eastAsia="Calibri" w:hAnsi="Times New Roman" w:cs="Times New Roman"/>
                <w:b/>
                <w:i/>
                <w:noProof/>
                <w:sz w:val="16"/>
                <w:szCs w:val="16"/>
                <w:highlight w:val="yellow"/>
                <w:lang w:val="fr-BE"/>
              </w:rPr>
            </w:pPr>
          </w:p>
        </w:tc>
        <w:tc>
          <w:tcPr>
            <w:tcW w:w="841" w:type="pct"/>
            <w:gridSpan w:val="2"/>
          </w:tcPr>
          <w:p w14:paraId="7AB4C6B7" w14:textId="77777777" w:rsidR="001B1197" w:rsidRPr="007E41C5" w:rsidRDefault="001B1197" w:rsidP="001B1197">
            <w:pPr>
              <w:spacing w:after="60"/>
              <w:rPr>
                <w:rFonts w:ascii="Times New Roman" w:eastAsia="Calibri" w:hAnsi="Times New Roman" w:cs="Times New Roman"/>
                <w:b/>
                <w:i/>
                <w:noProof/>
                <w:sz w:val="16"/>
                <w:szCs w:val="16"/>
                <w:highlight w:val="yellow"/>
                <w:lang w:val="en-IE"/>
              </w:rPr>
            </w:pPr>
            <w:r w:rsidRPr="007E41C5">
              <w:rPr>
                <w:rFonts w:ascii="Times New Roman" w:eastAsia="Calibri" w:hAnsi="Times New Roman" w:cs="Times New Roman"/>
                <w:b/>
                <w:i/>
                <w:noProof/>
                <w:sz w:val="16"/>
                <w:szCs w:val="16"/>
                <w:highlight w:val="yellow"/>
              </w:rPr>
              <w:t xml:space="preserve">Indicative breakdown of the EU contribution </w:t>
            </w:r>
          </w:p>
        </w:tc>
        <w:tc>
          <w:tcPr>
            <w:tcW w:w="397" w:type="pct"/>
            <w:vMerge w:val="restart"/>
          </w:tcPr>
          <w:p w14:paraId="043851C5" w14:textId="77777777" w:rsidR="001B1197" w:rsidRPr="007E41C5" w:rsidRDefault="001B1197" w:rsidP="001B1197">
            <w:pPr>
              <w:spacing w:after="60"/>
              <w:rPr>
                <w:rFonts w:ascii="Times New Roman" w:eastAsia="Calibri" w:hAnsi="Times New Roman" w:cs="Times New Roman"/>
                <w:b/>
                <w:i/>
                <w:noProof/>
                <w:sz w:val="16"/>
                <w:szCs w:val="16"/>
                <w:highlight w:val="yellow"/>
                <w:lang w:val="fr-BE"/>
              </w:rPr>
            </w:pPr>
            <w:r w:rsidRPr="007E41C5">
              <w:rPr>
                <w:rFonts w:ascii="Times New Roman" w:eastAsia="Calibri" w:hAnsi="Times New Roman" w:cs="Times New Roman"/>
                <w:b/>
                <w:i/>
                <w:noProof/>
                <w:sz w:val="16"/>
                <w:szCs w:val="16"/>
                <w:highlight w:val="yellow"/>
                <w:lang w:val="fr-BE"/>
              </w:rPr>
              <w:t>National contribution</w:t>
            </w:r>
          </w:p>
          <w:p w14:paraId="7FA5ACA2" w14:textId="77777777" w:rsidR="001B1197" w:rsidRPr="007E41C5" w:rsidRDefault="001B1197" w:rsidP="001B1197">
            <w:pPr>
              <w:spacing w:after="60"/>
              <w:rPr>
                <w:rFonts w:ascii="Times New Roman" w:eastAsia="Calibri" w:hAnsi="Times New Roman" w:cs="Times New Roman"/>
                <w:b/>
                <w:i/>
                <w:noProof/>
                <w:sz w:val="16"/>
                <w:szCs w:val="16"/>
                <w:highlight w:val="yellow"/>
                <w:lang w:val="fr-BE"/>
              </w:rPr>
            </w:pPr>
            <w:r w:rsidRPr="007E41C5">
              <w:rPr>
                <w:rFonts w:ascii="Times New Roman" w:eastAsia="Calibri" w:hAnsi="Times New Roman" w:cs="Times New Roman"/>
                <w:i/>
                <w:noProof/>
                <w:sz w:val="16"/>
                <w:szCs w:val="16"/>
                <w:highlight w:val="yellow"/>
                <w:lang w:val="fr-BE"/>
              </w:rPr>
              <w:t>(b)=(c)+(d)</w:t>
            </w:r>
          </w:p>
        </w:tc>
        <w:tc>
          <w:tcPr>
            <w:tcW w:w="842" w:type="pct"/>
            <w:gridSpan w:val="2"/>
          </w:tcPr>
          <w:p w14:paraId="11DCBA4A" w14:textId="77777777" w:rsidR="001B1197" w:rsidRPr="007E41C5" w:rsidRDefault="001B1197" w:rsidP="001B1197">
            <w:pPr>
              <w:spacing w:after="60"/>
              <w:jc w:val="center"/>
              <w:rPr>
                <w:rFonts w:ascii="Times New Roman" w:eastAsia="Calibri" w:hAnsi="Times New Roman" w:cs="Times New Roman"/>
                <w:b/>
                <w:i/>
                <w:noProof/>
                <w:sz w:val="16"/>
                <w:szCs w:val="16"/>
                <w:highlight w:val="yellow"/>
              </w:rPr>
            </w:pPr>
            <w:r w:rsidRPr="007E41C5">
              <w:rPr>
                <w:rFonts w:ascii="Times New Roman" w:eastAsia="Calibri" w:hAnsi="Times New Roman" w:cs="Times New Roman"/>
                <w:b/>
                <w:i/>
                <w:noProof/>
                <w:sz w:val="16"/>
                <w:szCs w:val="16"/>
                <w:highlight w:val="yellow"/>
              </w:rPr>
              <w:t>Indicative breakdown of the national counterpart</w:t>
            </w:r>
          </w:p>
        </w:tc>
        <w:tc>
          <w:tcPr>
            <w:tcW w:w="445" w:type="pct"/>
            <w:vMerge w:val="restart"/>
          </w:tcPr>
          <w:p w14:paraId="5BE3710A" w14:textId="77777777" w:rsidR="001B1197" w:rsidRPr="007E41C5" w:rsidRDefault="001B1197" w:rsidP="001B1197">
            <w:pPr>
              <w:spacing w:after="60"/>
              <w:rPr>
                <w:rFonts w:ascii="Times New Roman" w:eastAsia="Calibri" w:hAnsi="Times New Roman" w:cs="Times New Roman"/>
                <w:b/>
                <w:i/>
                <w:noProof/>
                <w:sz w:val="16"/>
                <w:szCs w:val="16"/>
                <w:highlight w:val="yellow"/>
              </w:rPr>
            </w:pPr>
            <w:r w:rsidRPr="007E41C5">
              <w:rPr>
                <w:rFonts w:ascii="Times New Roman" w:eastAsia="Calibri" w:hAnsi="Times New Roman" w:cs="Times New Roman"/>
                <w:b/>
                <w:i/>
                <w:noProof/>
                <w:sz w:val="16"/>
                <w:szCs w:val="16"/>
                <w:highlight w:val="yellow"/>
              </w:rPr>
              <w:t xml:space="preserve">Total </w:t>
            </w:r>
          </w:p>
          <w:p w14:paraId="3F746366" w14:textId="77777777" w:rsidR="001B1197" w:rsidRPr="007E41C5" w:rsidRDefault="001B1197" w:rsidP="001B1197">
            <w:pPr>
              <w:spacing w:after="60"/>
              <w:rPr>
                <w:rFonts w:ascii="Times New Roman" w:eastAsia="Calibri" w:hAnsi="Times New Roman" w:cs="Times New Roman"/>
                <w:i/>
                <w:noProof/>
                <w:sz w:val="16"/>
                <w:szCs w:val="16"/>
                <w:highlight w:val="yellow"/>
              </w:rPr>
            </w:pPr>
          </w:p>
          <w:p w14:paraId="6F1626EE" w14:textId="77777777" w:rsidR="001B1197" w:rsidRPr="007E41C5" w:rsidRDefault="001B1197" w:rsidP="001B1197">
            <w:pPr>
              <w:spacing w:after="60"/>
              <w:rPr>
                <w:rFonts w:ascii="Times New Roman" w:eastAsia="Calibri" w:hAnsi="Times New Roman" w:cs="Times New Roman"/>
                <w:b/>
                <w:i/>
                <w:noProof/>
                <w:sz w:val="16"/>
                <w:szCs w:val="16"/>
                <w:highlight w:val="yellow"/>
              </w:rPr>
            </w:pPr>
            <w:r w:rsidRPr="007E41C5">
              <w:rPr>
                <w:rFonts w:ascii="Times New Roman" w:eastAsia="Calibri" w:hAnsi="Times New Roman" w:cs="Times New Roman"/>
                <w:i/>
                <w:noProof/>
                <w:sz w:val="16"/>
                <w:szCs w:val="16"/>
                <w:highlight w:val="yellow"/>
              </w:rPr>
              <w:t>(e)=(a)+(b)</w:t>
            </w:r>
          </w:p>
        </w:tc>
        <w:tc>
          <w:tcPr>
            <w:tcW w:w="198" w:type="pct"/>
            <w:vMerge w:val="restart"/>
          </w:tcPr>
          <w:p w14:paraId="3FE0615C" w14:textId="77777777" w:rsidR="001B1197" w:rsidRPr="007E41C5" w:rsidRDefault="001B1197" w:rsidP="001B1197">
            <w:pPr>
              <w:spacing w:after="60"/>
              <w:rPr>
                <w:rFonts w:ascii="Times New Roman" w:eastAsia="Calibri" w:hAnsi="Times New Roman" w:cs="Times New Roman"/>
                <w:b/>
                <w:i/>
                <w:noProof/>
                <w:sz w:val="16"/>
                <w:szCs w:val="16"/>
                <w:highlight w:val="yellow"/>
              </w:rPr>
            </w:pPr>
            <w:r w:rsidRPr="007E41C5">
              <w:rPr>
                <w:rFonts w:ascii="Times New Roman" w:eastAsia="Calibri" w:hAnsi="Times New Roman" w:cs="Times New Roman"/>
                <w:b/>
                <w:i/>
                <w:noProof/>
                <w:sz w:val="16"/>
                <w:szCs w:val="16"/>
                <w:highlight w:val="yellow"/>
              </w:rPr>
              <w:t>Co-financing rate</w:t>
            </w:r>
          </w:p>
          <w:p w14:paraId="1E03EBA7" w14:textId="77777777" w:rsidR="001B1197" w:rsidRPr="007E41C5" w:rsidRDefault="001B1197" w:rsidP="001B1197">
            <w:pPr>
              <w:spacing w:after="60"/>
              <w:rPr>
                <w:rFonts w:ascii="Times New Roman" w:eastAsia="Calibri" w:hAnsi="Times New Roman" w:cs="Times New Roman"/>
                <w:b/>
                <w:i/>
                <w:noProof/>
                <w:sz w:val="16"/>
                <w:szCs w:val="16"/>
                <w:highlight w:val="yellow"/>
              </w:rPr>
            </w:pPr>
            <w:r w:rsidRPr="007E41C5">
              <w:rPr>
                <w:rFonts w:ascii="Times New Roman" w:eastAsia="Calibri" w:hAnsi="Times New Roman" w:cs="Times New Roman"/>
                <w:i/>
                <w:noProof/>
                <w:sz w:val="16"/>
                <w:szCs w:val="16"/>
                <w:highlight w:val="yellow"/>
              </w:rPr>
              <w:t>(f)=(a)/(e)</w:t>
            </w:r>
          </w:p>
        </w:tc>
        <w:tc>
          <w:tcPr>
            <w:tcW w:w="347" w:type="pct"/>
            <w:vMerge w:val="restart"/>
          </w:tcPr>
          <w:p w14:paraId="1774285B" w14:textId="77777777" w:rsidR="001B1197" w:rsidRPr="007E41C5" w:rsidRDefault="001B1197" w:rsidP="001B1197">
            <w:pPr>
              <w:spacing w:after="60"/>
              <w:rPr>
                <w:rFonts w:ascii="Times New Roman" w:eastAsia="Calibri" w:hAnsi="Times New Roman" w:cs="Times New Roman"/>
                <w:b/>
                <w:i/>
                <w:noProof/>
                <w:sz w:val="16"/>
                <w:szCs w:val="16"/>
                <w:highlight w:val="yellow"/>
              </w:rPr>
            </w:pPr>
            <w:r w:rsidRPr="007E41C5">
              <w:rPr>
                <w:rFonts w:ascii="Times New Roman" w:eastAsia="Calibri" w:hAnsi="Times New Roman" w:cs="Times New Roman"/>
                <w:b/>
                <w:i/>
                <w:noProof/>
                <w:sz w:val="16"/>
                <w:szCs w:val="16"/>
                <w:highlight w:val="yellow"/>
              </w:rPr>
              <w:t>Contributions from the third countries</w:t>
            </w:r>
          </w:p>
          <w:p w14:paraId="5E3CF7DC" w14:textId="77777777" w:rsidR="001B1197" w:rsidRPr="007E41C5" w:rsidRDefault="001B1197" w:rsidP="001B1197">
            <w:pPr>
              <w:spacing w:after="60"/>
              <w:rPr>
                <w:rFonts w:ascii="Times New Roman" w:eastAsia="Calibri" w:hAnsi="Times New Roman" w:cs="Times New Roman"/>
                <w:b/>
                <w:i/>
                <w:noProof/>
                <w:sz w:val="16"/>
                <w:szCs w:val="16"/>
                <w:highlight w:val="yellow"/>
              </w:rPr>
            </w:pPr>
            <w:r w:rsidRPr="007E41C5">
              <w:rPr>
                <w:rFonts w:ascii="Times New Roman" w:eastAsia="Calibri" w:hAnsi="Times New Roman" w:cs="Times New Roman"/>
                <w:i/>
                <w:noProof/>
                <w:sz w:val="16"/>
                <w:szCs w:val="16"/>
                <w:highlight w:val="yellow"/>
              </w:rPr>
              <w:t>(</w:t>
            </w:r>
            <w:r w:rsidRPr="007E41C5">
              <w:rPr>
                <w:rFonts w:ascii="Times New Roman" w:eastAsia="Calibri" w:hAnsi="Times New Roman" w:cs="Times New Roman"/>
                <w:b/>
                <w:i/>
                <w:noProof/>
                <w:sz w:val="16"/>
                <w:szCs w:val="16"/>
                <w:highlight w:val="yellow"/>
              </w:rPr>
              <w:t>for information)</w:t>
            </w:r>
          </w:p>
        </w:tc>
      </w:tr>
      <w:tr w:rsidR="00874D3A" w:rsidRPr="007E41C5" w14:paraId="313AF3EC" w14:textId="77777777" w:rsidTr="0085533B">
        <w:trPr>
          <w:jc w:val="center"/>
        </w:trPr>
        <w:tc>
          <w:tcPr>
            <w:tcW w:w="333" w:type="pct"/>
            <w:vMerge/>
          </w:tcPr>
          <w:p w14:paraId="12193A7D" w14:textId="77777777" w:rsidR="001B1197" w:rsidRPr="007E41C5" w:rsidRDefault="001B1197" w:rsidP="001B1197">
            <w:pPr>
              <w:spacing w:after="60"/>
              <w:rPr>
                <w:rFonts w:ascii="Times New Roman" w:eastAsia="Calibri" w:hAnsi="Times New Roman" w:cs="Times New Roman"/>
                <w:b/>
                <w:i/>
                <w:noProof/>
                <w:sz w:val="16"/>
                <w:szCs w:val="16"/>
                <w:highlight w:val="yellow"/>
              </w:rPr>
            </w:pPr>
          </w:p>
        </w:tc>
        <w:tc>
          <w:tcPr>
            <w:tcW w:w="353" w:type="pct"/>
            <w:vMerge/>
          </w:tcPr>
          <w:p w14:paraId="6CE580CF" w14:textId="77777777" w:rsidR="001B1197" w:rsidRPr="007E41C5" w:rsidRDefault="001B1197" w:rsidP="001B1197">
            <w:pPr>
              <w:spacing w:after="60"/>
              <w:rPr>
                <w:rFonts w:ascii="Times New Roman" w:eastAsia="Calibri" w:hAnsi="Times New Roman" w:cs="Times New Roman"/>
                <w:b/>
                <w:i/>
                <w:noProof/>
                <w:sz w:val="16"/>
                <w:szCs w:val="16"/>
                <w:highlight w:val="yellow"/>
              </w:rPr>
            </w:pPr>
          </w:p>
        </w:tc>
        <w:tc>
          <w:tcPr>
            <w:tcW w:w="402" w:type="pct"/>
            <w:vMerge/>
          </w:tcPr>
          <w:p w14:paraId="3B8B7644" w14:textId="77777777" w:rsidR="001B1197" w:rsidRPr="007E41C5" w:rsidRDefault="001B1197" w:rsidP="001B1197">
            <w:pPr>
              <w:spacing w:after="60"/>
              <w:rPr>
                <w:rFonts w:ascii="Times New Roman" w:eastAsia="Calibri" w:hAnsi="Times New Roman" w:cs="Times New Roman"/>
                <w:b/>
                <w:i/>
                <w:noProof/>
                <w:sz w:val="16"/>
                <w:szCs w:val="16"/>
                <w:highlight w:val="yellow"/>
              </w:rPr>
            </w:pPr>
          </w:p>
        </w:tc>
        <w:tc>
          <w:tcPr>
            <w:tcW w:w="396" w:type="pct"/>
            <w:vMerge/>
          </w:tcPr>
          <w:p w14:paraId="7044EC49" w14:textId="77777777" w:rsidR="001B1197" w:rsidRPr="007E41C5" w:rsidRDefault="001B1197" w:rsidP="001B1197">
            <w:pPr>
              <w:spacing w:after="60"/>
              <w:rPr>
                <w:rFonts w:ascii="Times New Roman" w:eastAsia="Calibri" w:hAnsi="Times New Roman" w:cs="Times New Roman"/>
                <w:b/>
                <w:i/>
                <w:noProof/>
                <w:sz w:val="16"/>
                <w:szCs w:val="16"/>
                <w:highlight w:val="yellow"/>
              </w:rPr>
            </w:pPr>
          </w:p>
        </w:tc>
        <w:tc>
          <w:tcPr>
            <w:tcW w:w="446" w:type="pct"/>
            <w:vMerge/>
          </w:tcPr>
          <w:p w14:paraId="1F29A7B4" w14:textId="77777777" w:rsidR="001B1197" w:rsidRPr="007E41C5" w:rsidRDefault="001B1197" w:rsidP="001B1197">
            <w:pPr>
              <w:spacing w:after="60"/>
              <w:rPr>
                <w:rFonts w:ascii="Times New Roman" w:eastAsia="Calibri" w:hAnsi="Times New Roman" w:cs="Times New Roman"/>
                <w:b/>
                <w:i/>
                <w:noProof/>
                <w:sz w:val="16"/>
                <w:szCs w:val="16"/>
                <w:highlight w:val="yellow"/>
              </w:rPr>
            </w:pPr>
          </w:p>
        </w:tc>
        <w:tc>
          <w:tcPr>
            <w:tcW w:w="445" w:type="pct"/>
          </w:tcPr>
          <w:p w14:paraId="1C136F8C" w14:textId="77777777" w:rsidR="001B1197" w:rsidRPr="007E41C5" w:rsidRDefault="001B1197" w:rsidP="001B1197">
            <w:pPr>
              <w:spacing w:after="60"/>
              <w:rPr>
                <w:rFonts w:ascii="Times New Roman" w:eastAsia="Calibri" w:hAnsi="Times New Roman" w:cs="Times New Roman"/>
                <w:b/>
                <w:sz w:val="14"/>
                <w:szCs w:val="14"/>
                <w:highlight w:val="yellow"/>
              </w:rPr>
            </w:pPr>
            <w:r w:rsidRPr="007E41C5">
              <w:rPr>
                <w:rFonts w:ascii="Times New Roman" w:eastAsia="Calibri" w:hAnsi="Times New Roman" w:cs="Times New Roman"/>
                <w:b/>
                <w:sz w:val="14"/>
                <w:szCs w:val="14"/>
                <w:highlight w:val="yellow"/>
              </w:rPr>
              <w:t>without TA pursuant to Article 30(5) CPR</w:t>
            </w:r>
          </w:p>
          <w:p w14:paraId="30AB0874" w14:textId="77777777" w:rsidR="001B1197" w:rsidRPr="007E41C5" w:rsidRDefault="001B1197" w:rsidP="001B1197">
            <w:pPr>
              <w:spacing w:after="60"/>
              <w:rPr>
                <w:rFonts w:ascii="Times New Roman" w:eastAsia="Calibri" w:hAnsi="Times New Roman" w:cs="Times New Roman"/>
                <w:b/>
                <w:i/>
                <w:noProof/>
                <w:sz w:val="16"/>
                <w:szCs w:val="16"/>
                <w:highlight w:val="yellow"/>
              </w:rPr>
            </w:pPr>
            <w:r w:rsidRPr="007E41C5">
              <w:rPr>
                <w:rFonts w:ascii="Times New Roman" w:eastAsia="Calibri" w:hAnsi="Times New Roman" w:cs="Times New Roman"/>
                <w:b/>
                <w:sz w:val="14"/>
                <w:szCs w:val="14"/>
                <w:highlight w:val="yellow"/>
              </w:rPr>
              <w:t>(a1)</w:t>
            </w:r>
          </w:p>
        </w:tc>
        <w:tc>
          <w:tcPr>
            <w:tcW w:w="396" w:type="pct"/>
          </w:tcPr>
          <w:p w14:paraId="2C7025A1" w14:textId="77777777" w:rsidR="001B1197" w:rsidRPr="007E41C5" w:rsidRDefault="001B1197" w:rsidP="001B1197">
            <w:pPr>
              <w:spacing w:after="60"/>
              <w:rPr>
                <w:rFonts w:ascii="Times New Roman" w:eastAsia="Calibri" w:hAnsi="Times New Roman" w:cs="Times New Roman"/>
                <w:b/>
                <w:sz w:val="14"/>
                <w:szCs w:val="14"/>
                <w:highlight w:val="yellow"/>
              </w:rPr>
            </w:pPr>
            <w:r w:rsidRPr="007E41C5">
              <w:rPr>
                <w:rFonts w:ascii="Times New Roman" w:eastAsia="Calibri" w:hAnsi="Times New Roman" w:cs="Times New Roman"/>
                <w:b/>
                <w:sz w:val="14"/>
                <w:szCs w:val="14"/>
                <w:highlight w:val="yellow"/>
              </w:rPr>
              <w:t xml:space="preserve">for TA pursuant to Article 30(5) CPR </w:t>
            </w:r>
          </w:p>
          <w:p w14:paraId="65606302" w14:textId="77777777" w:rsidR="001B1197" w:rsidRPr="007E41C5" w:rsidRDefault="001B1197" w:rsidP="001B1197">
            <w:pPr>
              <w:spacing w:after="60"/>
              <w:rPr>
                <w:rFonts w:ascii="Times New Roman" w:eastAsia="Calibri" w:hAnsi="Times New Roman" w:cs="Times New Roman"/>
                <w:b/>
                <w:i/>
                <w:noProof/>
                <w:sz w:val="16"/>
                <w:szCs w:val="16"/>
                <w:highlight w:val="yellow"/>
              </w:rPr>
            </w:pPr>
            <w:r w:rsidRPr="007E41C5">
              <w:rPr>
                <w:rFonts w:ascii="Times New Roman" w:eastAsia="Calibri" w:hAnsi="Times New Roman" w:cs="Times New Roman"/>
                <w:b/>
                <w:sz w:val="14"/>
                <w:szCs w:val="14"/>
                <w:highlight w:val="yellow"/>
              </w:rPr>
              <w:t>(a2)</w:t>
            </w:r>
          </w:p>
        </w:tc>
        <w:tc>
          <w:tcPr>
            <w:tcW w:w="397" w:type="pct"/>
            <w:vMerge/>
          </w:tcPr>
          <w:p w14:paraId="3DC3358B" w14:textId="77777777" w:rsidR="001B1197" w:rsidRPr="007E41C5" w:rsidRDefault="001B1197" w:rsidP="001B1197">
            <w:pPr>
              <w:spacing w:after="60"/>
              <w:rPr>
                <w:rFonts w:ascii="Times New Roman" w:eastAsia="Calibri" w:hAnsi="Times New Roman" w:cs="Times New Roman"/>
                <w:b/>
                <w:i/>
                <w:noProof/>
                <w:sz w:val="16"/>
                <w:szCs w:val="16"/>
                <w:highlight w:val="yellow"/>
              </w:rPr>
            </w:pPr>
          </w:p>
        </w:tc>
        <w:tc>
          <w:tcPr>
            <w:tcW w:w="395" w:type="pct"/>
          </w:tcPr>
          <w:p w14:paraId="04E9EBF8" w14:textId="77777777" w:rsidR="001B1197" w:rsidRPr="007E41C5" w:rsidRDefault="001B1197" w:rsidP="001B1197">
            <w:pPr>
              <w:spacing w:after="60"/>
              <w:rPr>
                <w:rFonts w:ascii="Times New Roman" w:eastAsia="Calibri" w:hAnsi="Times New Roman" w:cs="Times New Roman"/>
                <w:b/>
                <w:i/>
                <w:noProof/>
                <w:sz w:val="16"/>
                <w:szCs w:val="16"/>
                <w:highlight w:val="yellow"/>
              </w:rPr>
            </w:pPr>
            <w:r w:rsidRPr="007E41C5">
              <w:rPr>
                <w:rFonts w:ascii="Times New Roman" w:eastAsia="Calibri" w:hAnsi="Times New Roman" w:cs="Times New Roman"/>
                <w:b/>
                <w:i/>
                <w:noProof/>
                <w:sz w:val="16"/>
                <w:szCs w:val="16"/>
                <w:highlight w:val="yellow"/>
              </w:rPr>
              <w:t xml:space="preserve">National public </w:t>
            </w:r>
          </w:p>
          <w:p w14:paraId="1D0E2DBC" w14:textId="77777777" w:rsidR="001B1197" w:rsidRPr="007E41C5" w:rsidRDefault="001B1197" w:rsidP="001B1197">
            <w:pPr>
              <w:spacing w:after="60"/>
              <w:rPr>
                <w:rFonts w:ascii="Times New Roman" w:eastAsia="Calibri" w:hAnsi="Times New Roman" w:cs="Times New Roman"/>
                <w:b/>
                <w:i/>
                <w:noProof/>
                <w:sz w:val="16"/>
                <w:szCs w:val="16"/>
                <w:highlight w:val="yellow"/>
              </w:rPr>
            </w:pPr>
            <w:r w:rsidRPr="007E41C5">
              <w:rPr>
                <w:rFonts w:ascii="Times New Roman" w:eastAsia="Calibri" w:hAnsi="Times New Roman" w:cs="Times New Roman"/>
                <w:i/>
                <w:noProof/>
                <w:sz w:val="16"/>
                <w:szCs w:val="16"/>
                <w:highlight w:val="yellow"/>
              </w:rPr>
              <w:t>(c)</w:t>
            </w:r>
          </w:p>
        </w:tc>
        <w:tc>
          <w:tcPr>
            <w:tcW w:w="447" w:type="pct"/>
          </w:tcPr>
          <w:p w14:paraId="43FD5851" w14:textId="77777777" w:rsidR="001B1197" w:rsidRPr="007E41C5" w:rsidRDefault="001B1197" w:rsidP="001B1197">
            <w:pPr>
              <w:spacing w:after="60"/>
              <w:rPr>
                <w:rFonts w:ascii="Times New Roman" w:eastAsia="Calibri" w:hAnsi="Times New Roman" w:cs="Times New Roman"/>
                <w:b/>
                <w:i/>
                <w:noProof/>
                <w:sz w:val="16"/>
                <w:szCs w:val="16"/>
                <w:highlight w:val="yellow"/>
              </w:rPr>
            </w:pPr>
            <w:r w:rsidRPr="007E41C5">
              <w:rPr>
                <w:rFonts w:ascii="Times New Roman" w:eastAsia="Calibri" w:hAnsi="Times New Roman" w:cs="Times New Roman"/>
                <w:b/>
                <w:i/>
                <w:noProof/>
                <w:sz w:val="16"/>
                <w:szCs w:val="16"/>
                <w:highlight w:val="yellow"/>
              </w:rPr>
              <w:t xml:space="preserve">National private </w:t>
            </w:r>
          </w:p>
          <w:p w14:paraId="6931FF27" w14:textId="77777777" w:rsidR="001B1197" w:rsidRPr="007E41C5" w:rsidRDefault="001B1197" w:rsidP="001B1197">
            <w:pPr>
              <w:spacing w:after="60"/>
              <w:rPr>
                <w:rFonts w:ascii="Times New Roman" w:eastAsia="Calibri" w:hAnsi="Times New Roman" w:cs="Times New Roman"/>
                <w:b/>
                <w:i/>
                <w:noProof/>
                <w:sz w:val="16"/>
                <w:szCs w:val="16"/>
                <w:highlight w:val="yellow"/>
              </w:rPr>
            </w:pPr>
            <w:r w:rsidRPr="007E41C5">
              <w:rPr>
                <w:rFonts w:ascii="Times New Roman" w:eastAsia="Calibri" w:hAnsi="Times New Roman" w:cs="Times New Roman"/>
                <w:i/>
                <w:noProof/>
                <w:sz w:val="16"/>
                <w:szCs w:val="16"/>
                <w:highlight w:val="yellow"/>
              </w:rPr>
              <w:t>(d)</w:t>
            </w:r>
          </w:p>
        </w:tc>
        <w:tc>
          <w:tcPr>
            <w:tcW w:w="445" w:type="pct"/>
            <w:vMerge/>
          </w:tcPr>
          <w:p w14:paraId="3E16724E" w14:textId="77777777" w:rsidR="001B1197" w:rsidRPr="007E41C5" w:rsidRDefault="001B1197" w:rsidP="001B1197">
            <w:pPr>
              <w:spacing w:after="60"/>
              <w:rPr>
                <w:rFonts w:ascii="Times New Roman" w:eastAsia="Calibri" w:hAnsi="Times New Roman" w:cs="Times New Roman"/>
                <w:b/>
                <w:i/>
                <w:noProof/>
                <w:sz w:val="16"/>
                <w:szCs w:val="16"/>
                <w:highlight w:val="yellow"/>
              </w:rPr>
            </w:pPr>
          </w:p>
        </w:tc>
        <w:tc>
          <w:tcPr>
            <w:tcW w:w="198" w:type="pct"/>
            <w:vMerge/>
          </w:tcPr>
          <w:p w14:paraId="7E2BECD4" w14:textId="77777777" w:rsidR="001B1197" w:rsidRPr="007E41C5" w:rsidRDefault="001B1197" w:rsidP="001B1197">
            <w:pPr>
              <w:spacing w:after="60"/>
              <w:rPr>
                <w:rFonts w:ascii="Times New Roman" w:eastAsia="Calibri" w:hAnsi="Times New Roman" w:cs="Times New Roman"/>
                <w:b/>
                <w:i/>
                <w:noProof/>
                <w:sz w:val="16"/>
                <w:szCs w:val="16"/>
                <w:highlight w:val="yellow"/>
              </w:rPr>
            </w:pPr>
          </w:p>
        </w:tc>
        <w:tc>
          <w:tcPr>
            <w:tcW w:w="347" w:type="pct"/>
            <w:vMerge/>
          </w:tcPr>
          <w:p w14:paraId="762980B1" w14:textId="77777777" w:rsidR="001B1197" w:rsidRPr="007E41C5" w:rsidRDefault="001B1197" w:rsidP="001B1197">
            <w:pPr>
              <w:spacing w:after="60"/>
              <w:rPr>
                <w:rFonts w:ascii="Times New Roman" w:eastAsia="Calibri" w:hAnsi="Times New Roman" w:cs="Times New Roman"/>
                <w:b/>
                <w:i/>
                <w:noProof/>
                <w:sz w:val="16"/>
                <w:szCs w:val="16"/>
                <w:highlight w:val="yellow"/>
              </w:rPr>
            </w:pPr>
          </w:p>
        </w:tc>
      </w:tr>
      <w:tr w:rsidR="00874D3A" w:rsidRPr="007E41C5" w14:paraId="5D919950" w14:textId="77777777" w:rsidTr="0085533B">
        <w:trPr>
          <w:jc w:val="center"/>
        </w:trPr>
        <w:tc>
          <w:tcPr>
            <w:tcW w:w="333" w:type="pct"/>
            <w:vMerge w:val="restart"/>
          </w:tcPr>
          <w:p w14:paraId="3DAC74AF" w14:textId="77777777" w:rsidR="001635EC" w:rsidRPr="007E41C5" w:rsidRDefault="001635EC" w:rsidP="001635EC">
            <w:pPr>
              <w:spacing w:after="60"/>
              <w:rPr>
                <w:rFonts w:ascii="Times New Roman" w:eastAsia="Calibri" w:hAnsi="Times New Roman" w:cs="Times New Roman"/>
                <w:i/>
                <w:noProof/>
                <w:sz w:val="16"/>
                <w:szCs w:val="16"/>
                <w:highlight w:val="yellow"/>
              </w:rPr>
            </w:pPr>
          </w:p>
        </w:tc>
        <w:tc>
          <w:tcPr>
            <w:tcW w:w="353" w:type="pct"/>
            <w:vMerge w:val="restart"/>
          </w:tcPr>
          <w:p w14:paraId="1C053026" w14:textId="77777777" w:rsidR="001635EC" w:rsidRPr="007E41C5" w:rsidRDefault="001635EC" w:rsidP="001635EC">
            <w:pPr>
              <w:spacing w:after="60"/>
              <w:rPr>
                <w:rFonts w:ascii="Times New Roman" w:eastAsia="Calibri" w:hAnsi="Times New Roman" w:cs="Times New Roman"/>
                <w:b/>
                <w:i/>
                <w:noProof/>
                <w:sz w:val="16"/>
                <w:szCs w:val="16"/>
                <w:highlight w:val="yellow"/>
              </w:rPr>
            </w:pPr>
            <w:r w:rsidRPr="007E41C5">
              <w:rPr>
                <w:rFonts w:ascii="Times New Roman" w:eastAsia="Calibri" w:hAnsi="Times New Roman" w:cs="Times New Roman"/>
                <w:b/>
                <w:i/>
                <w:noProof/>
                <w:sz w:val="16"/>
                <w:szCs w:val="16"/>
                <w:highlight w:val="yellow"/>
              </w:rPr>
              <w:t>Priority 1</w:t>
            </w:r>
          </w:p>
        </w:tc>
        <w:tc>
          <w:tcPr>
            <w:tcW w:w="402" w:type="pct"/>
          </w:tcPr>
          <w:p w14:paraId="0E14DBBA" w14:textId="77777777" w:rsidR="001635EC" w:rsidRPr="007E41C5" w:rsidRDefault="001635EC" w:rsidP="001635EC">
            <w:pPr>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ERDF</w:t>
            </w:r>
            <w:r w:rsidRPr="007E41C5">
              <w:rPr>
                <w:rFonts w:ascii="Times New Roman" w:eastAsia="Calibri" w:hAnsi="Times New Roman" w:cs="Times New Roman"/>
                <w:b/>
                <w:bCs/>
                <w:i/>
                <w:strike/>
                <w:noProof/>
                <w:sz w:val="16"/>
                <w:szCs w:val="20"/>
                <w:highlight w:val="yellow"/>
              </w:rPr>
              <w:t xml:space="preserve"> </w:t>
            </w:r>
          </w:p>
        </w:tc>
        <w:tc>
          <w:tcPr>
            <w:tcW w:w="396" w:type="pct"/>
            <w:tcBorders>
              <w:top w:val="single" w:sz="4" w:space="0" w:color="auto"/>
              <w:left w:val="single" w:sz="4" w:space="0" w:color="auto"/>
              <w:bottom w:val="single" w:sz="4" w:space="0" w:color="auto"/>
              <w:right w:val="single" w:sz="4" w:space="0" w:color="auto"/>
            </w:tcBorders>
            <w:shd w:val="clear" w:color="auto" w:fill="auto"/>
            <w:vAlign w:val="bottom"/>
          </w:tcPr>
          <w:p w14:paraId="513E31B5" w14:textId="77777777" w:rsidR="001635EC" w:rsidRPr="007E41C5" w:rsidRDefault="001635EC" w:rsidP="001635EC">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 xml:space="preserve">Total eligible cost </w:t>
            </w:r>
          </w:p>
        </w:tc>
        <w:tc>
          <w:tcPr>
            <w:tcW w:w="446" w:type="pct"/>
            <w:tcBorders>
              <w:top w:val="single" w:sz="4" w:space="0" w:color="auto"/>
              <w:left w:val="nil"/>
              <w:bottom w:val="single" w:sz="4" w:space="0" w:color="auto"/>
              <w:right w:val="single" w:sz="4" w:space="0" w:color="auto"/>
            </w:tcBorders>
            <w:shd w:val="clear" w:color="auto" w:fill="auto"/>
            <w:vAlign w:val="bottom"/>
          </w:tcPr>
          <w:p w14:paraId="5A05BD00" w14:textId="77777777" w:rsidR="001635EC" w:rsidRPr="007E41C5" w:rsidRDefault="001635EC" w:rsidP="001635EC">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2 152 808,16</w:t>
            </w:r>
          </w:p>
        </w:tc>
        <w:tc>
          <w:tcPr>
            <w:tcW w:w="445" w:type="pct"/>
            <w:tcBorders>
              <w:top w:val="single" w:sz="4" w:space="0" w:color="auto"/>
              <w:left w:val="nil"/>
              <w:bottom w:val="single" w:sz="4" w:space="0" w:color="auto"/>
              <w:right w:val="single" w:sz="4" w:space="0" w:color="auto"/>
            </w:tcBorders>
            <w:shd w:val="clear" w:color="auto" w:fill="auto"/>
            <w:vAlign w:val="bottom"/>
          </w:tcPr>
          <w:p w14:paraId="29309772" w14:textId="77777777" w:rsidR="001635EC" w:rsidRPr="007E41C5" w:rsidRDefault="001635EC" w:rsidP="001635EC">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1 957 098,33</w:t>
            </w:r>
          </w:p>
        </w:tc>
        <w:tc>
          <w:tcPr>
            <w:tcW w:w="396" w:type="pct"/>
            <w:tcBorders>
              <w:top w:val="single" w:sz="4" w:space="0" w:color="auto"/>
              <w:left w:val="nil"/>
              <w:bottom w:val="single" w:sz="4" w:space="0" w:color="auto"/>
              <w:right w:val="single" w:sz="4" w:space="0" w:color="auto"/>
            </w:tcBorders>
            <w:shd w:val="clear" w:color="auto" w:fill="auto"/>
            <w:vAlign w:val="bottom"/>
          </w:tcPr>
          <w:p w14:paraId="482EC036" w14:textId="77777777" w:rsidR="001635EC" w:rsidRPr="007E41C5" w:rsidRDefault="001635EC" w:rsidP="001635EC">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195 709,83</w:t>
            </w:r>
          </w:p>
        </w:tc>
        <w:tc>
          <w:tcPr>
            <w:tcW w:w="397" w:type="pct"/>
            <w:tcBorders>
              <w:top w:val="single" w:sz="4" w:space="0" w:color="auto"/>
              <w:left w:val="nil"/>
              <w:bottom w:val="single" w:sz="4" w:space="0" w:color="auto"/>
              <w:right w:val="single" w:sz="4" w:space="0" w:color="auto"/>
            </w:tcBorders>
            <w:shd w:val="clear" w:color="auto" w:fill="auto"/>
            <w:vAlign w:val="bottom"/>
          </w:tcPr>
          <w:p w14:paraId="4490C29D" w14:textId="77777777" w:rsidR="001635EC" w:rsidRPr="007E41C5" w:rsidRDefault="001635EC" w:rsidP="001635EC">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379 907,33</w:t>
            </w:r>
          </w:p>
        </w:tc>
        <w:tc>
          <w:tcPr>
            <w:tcW w:w="395" w:type="pct"/>
            <w:tcBorders>
              <w:top w:val="single" w:sz="4" w:space="0" w:color="auto"/>
              <w:left w:val="nil"/>
              <w:bottom w:val="single" w:sz="4" w:space="0" w:color="auto"/>
              <w:right w:val="single" w:sz="4" w:space="0" w:color="auto"/>
            </w:tcBorders>
            <w:shd w:val="clear" w:color="auto" w:fill="auto"/>
            <w:vAlign w:val="bottom"/>
          </w:tcPr>
          <w:p w14:paraId="0086E990" w14:textId="77777777" w:rsidR="001635EC" w:rsidRPr="007E41C5" w:rsidRDefault="001635EC" w:rsidP="001635EC">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189 953,67</w:t>
            </w:r>
          </w:p>
        </w:tc>
        <w:tc>
          <w:tcPr>
            <w:tcW w:w="447" w:type="pct"/>
            <w:tcBorders>
              <w:top w:val="single" w:sz="4" w:space="0" w:color="auto"/>
              <w:left w:val="nil"/>
              <w:bottom w:val="single" w:sz="4" w:space="0" w:color="auto"/>
              <w:right w:val="single" w:sz="4" w:space="0" w:color="auto"/>
            </w:tcBorders>
            <w:shd w:val="clear" w:color="auto" w:fill="auto"/>
            <w:vAlign w:val="bottom"/>
          </w:tcPr>
          <w:p w14:paraId="52BAFBB3" w14:textId="77777777" w:rsidR="001635EC" w:rsidRPr="007E41C5" w:rsidRDefault="001635EC" w:rsidP="001635EC">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189 953,66</w:t>
            </w:r>
          </w:p>
        </w:tc>
        <w:tc>
          <w:tcPr>
            <w:tcW w:w="445" w:type="pct"/>
            <w:tcBorders>
              <w:top w:val="single" w:sz="4" w:space="0" w:color="auto"/>
              <w:left w:val="nil"/>
              <w:bottom w:val="single" w:sz="4" w:space="0" w:color="auto"/>
              <w:right w:val="single" w:sz="4" w:space="0" w:color="auto"/>
            </w:tcBorders>
            <w:shd w:val="clear" w:color="auto" w:fill="auto"/>
            <w:vAlign w:val="bottom"/>
          </w:tcPr>
          <w:p w14:paraId="6A56D951" w14:textId="77777777" w:rsidR="001635EC" w:rsidRPr="007E41C5" w:rsidRDefault="001635EC" w:rsidP="001635EC">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2 532 715,49</w:t>
            </w:r>
          </w:p>
        </w:tc>
        <w:tc>
          <w:tcPr>
            <w:tcW w:w="198" w:type="pct"/>
            <w:tcBorders>
              <w:top w:val="single" w:sz="4" w:space="0" w:color="auto"/>
              <w:left w:val="nil"/>
              <w:bottom w:val="single" w:sz="4" w:space="0" w:color="auto"/>
              <w:right w:val="single" w:sz="4" w:space="0" w:color="auto"/>
            </w:tcBorders>
            <w:shd w:val="clear" w:color="auto" w:fill="auto"/>
            <w:vAlign w:val="bottom"/>
          </w:tcPr>
          <w:p w14:paraId="20DBF52F" w14:textId="77777777" w:rsidR="001635EC" w:rsidRPr="007E41C5" w:rsidRDefault="001635EC" w:rsidP="001635EC">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0,85</w:t>
            </w:r>
          </w:p>
        </w:tc>
        <w:tc>
          <w:tcPr>
            <w:tcW w:w="347" w:type="pct"/>
          </w:tcPr>
          <w:p w14:paraId="3159D01C" w14:textId="77777777" w:rsidR="001635EC" w:rsidRPr="007E41C5" w:rsidRDefault="001635EC" w:rsidP="001635EC">
            <w:pPr>
              <w:spacing w:after="60"/>
              <w:rPr>
                <w:rFonts w:ascii="Times New Roman" w:eastAsia="Calibri" w:hAnsi="Times New Roman" w:cs="Times New Roman"/>
                <w:i/>
                <w:noProof/>
                <w:sz w:val="16"/>
                <w:szCs w:val="16"/>
                <w:highlight w:val="yellow"/>
              </w:rPr>
            </w:pPr>
          </w:p>
        </w:tc>
      </w:tr>
      <w:tr w:rsidR="00874D3A" w:rsidRPr="007E41C5" w14:paraId="658D3DB7" w14:textId="77777777" w:rsidTr="0085533B">
        <w:trPr>
          <w:jc w:val="center"/>
        </w:trPr>
        <w:tc>
          <w:tcPr>
            <w:tcW w:w="333" w:type="pct"/>
            <w:vMerge/>
          </w:tcPr>
          <w:p w14:paraId="35B3756B" w14:textId="77777777" w:rsidR="001635EC" w:rsidRPr="007E41C5" w:rsidRDefault="001635EC" w:rsidP="001635EC">
            <w:pPr>
              <w:spacing w:after="60"/>
              <w:rPr>
                <w:rFonts w:ascii="Times New Roman" w:eastAsia="Calibri" w:hAnsi="Times New Roman" w:cs="Times New Roman"/>
                <w:i/>
                <w:noProof/>
                <w:sz w:val="16"/>
                <w:szCs w:val="16"/>
                <w:highlight w:val="yellow"/>
              </w:rPr>
            </w:pPr>
          </w:p>
        </w:tc>
        <w:tc>
          <w:tcPr>
            <w:tcW w:w="353" w:type="pct"/>
            <w:vMerge/>
          </w:tcPr>
          <w:p w14:paraId="40AC5E2A" w14:textId="77777777" w:rsidR="001635EC" w:rsidRPr="007E41C5" w:rsidRDefault="001635EC" w:rsidP="001635EC">
            <w:pPr>
              <w:spacing w:after="60"/>
              <w:rPr>
                <w:rFonts w:ascii="Times New Roman" w:eastAsia="Calibri" w:hAnsi="Times New Roman" w:cs="Times New Roman"/>
                <w:i/>
                <w:noProof/>
                <w:sz w:val="16"/>
                <w:szCs w:val="16"/>
                <w:highlight w:val="yellow"/>
              </w:rPr>
            </w:pPr>
          </w:p>
        </w:tc>
        <w:tc>
          <w:tcPr>
            <w:tcW w:w="402" w:type="pct"/>
          </w:tcPr>
          <w:p w14:paraId="2FA5585C" w14:textId="77777777" w:rsidR="001635EC" w:rsidRPr="007E41C5" w:rsidRDefault="001635EC" w:rsidP="001635EC">
            <w:pPr>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IPA</w:t>
            </w:r>
            <w:r w:rsidRPr="007E41C5">
              <w:rPr>
                <w:rFonts w:ascii="Calibri" w:eastAsia="Calibri" w:hAnsi="Calibri" w:cs="Arial"/>
                <w:noProof/>
                <w:sz w:val="16"/>
                <w:highlight w:val="yellow"/>
              </w:rPr>
              <w:t> </w:t>
            </w:r>
            <w:r w:rsidRPr="007E41C5">
              <w:rPr>
                <w:rFonts w:ascii="Times New Roman" w:eastAsia="Calibri" w:hAnsi="Times New Roman" w:cs="Times New Roman"/>
                <w:i/>
                <w:noProof/>
                <w:sz w:val="16"/>
                <w:szCs w:val="20"/>
                <w:highlight w:val="yellow"/>
              </w:rPr>
              <w:t>III CBC</w:t>
            </w:r>
            <w:r w:rsidRPr="007E41C5">
              <w:rPr>
                <w:rFonts w:ascii="Times New Roman" w:eastAsia="Calibri" w:hAnsi="Times New Roman" w:cs="Times New Roman"/>
                <w:i/>
                <w:noProof/>
                <w:sz w:val="16"/>
                <w:szCs w:val="20"/>
                <w:highlight w:val="yellow"/>
                <w:vertAlign w:val="superscript"/>
              </w:rPr>
              <w:footnoteReference w:id="16"/>
            </w:r>
          </w:p>
        </w:tc>
        <w:tc>
          <w:tcPr>
            <w:tcW w:w="396" w:type="pct"/>
            <w:tcBorders>
              <w:top w:val="nil"/>
              <w:left w:val="single" w:sz="4" w:space="0" w:color="auto"/>
              <w:bottom w:val="single" w:sz="4" w:space="0" w:color="auto"/>
              <w:right w:val="single" w:sz="4" w:space="0" w:color="auto"/>
            </w:tcBorders>
            <w:shd w:val="clear" w:color="auto" w:fill="auto"/>
            <w:vAlign w:val="bottom"/>
          </w:tcPr>
          <w:p w14:paraId="753B98DC" w14:textId="77777777" w:rsidR="001635EC" w:rsidRPr="007E41C5" w:rsidRDefault="001635EC" w:rsidP="001635EC">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 xml:space="preserve">Total eligible cost </w:t>
            </w:r>
          </w:p>
        </w:tc>
        <w:tc>
          <w:tcPr>
            <w:tcW w:w="446" w:type="pct"/>
            <w:tcBorders>
              <w:top w:val="nil"/>
              <w:left w:val="nil"/>
              <w:bottom w:val="single" w:sz="4" w:space="0" w:color="auto"/>
              <w:right w:val="single" w:sz="4" w:space="0" w:color="auto"/>
            </w:tcBorders>
            <w:shd w:val="clear" w:color="auto" w:fill="auto"/>
            <w:vAlign w:val="bottom"/>
          </w:tcPr>
          <w:p w14:paraId="0A642F27" w14:textId="77777777" w:rsidR="001635EC" w:rsidRPr="007E41C5" w:rsidRDefault="001635EC" w:rsidP="001635EC">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2 305 657,47</w:t>
            </w:r>
          </w:p>
        </w:tc>
        <w:tc>
          <w:tcPr>
            <w:tcW w:w="445" w:type="pct"/>
            <w:tcBorders>
              <w:top w:val="nil"/>
              <w:left w:val="nil"/>
              <w:bottom w:val="single" w:sz="4" w:space="0" w:color="auto"/>
              <w:right w:val="single" w:sz="4" w:space="0" w:color="auto"/>
            </w:tcBorders>
            <w:shd w:val="clear" w:color="auto" w:fill="auto"/>
            <w:vAlign w:val="bottom"/>
          </w:tcPr>
          <w:p w14:paraId="4071AF21" w14:textId="77777777" w:rsidR="001635EC" w:rsidRPr="007E41C5" w:rsidRDefault="001635EC" w:rsidP="001635EC">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2 096 052,25</w:t>
            </w:r>
          </w:p>
        </w:tc>
        <w:tc>
          <w:tcPr>
            <w:tcW w:w="396" w:type="pct"/>
            <w:tcBorders>
              <w:top w:val="nil"/>
              <w:left w:val="nil"/>
              <w:bottom w:val="single" w:sz="4" w:space="0" w:color="auto"/>
              <w:right w:val="single" w:sz="4" w:space="0" w:color="auto"/>
            </w:tcBorders>
            <w:shd w:val="clear" w:color="auto" w:fill="auto"/>
            <w:vAlign w:val="bottom"/>
          </w:tcPr>
          <w:p w14:paraId="64585529" w14:textId="77777777" w:rsidR="001635EC" w:rsidRPr="007E41C5" w:rsidRDefault="001635EC" w:rsidP="001635EC">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209 605,22</w:t>
            </w:r>
          </w:p>
        </w:tc>
        <w:tc>
          <w:tcPr>
            <w:tcW w:w="397" w:type="pct"/>
            <w:tcBorders>
              <w:top w:val="nil"/>
              <w:left w:val="nil"/>
              <w:bottom w:val="single" w:sz="4" w:space="0" w:color="auto"/>
              <w:right w:val="single" w:sz="4" w:space="0" w:color="auto"/>
            </w:tcBorders>
            <w:shd w:val="clear" w:color="auto" w:fill="auto"/>
            <w:vAlign w:val="bottom"/>
          </w:tcPr>
          <w:p w14:paraId="2BC7ED5F" w14:textId="77777777" w:rsidR="001635EC" w:rsidRPr="007E41C5" w:rsidRDefault="001635EC" w:rsidP="001635EC">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406 880,74</w:t>
            </w:r>
          </w:p>
        </w:tc>
        <w:tc>
          <w:tcPr>
            <w:tcW w:w="395" w:type="pct"/>
            <w:tcBorders>
              <w:top w:val="nil"/>
              <w:left w:val="nil"/>
              <w:bottom w:val="single" w:sz="4" w:space="0" w:color="auto"/>
              <w:right w:val="single" w:sz="4" w:space="0" w:color="auto"/>
            </w:tcBorders>
            <w:shd w:val="clear" w:color="auto" w:fill="auto"/>
            <w:vAlign w:val="bottom"/>
          </w:tcPr>
          <w:p w14:paraId="2FEA296F" w14:textId="77777777" w:rsidR="001635EC" w:rsidRPr="007E41C5" w:rsidRDefault="001635EC" w:rsidP="001635EC">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203 440,37</w:t>
            </w:r>
          </w:p>
        </w:tc>
        <w:tc>
          <w:tcPr>
            <w:tcW w:w="447" w:type="pct"/>
            <w:tcBorders>
              <w:top w:val="nil"/>
              <w:left w:val="nil"/>
              <w:bottom w:val="single" w:sz="4" w:space="0" w:color="auto"/>
              <w:right w:val="single" w:sz="4" w:space="0" w:color="auto"/>
            </w:tcBorders>
            <w:shd w:val="clear" w:color="auto" w:fill="auto"/>
            <w:vAlign w:val="bottom"/>
          </w:tcPr>
          <w:p w14:paraId="45444B95" w14:textId="77777777" w:rsidR="001635EC" w:rsidRPr="007E41C5" w:rsidRDefault="001635EC" w:rsidP="001635EC">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203 440,37</w:t>
            </w:r>
          </w:p>
        </w:tc>
        <w:tc>
          <w:tcPr>
            <w:tcW w:w="445" w:type="pct"/>
            <w:tcBorders>
              <w:top w:val="nil"/>
              <w:left w:val="nil"/>
              <w:bottom w:val="single" w:sz="4" w:space="0" w:color="auto"/>
              <w:right w:val="single" w:sz="4" w:space="0" w:color="auto"/>
            </w:tcBorders>
            <w:shd w:val="clear" w:color="auto" w:fill="auto"/>
            <w:vAlign w:val="bottom"/>
          </w:tcPr>
          <w:p w14:paraId="68147F2C" w14:textId="77777777" w:rsidR="001635EC" w:rsidRPr="007E41C5" w:rsidRDefault="001635EC" w:rsidP="001635EC">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2 712 538,21</w:t>
            </w:r>
          </w:p>
        </w:tc>
        <w:tc>
          <w:tcPr>
            <w:tcW w:w="198" w:type="pct"/>
            <w:tcBorders>
              <w:top w:val="nil"/>
              <w:left w:val="nil"/>
              <w:bottom w:val="single" w:sz="4" w:space="0" w:color="auto"/>
              <w:right w:val="single" w:sz="4" w:space="0" w:color="auto"/>
            </w:tcBorders>
            <w:shd w:val="clear" w:color="auto" w:fill="auto"/>
            <w:vAlign w:val="bottom"/>
          </w:tcPr>
          <w:p w14:paraId="755FB856" w14:textId="77777777" w:rsidR="001635EC" w:rsidRPr="007E41C5" w:rsidRDefault="001635EC" w:rsidP="001635EC">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0,85</w:t>
            </w:r>
          </w:p>
        </w:tc>
        <w:tc>
          <w:tcPr>
            <w:tcW w:w="347" w:type="pct"/>
          </w:tcPr>
          <w:p w14:paraId="742FB705" w14:textId="77777777" w:rsidR="001635EC" w:rsidRPr="007E41C5" w:rsidRDefault="001635EC" w:rsidP="001635EC">
            <w:pPr>
              <w:spacing w:after="60"/>
              <w:rPr>
                <w:rFonts w:ascii="Times New Roman" w:eastAsia="Calibri" w:hAnsi="Times New Roman" w:cs="Times New Roman"/>
                <w:i/>
                <w:noProof/>
                <w:sz w:val="16"/>
                <w:szCs w:val="16"/>
                <w:highlight w:val="yellow"/>
              </w:rPr>
            </w:pPr>
          </w:p>
        </w:tc>
      </w:tr>
      <w:tr w:rsidR="00874D3A" w:rsidRPr="007E41C5" w14:paraId="3F92D86A" w14:textId="77777777" w:rsidTr="0085533B">
        <w:trPr>
          <w:jc w:val="center"/>
        </w:trPr>
        <w:tc>
          <w:tcPr>
            <w:tcW w:w="333" w:type="pct"/>
            <w:vMerge/>
          </w:tcPr>
          <w:p w14:paraId="76857BE8"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353" w:type="pct"/>
            <w:vMerge/>
          </w:tcPr>
          <w:p w14:paraId="79EF58BB"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402" w:type="pct"/>
          </w:tcPr>
          <w:p w14:paraId="6E2BFC09" w14:textId="77777777" w:rsidR="001B1197" w:rsidRPr="007E41C5" w:rsidRDefault="001B1197" w:rsidP="001B1197">
            <w:pPr>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Neighbourhood CBC</w:t>
            </w:r>
            <w:r w:rsidRPr="007E41C5">
              <w:rPr>
                <w:rFonts w:ascii="Times New Roman" w:eastAsia="Calibri" w:hAnsi="Times New Roman" w:cs="Times New Roman"/>
                <w:i/>
                <w:noProof/>
                <w:sz w:val="16"/>
                <w:szCs w:val="20"/>
                <w:highlight w:val="yellow"/>
                <w:vertAlign w:val="superscript"/>
              </w:rPr>
              <w:footnoteReference w:id="17"/>
            </w:r>
          </w:p>
        </w:tc>
        <w:tc>
          <w:tcPr>
            <w:tcW w:w="396" w:type="pct"/>
          </w:tcPr>
          <w:p w14:paraId="2870DA16"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446" w:type="pct"/>
          </w:tcPr>
          <w:p w14:paraId="0C6B385D"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445" w:type="pct"/>
          </w:tcPr>
          <w:p w14:paraId="085E0E5F"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396" w:type="pct"/>
          </w:tcPr>
          <w:p w14:paraId="1B5A0A09"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397" w:type="pct"/>
          </w:tcPr>
          <w:p w14:paraId="683FC599"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395" w:type="pct"/>
          </w:tcPr>
          <w:p w14:paraId="718C5F9D"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447" w:type="pct"/>
          </w:tcPr>
          <w:p w14:paraId="313CEC7E"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445" w:type="pct"/>
          </w:tcPr>
          <w:p w14:paraId="09496B54"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198" w:type="pct"/>
          </w:tcPr>
          <w:p w14:paraId="60A728EA"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347" w:type="pct"/>
          </w:tcPr>
          <w:p w14:paraId="07D98A14"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r>
      <w:tr w:rsidR="00874D3A" w:rsidRPr="007E41C5" w14:paraId="5DD2D76C" w14:textId="77777777" w:rsidTr="0085533B">
        <w:trPr>
          <w:jc w:val="center"/>
        </w:trPr>
        <w:tc>
          <w:tcPr>
            <w:tcW w:w="333" w:type="pct"/>
            <w:vMerge/>
          </w:tcPr>
          <w:p w14:paraId="7F85285B"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353" w:type="pct"/>
            <w:vMerge/>
          </w:tcPr>
          <w:p w14:paraId="326A20B2"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402" w:type="pct"/>
          </w:tcPr>
          <w:p w14:paraId="2C752D66" w14:textId="77777777" w:rsidR="001B1197" w:rsidRPr="007E41C5" w:rsidRDefault="001B1197" w:rsidP="001B1197">
            <w:pPr>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IPA III</w:t>
            </w:r>
            <w:r w:rsidRPr="007E41C5">
              <w:rPr>
                <w:rFonts w:ascii="Times New Roman" w:eastAsia="Calibri" w:hAnsi="Times New Roman" w:cs="Times New Roman"/>
                <w:i/>
                <w:noProof/>
                <w:sz w:val="16"/>
                <w:szCs w:val="20"/>
                <w:highlight w:val="yellow"/>
                <w:vertAlign w:val="superscript"/>
              </w:rPr>
              <w:footnoteReference w:id="18"/>
            </w:r>
          </w:p>
        </w:tc>
        <w:tc>
          <w:tcPr>
            <w:tcW w:w="396" w:type="pct"/>
          </w:tcPr>
          <w:p w14:paraId="265B68A4"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446" w:type="pct"/>
          </w:tcPr>
          <w:p w14:paraId="1BCA131A"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445" w:type="pct"/>
          </w:tcPr>
          <w:p w14:paraId="324B96C6"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396" w:type="pct"/>
          </w:tcPr>
          <w:p w14:paraId="18E40AF7"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397" w:type="pct"/>
          </w:tcPr>
          <w:p w14:paraId="7F8561D2"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395" w:type="pct"/>
          </w:tcPr>
          <w:p w14:paraId="3B06A90E"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447" w:type="pct"/>
          </w:tcPr>
          <w:p w14:paraId="099049FE"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445" w:type="pct"/>
          </w:tcPr>
          <w:p w14:paraId="7F7348D2"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198" w:type="pct"/>
          </w:tcPr>
          <w:p w14:paraId="04BD9F4C"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347" w:type="pct"/>
          </w:tcPr>
          <w:p w14:paraId="7994D596"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r>
      <w:tr w:rsidR="00874D3A" w:rsidRPr="007E41C5" w14:paraId="5A54E3AE" w14:textId="77777777" w:rsidTr="0085533B">
        <w:trPr>
          <w:jc w:val="center"/>
        </w:trPr>
        <w:tc>
          <w:tcPr>
            <w:tcW w:w="333" w:type="pct"/>
            <w:vMerge/>
          </w:tcPr>
          <w:p w14:paraId="7C9F34DB"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353" w:type="pct"/>
            <w:vMerge/>
          </w:tcPr>
          <w:p w14:paraId="02BBA19C"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402" w:type="pct"/>
          </w:tcPr>
          <w:p w14:paraId="73338E73" w14:textId="77777777" w:rsidR="001B1197" w:rsidRPr="007E41C5" w:rsidRDefault="001B1197" w:rsidP="001B1197">
            <w:pPr>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NDICI</w:t>
            </w:r>
            <w:r w:rsidRPr="007E41C5">
              <w:rPr>
                <w:rFonts w:ascii="Times New Roman" w:eastAsia="Calibri" w:hAnsi="Times New Roman" w:cs="Times New Roman"/>
                <w:i/>
                <w:noProof/>
                <w:sz w:val="16"/>
                <w:szCs w:val="20"/>
                <w:highlight w:val="yellow"/>
                <w:vertAlign w:val="superscript"/>
              </w:rPr>
              <w:footnoteReference w:id="19"/>
            </w:r>
          </w:p>
        </w:tc>
        <w:tc>
          <w:tcPr>
            <w:tcW w:w="396" w:type="pct"/>
          </w:tcPr>
          <w:p w14:paraId="1BECB523"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446" w:type="pct"/>
          </w:tcPr>
          <w:p w14:paraId="62EDC4B9"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445" w:type="pct"/>
          </w:tcPr>
          <w:p w14:paraId="56A0D236"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396" w:type="pct"/>
          </w:tcPr>
          <w:p w14:paraId="72AD35C2"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397" w:type="pct"/>
          </w:tcPr>
          <w:p w14:paraId="79F45300"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395" w:type="pct"/>
          </w:tcPr>
          <w:p w14:paraId="2D212D33"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447" w:type="pct"/>
          </w:tcPr>
          <w:p w14:paraId="6CCFBD4A"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445" w:type="pct"/>
          </w:tcPr>
          <w:p w14:paraId="789DAFD3"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198" w:type="pct"/>
          </w:tcPr>
          <w:p w14:paraId="546F19E0"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c>
          <w:tcPr>
            <w:tcW w:w="347" w:type="pct"/>
          </w:tcPr>
          <w:p w14:paraId="454099B1" w14:textId="77777777" w:rsidR="001B1197" w:rsidRPr="007E41C5" w:rsidRDefault="001B1197" w:rsidP="001B1197">
            <w:pPr>
              <w:spacing w:after="60"/>
              <w:rPr>
                <w:rFonts w:ascii="Times New Roman" w:eastAsia="Calibri" w:hAnsi="Times New Roman" w:cs="Times New Roman"/>
                <w:i/>
                <w:noProof/>
                <w:sz w:val="16"/>
                <w:szCs w:val="16"/>
                <w:highlight w:val="yellow"/>
              </w:rPr>
            </w:pPr>
          </w:p>
        </w:tc>
      </w:tr>
      <w:tr w:rsidR="00874D3A" w:rsidRPr="007E41C5" w14:paraId="58CC5F8C" w14:textId="77777777" w:rsidTr="0085533B">
        <w:trPr>
          <w:jc w:val="center"/>
        </w:trPr>
        <w:tc>
          <w:tcPr>
            <w:tcW w:w="333" w:type="pct"/>
            <w:vMerge/>
          </w:tcPr>
          <w:p w14:paraId="05AF75E3"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353" w:type="pct"/>
            <w:vMerge/>
          </w:tcPr>
          <w:p w14:paraId="374A399E"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402" w:type="pct"/>
          </w:tcPr>
          <w:p w14:paraId="3591260F" w14:textId="77777777" w:rsidR="0096715F" w:rsidRPr="007E41C5" w:rsidRDefault="0096715F" w:rsidP="0096715F">
            <w:pPr>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OCTP</w:t>
            </w:r>
            <w:r w:rsidRPr="007E41C5">
              <w:rPr>
                <w:rFonts w:ascii="Times New Roman" w:eastAsia="Calibri" w:hAnsi="Times New Roman" w:cs="Times New Roman"/>
                <w:i/>
                <w:noProof/>
                <w:sz w:val="16"/>
                <w:szCs w:val="20"/>
                <w:highlight w:val="yellow"/>
                <w:vertAlign w:val="superscript"/>
              </w:rPr>
              <w:footnoteReference w:id="20"/>
            </w:r>
          </w:p>
        </w:tc>
        <w:tc>
          <w:tcPr>
            <w:tcW w:w="396" w:type="pct"/>
          </w:tcPr>
          <w:p w14:paraId="1C6DE81D"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446" w:type="pct"/>
          </w:tcPr>
          <w:p w14:paraId="3F6E7222"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445" w:type="pct"/>
          </w:tcPr>
          <w:p w14:paraId="0B1D54C7"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396" w:type="pct"/>
          </w:tcPr>
          <w:p w14:paraId="7F4A0246"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397" w:type="pct"/>
          </w:tcPr>
          <w:p w14:paraId="5546292B"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395" w:type="pct"/>
          </w:tcPr>
          <w:p w14:paraId="7FA64CA1"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447" w:type="pct"/>
          </w:tcPr>
          <w:p w14:paraId="29D6BFEA"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445" w:type="pct"/>
          </w:tcPr>
          <w:p w14:paraId="2E8D3E90"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198" w:type="pct"/>
          </w:tcPr>
          <w:p w14:paraId="7BA5E9E2"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347" w:type="pct"/>
          </w:tcPr>
          <w:p w14:paraId="270A7F8F"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r>
      <w:tr w:rsidR="00874D3A" w:rsidRPr="007E41C5" w14:paraId="3D32C759" w14:textId="77777777" w:rsidTr="0085533B">
        <w:trPr>
          <w:trHeight w:val="163"/>
          <w:jc w:val="center"/>
        </w:trPr>
        <w:tc>
          <w:tcPr>
            <w:tcW w:w="333" w:type="pct"/>
            <w:vMerge/>
          </w:tcPr>
          <w:p w14:paraId="337A6C74"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353" w:type="pct"/>
            <w:vMerge/>
          </w:tcPr>
          <w:p w14:paraId="7A9F7BDF"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402" w:type="pct"/>
          </w:tcPr>
          <w:p w14:paraId="53602321" w14:textId="77777777" w:rsidR="0096715F" w:rsidRPr="007E41C5" w:rsidRDefault="0096715F" w:rsidP="0096715F">
            <w:pPr>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Interreg funds</w:t>
            </w:r>
            <w:r w:rsidRPr="007E41C5">
              <w:rPr>
                <w:rFonts w:ascii="Times New Roman" w:eastAsia="Calibri" w:hAnsi="Times New Roman" w:cs="Times New Roman"/>
                <w:i/>
                <w:noProof/>
                <w:sz w:val="16"/>
                <w:szCs w:val="20"/>
                <w:highlight w:val="yellow"/>
                <w:vertAlign w:val="superscript"/>
              </w:rPr>
              <w:footnoteReference w:id="21"/>
            </w:r>
          </w:p>
        </w:tc>
        <w:tc>
          <w:tcPr>
            <w:tcW w:w="396" w:type="pct"/>
          </w:tcPr>
          <w:p w14:paraId="2A30926A"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446" w:type="pct"/>
          </w:tcPr>
          <w:p w14:paraId="246DB5CA"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445" w:type="pct"/>
          </w:tcPr>
          <w:p w14:paraId="1FE3D296"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396" w:type="pct"/>
          </w:tcPr>
          <w:p w14:paraId="021293EC"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397" w:type="pct"/>
          </w:tcPr>
          <w:p w14:paraId="1DC16688"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395" w:type="pct"/>
          </w:tcPr>
          <w:p w14:paraId="1F871FD1"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447" w:type="pct"/>
          </w:tcPr>
          <w:p w14:paraId="1DDC4615"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445" w:type="pct"/>
          </w:tcPr>
          <w:p w14:paraId="26794D1A"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198" w:type="pct"/>
          </w:tcPr>
          <w:p w14:paraId="168F9E23"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347" w:type="pct"/>
          </w:tcPr>
          <w:p w14:paraId="1EB26754"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r>
      <w:tr w:rsidR="00874D3A" w:rsidRPr="007E41C5" w14:paraId="0B8B684A" w14:textId="77777777" w:rsidTr="0085533B">
        <w:trPr>
          <w:jc w:val="center"/>
        </w:trPr>
        <w:tc>
          <w:tcPr>
            <w:tcW w:w="333" w:type="pct"/>
            <w:vMerge/>
            <w:tcBorders>
              <w:bottom w:val="single" w:sz="4" w:space="0" w:color="auto"/>
            </w:tcBorders>
          </w:tcPr>
          <w:p w14:paraId="60168642"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353" w:type="pct"/>
            <w:vMerge/>
          </w:tcPr>
          <w:p w14:paraId="5B298584"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402" w:type="pct"/>
          </w:tcPr>
          <w:p w14:paraId="62F3F63D" w14:textId="77777777" w:rsidR="0096715F" w:rsidRPr="007E41C5" w:rsidRDefault="0096715F" w:rsidP="0096715F">
            <w:pPr>
              <w:rPr>
                <w:rFonts w:ascii="Times New Roman" w:eastAsia="Calibri" w:hAnsi="Times New Roman" w:cs="Times New Roman"/>
                <w:i/>
                <w:noProof/>
                <w:sz w:val="16"/>
                <w:szCs w:val="20"/>
                <w:highlight w:val="yellow"/>
              </w:rPr>
            </w:pPr>
          </w:p>
        </w:tc>
        <w:tc>
          <w:tcPr>
            <w:tcW w:w="396" w:type="pct"/>
          </w:tcPr>
          <w:p w14:paraId="443A6178"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446" w:type="pct"/>
          </w:tcPr>
          <w:p w14:paraId="0EBA143C"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445" w:type="pct"/>
          </w:tcPr>
          <w:p w14:paraId="13A6FAE5"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396" w:type="pct"/>
          </w:tcPr>
          <w:p w14:paraId="07F3E668"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397" w:type="pct"/>
          </w:tcPr>
          <w:p w14:paraId="32DAD4A3"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395" w:type="pct"/>
          </w:tcPr>
          <w:p w14:paraId="101C352E"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447" w:type="pct"/>
          </w:tcPr>
          <w:p w14:paraId="2530CF86"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445" w:type="pct"/>
          </w:tcPr>
          <w:p w14:paraId="5C9608CA"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198" w:type="pct"/>
          </w:tcPr>
          <w:p w14:paraId="02DC27AB"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c>
          <w:tcPr>
            <w:tcW w:w="347" w:type="pct"/>
          </w:tcPr>
          <w:p w14:paraId="52EA8F61" w14:textId="77777777" w:rsidR="0096715F" w:rsidRPr="007E41C5" w:rsidRDefault="0096715F" w:rsidP="0096715F">
            <w:pPr>
              <w:spacing w:after="60"/>
              <w:rPr>
                <w:rFonts w:ascii="Times New Roman" w:eastAsia="Calibri" w:hAnsi="Times New Roman" w:cs="Times New Roman"/>
                <w:i/>
                <w:noProof/>
                <w:sz w:val="16"/>
                <w:szCs w:val="16"/>
                <w:highlight w:val="yellow"/>
              </w:rPr>
            </w:pPr>
          </w:p>
        </w:tc>
      </w:tr>
      <w:tr w:rsidR="00874D3A" w:rsidRPr="007E41C5" w14:paraId="1A1E5416" w14:textId="77777777" w:rsidTr="0085533B">
        <w:trPr>
          <w:jc w:val="center"/>
        </w:trPr>
        <w:tc>
          <w:tcPr>
            <w:tcW w:w="333" w:type="pct"/>
            <w:vMerge w:val="restart"/>
            <w:shd w:val="pct25" w:color="auto" w:fill="auto"/>
          </w:tcPr>
          <w:p w14:paraId="7E2CA683"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53" w:type="pct"/>
            <w:vMerge w:val="restart"/>
          </w:tcPr>
          <w:p w14:paraId="11FCE24F"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b/>
                <w:i/>
                <w:noProof/>
                <w:sz w:val="16"/>
                <w:szCs w:val="16"/>
                <w:highlight w:val="yellow"/>
              </w:rPr>
              <w:t>Priority 2</w:t>
            </w:r>
          </w:p>
        </w:tc>
        <w:tc>
          <w:tcPr>
            <w:tcW w:w="402" w:type="pct"/>
          </w:tcPr>
          <w:p w14:paraId="2D82A7C6" w14:textId="77777777" w:rsidR="00874D3A" w:rsidRPr="007E41C5" w:rsidRDefault="00874D3A" w:rsidP="00874D3A">
            <w:pPr>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ERDF</w:t>
            </w:r>
          </w:p>
        </w:tc>
        <w:tc>
          <w:tcPr>
            <w:tcW w:w="396" w:type="pct"/>
            <w:vAlign w:val="bottom"/>
          </w:tcPr>
          <w:p w14:paraId="086B1DD1"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 xml:space="preserve">Total eligible cost </w:t>
            </w:r>
          </w:p>
        </w:tc>
        <w:tc>
          <w:tcPr>
            <w:tcW w:w="446" w:type="pct"/>
            <w:vAlign w:val="bottom"/>
          </w:tcPr>
          <w:p w14:paraId="106387F6"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4 305 616,34</w:t>
            </w:r>
          </w:p>
        </w:tc>
        <w:tc>
          <w:tcPr>
            <w:tcW w:w="445" w:type="pct"/>
            <w:vAlign w:val="bottom"/>
          </w:tcPr>
          <w:p w14:paraId="5563A236"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3 914 196,67</w:t>
            </w:r>
          </w:p>
        </w:tc>
        <w:tc>
          <w:tcPr>
            <w:tcW w:w="396" w:type="pct"/>
            <w:vAlign w:val="bottom"/>
          </w:tcPr>
          <w:p w14:paraId="6A52D425"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391 419,67</w:t>
            </w:r>
          </w:p>
        </w:tc>
        <w:tc>
          <w:tcPr>
            <w:tcW w:w="397" w:type="pct"/>
            <w:vAlign w:val="bottom"/>
          </w:tcPr>
          <w:p w14:paraId="06A18A2E"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759 814,65</w:t>
            </w:r>
          </w:p>
        </w:tc>
        <w:tc>
          <w:tcPr>
            <w:tcW w:w="395" w:type="pct"/>
            <w:vAlign w:val="bottom"/>
          </w:tcPr>
          <w:p w14:paraId="7E3EA80D"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379 907,33</w:t>
            </w:r>
          </w:p>
        </w:tc>
        <w:tc>
          <w:tcPr>
            <w:tcW w:w="447" w:type="pct"/>
            <w:vAlign w:val="bottom"/>
          </w:tcPr>
          <w:p w14:paraId="44C1F468"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379 907,32</w:t>
            </w:r>
          </w:p>
        </w:tc>
        <w:tc>
          <w:tcPr>
            <w:tcW w:w="445" w:type="pct"/>
            <w:vAlign w:val="bottom"/>
          </w:tcPr>
          <w:p w14:paraId="5FCA1305"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5 065 430,99</w:t>
            </w:r>
          </w:p>
        </w:tc>
        <w:tc>
          <w:tcPr>
            <w:tcW w:w="198" w:type="pct"/>
            <w:vAlign w:val="bottom"/>
          </w:tcPr>
          <w:p w14:paraId="66488D77"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0,85</w:t>
            </w:r>
          </w:p>
        </w:tc>
        <w:tc>
          <w:tcPr>
            <w:tcW w:w="347" w:type="pct"/>
          </w:tcPr>
          <w:p w14:paraId="08680898"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r>
      <w:tr w:rsidR="00874D3A" w:rsidRPr="007E41C5" w14:paraId="5661141C" w14:textId="77777777" w:rsidTr="0085533B">
        <w:trPr>
          <w:jc w:val="center"/>
        </w:trPr>
        <w:tc>
          <w:tcPr>
            <w:tcW w:w="333" w:type="pct"/>
            <w:vMerge/>
            <w:shd w:val="pct25" w:color="auto" w:fill="auto"/>
          </w:tcPr>
          <w:p w14:paraId="188C918F"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53" w:type="pct"/>
            <w:vMerge/>
          </w:tcPr>
          <w:p w14:paraId="63B8CBF3"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02" w:type="pct"/>
          </w:tcPr>
          <w:p w14:paraId="4375218A" w14:textId="77777777" w:rsidR="00874D3A" w:rsidRPr="007E41C5" w:rsidRDefault="00874D3A" w:rsidP="00874D3A">
            <w:pPr>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IPA</w:t>
            </w:r>
            <w:r w:rsidRPr="007E41C5">
              <w:rPr>
                <w:rFonts w:ascii="Calibri" w:eastAsia="Calibri" w:hAnsi="Calibri" w:cs="Arial"/>
                <w:noProof/>
                <w:sz w:val="16"/>
                <w:highlight w:val="yellow"/>
              </w:rPr>
              <w:t> </w:t>
            </w:r>
            <w:r w:rsidRPr="007E41C5">
              <w:rPr>
                <w:rFonts w:ascii="Times New Roman" w:eastAsia="Calibri" w:hAnsi="Times New Roman" w:cs="Times New Roman"/>
                <w:i/>
                <w:noProof/>
                <w:sz w:val="16"/>
                <w:szCs w:val="20"/>
                <w:highlight w:val="yellow"/>
              </w:rPr>
              <w:t>III CBC</w:t>
            </w:r>
          </w:p>
        </w:tc>
        <w:tc>
          <w:tcPr>
            <w:tcW w:w="396" w:type="pct"/>
            <w:vAlign w:val="bottom"/>
          </w:tcPr>
          <w:p w14:paraId="7F94730F"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 xml:space="preserve">Total eligible cost </w:t>
            </w:r>
          </w:p>
        </w:tc>
        <w:tc>
          <w:tcPr>
            <w:tcW w:w="446" w:type="pct"/>
            <w:vAlign w:val="bottom"/>
          </w:tcPr>
          <w:p w14:paraId="7D0F1509"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4 475 688,03</w:t>
            </w:r>
          </w:p>
        </w:tc>
        <w:tc>
          <w:tcPr>
            <w:tcW w:w="445" w:type="pct"/>
            <w:vAlign w:val="bottom"/>
          </w:tcPr>
          <w:p w14:paraId="46A6ED96"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4 068 807,30</w:t>
            </w:r>
          </w:p>
        </w:tc>
        <w:tc>
          <w:tcPr>
            <w:tcW w:w="396" w:type="pct"/>
            <w:vAlign w:val="bottom"/>
          </w:tcPr>
          <w:p w14:paraId="0CF55BF4"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406 880,73</w:t>
            </w:r>
          </w:p>
        </w:tc>
        <w:tc>
          <w:tcPr>
            <w:tcW w:w="397" w:type="pct"/>
            <w:vAlign w:val="bottom"/>
          </w:tcPr>
          <w:p w14:paraId="3BD5458E"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789 827,31</w:t>
            </w:r>
          </w:p>
        </w:tc>
        <w:tc>
          <w:tcPr>
            <w:tcW w:w="395" w:type="pct"/>
            <w:vAlign w:val="bottom"/>
          </w:tcPr>
          <w:p w14:paraId="7FDA2EFA"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394 913,66</w:t>
            </w:r>
          </w:p>
        </w:tc>
        <w:tc>
          <w:tcPr>
            <w:tcW w:w="447" w:type="pct"/>
            <w:vAlign w:val="bottom"/>
          </w:tcPr>
          <w:p w14:paraId="70491737"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394 913,66</w:t>
            </w:r>
          </w:p>
        </w:tc>
        <w:tc>
          <w:tcPr>
            <w:tcW w:w="445" w:type="pct"/>
            <w:vAlign w:val="bottom"/>
          </w:tcPr>
          <w:p w14:paraId="3F0C967C"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5 265 515,34</w:t>
            </w:r>
          </w:p>
        </w:tc>
        <w:tc>
          <w:tcPr>
            <w:tcW w:w="198" w:type="pct"/>
            <w:vAlign w:val="bottom"/>
          </w:tcPr>
          <w:p w14:paraId="60F5F67A"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0,85</w:t>
            </w:r>
          </w:p>
        </w:tc>
        <w:tc>
          <w:tcPr>
            <w:tcW w:w="347" w:type="pct"/>
          </w:tcPr>
          <w:p w14:paraId="56FD8195"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r>
      <w:tr w:rsidR="00874D3A" w:rsidRPr="007E41C5" w14:paraId="0FF3C08C" w14:textId="77777777" w:rsidTr="0085533B">
        <w:trPr>
          <w:jc w:val="center"/>
        </w:trPr>
        <w:tc>
          <w:tcPr>
            <w:tcW w:w="333" w:type="pct"/>
            <w:vMerge/>
            <w:shd w:val="pct25" w:color="auto" w:fill="auto"/>
          </w:tcPr>
          <w:p w14:paraId="654D4DFC"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53" w:type="pct"/>
            <w:vMerge/>
          </w:tcPr>
          <w:p w14:paraId="61B5B840"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02" w:type="pct"/>
          </w:tcPr>
          <w:p w14:paraId="136A6B2F" w14:textId="77777777" w:rsidR="00874D3A" w:rsidRPr="007E41C5" w:rsidRDefault="00874D3A" w:rsidP="00874D3A">
            <w:pPr>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Neighbourhood CBC</w:t>
            </w:r>
          </w:p>
        </w:tc>
        <w:tc>
          <w:tcPr>
            <w:tcW w:w="396" w:type="pct"/>
          </w:tcPr>
          <w:p w14:paraId="749EAE2E"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6" w:type="pct"/>
          </w:tcPr>
          <w:p w14:paraId="068D1F30"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5" w:type="pct"/>
          </w:tcPr>
          <w:p w14:paraId="6EF22D4E"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6" w:type="pct"/>
          </w:tcPr>
          <w:p w14:paraId="5BC1045E"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7" w:type="pct"/>
          </w:tcPr>
          <w:p w14:paraId="16D16DE1"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5" w:type="pct"/>
          </w:tcPr>
          <w:p w14:paraId="7B712182"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7" w:type="pct"/>
          </w:tcPr>
          <w:p w14:paraId="3E1F7116"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5" w:type="pct"/>
          </w:tcPr>
          <w:p w14:paraId="57423261"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198" w:type="pct"/>
          </w:tcPr>
          <w:p w14:paraId="2193A7D4"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47" w:type="pct"/>
          </w:tcPr>
          <w:p w14:paraId="389A3BC5"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r>
      <w:tr w:rsidR="00874D3A" w:rsidRPr="007E41C5" w14:paraId="38E80019" w14:textId="77777777" w:rsidTr="0085533B">
        <w:trPr>
          <w:jc w:val="center"/>
        </w:trPr>
        <w:tc>
          <w:tcPr>
            <w:tcW w:w="333" w:type="pct"/>
            <w:vMerge/>
            <w:shd w:val="pct25" w:color="auto" w:fill="auto"/>
          </w:tcPr>
          <w:p w14:paraId="152E7562"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53" w:type="pct"/>
            <w:vMerge/>
          </w:tcPr>
          <w:p w14:paraId="3259DEC2"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02" w:type="pct"/>
          </w:tcPr>
          <w:p w14:paraId="3CC38E1F" w14:textId="77777777" w:rsidR="00874D3A" w:rsidRPr="007E41C5" w:rsidRDefault="00874D3A" w:rsidP="00874D3A">
            <w:pPr>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IPA III</w:t>
            </w:r>
          </w:p>
        </w:tc>
        <w:tc>
          <w:tcPr>
            <w:tcW w:w="396" w:type="pct"/>
          </w:tcPr>
          <w:p w14:paraId="35300657"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6" w:type="pct"/>
          </w:tcPr>
          <w:p w14:paraId="0E701199"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5" w:type="pct"/>
          </w:tcPr>
          <w:p w14:paraId="7C5FD3D3"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6" w:type="pct"/>
          </w:tcPr>
          <w:p w14:paraId="034E3D2B"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7" w:type="pct"/>
          </w:tcPr>
          <w:p w14:paraId="6B8D434E"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5" w:type="pct"/>
          </w:tcPr>
          <w:p w14:paraId="255BF962"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7" w:type="pct"/>
          </w:tcPr>
          <w:p w14:paraId="547ADA53"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5" w:type="pct"/>
          </w:tcPr>
          <w:p w14:paraId="08168510"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198" w:type="pct"/>
          </w:tcPr>
          <w:p w14:paraId="62FB614C"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47" w:type="pct"/>
          </w:tcPr>
          <w:p w14:paraId="60D07A12"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r>
      <w:tr w:rsidR="00874D3A" w:rsidRPr="007E41C5" w14:paraId="47C9103A" w14:textId="77777777" w:rsidTr="0085533B">
        <w:trPr>
          <w:jc w:val="center"/>
        </w:trPr>
        <w:tc>
          <w:tcPr>
            <w:tcW w:w="333" w:type="pct"/>
            <w:vMerge/>
            <w:shd w:val="pct25" w:color="auto" w:fill="auto"/>
          </w:tcPr>
          <w:p w14:paraId="375886B7"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53" w:type="pct"/>
            <w:vMerge/>
          </w:tcPr>
          <w:p w14:paraId="5A34E6D5"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02" w:type="pct"/>
          </w:tcPr>
          <w:p w14:paraId="3A8856BD" w14:textId="77777777" w:rsidR="00874D3A" w:rsidRPr="007E41C5" w:rsidRDefault="00874D3A" w:rsidP="00874D3A">
            <w:pPr>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NDICI</w:t>
            </w:r>
          </w:p>
        </w:tc>
        <w:tc>
          <w:tcPr>
            <w:tcW w:w="396" w:type="pct"/>
          </w:tcPr>
          <w:p w14:paraId="1B7476F1"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6" w:type="pct"/>
          </w:tcPr>
          <w:p w14:paraId="5E03ACB4"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5" w:type="pct"/>
          </w:tcPr>
          <w:p w14:paraId="4E055539"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6" w:type="pct"/>
          </w:tcPr>
          <w:p w14:paraId="3DA351C3"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7" w:type="pct"/>
          </w:tcPr>
          <w:p w14:paraId="3D846874"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5" w:type="pct"/>
          </w:tcPr>
          <w:p w14:paraId="1BA7EFFA"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7" w:type="pct"/>
          </w:tcPr>
          <w:p w14:paraId="14AE0863"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5" w:type="pct"/>
          </w:tcPr>
          <w:p w14:paraId="73848B23"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198" w:type="pct"/>
          </w:tcPr>
          <w:p w14:paraId="3EDAC15D"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47" w:type="pct"/>
          </w:tcPr>
          <w:p w14:paraId="6938EC2B"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r>
      <w:tr w:rsidR="00874D3A" w:rsidRPr="007E41C5" w14:paraId="4768ABF4" w14:textId="77777777" w:rsidTr="0085533B">
        <w:trPr>
          <w:jc w:val="center"/>
        </w:trPr>
        <w:tc>
          <w:tcPr>
            <w:tcW w:w="333" w:type="pct"/>
            <w:vMerge/>
            <w:shd w:val="pct25" w:color="auto" w:fill="auto"/>
          </w:tcPr>
          <w:p w14:paraId="07805C69"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53" w:type="pct"/>
            <w:vMerge/>
          </w:tcPr>
          <w:p w14:paraId="6265EBBA"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02" w:type="pct"/>
          </w:tcPr>
          <w:p w14:paraId="7B1138A0" w14:textId="77777777" w:rsidR="00874D3A" w:rsidRPr="007E41C5" w:rsidRDefault="00874D3A" w:rsidP="00874D3A">
            <w:pPr>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OCTP</w:t>
            </w:r>
          </w:p>
        </w:tc>
        <w:tc>
          <w:tcPr>
            <w:tcW w:w="396" w:type="pct"/>
          </w:tcPr>
          <w:p w14:paraId="5EB64E34"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6" w:type="pct"/>
          </w:tcPr>
          <w:p w14:paraId="12E3194E"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5" w:type="pct"/>
          </w:tcPr>
          <w:p w14:paraId="2D4E74D8"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6" w:type="pct"/>
          </w:tcPr>
          <w:p w14:paraId="35E53C17"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7" w:type="pct"/>
          </w:tcPr>
          <w:p w14:paraId="363F0BFB"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5" w:type="pct"/>
          </w:tcPr>
          <w:p w14:paraId="2BBB7CEB"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7" w:type="pct"/>
          </w:tcPr>
          <w:p w14:paraId="52B409F4"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5" w:type="pct"/>
          </w:tcPr>
          <w:p w14:paraId="5FEEB386"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198" w:type="pct"/>
          </w:tcPr>
          <w:p w14:paraId="636A0C5F"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47" w:type="pct"/>
          </w:tcPr>
          <w:p w14:paraId="7669798A"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r>
      <w:tr w:rsidR="00874D3A" w:rsidRPr="007E41C5" w14:paraId="2E072658" w14:textId="77777777" w:rsidTr="00874D3A">
        <w:trPr>
          <w:jc w:val="center"/>
        </w:trPr>
        <w:tc>
          <w:tcPr>
            <w:tcW w:w="333" w:type="pct"/>
            <w:shd w:val="pct25" w:color="auto" w:fill="auto"/>
          </w:tcPr>
          <w:p w14:paraId="15997D32"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53" w:type="pct"/>
            <w:vMerge/>
          </w:tcPr>
          <w:p w14:paraId="3C649A91"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02" w:type="pct"/>
          </w:tcPr>
          <w:p w14:paraId="7A8A7760" w14:textId="77777777" w:rsidR="00874D3A" w:rsidRPr="007E41C5" w:rsidRDefault="00874D3A" w:rsidP="00874D3A">
            <w:pPr>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Interreg funds</w:t>
            </w:r>
          </w:p>
        </w:tc>
        <w:tc>
          <w:tcPr>
            <w:tcW w:w="396" w:type="pct"/>
          </w:tcPr>
          <w:p w14:paraId="2D12A1C0"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6" w:type="pct"/>
          </w:tcPr>
          <w:p w14:paraId="3ED4109A"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5" w:type="pct"/>
          </w:tcPr>
          <w:p w14:paraId="688DB338"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6" w:type="pct"/>
          </w:tcPr>
          <w:p w14:paraId="1F214BEE"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7" w:type="pct"/>
          </w:tcPr>
          <w:p w14:paraId="5B6AA21B"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5" w:type="pct"/>
          </w:tcPr>
          <w:p w14:paraId="24D9CBF0"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7" w:type="pct"/>
          </w:tcPr>
          <w:p w14:paraId="52717FC4"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5" w:type="pct"/>
          </w:tcPr>
          <w:p w14:paraId="673F6A47"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198" w:type="pct"/>
          </w:tcPr>
          <w:p w14:paraId="06DD0B1A"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47" w:type="pct"/>
          </w:tcPr>
          <w:p w14:paraId="68FF87BC"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r>
      <w:tr w:rsidR="00874D3A" w:rsidRPr="001B1197" w14:paraId="1731939D" w14:textId="77777777" w:rsidTr="0085533B">
        <w:trPr>
          <w:jc w:val="center"/>
        </w:trPr>
        <w:tc>
          <w:tcPr>
            <w:tcW w:w="333" w:type="pct"/>
            <w:vMerge w:val="restart"/>
            <w:shd w:val="pct25" w:color="auto" w:fill="auto"/>
          </w:tcPr>
          <w:p w14:paraId="6356B8C9"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53" w:type="pct"/>
          </w:tcPr>
          <w:p w14:paraId="10FBE76A"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b/>
                <w:i/>
                <w:noProof/>
                <w:sz w:val="16"/>
                <w:szCs w:val="16"/>
                <w:highlight w:val="yellow"/>
              </w:rPr>
              <w:t>Priority 3</w:t>
            </w:r>
          </w:p>
        </w:tc>
        <w:tc>
          <w:tcPr>
            <w:tcW w:w="402" w:type="pct"/>
          </w:tcPr>
          <w:p w14:paraId="2AE992AB" w14:textId="77777777" w:rsidR="00874D3A" w:rsidRPr="007E41C5" w:rsidRDefault="00874D3A" w:rsidP="00874D3A">
            <w:pPr>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ERDF</w:t>
            </w:r>
          </w:p>
        </w:tc>
        <w:tc>
          <w:tcPr>
            <w:tcW w:w="396" w:type="pct"/>
            <w:vAlign w:val="bottom"/>
          </w:tcPr>
          <w:p w14:paraId="5DAC76B2"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 xml:space="preserve">Total eligible cost </w:t>
            </w:r>
          </w:p>
        </w:tc>
        <w:tc>
          <w:tcPr>
            <w:tcW w:w="446" w:type="pct"/>
            <w:vAlign w:val="bottom"/>
          </w:tcPr>
          <w:p w14:paraId="3C527CEE"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6 458 424,50</w:t>
            </w:r>
          </w:p>
        </w:tc>
        <w:tc>
          <w:tcPr>
            <w:tcW w:w="445" w:type="pct"/>
            <w:vAlign w:val="bottom"/>
          </w:tcPr>
          <w:p w14:paraId="438F9060"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5 871 295,00</w:t>
            </w:r>
          </w:p>
        </w:tc>
        <w:tc>
          <w:tcPr>
            <w:tcW w:w="396" w:type="pct"/>
            <w:vAlign w:val="bottom"/>
          </w:tcPr>
          <w:p w14:paraId="75A28B83"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587 129,50</w:t>
            </w:r>
          </w:p>
        </w:tc>
        <w:tc>
          <w:tcPr>
            <w:tcW w:w="397" w:type="pct"/>
            <w:vAlign w:val="bottom"/>
          </w:tcPr>
          <w:p w14:paraId="77CF1C38"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1 139 721,98</w:t>
            </w:r>
          </w:p>
        </w:tc>
        <w:tc>
          <w:tcPr>
            <w:tcW w:w="395" w:type="pct"/>
            <w:vAlign w:val="bottom"/>
          </w:tcPr>
          <w:p w14:paraId="5F7A8575"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569 860,99</w:t>
            </w:r>
          </w:p>
        </w:tc>
        <w:tc>
          <w:tcPr>
            <w:tcW w:w="447" w:type="pct"/>
            <w:vAlign w:val="bottom"/>
          </w:tcPr>
          <w:p w14:paraId="7A5EAFBE"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569 860,99</w:t>
            </w:r>
          </w:p>
        </w:tc>
        <w:tc>
          <w:tcPr>
            <w:tcW w:w="445" w:type="pct"/>
            <w:vAlign w:val="bottom"/>
          </w:tcPr>
          <w:p w14:paraId="1D890EDA"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7 598 146,48</w:t>
            </w:r>
          </w:p>
        </w:tc>
        <w:tc>
          <w:tcPr>
            <w:tcW w:w="198" w:type="pct"/>
            <w:vAlign w:val="bottom"/>
          </w:tcPr>
          <w:p w14:paraId="2E0B7A5E" w14:textId="77777777" w:rsidR="00874D3A" w:rsidRPr="001B1197" w:rsidRDefault="00874D3A" w:rsidP="00874D3A">
            <w:pPr>
              <w:spacing w:after="60"/>
              <w:rPr>
                <w:rFonts w:ascii="Times New Roman" w:eastAsia="Calibri" w:hAnsi="Times New Roman" w:cs="Times New Roman"/>
                <w:i/>
                <w:noProof/>
                <w:sz w:val="16"/>
                <w:szCs w:val="16"/>
              </w:rPr>
            </w:pPr>
            <w:r w:rsidRPr="007E41C5">
              <w:rPr>
                <w:rFonts w:ascii="Times New Roman" w:eastAsia="Calibri" w:hAnsi="Times New Roman" w:cs="Times New Roman"/>
                <w:i/>
                <w:noProof/>
                <w:sz w:val="16"/>
                <w:szCs w:val="20"/>
                <w:highlight w:val="yellow"/>
              </w:rPr>
              <w:t>0,85</w:t>
            </w:r>
          </w:p>
        </w:tc>
        <w:tc>
          <w:tcPr>
            <w:tcW w:w="347" w:type="pct"/>
          </w:tcPr>
          <w:p w14:paraId="09623255" w14:textId="77777777" w:rsidR="00874D3A" w:rsidRPr="001B1197" w:rsidRDefault="00874D3A" w:rsidP="00874D3A">
            <w:pPr>
              <w:spacing w:after="60"/>
              <w:rPr>
                <w:rFonts w:ascii="Times New Roman" w:eastAsia="Calibri" w:hAnsi="Times New Roman" w:cs="Times New Roman"/>
                <w:i/>
                <w:noProof/>
                <w:sz w:val="16"/>
                <w:szCs w:val="16"/>
              </w:rPr>
            </w:pPr>
          </w:p>
        </w:tc>
      </w:tr>
      <w:tr w:rsidR="00874D3A" w:rsidRPr="007E41C5" w14:paraId="630ECA3D" w14:textId="77777777" w:rsidTr="0085533B">
        <w:trPr>
          <w:trHeight w:val="447"/>
          <w:jc w:val="center"/>
        </w:trPr>
        <w:tc>
          <w:tcPr>
            <w:tcW w:w="333" w:type="pct"/>
            <w:vMerge/>
            <w:shd w:val="pct25" w:color="auto" w:fill="auto"/>
          </w:tcPr>
          <w:p w14:paraId="63F8B25E" w14:textId="77777777" w:rsidR="00874D3A" w:rsidRPr="001B1197" w:rsidRDefault="00874D3A" w:rsidP="00874D3A">
            <w:pPr>
              <w:spacing w:after="60"/>
              <w:rPr>
                <w:rFonts w:ascii="Times New Roman" w:eastAsia="Calibri" w:hAnsi="Times New Roman" w:cs="Times New Roman"/>
                <w:i/>
                <w:noProof/>
                <w:sz w:val="16"/>
                <w:szCs w:val="16"/>
              </w:rPr>
            </w:pPr>
          </w:p>
        </w:tc>
        <w:tc>
          <w:tcPr>
            <w:tcW w:w="353" w:type="pct"/>
            <w:vMerge w:val="restart"/>
          </w:tcPr>
          <w:p w14:paraId="56DFB32A"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02" w:type="pct"/>
          </w:tcPr>
          <w:p w14:paraId="5EE92520" w14:textId="77777777" w:rsidR="00874D3A" w:rsidRPr="007E41C5" w:rsidRDefault="00874D3A" w:rsidP="00874D3A">
            <w:pPr>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IPA</w:t>
            </w:r>
            <w:r w:rsidRPr="007E41C5">
              <w:rPr>
                <w:rFonts w:ascii="Calibri" w:eastAsia="Calibri" w:hAnsi="Calibri" w:cs="Arial"/>
                <w:noProof/>
                <w:sz w:val="16"/>
                <w:highlight w:val="yellow"/>
              </w:rPr>
              <w:t> </w:t>
            </w:r>
            <w:r w:rsidRPr="007E41C5">
              <w:rPr>
                <w:rFonts w:ascii="Times New Roman" w:eastAsia="Calibri" w:hAnsi="Times New Roman" w:cs="Times New Roman"/>
                <w:i/>
                <w:noProof/>
                <w:sz w:val="16"/>
                <w:szCs w:val="20"/>
                <w:highlight w:val="yellow"/>
              </w:rPr>
              <w:t>III CBC</w:t>
            </w:r>
          </w:p>
        </w:tc>
        <w:tc>
          <w:tcPr>
            <w:tcW w:w="396" w:type="pct"/>
            <w:vAlign w:val="bottom"/>
          </w:tcPr>
          <w:p w14:paraId="314238C8"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 xml:space="preserve">Total eligible cost </w:t>
            </w:r>
          </w:p>
        </w:tc>
        <w:tc>
          <w:tcPr>
            <w:tcW w:w="446" w:type="pct"/>
            <w:vAlign w:val="bottom"/>
          </w:tcPr>
          <w:p w14:paraId="548929AC"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6 781 345,50</w:t>
            </w:r>
          </w:p>
        </w:tc>
        <w:tc>
          <w:tcPr>
            <w:tcW w:w="445" w:type="pct"/>
            <w:vAlign w:val="bottom"/>
          </w:tcPr>
          <w:p w14:paraId="2D107D3C"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6 164 859,55</w:t>
            </w:r>
          </w:p>
        </w:tc>
        <w:tc>
          <w:tcPr>
            <w:tcW w:w="396" w:type="pct"/>
            <w:vAlign w:val="bottom"/>
          </w:tcPr>
          <w:p w14:paraId="6CA120CA"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616 485,95</w:t>
            </w:r>
          </w:p>
        </w:tc>
        <w:tc>
          <w:tcPr>
            <w:tcW w:w="397" w:type="pct"/>
            <w:vAlign w:val="bottom"/>
          </w:tcPr>
          <w:p w14:paraId="7C73D5D9"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1 196 708,04</w:t>
            </w:r>
          </w:p>
        </w:tc>
        <w:tc>
          <w:tcPr>
            <w:tcW w:w="395" w:type="pct"/>
            <w:vAlign w:val="bottom"/>
          </w:tcPr>
          <w:p w14:paraId="02DFD867"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598 354,02</w:t>
            </w:r>
          </w:p>
        </w:tc>
        <w:tc>
          <w:tcPr>
            <w:tcW w:w="447" w:type="pct"/>
            <w:vAlign w:val="bottom"/>
          </w:tcPr>
          <w:p w14:paraId="607D908D"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598 354,02</w:t>
            </w:r>
          </w:p>
        </w:tc>
        <w:tc>
          <w:tcPr>
            <w:tcW w:w="445" w:type="pct"/>
            <w:vAlign w:val="bottom"/>
          </w:tcPr>
          <w:p w14:paraId="4C1F66B6"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7 978 053,54</w:t>
            </w:r>
          </w:p>
        </w:tc>
        <w:tc>
          <w:tcPr>
            <w:tcW w:w="198" w:type="pct"/>
            <w:vAlign w:val="bottom"/>
          </w:tcPr>
          <w:p w14:paraId="6BB43DC4" w14:textId="77777777" w:rsidR="00874D3A" w:rsidRPr="007E41C5" w:rsidRDefault="00874D3A" w:rsidP="00874D3A">
            <w:pPr>
              <w:spacing w:after="60"/>
              <w:rPr>
                <w:rFonts w:ascii="Times New Roman" w:eastAsia="Calibri" w:hAnsi="Times New Roman" w:cs="Times New Roman"/>
                <w:i/>
                <w:noProof/>
                <w:sz w:val="16"/>
                <w:szCs w:val="16"/>
                <w:highlight w:val="yellow"/>
              </w:rPr>
            </w:pPr>
            <w:r w:rsidRPr="007E41C5">
              <w:rPr>
                <w:rFonts w:ascii="Times New Roman" w:eastAsia="Calibri" w:hAnsi="Times New Roman" w:cs="Times New Roman"/>
                <w:i/>
                <w:noProof/>
                <w:sz w:val="16"/>
                <w:szCs w:val="20"/>
                <w:highlight w:val="yellow"/>
              </w:rPr>
              <w:t>0,85</w:t>
            </w:r>
          </w:p>
        </w:tc>
        <w:tc>
          <w:tcPr>
            <w:tcW w:w="347" w:type="pct"/>
          </w:tcPr>
          <w:p w14:paraId="7CB26662"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r>
      <w:tr w:rsidR="00874D3A" w:rsidRPr="007E41C5" w14:paraId="5D17D09A" w14:textId="77777777" w:rsidTr="0085533B">
        <w:trPr>
          <w:jc w:val="center"/>
        </w:trPr>
        <w:tc>
          <w:tcPr>
            <w:tcW w:w="333" w:type="pct"/>
            <w:vMerge/>
            <w:shd w:val="pct25" w:color="auto" w:fill="auto"/>
          </w:tcPr>
          <w:p w14:paraId="4971841D" w14:textId="77777777" w:rsidR="00874D3A" w:rsidRPr="001B1197" w:rsidRDefault="00874D3A" w:rsidP="00874D3A">
            <w:pPr>
              <w:spacing w:after="60"/>
              <w:rPr>
                <w:rFonts w:ascii="Times New Roman" w:eastAsia="Calibri" w:hAnsi="Times New Roman" w:cs="Times New Roman"/>
                <w:i/>
                <w:noProof/>
                <w:sz w:val="16"/>
                <w:szCs w:val="16"/>
              </w:rPr>
            </w:pPr>
          </w:p>
        </w:tc>
        <w:tc>
          <w:tcPr>
            <w:tcW w:w="353" w:type="pct"/>
            <w:vMerge/>
          </w:tcPr>
          <w:p w14:paraId="22E63357"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02" w:type="pct"/>
          </w:tcPr>
          <w:p w14:paraId="744C4C2C" w14:textId="77777777" w:rsidR="00874D3A" w:rsidRPr="007E41C5" w:rsidRDefault="00874D3A" w:rsidP="00874D3A">
            <w:pPr>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Neighbourhood CBC</w:t>
            </w:r>
          </w:p>
        </w:tc>
        <w:tc>
          <w:tcPr>
            <w:tcW w:w="396" w:type="pct"/>
          </w:tcPr>
          <w:p w14:paraId="2E131D56"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6" w:type="pct"/>
          </w:tcPr>
          <w:p w14:paraId="2E592EB4"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5" w:type="pct"/>
          </w:tcPr>
          <w:p w14:paraId="2E618DA7"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6" w:type="pct"/>
          </w:tcPr>
          <w:p w14:paraId="6F840679"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7" w:type="pct"/>
          </w:tcPr>
          <w:p w14:paraId="36F942C0"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5" w:type="pct"/>
          </w:tcPr>
          <w:p w14:paraId="13827DB8"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7" w:type="pct"/>
          </w:tcPr>
          <w:p w14:paraId="101DB7A4"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5" w:type="pct"/>
          </w:tcPr>
          <w:p w14:paraId="5F1AC01B"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198" w:type="pct"/>
          </w:tcPr>
          <w:p w14:paraId="2048A81F"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47" w:type="pct"/>
          </w:tcPr>
          <w:p w14:paraId="1E667EB6"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r>
      <w:tr w:rsidR="00874D3A" w:rsidRPr="007E41C5" w14:paraId="41B0031F" w14:textId="77777777" w:rsidTr="0085533B">
        <w:trPr>
          <w:jc w:val="center"/>
        </w:trPr>
        <w:tc>
          <w:tcPr>
            <w:tcW w:w="333" w:type="pct"/>
            <w:vMerge/>
            <w:shd w:val="pct25" w:color="auto" w:fill="auto"/>
          </w:tcPr>
          <w:p w14:paraId="75AA7E88" w14:textId="77777777" w:rsidR="00874D3A" w:rsidRPr="001B1197" w:rsidRDefault="00874D3A" w:rsidP="00874D3A">
            <w:pPr>
              <w:spacing w:after="60"/>
              <w:rPr>
                <w:rFonts w:ascii="Times New Roman" w:eastAsia="Calibri" w:hAnsi="Times New Roman" w:cs="Times New Roman"/>
                <w:i/>
                <w:noProof/>
                <w:sz w:val="16"/>
                <w:szCs w:val="16"/>
              </w:rPr>
            </w:pPr>
          </w:p>
        </w:tc>
        <w:tc>
          <w:tcPr>
            <w:tcW w:w="353" w:type="pct"/>
            <w:vMerge/>
          </w:tcPr>
          <w:p w14:paraId="28C51866"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02" w:type="pct"/>
          </w:tcPr>
          <w:p w14:paraId="2C45D799" w14:textId="77777777" w:rsidR="00874D3A" w:rsidRPr="007E41C5" w:rsidRDefault="00874D3A" w:rsidP="00874D3A">
            <w:pPr>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IPA III</w:t>
            </w:r>
          </w:p>
        </w:tc>
        <w:tc>
          <w:tcPr>
            <w:tcW w:w="396" w:type="pct"/>
          </w:tcPr>
          <w:p w14:paraId="0E6CDA8F"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6" w:type="pct"/>
          </w:tcPr>
          <w:p w14:paraId="0109487D"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5" w:type="pct"/>
          </w:tcPr>
          <w:p w14:paraId="5C2EA126"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6" w:type="pct"/>
          </w:tcPr>
          <w:p w14:paraId="03E9226D"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7" w:type="pct"/>
          </w:tcPr>
          <w:p w14:paraId="21DA5297"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5" w:type="pct"/>
          </w:tcPr>
          <w:p w14:paraId="4F9F3E06"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7" w:type="pct"/>
          </w:tcPr>
          <w:p w14:paraId="2B1B5DD9"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5" w:type="pct"/>
          </w:tcPr>
          <w:p w14:paraId="53EC165D"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198" w:type="pct"/>
          </w:tcPr>
          <w:p w14:paraId="2322C108"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47" w:type="pct"/>
          </w:tcPr>
          <w:p w14:paraId="0754222E"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r>
      <w:tr w:rsidR="00874D3A" w:rsidRPr="007E41C5" w14:paraId="471B871B" w14:textId="77777777" w:rsidTr="0085533B">
        <w:trPr>
          <w:jc w:val="center"/>
        </w:trPr>
        <w:tc>
          <w:tcPr>
            <w:tcW w:w="333" w:type="pct"/>
            <w:vMerge/>
            <w:shd w:val="pct25" w:color="auto" w:fill="auto"/>
          </w:tcPr>
          <w:p w14:paraId="18748FE2" w14:textId="77777777" w:rsidR="00874D3A" w:rsidRPr="001B1197" w:rsidRDefault="00874D3A" w:rsidP="00874D3A">
            <w:pPr>
              <w:spacing w:after="60"/>
              <w:rPr>
                <w:rFonts w:ascii="Times New Roman" w:eastAsia="Calibri" w:hAnsi="Times New Roman" w:cs="Times New Roman"/>
                <w:i/>
                <w:noProof/>
                <w:sz w:val="16"/>
                <w:szCs w:val="16"/>
              </w:rPr>
            </w:pPr>
          </w:p>
        </w:tc>
        <w:tc>
          <w:tcPr>
            <w:tcW w:w="353" w:type="pct"/>
            <w:vMerge/>
          </w:tcPr>
          <w:p w14:paraId="4AC09FDA"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02" w:type="pct"/>
          </w:tcPr>
          <w:p w14:paraId="5AC1445D" w14:textId="77777777" w:rsidR="00874D3A" w:rsidRPr="007E41C5" w:rsidRDefault="00874D3A" w:rsidP="00874D3A">
            <w:pPr>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NDICI</w:t>
            </w:r>
          </w:p>
        </w:tc>
        <w:tc>
          <w:tcPr>
            <w:tcW w:w="396" w:type="pct"/>
          </w:tcPr>
          <w:p w14:paraId="43687947"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6" w:type="pct"/>
          </w:tcPr>
          <w:p w14:paraId="1A017C4D"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5" w:type="pct"/>
          </w:tcPr>
          <w:p w14:paraId="460A51D7"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6" w:type="pct"/>
          </w:tcPr>
          <w:p w14:paraId="14F283F8"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7" w:type="pct"/>
          </w:tcPr>
          <w:p w14:paraId="36BD72EC"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5" w:type="pct"/>
          </w:tcPr>
          <w:p w14:paraId="1CEE998F"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7" w:type="pct"/>
          </w:tcPr>
          <w:p w14:paraId="0885C3EA"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5" w:type="pct"/>
          </w:tcPr>
          <w:p w14:paraId="0EB9ADFF"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198" w:type="pct"/>
          </w:tcPr>
          <w:p w14:paraId="0454B5C7"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47" w:type="pct"/>
          </w:tcPr>
          <w:p w14:paraId="40CE583A"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r>
      <w:tr w:rsidR="00874D3A" w:rsidRPr="007E41C5" w14:paraId="1071D82B" w14:textId="77777777" w:rsidTr="0085533B">
        <w:trPr>
          <w:jc w:val="center"/>
        </w:trPr>
        <w:tc>
          <w:tcPr>
            <w:tcW w:w="333" w:type="pct"/>
            <w:vMerge/>
            <w:shd w:val="pct25" w:color="auto" w:fill="auto"/>
          </w:tcPr>
          <w:p w14:paraId="061AEF14" w14:textId="77777777" w:rsidR="00874D3A" w:rsidRPr="001B1197" w:rsidRDefault="00874D3A" w:rsidP="00874D3A">
            <w:pPr>
              <w:spacing w:after="60"/>
              <w:rPr>
                <w:rFonts w:ascii="Times New Roman" w:eastAsia="Calibri" w:hAnsi="Times New Roman" w:cs="Times New Roman"/>
                <w:i/>
                <w:noProof/>
                <w:sz w:val="16"/>
                <w:szCs w:val="16"/>
              </w:rPr>
            </w:pPr>
          </w:p>
        </w:tc>
        <w:tc>
          <w:tcPr>
            <w:tcW w:w="353" w:type="pct"/>
            <w:vMerge/>
          </w:tcPr>
          <w:p w14:paraId="525284B1"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02" w:type="pct"/>
          </w:tcPr>
          <w:p w14:paraId="42B95D82" w14:textId="77777777" w:rsidR="00874D3A" w:rsidRPr="007E41C5" w:rsidRDefault="00874D3A" w:rsidP="00874D3A">
            <w:pPr>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OCTP</w:t>
            </w:r>
          </w:p>
        </w:tc>
        <w:tc>
          <w:tcPr>
            <w:tcW w:w="396" w:type="pct"/>
          </w:tcPr>
          <w:p w14:paraId="5C450A95"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6" w:type="pct"/>
          </w:tcPr>
          <w:p w14:paraId="5FB3E579"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5" w:type="pct"/>
          </w:tcPr>
          <w:p w14:paraId="137729A7"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6" w:type="pct"/>
          </w:tcPr>
          <w:p w14:paraId="5D85A536"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7" w:type="pct"/>
          </w:tcPr>
          <w:p w14:paraId="6B1FF5A3"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5" w:type="pct"/>
          </w:tcPr>
          <w:p w14:paraId="441F5312"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7" w:type="pct"/>
          </w:tcPr>
          <w:p w14:paraId="00C29FE7"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5" w:type="pct"/>
          </w:tcPr>
          <w:p w14:paraId="457D0389"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198" w:type="pct"/>
          </w:tcPr>
          <w:p w14:paraId="67FD7576"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47" w:type="pct"/>
          </w:tcPr>
          <w:p w14:paraId="01901B3E"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r>
      <w:tr w:rsidR="00874D3A" w:rsidRPr="007E41C5" w14:paraId="60C79854" w14:textId="77777777" w:rsidTr="0085533B">
        <w:trPr>
          <w:jc w:val="center"/>
        </w:trPr>
        <w:tc>
          <w:tcPr>
            <w:tcW w:w="333" w:type="pct"/>
            <w:vMerge/>
            <w:shd w:val="pct25" w:color="auto" w:fill="auto"/>
          </w:tcPr>
          <w:p w14:paraId="7A7E9766" w14:textId="77777777" w:rsidR="00874D3A" w:rsidRPr="001B1197" w:rsidRDefault="00874D3A" w:rsidP="00874D3A">
            <w:pPr>
              <w:spacing w:after="60"/>
              <w:rPr>
                <w:rFonts w:ascii="Times New Roman" w:eastAsia="Calibri" w:hAnsi="Times New Roman" w:cs="Times New Roman"/>
                <w:i/>
                <w:noProof/>
                <w:sz w:val="16"/>
                <w:szCs w:val="16"/>
              </w:rPr>
            </w:pPr>
          </w:p>
        </w:tc>
        <w:tc>
          <w:tcPr>
            <w:tcW w:w="353" w:type="pct"/>
            <w:vMerge/>
          </w:tcPr>
          <w:p w14:paraId="65832F15"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02" w:type="pct"/>
          </w:tcPr>
          <w:p w14:paraId="74B226FF" w14:textId="77777777" w:rsidR="00874D3A" w:rsidRPr="007E41C5" w:rsidRDefault="00874D3A" w:rsidP="00874D3A">
            <w:pPr>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Interreg funds</w:t>
            </w:r>
          </w:p>
        </w:tc>
        <w:tc>
          <w:tcPr>
            <w:tcW w:w="396" w:type="pct"/>
          </w:tcPr>
          <w:p w14:paraId="718EF3D4"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6" w:type="pct"/>
          </w:tcPr>
          <w:p w14:paraId="142CFB23"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5" w:type="pct"/>
          </w:tcPr>
          <w:p w14:paraId="1CAB2F94"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6" w:type="pct"/>
          </w:tcPr>
          <w:p w14:paraId="6E4D0DA4"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7" w:type="pct"/>
          </w:tcPr>
          <w:p w14:paraId="1D11345B"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5" w:type="pct"/>
          </w:tcPr>
          <w:p w14:paraId="38125090"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7" w:type="pct"/>
          </w:tcPr>
          <w:p w14:paraId="31A9856C"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5" w:type="pct"/>
          </w:tcPr>
          <w:p w14:paraId="4F70434B"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198" w:type="pct"/>
          </w:tcPr>
          <w:p w14:paraId="20D283E4"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47" w:type="pct"/>
          </w:tcPr>
          <w:p w14:paraId="471A8E08"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r>
      <w:tr w:rsidR="00874D3A" w:rsidRPr="007E41C5" w14:paraId="2CDF23E2" w14:textId="77777777" w:rsidTr="0085533B">
        <w:trPr>
          <w:jc w:val="center"/>
        </w:trPr>
        <w:tc>
          <w:tcPr>
            <w:tcW w:w="333" w:type="pct"/>
            <w:shd w:val="pct25" w:color="auto" w:fill="auto"/>
          </w:tcPr>
          <w:p w14:paraId="642BBD08" w14:textId="77777777" w:rsidR="00874D3A" w:rsidRPr="001B1197" w:rsidRDefault="00874D3A" w:rsidP="00874D3A">
            <w:pPr>
              <w:spacing w:after="60"/>
              <w:rPr>
                <w:rFonts w:ascii="Times New Roman" w:eastAsia="Calibri" w:hAnsi="Times New Roman" w:cs="Times New Roman"/>
                <w:i/>
                <w:noProof/>
                <w:sz w:val="16"/>
                <w:szCs w:val="16"/>
              </w:rPr>
            </w:pPr>
          </w:p>
        </w:tc>
        <w:tc>
          <w:tcPr>
            <w:tcW w:w="353" w:type="pct"/>
            <w:tcBorders>
              <w:top w:val="single" w:sz="4" w:space="0" w:color="auto"/>
              <w:left w:val="single" w:sz="4" w:space="0" w:color="auto"/>
              <w:bottom w:val="single" w:sz="4" w:space="0" w:color="auto"/>
              <w:right w:val="single" w:sz="4" w:space="0" w:color="auto"/>
            </w:tcBorders>
            <w:shd w:val="clear" w:color="auto" w:fill="auto"/>
            <w:vAlign w:val="bottom"/>
          </w:tcPr>
          <w:p w14:paraId="7CFFD908" w14:textId="77777777" w:rsidR="00874D3A" w:rsidRPr="007E41C5" w:rsidRDefault="00874D3A" w:rsidP="00874D3A">
            <w:pPr>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Total</w:t>
            </w:r>
          </w:p>
        </w:tc>
        <w:tc>
          <w:tcPr>
            <w:tcW w:w="402" w:type="pct"/>
            <w:tcBorders>
              <w:top w:val="single" w:sz="4" w:space="0" w:color="auto"/>
              <w:left w:val="nil"/>
              <w:bottom w:val="single" w:sz="4" w:space="0" w:color="auto"/>
              <w:right w:val="single" w:sz="4" w:space="0" w:color="auto"/>
            </w:tcBorders>
            <w:shd w:val="clear" w:color="auto" w:fill="auto"/>
            <w:vAlign w:val="bottom"/>
          </w:tcPr>
          <w:p w14:paraId="7E361525" w14:textId="77777777" w:rsidR="00874D3A" w:rsidRPr="007E41C5" w:rsidRDefault="00874D3A" w:rsidP="00874D3A">
            <w:pPr>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All funds</w:t>
            </w:r>
          </w:p>
        </w:tc>
        <w:tc>
          <w:tcPr>
            <w:tcW w:w="396" w:type="pct"/>
            <w:tcBorders>
              <w:top w:val="single" w:sz="4" w:space="0" w:color="auto"/>
              <w:left w:val="single" w:sz="4" w:space="0" w:color="auto"/>
              <w:bottom w:val="single" w:sz="4" w:space="0" w:color="auto"/>
              <w:right w:val="single" w:sz="4" w:space="0" w:color="auto"/>
            </w:tcBorders>
            <w:shd w:val="clear" w:color="auto" w:fill="auto"/>
            <w:vAlign w:val="bottom"/>
          </w:tcPr>
          <w:p w14:paraId="7BD6156A"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 xml:space="preserve">Total eligible cost </w:t>
            </w:r>
          </w:p>
        </w:tc>
        <w:tc>
          <w:tcPr>
            <w:tcW w:w="446" w:type="pct"/>
            <w:tcBorders>
              <w:top w:val="single" w:sz="4" w:space="0" w:color="auto"/>
              <w:left w:val="nil"/>
              <w:bottom w:val="single" w:sz="4" w:space="0" w:color="auto"/>
              <w:right w:val="single" w:sz="4" w:space="0" w:color="auto"/>
            </w:tcBorders>
            <w:shd w:val="clear" w:color="auto" w:fill="auto"/>
            <w:vAlign w:val="bottom"/>
          </w:tcPr>
          <w:p w14:paraId="5F006FC7"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26 479 540,00</w:t>
            </w:r>
          </w:p>
        </w:tc>
        <w:tc>
          <w:tcPr>
            <w:tcW w:w="445" w:type="pct"/>
            <w:tcBorders>
              <w:top w:val="single" w:sz="4" w:space="0" w:color="auto"/>
              <w:left w:val="nil"/>
              <w:bottom w:val="single" w:sz="4" w:space="0" w:color="auto"/>
              <w:right w:val="single" w:sz="4" w:space="0" w:color="auto"/>
            </w:tcBorders>
            <w:shd w:val="clear" w:color="auto" w:fill="auto"/>
            <w:vAlign w:val="bottom"/>
          </w:tcPr>
          <w:p w14:paraId="2ECD1144"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24 072 309,10</w:t>
            </w:r>
          </w:p>
        </w:tc>
        <w:tc>
          <w:tcPr>
            <w:tcW w:w="396" w:type="pct"/>
            <w:tcBorders>
              <w:top w:val="single" w:sz="4" w:space="0" w:color="auto"/>
              <w:left w:val="nil"/>
              <w:bottom w:val="single" w:sz="4" w:space="0" w:color="auto"/>
              <w:right w:val="single" w:sz="4" w:space="0" w:color="auto"/>
            </w:tcBorders>
            <w:shd w:val="clear" w:color="auto" w:fill="auto"/>
            <w:vAlign w:val="bottom"/>
          </w:tcPr>
          <w:p w14:paraId="0C1C2DBB"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2 407 230,90</w:t>
            </w:r>
          </w:p>
        </w:tc>
        <w:tc>
          <w:tcPr>
            <w:tcW w:w="397" w:type="pct"/>
            <w:tcBorders>
              <w:top w:val="single" w:sz="4" w:space="0" w:color="auto"/>
              <w:left w:val="nil"/>
              <w:bottom w:val="single" w:sz="4" w:space="0" w:color="auto"/>
              <w:right w:val="single" w:sz="4" w:space="0" w:color="auto"/>
            </w:tcBorders>
            <w:shd w:val="clear" w:color="auto" w:fill="auto"/>
            <w:vAlign w:val="bottom"/>
          </w:tcPr>
          <w:p w14:paraId="3013121C"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4 672 860,05</w:t>
            </w:r>
          </w:p>
        </w:tc>
        <w:tc>
          <w:tcPr>
            <w:tcW w:w="395" w:type="pct"/>
            <w:tcBorders>
              <w:top w:val="single" w:sz="4" w:space="0" w:color="auto"/>
              <w:left w:val="nil"/>
              <w:bottom w:val="single" w:sz="4" w:space="0" w:color="auto"/>
              <w:right w:val="single" w:sz="4" w:space="0" w:color="auto"/>
            </w:tcBorders>
            <w:shd w:val="clear" w:color="auto" w:fill="auto"/>
            <w:vAlign w:val="bottom"/>
          </w:tcPr>
          <w:p w14:paraId="66AA9855"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2 336 430,04</w:t>
            </w:r>
          </w:p>
        </w:tc>
        <w:tc>
          <w:tcPr>
            <w:tcW w:w="447" w:type="pct"/>
            <w:tcBorders>
              <w:top w:val="single" w:sz="4" w:space="0" w:color="auto"/>
              <w:left w:val="nil"/>
              <w:bottom w:val="single" w:sz="4" w:space="0" w:color="auto"/>
              <w:right w:val="single" w:sz="4" w:space="0" w:color="auto"/>
            </w:tcBorders>
            <w:shd w:val="clear" w:color="auto" w:fill="auto"/>
            <w:vAlign w:val="bottom"/>
          </w:tcPr>
          <w:p w14:paraId="39A2DEC1"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2 336 430,02</w:t>
            </w:r>
          </w:p>
        </w:tc>
        <w:tc>
          <w:tcPr>
            <w:tcW w:w="445" w:type="pct"/>
            <w:tcBorders>
              <w:top w:val="single" w:sz="4" w:space="0" w:color="auto"/>
              <w:left w:val="nil"/>
              <w:bottom w:val="single" w:sz="4" w:space="0" w:color="auto"/>
              <w:right w:val="single" w:sz="4" w:space="0" w:color="auto"/>
            </w:tcBorders>
            <w:shd w:val="clear" w:color="auto" w:fill="auto"/>
            <w:vAlign w:val="bottom"/>
          </w:tcPr>
          <w:p w14:paraId="38485ED7"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31 152 400,05</w:t>
            </w:r>
          </w:p>
        </w:tc>
        <w:tc>
          <w:tcPr>
            <w:tcW w:w="198" w:type="pct"/>
            <w:tcBorders>
              <w:top w:val="single" w:sz="4" w:space="0" w:color="auto"/>
              <w:left w:val="nil"/>
              <w:bottom w:val="single" w:sz="4" w:space="0" w:color="auto"/>
              <w:right w:val="single" w:sz="4" w:space="0" w:color="auto"/>
            </w:tcBorders>
            <w:shd w:val="clear" w:color="auto" w:fill="auto"/>
            <w:vAlign w:val="bottom"/>
          </w:tcPr>
          <w:p w14:paraId="4B6B37F2"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0,85</w:t>
            </w:r>
          </w:p>
        </w:tc>
        <w:tc>
          <w:tcPr>
            <w:tcW w:w="347" w:type="pct"/>
          </w:tcPr>
          <w:p w14:paraId="6B4E1095"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r>
      <w:tr w:rsidR="00874D3A" w:rsidRPr="007E41C5" w14:paraId="476BD20C" w14:textId="77777777" w:rsidTr="0085533B">
        <w:trPr>
          <w:jc w:val="center"/>
        </w:trPr>
        <w:tc>
          <w:tcPr>
            <w:tcW w:w="333" w:type="pct"/>
            <w:shd w:val="pct25" w:color="auto" w:fill="auto"/>
          </w:tcPr>
          <w:p w14:paraId="07706368" w14:textId="77777777" w:rsidR="00874D3A" w:rsidRPr="001B1197" w:rsidRDefault="00874D3A" w:rsidP="00874D3A">
            <w:pPr>
              <w:spacing w:after="60"/>
              <w:rPr>
                <w:rFonts w:ascii="Times New Roman" w:eastAsia="Calibri" w:hAnsi="Times New Roman" w:cs="Times New Roman"/>
                <w:i/>
                <w:noProof/>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bottom"/>
          </w:tcPr>
          <w:p w14:paraId="7DA23923" w14:textId="77777777" w:rsidR="00874D3A" w:rsidRPr="007E41C5" w:rsidRDefault="00874D3A" w:rsidP="00874D3A">
            <w:pPr>
              <w:rPr>
                <w:rFonts w:ascii="Times New Roman" w:eastAsia="Calibri" w:hAnsi="Times New Roman" w:cs="Times New Roman"/>
                <w:i/>
                <w:noProof/>
                <w:sz w:val="16"/>
                <w:szCs w:val="20"/>
                <w:highlight w:val="yellow"/>
              </w:rPr>
            </w:pPr>
          </w:p>
        </w:tc>
        <w:tc>
          <w:tcPr>
            <w:tcW w:w="402" w:type="pct"/>
          </w:tcPr>
          <w:p w14:paraId="5376E1EF" w14:textId="77777777" w:rsidR="00874D3A" w:rsidRPr="007E41C5" w:rsidRDefault="00874D3A" w:rsidP="00874D3A">
            <w:pPr>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ERDF</w:t>
            </w:r>
          </w:p>
        </w:tc>
        <w:tc>
          <w:tcPr>
            <w:tcW w:w="396" w:type="pct"/>
            <w:tcBorders>
              <w:top w:val="nil"/>
              <w:left w:val="single" w:sz="4" w:space="0" w:color="auto"/>
              <w:bottom w:val="single" w:sz="4" w:space="0" w:color="auto"/>
              <w:right w:val="single" w:sz="4" w:space="0" w:color="auto"/>
            </w:tcBorders>
            <w:shd w:val="clear" w:color="auto" w:fill="auto"/>
            <w:vAlign w:val="bottom"/>
          </w:tcPr>
          <w:p w14:paraId="12C66F29"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 xml:space="preserve">Total eligible cost </w:t>
            </w:r>
          </w:p>
        </w:tc>
        <w:tc>
          <w:tcPr>
            <w:tcW w:w="446" w:type="pct"/>
            <w:tcBorders>
              <w:top w:val="nil"/>
              <w:left w:val="nil"/>
              <w:bottom w:val="single" w:sz="4" w:space="0" w:color="auto"/>
              <w:right w:val="single" w:sz="4" w:space="0" w:color="auto"/>
            </w:tcBorders>
            <w:shd w:val="clear" w:color="auto" w:fill="auto"/>
            <w:vAlign w:val="bottom"/>
          </w:tcPr>
          <w:p w14:paraId="61A3297F"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12 916 849,00</w:t>
            </w:r>
          </w:p>
        </w:tc>
        <w:tc>
          <w:tcPr>
            <w:tcW w:w="445" w:type="pct"/>
            <w:tcBorders>
              <w:top w:val="nil"/>
              <w:left w:val="nil"/>
              <w:bottom w:val="single" w:sz="4" w:space="0" w:color="auto"/>
              <w:right w:val="single" w:sz="4" w:space="0" w:color="auto"/>
            </w:tcBorders>
            <w:shd w:val="clear" w:color="auto" w:fill="auto"/>
            <w:vAlign w:val="bottom"/>
          </w:tcPr>
          <w:p w14:paraId="4B7BD06B"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11 742 590,00</w:t>
            </w:r>
          </w:p>
        </w:tc>
        <w:tc>
          <w:tcPr>
            <w:tcW w:w="396" w:type="pct"/>
            <w:tcBorders>
              <w:top w:val="nil"/>
              <w:left w:val="nil"/>
              <w:bottom w:val="single" w:sz="4" w:space="0" w:color="auto"/>
              <w:right w:val="single" w:sz="4" w:space="0" w:color="auto"/>
            </w:tcBorders>
            <w:shd w:val="clear" w:color="auto" w:fill="auto"/>
            <w:vAlign w:val="bottom"/>
          </w:tcPr>
          <w:p w14:paraId="67F76632"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1 174 259,00</w:t>
            </w:r>
          </w:p>
        </w:tc>
        <w:tc>
          <w:tcPr>
            <w:tcW w:w="397" w:type="pct"/>
            <w:tcBorders>
              <w:top w:val="nil"/>
              <w:left w:val="nil"/>
              <w:bottom w:val="single" w:sz="4" w:space="0" w:color="auto"/>
              <w:right w:val="single" w:sz="4" w:space="0" w:color="auto"/>
            </w:tcBorders>
            <w:shd w:val="clear" w:color="auto" w:fill="auto"/>
            <w:vAlign w:val="bottom"/>
          </w:tcPr>
          <w:p w14:paraId="19187764"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2 279 443,96</w:t>
            </w:r>
          </w:p>
        </w:tc>
        <w:tc>
          <w:tcPr>
            <w:tcW w:w="395" w:type="pct"/>
            <w:tcBorders>
              <w:top w:val="nil"/>
              <w:left w:val="nil"/>
              <w:bottom w:val="single" w:sz="4" w:space="0" w:color="auto"/>
              <w:right w:val="single" w:sz="4" w:space="0" w:color="auto"/>
            </w:tcBorders>
            <w:shd w:val="clear" w:color="auto" w:fill="auto"/>
            <w:vAlign w:val="bottom"/>
          </w:tcPr>
          <w:p w14:paraId="5AA8E808"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1 139 721,99</w:t>
            </w:r>
          </w:p>
        </w:tc>
        <w:tc>
          <w:tcPr>
            <w:tcW w:w="447" w:type="pct"/>
            <w:tcBorders>
              <w:top w:val="nil"/>
              <w:left w:val="nil"/>
              <w:bottom w:val="single" w:sz="4" w:space="0" w:color="auto"/>
              <w:right w:val="single" w:sz="4" w:space="0" w:color="auto"/>
            </w:tcBorders>
            <w:shd w:val="clear" w:color="auto" w:fill="auto"/>
            <w:vAlign w:val="bottom"/>
          </w:tcPr>
          <w:p w14:paraId="1CDA574C"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1 139 721,97</w:t>
            </w:r>
          </w:p>
        </w:tc>
        <w:tc>
          <w:tcPr>
            <w:tcW w:w="445" w:type="pct"/>
            <w:tcBorders>
              <w:top w:val="nil"/>
              <w:left w:val="nil"/>
              <w:bottom w:val="single" w:sz="4" w:space="0" w:color="auto"/>
              <w:right w:val="single" w:sz="4" w:space="0" w:color="auto"/>
            </w:tcBorders>
            <w:shd w:val="clear" w:color="auto" w:fill="auto"/>
            <w:vAlign w:val="bottom"/>
          </w:tcPr>
          <w:p w14:paraId="7F53B0A8"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15 196 292,96</w:t>
            </w:r>
          </w:p>
        </w:tc>
        <w:tc>
          <w:tcPr>
            <w:tcW w:w="198" w:type="pct"/>
            <w:tcBorders>
              <w:top w:val="nil"/>
              <w:left w:val="nil"/>
              <w:bottom w:val="single" w:sz="4" w:space="0" w:color="auto"/>
              <w:right w:val="single" w:sz="4" w:space="0" w:color="auto"/>
            </w:tcBorders>
            <w:shd w:val="clear" w:color="auto" w:fill="auto"/>
            <w:vAlign w:val="bottom"/>
          </w:tcPr>
          <w:p w14:paraId="48AD2A1F"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0,85</w:t>
            </w:r>
          </w:p>
        </w:tc>
        <w:tc>
          <w:tcPr>
            <w:tcW w:w="347" w:type="pct"/>
          </w:tcPr>
          <w:p w14:paraId="3635C24D"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r>
      <w:tr w:rsidR="00874D3A" w:rsidRPr="007E41C5" w14:paraId="32FC0BCF" w14:textId="77777777" w:rsidTr="0085533B">
        <w:trPr>
          <w:jc w:val="center"/>
        </w:trPr>
        <w:tc>
          <w:tcPr>
            <w:tcW w:w="333" w:type="pct"/>
            <w:shd w:val="pct25" w:color="auto" w:fill="auto"/>
          </w:tcPr>
          <w:p w14:paraId="0E65FA8B" w14:textId="77777777" w:rsidR="00874D3A" w:rsidRPr="001B1197" w:rsidRDefault="00874D3A" w:rsidP="00874D3A">
            <w:pPr>
              <w:spacing w:after="60"/>
              <w:rPr>
                <w:rFonts w:ascii="Times New Roman" w:eastAsia="Calibri" w:hAnsi="Times New Roman" w:cs="Times New Roman"/>
                <w:i/>
                <w:noProof/>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bottom"/>
          </w:tcPr>
          <w:p w14:paraId="79495459" w14:textId="77777777" w:rsidR="00874D3A" w:rsidRPr="007E41C5" w:rsidRDefault="00874D3A" w:rsidP="00874D3A">
            <w:pPr>
              <w:rPr>
                <w:rFonts w:ascii="Times New Roman" w:eastAsia="Calibri" w:hAnsi="Times New Roman" w:cs="Times New Roman"/>
                <w:i/>
                <w:noProof/>
                <w:sz w:val="16"/>
                <w:szCs w:val="20"/>
                <w:highlight w:val="yellow"/>
              </w:rPr>
            </w:pPr>
          </w:p>
        </w:tc>
        <w:tc>
          <w:tcPr>
            <w:tcW w:w="402" w:type="pct"/>
          </w:tcPr>
          <w:p w14:paraId="0D35E0D5" w14:textId="77777777" w:rsidR="00874D3A" w:rsidRPr="007E41C5" w:rsidRDefault="00874D3A" w:rsidP="00874D3A">
            <w:pPr>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IPA</w:t>
            </w:r>
            <w:r w:rsidRPr="007E41C5">
              <w:rPr>
                <w:rFonts w:ascii="Calibri" w:eastAsia="Calibri" w:hAnsi="Calibri" w:cs="Arial"/>
                <w:noProof/>
                <w:sz w:val="16"/>
                <w:highlight w:val="yellow"/>
              </w:rPr>
              <w:t> </w:t>
            </w:r>
            <w:r w:rsidRPr="007E41C5">
              <w:rPr>
                <w:rFonts w:ascii="Times New Roman" w:eastAsia="Calibri" w:hAnsi="Times New Roman" w:cs="Times New Roman"/>
                <w:i/>
                <w:noProof/>
                <w:sz w:val="16"/>
                <w:szCs w:val="20"/>
                <w:highlight w:val="yellow"/>
              </w:rPr>
              <w:t>III CBC</w:t>
            </w:r>
          </w:p>
        </w:tc>
        <w:tc>
          <w:tcPr>
            <w:tcW w:w="396" w:type="pct"/>
            <w:tcBorders>
              <w:top w:val="nil"/>
              <w:left w:val="single" w:sz="4" w:space="0" w:color="auto"/>
              <w:bottom w:val="single" w:sz="4" w:space="0" w:color="auto"/>
              <w:right w:val="single" w:sz="4" w:space="0" w:color="auto"/>
            </w:tcBorders>
            <w:shd w:val="clear" w:color="auto" w:fill="auto"/>
            <w:vAlign w:val="bottom"/>
          </w:tcPr>
          <w:p w14:paraId="66FF00A7"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 xml:space="preserve">Total eligible cost </w:t>
            </w:r>
          </w:p>
        </w:tc>
        <w:tc>
          <w:tcPr>
            <w:tcW w:w="446" w:type="pct"/>
            <w:tcBorders>
              <w:top w:val="nil"/>
              <w:left w:val="nil"/>
              <w:bottom w:val="single" w:sz="4" w:space="0" w:color="auto"/>
              <w:right w:val="single" w:sz="4" w:space="0" w:color="auto"/>
            </w:tcBorders>
            <w:shd w:val="clear" w:color="auto" w:fill="auto"/>
            <w:vAlign w:val="bottom"/>
          </w:tcPr>
          <w:p w14:paraId="5FC8E620"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13 562 691,00</w:t>
            </w:r>
          </w:p>
        </w:tc>
        <w:tc>
          <w:tcPr>
            <w:tcW w:w="445" w:type="pct"/>
            <w:tcBorders>
              <w:top w:val="nil"/>
              <w:left w:val="nil"/>
              <w:bottom w:val="single" w:sz="4" w:space="0" w:color="auto"/>
              <w:right w:val="single" w:sz="4" w:space="0" w:color="auto"/>
            </w:tcBorders>
            <w:shd w:val="clear" w:color="auto" w:fill="auto"/>
            <w:vAlign w:val="bottom"/>
          </w:tcPr>
          <w:p w14:paraId="39314333"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12 329 719,10</w:t>
            </w:r>
          </w:p>
        </w:tc>
        <w:tc>
          <w:tcPr>
            <w:tcW w:w="396" w:type="pct"/>
            <w:tcBorders>
              <w:top w:val="nil"/>
              <w:left w:val="nil"/>
              <w:bottom w:val="single" w:sz="4" w:space="0" w:color="auto"/>
              <w:right w:val="single" w:sz="4" w:space="0" w:color="auto"/>
            </w:tcBorders>
            <w:shd w:val="clear" w:color="auto" w:fill="auto"/>
            <w:vAlign w:val="bottom"/>
          </w:tcPr>
          <w:p w14:paraId="31EBD2BF"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1 232 971,90</w:t>
            </w:r>
          </w:p>
        </w:tc>
        <w:tc>
          <w:tcPr>
            <w:tcW w:w="397" w:type="pct"/>
            <w:tcBorders>
              <w:top w:val="nil"/>
              <w:left w:val="nil"/>
              <w:bottom w:val="single" w:sz="4" w:space="0" w:color="auto"/>
              <w:right w:val="single" w:sz="4" w:space="0" w:color="auto"/>
            </w:tcBorders>
            <w:shd w:val="clear" w:color="auto" w:fill="auto"/>
            <w:vAlign w:val="bottom"/>
          </w:tcPr>
          <w:p w14:paraId="3F00AD59"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2 393 416,09</w:t>
            </w:r>
          </w:p>
        </w:tc>
        <w:tc>
          <w:tcPr>
            <w:tcW w:w="395" w:type="pct"/>
            <w:tcBorders>
              <w:top w:val="nil"/>
              <w:left w:val="nil"/>
              <w:bottom w:val="single" w:sz="4" w:space="0" w:color="auto"/>
              <w:right w:val="single" w:sz="4" w:space="0" w:color="auto"/>
            </w:tcBorders>
            <w:shd w:val="clear" w:color="auto" w:fill="auto"/>
            <w:vAlign w:val="bottom"/>
          </w:tcPr>
          <w:p w14:paraId="1806FF82"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1 196 708,05</w:t>
            </w:r>
          </w:p>
        </w:tc>
        <w:tc>
          <w:tcPr>
            <w:tcW w:w="447" w:type="pct"/>
            <w:tcBorders>
              <w:top w:val="nil"/>
              <w:left w:val="nil"/>
              <w:bottom w:val="single" w:sz="4" w:space="0" w:color="auto"/>
              <w:right w:val="single" w:sz="4" w:space="0" w:color="auto"/>
            </w:tcBorders>
            <w:shd w:val="clear" w:color="auto" w:fill="auto"/>
            <w:vAlign w:val="bottom"/>
          </w:tcPr>
          <w:p w14:paraId="5F84DF56"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1 196 708,05</w:t>
            </w:r>
          </w:p>
        </w:tc>
        <w:tc>
          <w:tcPr>
            <w:tcW w:w="445" w:type="pct"/>
            <w:tcBorders>
              <w:top w:val="nil"/>
              <w:left w:val="nil"/>
              <w:bottom w:val="single" w:sz="4" w:space="0" w:color="auto"/>
              <w:right w:val="single" w:sz="4" w:space="0" w:color="auto"/>
            </w:tcBorders>
            <w:shd w:val="clear" w:color="auto" w:fill="auto"/>
            <w:vAlign w:val="bottom"/>
          </w:tcPr>
          <w:p w14:paraId="0778E087"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15 956 107,09</w:t>
            </w:r>
          </w:p>
        </w:tc>
        <w:tc>
          <w:tcPr>
            <w:tcW w:w="198" w:type="pct"/>
            <w:tcBorders>
              <w:top w:val="nil"/>
              <w:left w:val="nil"/>
              <w:bottom w:val="single" w:sz="4" w:space="0" w:color="auto"/>
              <w:right w:val="single" w:sz="4" w:space="0" w:color="auto"/>
            </w:tcBorders>
            <w:shd w:val="clear" w:color="auto" w:fill="auto"/>
            <w:vAlign w:val="bottom"/>
          </w:tcPr>
          <w:p w14:paraId="434A5F4E"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0,85</w:t>
            </w:r>
          </w:p>
        </w:tc>
        <w:tc>
          <w:tcPr>
            <w:tcW w:w="347" w:type="pct"/>
          </w:tcPr>
          <w:p w14:paraId="1736F906"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r>
      <w:tr w:rsidR="00874D3A" w:rsidRPr="007E41C5" w14:paraId="0BF78E68" w14:textId="77777777" w:rsidTr="0085533B">
        <w:trPr>
          <w:jc w:val="center"/>
        </w:trPr>
        <w:tc>
          <w:tcPr>
            <w:tcW w:w="333" w:type="pct"/>
            <w:shd w:val="pct25" w:color="auto" w:fill="auto"/>
          </w:tcPr>
          <w:p w14:paraId="0A5DD99F" w14:textId="77777777" w:rsidR="00874D3A" w:rsidRPr="001B1197" w:rsidRDefault="00874D3A" w:rsidP="00874D3A">
            <w:pPr>
              <w:spacing w:after="60"/>
              <w:rPr>
                <w:rFonts w:ascii="Times New Roman" w:eastAsia="Calibri" w:hAnsi="Times New Roman" w:cs="Times New Roman"/>
                <w:i/>
                <w:noProof/>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bottom"/>
          </w:tcPr>
          <w:p w14:paraId="4D725EEF" w14:textId="77777777" w:rsidR="00874D3A" w:rsidRPr="007E41C5" w:rsidRDefault="00874D3A" w:rsidP="00874D3A">
            <w:pPr>
              <w:rPr>
                <w:rFonts w:ascii="Times New Roman" w:eastAsia="Calibri" w:hAnsi="Times New Roman" w:cs="Times New Roman"/>
                <w:i/>
                <w:noProof/>
                <w:sz w:val="16"/>
                <w:szCs w:val="20"/>
                <w:highlight w:val="yellow"/>
              </w:rPr>
            </w:pPr>
          </w:p>
        </w:tc>
        <w:tc>
          <w:tcPr>
            <w:tcW w:w="402" w:type="pct"/>
          </w:tcPr>
          <w:p w14:paraId="37B0DD2D" w14:textId="77777777" w:rsidR="00874D3A" w:rsidRPr="007E41C5" w:rsidRDefault="00874D3A" w:rsidP="00874D3A">
            <w:pPr>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Neighbourhood CBC</w:t>
            </w:r>
          </w:p>
        </w:tc>
        <w:tc>
          <w:tcPr>
            <w:tcW w:w="396" w:type="pct"/>
          </w:tcPr>
          <w:p w14:paraId="1721E5D6"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6" w:type="pct"/>
          </w:tcPr>
          <w:p w14:paraId="0A7AF818"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5" w:type="pct"/>
          </w:tcPr>
          <w:p w14:paraId="2A8C70C9"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6" w:type="pct"/>
          </w:tcPr>
          <w:p w14:paraId="68CF8E1B"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7" w:type="pct"/>
          </w:tcPr>
          <w:p w14:paraId="7D8B9FC2"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5" w:type="pct"/>
          </w:tcPr>
          <w:p w14:paraId="707CE2A4"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7" w:type="pct"/>
          </w:tcPr>
          <w:p w14:paraId="020F8F83"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5" w:type="pct"/>
          </w:tcPr>
          <w:p w14:paraId="2A0157A7"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198" w:type="pct"/>
          </w:tcPr>
          <w:p w14:paraId="108C6AF4"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47" w:type="pct"/>
          </w:tcPr>
          <w:p w14:paraId="75EFCF7B"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r>
      <w:tr w:rsidR="00874D3A" w:rsidRPr="007E41C5" w14:paraId="049C2B6C" w14:textId="77777777" w:rsidTr="0085533B">
        <w:trPr>
          <w:jc w:val="center"/>
        </w:trPr>
        <w:tc>
          <w:tcPr>
            <w:tcW w:w="333" w:type="pct"/>
            <w:shd w:val="pct25" w:color="auto" w:fill="auto"/>
          </w:tcPr>
          <w:p w14:paraId="331EF4D6" w14:textId="77777777" w:rsidR="00874D3A" w:rsidRPr="001B1197" w:rsidRDefault="00874D3A" w:rsidP="00874D3A">
            <w:pPr>
              <w:spacing w:after="60"/>
              <w:rPr>
                <w:rFonts w:ascii="Times New Roman" w:eastAsia="Calibri" w:hAnsi="Times New Roman" w:cs="Times New Roman"/>
                <w:i/>
                <w:noProof/>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bottom"/>
          </w:tcPr>
          <w:p w14:paraId="45A39367" w14:textId="77777777" w:rsidR="00874D3A" w:rsidRPr="007E41C5" w:rsidRDefault="00874D3A" w:rsidP="00874D3A">
            <w:pPr>
              <w:rPr>
                <w:rFonts w:ascii="Times New Roman" w:eastAsia="Calibri" w:hAnsi="Times New Roman" w:cs="Times New Roman"/>
                <w:i/>
                <w:noProof/>
                <w:sz w:val="16"/>
                <w:szCs w:val="20"/>
                <w:highlight w:val="yellow"/>
              </w:rPr>
            </w:pPr>
          </w:p>
        </w:tc>
        <w:tc>
          <w:tcPr>
            <w:tcW w:w="402" w:type="pct"/>
          </w:tcPr>
          <w:p w14:paraId="2F5AB235" w14:textId="77777777" w:rsidR="00874D3A" w:rsidRPr="007E41C5" w:rsidRDefault="00874D3A" w:rsidP="00874D3A">
            <w:pPr>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IPA III</w:t>
            </w:r>
          </w:p>
        </w:tc>
        <w:tc>
          <w:tcPr>
            <w:tcW w:w="396" w:type="pct"/>
          </w:tcPr>
          <w:p w14:paraId="45736249"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6" w:type="pct"/>
          </w:tcPr>
          <w:p w14:paraId="768E6BD9"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5" w:type="pct"/>
          </w:tcPr>
          <w:p w14:paraId="50CC6229"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6" w:type="pct"/>
          </w:tcPr>
          <w:p w14:paraId="4BDEA253"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7" w:type="pct"/>
          </w:tcPr>
          <w:p w14:paraId="3706256A"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5" w:type="pct"/>
          </w:tcPr>
          <w:p w14:paraId="01D6367E"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7" w:type="pct"/>
          </w:tcPr>
          <w:p w14:paraId="11F5313B"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5" w:type="pct"/>
          </w:tcPr>
          <w:p w14:paraId="066E536B"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198" w:type="pct"/>
          </w:tcPr>
          <w:p w14:paraId="5182F614"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47" w:type="pct"/>
          </w:tcPr>
          <w:p w14:paraId="28273EAD"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r>
      <w:tr w:rsidR="00874D3A" w:rsidRPr="007E41C5" w14:paraId="107B9EDC" w14:textId="77777777" w:rsidTr="0085533B">
        <w:trPr>
          <w:jc w:val="center"/>
        </w:trPr>
        <w:tc>
          <w:tcPr>
            <w:tcW w:w="333" w:type="pct"/>
            <w:shd w:val="pct25" w:color="auto" w:fill="auto"/>
          </w:tcPr>
          <w:p w14:paraId="763A8707" w14:textId="77777777" w:rsidR="00874D3A" w:rsidRPr="001B1197" w:rsidRDefault="00874D3A" w:rsidP="00874D3A">
            <w:pPr>
              <w:spacing w:after="60"/>
              <w:rPr>
                <w:rFonts w:ascii="Times New Roman" w:eastAsia="Calibri" w:hAnsi="Times New Roman" w:cs="Times New Roman"/>
                <w:i/>
                <w:noProof/>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bottom"/>
          </w:tcPr>
          <w:p w14:paraId="3E5B0B9B" w14:textId="77777777" w:rsidR="00874D3A" w:rsidRPr="007E41C5" w:rsidRDefault="00874D3A" w:rsidP="00874D3A">
            <w:pPr>
              <w:rPr>
                <w:rFonts w:ascii="Times New Roman" w:eastAsia="Calibri" w:hAnsi="Times New Roman" w:cs="Times New Roman"/>
                <w:i/>
                <w:noProof/>
                <w:sz w:val="16"/>
                <w:szCs w:val="20"/>
                <w:highlight w:val="yellow"/>
              </w:rPr>
            </w:pPr>
          </w:p>
        </w:tc>
        <w:tc>
          <w:tcPr>
            <w:tcW w:w="402" w:type="pct"/>
          </w:tcPr>
          <w:p w14:paraId="45D92116" w14:textId="77777777" w:rsidR="00874D3A" w:rsidRPr="007E41C5" w:rsidRDefault="00874D3A" w:rsidP="00874D3A">
            <w:pPr>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NDICI</w:t>
            </w:r>
          </w:p>
        </w:tc>
        <w:tc>
          <w:tcPr>
            <w:tcW w:w="396" w:type="pct"/>
          </w:tcPr>
          <w:p w14:paraId="35D7126C"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6" w:type="pct"/>
          </w:tcPr>
          <w:p w14:paraId="16EA9360"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5" w:type="pct"/>
          </w:tcPr>
          <w:p w14:paraId="4024910F"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6" w:type="pct"/>
          </w:tcPr>
          <w:p w14:paraId="55DDB55A"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7" w:type="pct"/>
          </w:tcPr>
          <w:p w14:paraId="358333C9"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5" w:type="pct"/>
          </w:tcPr>
          <w:p w14:paraId="056663B0"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7" w:type="pct"/>
          </w:tcPr>
          <w:p w14:paraId="440B1D38"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5" w:type="pct"/>
          </w:tcPr>
          <w:p w14:paraId="796CD5B7"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198" w:type="pct"/>
          </w:tcPr>
          <w:p w14:paraId="5F4FCEA8"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47" w:type="pct"/>
          </w:tcPr>
          <w:p w14:paraId="13B7E291"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r>
      <w:tr w:rsidR="00874D3A" w:rsidRPr="007E41C5" w14:paraId="12DDA60B" w14:textId="77777777" w:rsidTr="0085533B">
        <w:trPr>
          <w:jc w:val="center"/>
        </w:trPr>
        <w:tc>
          <w:tcPr>
            <w:tcW w:w="333" w:type="pct"/>
            <w:shd w:val="pct25" w:color="auto" w:fill="auto"/>
          </w:tcPr>
          <w:p w14:paraId="718A0AA7" w14:textId="77777777" w:rsidR="00874D3A" w:rsidRPr="001B1197" w:rsidRDefault="00874D3A" w:rsidP="00874D3A">
            <w:pPr>
              <w:spacing w:after="60"/>
              <w:rPr>
                <w:rFonts w:ascii="Times New Roman" w:eastAsia="Calibri" w:hAnsi="Times New Roman" w:cs="Times New Roman"/>
                <w:i/>
                <w:noProof/>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bottom"/>
          </w:tcPr>
          <w:p w14:paraId="57C7935D" w14:textId="77777777" w:rsidR="00874D3A" w:rsidRPr="007E41C5" w:rsidRDefault="00874D3A" w:rsidP="00874D3A">
            <w:pPr>
              <w:rPr>
                <w:rFonts w:ascii="Times New Roman" w:eastAsia="Calibri" w:hAnsi="Times New Roman" w:cs="Times New Roman"/>
                <w:i/>
                <w:noProof/>
                <w:sz w:val="16"/>
                <w:szCs w:val="20"/>
                <w:highlight w:val="yellow"/>
              </w:rPr>
            </w:pPr>
          </w:p>
        </w:tc>
        <w:tc>
          <w:tcPr>
            <w:tcW w:w="402" w:type="pct"/>
          </w:tcPr>
          <w:p w14:paraId="1E6D49CD" w14:textId="77777777" w:rsidR="00874D3A" w:rsidRPr="007E41C5" w:rsidRDefault="00874D3A" w:rsidP="00874D3A">
            <w:pPr>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OCTP</w:t>
            </w:r>
          </w:p>
        </w:tc>
        <w:tc>
          <w:tcPr>
            <w:tcW w:w="396" w:type="pct"/>
          </w:tcPr>
          <w:p w14:paraId="61B51057"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6" w:type="pct"/>
          </w:tcPr>
          <w:p w14:paraId="7A40D5C2"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5" w:type="pct"/>
          </w:tcPr>
          <w:p w14:paraId="245572DB"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6" w:type="pct"/>
          </w:tcPr>
          <w:p w14:paraId="7D240D4D"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7" w:type="pct"/>
          </w:tcPr>
          <w:p w14:paraId="6B1F49B1"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5" w:type="pct"/>
          </w:tcPr>
          <w:p w14:paraId="2A5AFBEB"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7" w:type="pct"/>
          </w:tcPr>
          <w:p w14:paraId="7F7F4082"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5" w:type="pct"/>
          </w:tcPr>
          <w:p w14:paraId="4FDAA8C5"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198" w:type="pct"/>
          </w:tcPr>
          <w:p w14:paraId="12897CFD"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47" w:type="pct"/>
          </w:tcPr>
          <w:p w14:paraId="3F8CAD35"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r>
      <w:tr w:rsidR="00874D3A" w:rsidRPr="007E41C5" w14:paraId="4A00428C" w14:textId="77777777" w:rsidTr="0085533B">
        <w:trPr>
          <w:jc w:val="center"/>
        </w:trPr>
        <w:tc>
          <w:tcPr>
            <w:tcW w:w="333" w:type="pct"/>
            <w:shd w:val="pct25" w:color="auto" w:fill="auto"/>
          </w:tcPr>
          <w:p w14:paraId="5C37BB07" w14:textId="77777777" w:rsidR="00874D3A" w:rsidRPr="001B1197" w:rsidRDefault="00874D3A" w:rsidP="00874D3A">
            <w:pPr>
              <w:spacing w:after="60"/>
              <w:rPr>
                <w:rFonts w:ascii="Times New Roman" w:eastAsia="Calibri" w:hAnsi="Times New Roman" w:cs="Times New Roman"/>
                <w:i/>
                <w:noProof/>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bottom"/>
          </w:tcPr>
          <w:p w14:paraId="610EDCE0" w14:textId="77777777" w:rsidR="00874D3A" w:rsidRPr="007E41C5" w:rsidRDefault="00874D3A" w:rsidP="00874D3A">
            <w:pPr>
              <w:rPr>
                <w:rFonts w:ascii="Times New Roman" w:eastAsia="Calibri" w:hAnsi="Times New Roman" w:cs="Times New Roman"/>
                <w:i/>
                <w:noProof/>
                <w:sz w:val="16"/>
                <w:szCs w:val="20"/>
                <w:highlight w:val="yellow"/>
              </w:rPr>
            </w:pPr>
          </w:p>
        </w:tc>
        <w:tc>
          <w:tcPr>
            <w:tcW w:w="402" w:type="pct"/>
          </w:tcPr>
          <w:p w14:paraId="123C5558" w14:textId="77777777" w:rsidR="00874D3A" w:rsidRPr="007E41C5" w:rsidRDefault="00874D3A" w:rsidP="00874D3A">
            <w:pPr>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Interreg funds</w:t>
            </w:r>
          </w:p>
        </w:tc>
        <w:tc>
          <w:tcPr>
            <w:tcW w:w="396" w:type="pct"/>
          </w:tcPr>
          <w:p w14:paraId="2FA2CDE3"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6" w:type="pct"/>
          </w:tcPr>
          <w:p w14:paraId="13C14ACB"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5" w:type="pct"/>
          </w:tcPr>
          <w:p w14:paraId="795F129A"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6" w:type="pct"/>
          </w:tcPr>
          <w:p w14:paraId="4F599B60"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7" w:type="pct"/>
          </w:tcPr>
          <w:p w14:paraId="3BAA8E69"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95" w:type="pct"/>
          </w:tcPr>
          <w:p w14:paraId="19263880"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7" w:type="pct"/>
          </w:tcPr>
          <w:p w14:paraId="6A523E9E"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445" w:type="pct"/>
          </w:tcPr>
          <w:p w14:paraId="70393579"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198" w:type="pct"/>
          </w:tcPr>
          <w:p w14:paraId="5DC54962"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c>
          <w:tcPr>
            <w:tcW w:w="347" w:type="pct"/>
          </w:tcPr>
          <w:p w14:paraId="749D1A20"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r>
      <w:tr w:rsidR="00874D3A" w:rsidRPr="007E41C5" w14:paraId="68DA8C9B" w14:textId="77777777" w:rsidTr="0085533B">
        <w:trPr>
          <w:jc w:val="center"/>
        </w:trPr>
        <w:tc>
          <w:tcPr>
            <w:tcW w:w="333" w:type="pct"/>
            <w:shd w:val="pct25" w:color="auto" w:fill="auto"/>
          </w:tcPr>
          <w:p w14:paraId="0705D7B2" w14:textId="77777777" w:rsidR="00874D3A" w:rsidRPr="001B1197" w:rsidRDefault="00874D3A" w:rsidP="00874D3A">
            <w:pPr>
              <w:spacing w:after="60"/>
              <w:rPr>
                <w:rFonts w:ascii="Times New Roman" w:eastAsia="Calibri" w:hAnsi="Times New Roman" w:cs="Times New Roman"/>
                <w:b/>
                <w:i/>
                <w:noProof/>
                <w:sz w:val="16"/>
                <w:szCs w:val="16"/>
              </w:rPr>
            </w:pPr>
          </w:p>
        </w:tc>
        <w:tc>
          <w:tcPr>
            <w:tcW w:w="353" w:type="pct"/>
            <w:tcBorders>
              <w:top w:val="nil"/>
              <w:left w:val="single" w:sz="4" w:space="0" w:color="auto"/>
              <w:bottom w:val="single" w:sz="4" w:space="0" w:color="auto"/>
              <w:right w:val="single" w:sz="4" w:space="0" w:color="auto"/>
            </w:tcBorders>
            <w:shd w:val="clear" w:color="auto" w:fill="auto"/>
            <w:vAlign w:val="bottom"/>
          </w:tcPr>
          <w:p w14:paraId="06306B2F" w14:textId="77777777" w:rsidR="00874D3A" w:rsidRPr="007E41C5" w:rsidRDefault="00874D3A" w:rsidP="00874D3A">
            <w:pPr>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Total</w:t>
            </w:r>
          </w:p>
        </w:tc>
        <w:tc>
          <w:tcPr>
            <w:tcW w:w="402" w:type="pct"/>
            <w:tcBorders>
              <w:top w:val="nil"/>
              <w:left w:val="nil"/>
              <w:bottom w:val="single" w:sz="4" w:space="0" w:color="auto"/>
              <w:right w:val="single" w:sz="4" w:space="0" w:color="auto"/>
            </w:tcBorders>
            <w:shd w:val="clear" w:color="auto" w:fill="auto"/>
            <w:vAlign w:val="bottom"/>
          </w:tcPr>
          <w:p w14:paraId="0A8CA14D" w14:textId="77777777" w:rsidR="00874D3A" w:rsidRPr="007E41C5" w:rsidRDefault="00874D3A" w:rsidP="00874D3A">
            <w:pPr>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All funds</w:t>
            </w:r>
          </w:p>
        </w:tc>
        <w:tc>
          <w:tcPr>
            <w:tcW w:w="396" w:type="pct"/>
            <w:tcBorders>
              <w:top w:val="single" w:sz="4" w:space="0" w:color="auto"/>
              <w:left w:val="single" w:sz="4" w:space="0" w:color="auto"/>
              <w:bottom w:val="single" w:sz="4" w:space="0" w:color="auto"/>
              <w:right w:val="single" w:sz="4" w:space="0" w:color="auto"/>
            </w:tcBorders>
            <w:shd w:val="clear" w:color="auto" w:fill="auto"/>
            <w:vAlign w:val="bottom"/>
          </w:tcPr>
          <w:p w14:paraId="5014B56D"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 xml:space="preserve">Total eligible cost </w:t>
            </w:r>
          </w:p>
        </w:tc>
        <w:tc>
          <w:tcPr>
            <w:tcW w:w="446" w:type="pct"/>
            <w:tcBorders>
              <w:top w:val="single" w:sz="4" w:space="0" w:color="auto"/>
              <w:left w:val="nil"/>
              <w:bottom w:val="single" w:sz="4" w:space="0" w:color="auto"/>
              <w:right w:val="single" w:sz="4" w:space="0" w:color="auto"/>
            </w:tcBorders>
            <w:shd w:val="clear" w:color="auto" w:fill="auto"/>
            <w:vAlign w:val="bottom"/>
          </w:tcPr>
          <w:p w14:paraId="4581081D"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26 479 540,00</w:t>
            </w:r>
          </w:p>
        </w:tc>
        <w:tc>
          <w:tcPr>
            <w:tcW w:w="445" w:type="pct"/>
            <w:tcBorders>
              <w:top w:val="single" w:sz="4" w:space="0" w:color="auto"/>
              <w:left w:val="nil"/>
              <w:bottom w:val="single" w:sz="4" w:space="0" w:color="auto"/>
              <w:right w:val="single" w:sz="4" w:space="0" w:color="auto"/>
            </w:tcBorders>
            <w:shd w:val="clear" w:color="auto" w:fill="auto"/>
            <w:vAlign w:val="bottom"/>
          </w:tcPr>
          <w:p w14:paraId="0221217F"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24 072 309,10</w:t>
            </w:r>
          </w:p>
        </w:tc>
        <w:tc>
          <w:tcPr>
            <w:tcW w:w="396" w:type="pct"/>
            <w:tcBorders>
              <w:top w:val="single" w:sz="4" w:space="0" w:color="auto"/>
              <w:left w:val="nil"/>
              <w:bottom w:val="single" w:sz="4" w:space="0" w:color="auto"/>
              <w:right w:val="single" w:sz="4" w:space="0" w:color="auto"/>
            </w:tcBorders>
            <w:shd w:val="clear" w:color="auto" w:fill="auto"/>
            <w:vAlign w:val="bottom"/>
          </w:tcPr>
          <w:p w14:paraId="4C0EBA43"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2 407 230,90</w:t>
            </w:r>
          </w:p>
        </w:tc>
        <w:tc>
          <w:tcPr>
            <w:tcW w:w="397" w:type="pct"/>
            <w:tcBorders>
              <w:top w:val="single" w:sz="4" w:space="0" w:color="auto"/>
              <w:left w:val="nil"/>
              <w:bottom w:val="single" w:sz="4" w:space="0" w:color="auto"/>
              <w:right w:val="single" w:sz="4" w:space="0" w:color="auto"/>
            </w:tcBorders>
            <w:shd w:val="clear" w:color="auto" w:fill="auto"/>
            <w:vAlign w:val="bottom"/>
          </w:tcPr>
          <w:p w14:paraId="6C0C6DDD"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4 672 860,05</w:t>
            </w:r>
          </w:p>
        </w:tc>
        <w:tc>
          <w:tcPr>
            <w:tcW w:w="395" w:type="pct"/>
            <w:tcBorders>
              <w:top w:val="single" w:sz="4" w:space="0" w:color="auto"/>
              <w:left w:val="nil"/>
              <w:bottom w:val="single" w:sz="4" w:space="0" w:color="auto"/>
              <w:right w:val="single" w:sz="4" w:space="0" w:color="auto"/>
            </w:tcBorders>
            <w:shd w:val="clear" w:color="auto" w:fill="auto"/>
            <w:vAlign w:val="bottom"/>
          </w:tcPr>
          <w:p w14:paraId="33DF99BE"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2 336 430,04</w:t>
            </w:r>
          </w:p>
        </w:tc>
        <w:tc>
          <w:tcPr>
            <w:tcW w:w="447" w:type="pct"/>
            <w:tcBorders>
              <w:top w:val="single" w:sz="4" w:space="0" w:color="auto"/>
              <w:left w:val="nil"/>
              <w:bottom w:val="single" w:sz="4" w:space="0" w:color="auto"/>
              <w:right w:val="single" w:sz="4" w:space="0" w:color="auto"/>
            </w:tcBorders>
            <w:shd w:val="clear" w:color="auto" w:fill="auto"/>
            <w:vAlign w:val="bottom"/>
          </w:tcPr>
          <w:p w14:paraId="2419DB94"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2 336 430,02</w:t>
            </w:r>
          </w:p>
        </w:tc>
        <w:tc>
          <w:tcPr>
            <w:tcW w:w="445" w:type="pct"/>
            <w:tcBorders>
              <w:top w:val="single" w:sz="4" w:space="0" w:color="auto"/>
              <w:left w:val="nil"/>
              <w:bottom w:val="single" w:sz="4" w:space="0" w:color="auto"/>
              <w:right w:val="single" w:sz="4" w:space="0" w:color="auto"/>
            </w:tcBorders>
            <w:shd w:val="clear" w:color="auto" w:fill="auto"/>
            <w:vAlign w:val="bottom"/>
          </w:tcPr>
          <w:p w14:paraId="0F09702B"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31 152 400,05</w:t>
            </w:r>
          </w:p>
        </w:tc>
        <w:tc>
          <w:tcPr>
            <w:tcW w:w="198" w:type="pct"/>
            <w:tcBorders>
              <w:top w:val="single" w:sz="4" w:space="0" w:color="auto"/>
              <w:left w:val="nil"/>
              <w:bottom w:val="single" w:sz="4" w:space="0" w:color="auto"/>
              <w:right w:val="single" w:sz="4" w:space="0" w:color="auto"/>
            </w:tcBorders>
            <w:shd w:val="clear" w:color="auto" w:fill="auto"/>
            <w:vAlign w:val="bottom"/>
          </w:tcPr>
          <w:p w14:paraId="7820EC52" w14:textId="77777777" w:rsidR="00874D3A" w:rsidRPr="007E41C5" w:rsidRDefault="00874D3A" w:rsidP="00874D3A">
            <w:pPr>
              <w:spacing w:after="60"/>
              <w:rPr>
                <w:rFonts w:ascii="Times New Roman" w:eastAsia="Calibri" w:hAnsi="Times New Roman" w:cs="Times New Roman"/>
                <w:i/>
                <w:noProof/>
                <w:sz w:val="16"/>
                <w:szCs w:val="20"/>
                <w:highlight w:val="yellow"/>
              </w:rPr>
            </w:pPr>
            <w:r w:rsidRPr="007E41C5">
              <w:rPr>
                <w:rFonts w:ascii="Times New Roman" w:eastAsia="Calibri" w:hAnsi="Times New Roman" w:cs="Times New Roman"/>
                <w:i/>
                <w:noProof/>
                <w:sz w:val="16"/>
                <w:szCs w:val="20"/>
                <w:highlight w:val="yellow"/>
              </w:rPr>
              <w:t>0,85</w:t>
            </w:r>
          </w:p>
        </w:tc>
        <w:tc>
          <w:tcPr>
            <w:tcW w:w="347" w:type="pct"/>
          </w:tcPr>
          <w:p w14:paraId="221709AA" w14:textId="77777777" w:rsidR="00874D3A" w:rsidRPr="007E41C5" w:rsidRDefault="00874D3A" w:rsidP="00874D3A">
            <w:pPr>
              <w:spacing w:after="60"/>
              <w:rPr>
                <w:rFonts w:ascii="Times New Roman" w:eastAsia="Calibri" w:hAnsi="Times New Roman" w:cs="Times New Roman"/>
                <w:i/>
                <w:noProof/>
                <w:sz w:val="16"/>
                <w:szCs w:val="16"/>
                <w:highlight w:val="yellow"/>
              </w:rPr>
            </w:pPr>
          </w:p>
        </w:tc>
      </w:tr>
    </w:tbl>
    <w:p w14:paraId="23510BF3" w14:textId="77777777" w:rsidR="001B1197" w:rsidRPr="001B1197" w:rsidRDefault="001B1197" w:rsidP="001B1197">
      <w:pPr>
        <w:spacing w:after="120" w:line="240" w:lineRule="auto"/>
        <w:jc w:val="both"/>
        <w:rPr>
          <w:rFonts w:ascii="Times New Roman" w:eastAsia="Calibri" w:hAnsi="Times New Roman" w:cs="Times New Roman"/>
          <w:i/>
          <w:noProof/>
          <w:sz w:val="24"/>
          <w:szCs w:val="24"/>
        </w:rPr>
        <w:sectPr w:rsidR="001B1197" w:rsidRPr="001B1197" w:rsidSect="00CD1943">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134" w:bottom="1134" w:left="1134" w:header="567" w:footer="567" w:gutter="0"/>
          <w:cols w:space="708"/>
          <w:docGrid w:linePitch="360"/>
        </w:sectPr>
      </w:pPr>
    </w:p>
    <w:p w14:paraId="7744237E" w14:textId="77777777" w:rsidR="001B1197" w:rsidRPr="00693DE0" w:rsidRDefault="001B1197" w:rsidP="00DE386A">
      <w:pPr>
        <w:spacing w:after="200" w:line="276" w:lineRule="auto"/>
        <w:rPr>
          <w:rFonts w:ascii="Times New Roman" w:eastAsia="Times New Roman" w:hAnsi="Times New Roman" w:cs="Times New Roman"/>
          <w:iCs/>
          <w:noProof/>
          <w:sz w:val="24"/>
          <w:szCs w:val="24"/>
          <w:lang w:eastAsia="en-GB"/>
        </w:rPr>
      </w:pPr>
    </w:p>
    <w:p w14:paraId="0C129E26" w14:textId="77777777" w:rsidR="00693DE0" w:rsidRPr="00693DE0" w:rsidRDefault="00693DE0" w:rsidP="00693DE0">
      <w:pPr>
        <w:spacing w:after="200" w:line="276" w:lineRule="auto"/>
        <w:jc w:val="center"/>
        <w:rPr>
          <w:rFonts w:ascii="Times New Roman" w:eastAsia="Times New Roman" w:hAnsi="Times New Roman" w:cs="Times New Roman"/>
          <w:iCs/>
          <w:noProof/>
          <w:sz w:val="24"/>
          <w:szCs w:val="24"/>
          <w:lang w:eastAsia="en-GB"/>
        </w:rPr>
      </w:pPr>
    </w:p>
    <w:p w14:paraId="4149D792" w14:textId="77777777" w:rsidR="00A10ECC" w:rsidRPr="00BA7B95" w:rsidRDefault="00A10ECC" w:rsidP="00BA7B95">
      <w:pPr>
        <w:pStyle w:val="ListParagraph"/>
        <w:numPr>
          <w:ilvl w:val="0"/>
          <w:numId w:val="1"/>
        </w:numPr>
        <w:spacing w:before="240" w:after="240" w:line="240" w:lineRule="auto"/>
        <w:rPr>
          <w:rFonts w:ascii="Times New Roman" w:eastAsia="Times New Roman" w:hAnsi="Times New Roman" w:cs="Times New Roman"/>
          <w:b/>
          <w:iCs/>
          <w:noProof/>
          <w:sz w:val="24"/>
          <w:szCs w:val="24"/>
          <w:lang w:val="bg-BG" w:eastAsia="en-GB"/>
        </w:rPr>
      </w:pPr>
      <w:r w:rsidRPr="00BA7B95">
        <w:rPr>
          <w:rFonts w:ascii="Times New Roman" w:eastAsia="Times New Roman" w:hAnsi="Times New Roman" w:cs="Times New Roman"/>
          <w:b/>
          <w:iCs/>
          <w:noProof/>
          <w:sz w:val="24"/>
          <w:szCs w:val="24"/>
          <w:lang w:eastAsia="en-GB"/>
        </w:rPr>
        <w:t>Action taken to involve the relevant programme partners in the preparation of the Interreg programme and the role of those programme partners in the implementation, monitoring and evaluation</w:t>
      </w:r>
    </w:p>
    <w:p w14:paraId="48DFC59E" w14:textId="77777777" w:rsidR="00A10ECC" w:rsidRPr="00A10ECC" w:rsidRDefault="00A10ECC" w:rsidP="00A10ECC">
      <w:pPr>
        <w:spacing w:after="200" w:line="276" w:lineRule="auto"/>
        <w:jc w:val="both"/>
        <w:rPr>
          <w:rFonts w:ascii="Times New Roman" w:eastAsia="Times New Roman" w:hAnsi="Times New Roman" w:cs="Times New Roman"/>
          <w:b/>
          <w:i/>
          <w:iCs/>
          <w:noProof/>
          <w:sz w:val="24"/>
          <w:szCs w:val="24"/>
          <w:lang w:eastAsia="en-GB"/>
        </w:rPr>
      </w:pPr>
      <w:r w:rsidRPr="00A10ECC">
        <w:rPr>
          <w:rFonts w:ascii="Times New Roman" w:eastAsia="Times New Roman" w:hAnsi="Times New Roman" w:cs="Times New Roman"/>
          <w:i/>
          <w:noProof/>
          <w:color w:val="000000"/>
          <w:sz w:val="24"/>
          <w:szCs w:val="24"/>
          <w:lang w:eastAsia="en-GB"/>
        </w:rPr>
        <w:t>Reference: point (g) of Article 17(3)</w:t>
      </w:r>
    </w:p>
    <w:tbl>
      <w:tblPr>
        <w:tblStyle w:val="TableGrid1"/>
        <w:tblW w:w="9394" w:type="dxa"/>
        <w:tblLook w:val="04A0" w:firstRow="1" w:lastRow="0" w:firstColumn="1" w:lastColumn="0" w:noHBand="0" w:noVBand="1"/>
      </w:tblPr>
      <w:tblGrid>
        <w:gridCol w:w="9394"/>
      </w:tblGrid>
      <w:tr w:rsidR="00A10ECC" w:rsidRPr="00A10ECC" w14:paraId="536A398C" w14:textId="77777777" w:rsidTr="00CD1943">
        <w:trPr>
          <w:trHeight w:val="489"/>
        </w:trPr>
        <w:tc>
          <w:tcPr>
            <w:tcW w:w="9394" w:type="dxa"/>
          </w:tcPr>
          <w:p w14:paraId="4BAD2679" w14:textId="77777777" w:rsidR="00904D33" w:rsidRDefault="00A10ECC" w:rsidP="00BA7B95">
            <w:pPr>
              <w:spacing w:after="120"/>
              <w:rPr>
                <w:rFonts w:ascii="Times New Roman" w:eastAsia="Times New Roman" w:hAnsi="Times New Roman" w:cs="Times New Roman"/>
                <w:i/>
                <w:noProof/>
                <w:color w:val="000000"/>
                <w:lang w:val="en-US" w:eastAsia="en-GB"/>
              </w:rPr>
            </w:pPr>
            <w:r w:rsidRPr="00A10ECC">
              <w:rPr>
                <w:rFonts w:ascii="Times New Roman" w:eastAsia="Times New Roman" w:hAnsi="Times New Roman" w:cs="Times New Roman"/>
                <w:i/>
                <w:noProof/>
                <w:color w:val="000000"/>
                <w:lang w:eastAsia="en-GB"/>
              </w:rPr>
              <w:t>Text field [10</w:t>
            </w:r>
            <w:r w:rsidR="00920B92">
              <w:rPr>
                <w:rFonts w:ascii="Times New Roman" w:eastAsia="Times New Roman" w:hAnsi="Times New Roman" w:cs="Times New Roman"/>
                <w:i/>
                <w:noProof/>
                <w:color w:val="000000"/>
                <w:lang w:eastAsia="en-GB"/>
              </w:rPr>
              <w:t> </w:t>
            </w:r>
            <w:r w:rsidRPr="00A10ECC">
              <w:rPr>
                <w:rFonts w:ascii="Times New Roman" w:eastAsia="Times New Roman" w:hAnsi="Times New Roman" w:cs="Times New Roman"/>
                <w:i/>
                <w:noProof/>
                <w:color w:val="000000"/>
                <w:lang w:eastAsia="en-GB"/>
              </w:rPr>
              <w:t>000]</w:t>
            </w:r>
          </w:p>
          <w:p w14:paraId="4CA9D542" w14:textId="77777777" w:rsidR="00904D33" w:rsidRPr="00BA7B95" w:rsidRDefault="00904D33" w:rsidP="00920B92">
            <w:pPr>
              <w:spacing w:after="120" w:line="276" w:lineRule="auto"/>
              <w:jc w:val="both"/>
              <w:rPr>
                <w:rFonts w:ascii="Times New Roman" w:eastAsia="Times New Roman" w:hAnsi="Times New Roman" w:cs="Times New Roman"/>
                <w:b/>
                <w:i/>
                <w:noProof/>
                <w:color w:val="000000"/>
                <w:u w:val="single"/>
                <w:lang w:val="en-US" w:eastAsia="en-GB"/>
              </w:rPr>
            </w:pPr>
            <w:r w:rsidRPr="00BA7B95">
              <w:rPr>
                <w:rFonts w:ascii="Times New Roman" w:eastAsia="Times New Roman" w:hAnsi="Times New Roman" w:cs="Times New Roman"/>
                <w:b/>
                <w:i/>
                <w:noProof/>
                <w:color w:val="000000"/>
                <w:u w:val="single"/>
                <w:lang w:val="en-US" w:eastAsia="en-GB"/>
              </w:rPr>
              <w:t>Joint Working Group</w:t>
            </w:r>
            <w:r w:rsidR="0035206E">
              <w:rPr>
                <w:rFonts w:ascii="Times New Roman" w:eastAsia="Times New Roman" w:hAnsi="Times New Roman" w:cs="Times New Roman"/>
                <w:b/>
                <w:i/>
                <w:noProof/>
                <w:color w:val="000000"/>
                <w:u w:val="single"/>
                <w:lang w:val="en-US" w:eastAsia="en-GB"/>
              </w:rPr>
              <w:t xml:space="preserve"> (JWG)</w:t>
            </w:r>
          </w:p>
          <w:p w14:paraId="2A6734FF" w14:textId="77777777" w:rsidR="00920B92" w:rsidRPr="00920B92" w:rsidRDefault="00920B92" w:rsidP="00920B92">
            <w:pPr>
              <w:spacing w:after="120" w:line="276" w:lineRule="auto"/>
              <w:jc w:val="both"/>
              <w:rPr>
                <w:rFonts w:ascii="Times New Roman" w:eastAsia="Times New Roman" w:hAnsi="Times New Roman" w:cs="Times New Roman"/>
                <w:i/>
                <w:noProof/>
                <w:color w:val="000000"/>
                <w:lang w:val="en-US" w:eastAsia="en-GB"/>
              </w:rPr>
            </w:pPr>
            <w:r w:rsidRPr="00920B92">
              <w:rPr>
                <w:rFonts w:ascii="Times New Roman" w:eastAsia="Times New Roman" w:hAnsi="Times New Roman" w:cs="Times New Roman"/>
                <w:i/>
                <w:noProof/>
                <w:color w:val="000000"/>
                <w:lang w:val="en-US" w:eastAsia="en-GB"/>
              </w:rPr>
              <w:t>Whilst acknowledging all the needs and challenges at the level of the programme area, as part of the programming process and in line with a bottom-up approach, a wide consultation process took place, building on the multi-level governance approach, involving public &amp; civil society actors at all stages of the process.</w:t>
            </w:r>
          </w:p>
          <w:p w14:paraId="5468E351" w14:textId="77777777" w:rsidR="00920B92" w:rsidRPr="00920B92" w:rsidRDefault="00920B92" w:rsidP="00920B92">
            <w:pPr>
              <w:spacing w:after="120" w:line="276" w:lineRule="auto"/>
              <w:jc w:val="both"/>
              <w:rPr>
                <w:rFonts w:ascii="Times New Roman" w:eastAsia="Times New Roman" w:hAnsi="Times New Roman" w:cs="Times New Roman"/>
                <w:i/>
                <w:noProof/>
                <w:color w:val="000000"/>
                <w:lang w:val="en-US" w:eastAsia="en-GB"/>
              </w:rPr>
            </w:pPr>
            <w:r w:rsidRPr="00920B92">
              <w:rPr>
                <w:rFonts w:ascii="Times New Roman" w:eastAsia="Times New Roman" w:hAnsi="Times New Roman" w:cs="Times New Roman"/>
                <w:i/>
                <w:noProof/>
                <w:color w:val="000000"/>
                <w:lang w:val="en-US" w:eastAsia="en-GB"/>
              </w:rPr>
              <w:t xml:space="preserve">In October 2019 a Joint Working Group (JWG) has been set up for elaboration of the Programme. One of its main tasks was to periodicaly review and make suggestions and proposals to the programming progress as well as to approve  the main stages of the programme preparation and finally the Programme as a whole. </w:t>
            </w:r>
          </w:p>
          <w:p w14:paraId="56E57B9B" w14:textId="77777777" w:rsidR="006201D6" w:rsidRPr="006201D6" w:rsidRDefault="00920B92" w:rsidP="006201D6">
            <w:pPr>
              <w:spacing w:after="120" w:line="276" w:lineRule="auto"/>
              <w:jc w:val="both"/>
              <w:rPr>
                <w:rFonts w:ascii="Times New Roman" w:eastAsia="Times New Roman" w:hAnsi="Times New Roman" w:cs="Times New Roman"/>
                <w:i/>
                <w:noProof/>
                <w:color w:val="000000"/>
                <w:lang w:val="en-US" w:eastAsia="en-GB"/>
              </w:rPr>
            </w:pPr>
            <w:r w:rsidRPr="00920B92">
              <w:rPr>
                <w:rFonts w:ascii="Times New Roman" w:eastAsia="Times New Roman" w:hAnsi="Times New Roman" w:cs="Times New Roman"/>
                <w:i/>
                <w:noProof/>
                <w:color w:val="000000"/>
                <w:lang w:val="en-US" w:eastAsia="en-GB"/>
              </w:rPr>
              <w:t xml:space="preserve">The JWG members were nominated in accordance with the relevant institutional and legal framework and respecting the partnership principle. The JWG is composed of a balanced number of representatives of the two partnering countries, including representatives of public authorities (national, regional and local), economic and social partners, relevant bodies representing civil society, including environmental partners, non-governmental organisations, and bodies responsible for promoting social inclusion, gender equality and non-discrimination. </w:t>
            </w:r>
            <w:r w:rsidR="006201D6" w:rsidRPr="006201D6">
              <w:rPr>
                <w:rFonts w:ascii="Times New Roman" w:eastAsia="Times New Roman" w:hAnsi="Times New Roman" w:cs="Times New Roman"/>
                <w:i/>
                <w:noProof/>
                <w:color w:val="000000"/>
                <w:lang w:val="en-US" w:eastAsia="en-GB"/>
              </w:rPr>
              <w:t>The following documents have been adopted by the JWG:</w:t>
            </w:r>
          </w:p>
          <w:p w14:paraId="3CC3D9B4" w14:textId="77777777" w:rsidR="006201D6" w:rsidRPr="006201D6" w:rsidRDefault="006201D6" w:rsidP="006201D6">
            <w:pPr>
              <w:numPr>
                <w:ilvl w:val="0"/>
                <w:numId w:val="5"/>
              </w:numPr>
              <w:spacing w:after="120" w:line="276" w:lineRule="auto"/>
              <w:jc w:val="both"/>
              <w:rPr>
                <w:rFonts w:ascii="Times New Roman" w:eastAsia="Times New Roman" w:hAnsi="Times New Roman" w:cs="Times New Roman"/>
                <w:i/>
                <w:noProof/>
                <w:color w:val="000000"/>
                <w:lang w:val="en-US" w:eastAsia="en-GB"/>
              </w:rPr>
            </w:pPr>
            <w:r w:rsidRPr="00920B92">
              <w:rPr>
                <w:rFonts w:ascii="Times New Roman" w:eastAsia="Times New Roman" w:hAnsi="Times New Roman" w:cs="Times New Roman"/>
                <w:i/>
                <w:noProof/>
                <w:color w:val="000000"/>
                <w:lang w:val="en-US" w:eastAsia="en-GB"/>
              </w:rPr>
              <w:t>The first meeting of the JWG took place in Sofia on 09.10.2019 on which Rules and procedures and a Concept note with a timeshedule for the pr</w:t>
            </w:r>
            <w:r w:rsidR="00D86EC4">
              <w:rPr>
                <w:rFonts w:ascii="Times New Roman" w:eastAsia="Times New Roman" w:hAnsi="Times New Roman" w:cs="Times New Roman"/>
                <w:i/>
                <w:noProof/>
                <w:color w:val="000000"/>
                <w:lang w:val="en-US" w:eastAsia="en-GB"/>
              </w:rPr>
              <w:t>ogramming process were adopted;</w:t>
            </w:r>
          </w:p>
          <w:p w14:paraId="4083938D" w14:textId="77777777" w:rsidR="006201D6" w:rsidRPr="006201D6" w:rsidRDefault="006201D6" w:rsidP="006201D6">
            <w:pPr>
              <w:numPr>
                <w:ilvl w:val="0"/>
                <w:numId w:val="5"/>
              </w:numPr>
              <w:spacing w:after="120" w:line="276" w:lineRule="auto"/>
              <w:jc w:val="both"/>
              <w:rPr>
                <w:rFonts w:ascii="Times New Roman" w:eastAsia="Times New Roman" w:hAnsi="Times New Roman" w:cs="Times New Roman"/>
                <w:i/>
                <w:noProof/>
                <w:color w:val="000000"/>
                <w:lang w:val="en-US" w:eastAsia="en-GB"/>
              </w:rPr>
            </w:pPr>
            <w:r w:rsidRPr="006201D6">
              <w:rPr>
                <w:rFonts w:ascii="Times New Roman" w:eastAsia="Times New Roman" w:hAnsi="Times New Roman" w:cs="Times New Roman"/>
                <w:i/>
                <w:noProof/>
                <w:color w:val="000000"/>
                <w:lang w:val="en-US" w:eastAsia="en-GB"/>
              </w:rPr>
              <w:t xml:space="preserve">In </w:t>
            </w:r>
            <w:r>
              <w:rPr>
                <w:rFonts w:ascii="Times New Roman" w:eastAsia="Times New Roman" w:hAnsi="Times New Roman" w:cs="Times New Roman"/>
                <w:i/>
                <w:noProof/>
                <w:color w:val="000000"/>
                <w:lang w:val="en-US" w:eastAsia="en-GB"/>
              </w:rPr>
              <w:t xml:space="preserve">July </w:t>
            </w:r>
            <w:r w:rsidRPr="006201D6">
              <w:rPr>
                <w:rFonts w:ascii="Times New Roman" w:eastAsia="Times New Roman" w:hAnsi="Times New Roman" w:cs="Times New Roman"/>
                <w:i/>
                <w:noProof/>
                <w:color w:val="000000"/>
                <w:lang w:val="en-US" w:eastAsia="en-GB"/>
              </w:rPr>
              <w:t xml:space="preserve"> 2020 via written procedure the Territorial Analysis for Republic of Bulgaria - </w:t>
            </w:r>
            <w:r w:rsidR="00B802AF">
              <w:rPr>
                <w:rFonts w:ascii="Times New Roman" w:eastAsia="Times New Roman" w:hAnsi="Times New Roman" w:cs="Times New Roman"/>
                <w:i/>
                <w:noProof/>
                <w:color w:val="000000"/>
                <w:lang w:val="en-US" w:eastAsia="en-GB"/>
              </w:rPr>
              <w:t>[Republic of North Macedonia]</w:t>
            </w:r>
            <w:r w:rsidRPr="006201D6">
              <w:rPr>
                <w:rFonts w:ascii="Times New Roman" w:eastAsia="Times New Roman" w:hAnsi="Times New Roman" w:cs="Times New Roman"/>
                <w:i/>
                <w:noProof/>
                <w:color w:val="000000"/>
                <w:lang w:val="en-US" w:eastAsia="en-GB"/>
              </w:rPr>
              <w:t xml:space="preserve"> Cross-border Area including the SWOT analysis and conclusions was approved and a mandate has been given to the Managing Authority and National Authority to elaborate and present prop</w:t>
            </w:r>
            <w:r w:rsidR="00D86EC4">
              <w:rPr>
                <w:rFonts w:ascii="Times New Roman" w:eastAsia="Times New Roman" w:hAnsi="Times New Roman" w:cs="Times New Roman"/>
                <w:i/>
                <w:noProof/>
                <w:color w:val="000000"/>
                <w:lang w:val="en-US" w:eastAsia="en-GB"/>
              </w:rPr>
              <w:t>osal for the Intervention logic;</w:t>
            </w:r>
          </w:p>
          <w:p w14:paraId="12C054CD" w14:textId="77777777" w:rsidR="006201D6" w:rsidRPr="006201D6" w:rsidRDefault="006201D6" w:rsidP="006201D6">
            <w:pPr>
              <w:numPr>
                <w:ilvl w:val="0"/>
                <w:numId w:val="5"/>
              </w:numPr>
              <w:spacing w:after="120" w:line="276" w:lineRule="auto"/>
              <w:jc w:val="both"/>
              <w:rPr>
                <w:rFonts w:ascii="Times New Roman" w:eastAsia="Times New Roman" w:hAnsi="Times New Roman" w:cs="Times New Roman"/>
                <w:i/>
                <w:noProof/>
                <w:color w:val="000000"/>
                <w:lang w:val="en-US" w:eastAsia="en-GB"/>
              </w:rPr>
            </w:pPr>
            <w:r>
              <w:rPr>
                <w:rFonts w:ascii="Times New Roman" w:eastAsia="Times New Roman" w:hAnsi="Times New Roman" w:cs="Times New Roman"/>
                <w:i/>
                <w:noProof/>
                <w:color w:val="000000"/>
                <w:lang w:val="en-US" w:eastAsia="en-GB"/>
              </w:rPr>
              <w:t xml:space="preserve">Programme’s </w:t>
            </w:r>
            <w:r w:rsidRPr="006201D6">
              <w:rPr>
                <w:rFonts w:ascii="Times New Roman" w:eastAsia="Times New Roman" w:hAnsi="Times New Roman" w:cs="Times New Roman"/>
                <w:i/>
                <w:noProof/>
                <w:color w:val="000000"/>
                <w:lang w:val="en-US" w:eastAsia="en-GB"/>
              </w:rPr>
              <w:t>Intervention Logic was approved</w:t>
            </w:r>
            <w:r>
              <w:rPr>
                <w:rFonts w:ascii="Times New Roman" w:eastAsia="Times New Roman" w:hAnsi="Times New Roman" w:cs="Times New Roman"/>
                <w:i/>
                <w:noProof/>
                <w:color w:val="000000"/>
                <w:lang w:val="en-US" w:eastAsia="en-GB"/>
              </w:rPr>
              <w:t xml:space="preserve"> via written procedure in October 2020 as latter on the revised </w:t>
            </w:r>
            <w:r w:rsidRPr="006201D6">
              <w:rPr>
                <w:rFonts w:ascii="Times New Roman" w:eastAsia="Times New Roman" w:hAnsi="Times New Roman" w:cs="Times New Roman"/>
                <w:i/>
                <w:noProof/>
                <w:color w:val="000000"/>
                <w:lang w:val="en-US" w:eastAsia="en-GB"/>
              </w:rPr>
              <w:t xml:space="preserve"> </w:t>
            </w:r>
            <w:r>
              <w:rPr>
                <w:rFonts w:ascii="Times New Roman" w:eastAsia="Times New Roman" w:hAnsi="Times New Roman" w:cs="Times New Roman"/>
                <w:i/>
                <w:noProof/>
                <w:color w:val="000000"/>
                <w:lang w:val="en-US" w:eastAsia="en-GB"/>
              </w:rPr>
              <w:t xml:space="preserve">version of the Intervention logic, updated </w:t>
            </w:r>
            <w:r w:rsidRPr="006201D6">
              <w:rPr>
                <w:rFonts w:ascii="Times New Roman" w:eastAsia="Times New Roman" w:hAnsi="Times New Roman" w:cs="Times New Roman"/>
                <w:i/>
                <w:noProof/>
                <w:color w:val="000000"/>
                <w:lang w:val="en-US" w:eastAsia="en-GB"/>
              </w:rPr>
              <w:t xml:space="preserve"> according to the latest amendments in the draft Regulations</w:t>
            </w:r>
            <w:r>
              <w:rPr>
                <w:rFonts w:ascii="Times New Roman" w:eastAsia="Times New Roman" w:hAnsi="Times New Roman" w:cs="Times New Roman"/>
                <w:i/>
                <w:noProof/>
                <w:color w:val="000000"/>
                <w:lang w:val="en-US" w:eastAsia="en-GB"/>
              </w:rPr>
              <w:t>, had been approved on online meeting on 11 February 2021. A</w:t>
            </w:r>
            <w:r w:rsidRPr="006201D6">
              <w:rPr>
                <w:rFonts w:ascii="Times New Roman" w:eastAsia="Times New Roman" w:hAnsi="Times New Roman" w:cs="Times New Roman"/>
                <w:i/>
                <w:noProof/>
                <w:color w:val="000000"/>
                <w:lang w:val="en-US" w:eastAsia="en-GB"/>
              </w:rPr>
              <w:t xml:space="preserve"> mandate has been given to the Managing Authority and National Authority to elaborate and </w:t>
            </w:r>
            <w:r w:rsidRPr="006201D6">
              <w:rPr>
                <w:rFonts w:ascii="Times New Roman" w:eastAsia="Times New Roman" w:hAnsi="Times New Roman" w:cs="Times New Roman"/>
                <w:i/>
                <w:noProof/>
                <w:color w:val="000000"/>
                <w:lang w:eastAsia="en-GB"/>
              </w:rPr>
              <w:t>present proposal for Programme document</w:t>
            </w:r>
            <w:r w:rsidRPr="006201D6">
              <w:rPr>
                <w:rFonts w:ascii="Times New Roman" w:eastAsia="Times New Roman" w:hAnsi="Times New Roman" w:cs="Times New Roman"/>
                <w:i/>
                <w:noProof/>
                <w:color w:val="000000"/>
                <w:lang w:val="en-US" w:eastAsia="en-GB"/>
              </w:rPr>
              <w:t>.</w:t>
            </w:r>
          </w:p>
          <w:p w14:paraId="7782085F" w14:textId="2BD4FFB0" w:rsidR="006201D6" w:rsidRDefault="006201D6" w:rsidP="00920B92">
            <w:pPr>
              <w:spacing w:after="120" w:line="276" w:lineRule="auto"/>
              <w:jc w:val="both"/>
              <w:rPr>
                <w:rFonts w:ascii="Times New Roman" w:eastAsia="Times New Roman" w:hAnsi="Times New Roman" w:cs="Times New Roman"/>
                <w:i/>
                <w:noProof/>
                <w:color w:val="000000"/>
                <w:lang w:val="en-US" w:eastAsia="en-GB"/>
              </w:rPr>
            </w:pPr>
          </w:p>
          <w:p w14:paraId="528824CA" w14:textId="77777777" w:rsidR="00904D33" w:rsidRPr="00BA7B95" w:rsidRDefault="00904D33" w:rsidP="00920B92">
            <w:pPr>
              <w:spacing w:after="120" w:line="276" w:lineRule="auto"/>
              <w:jc w:val="both"/>
              <w:rPr>
                <w:rFonts w:ascii="Times New Roman" w:eastAsia="Times New Roman" w:hAnsi="Times New Roman" w:cs="Times New Roman"/>
                <w:b/>
                <w:i/>
                <w:noProof/>
                <w:color w:val="000000"/>
                <w:u w:val="single"/>
                <w:lang w:val="en-US" w:eastAsia="en-GB"/>
              </w:rPr>
            </w:pPr>
            <w:r w:rsidRPr="00BA7B95">
              <w:rPr>
                <w:rFonts w:ascii="Times New Roman" w:eastAsia="Times New Roman" w:hAnsi="Times New Roman" w:cs="Times New Roman"/>
                <w:b/>
                <w:i/>
                <w:noProof/>
                <w:color w:val="000000"/>
                <w:u w:val="single"/>
                <w:lang w:val="en-US" w:eastAsia="en-GB"/>
              </w:rPr>
              <w:t>Regional consultations</w:t>
            </w:r>
          </w:p>
          <w:p w14:paraId="4BF83206" w14:textId="77777777" w:rsidR="00920B92" w:rsidRPr="00920B92" w:rsidRDefault="00920B92" w:rsidP="00920B92">
            <w:pPr>
              <w:spacing w:after="120" w:line="276" w:lineRule="auto"/>
              <w:jc w:val="both"/>
              <w:rPr>
                <w:rFonts w:ascii="Times New Roman" w:eastAsia="Times New Roman" w:hAnsi="Times New Roman" w:cs="Times New Roman"/>
                <w:i/>
                <w:noProof/>
                <w:color w:val="000000"/>
                <w:lang w:val="en-US" w:eastAsia="en-GB"/>
              </w:rPr>
            </w:pPr>
            <w:r w:rsidRPr="00920B92">
              <w:rPr>
                <w:rFonts w:ascii="Times New Roman" w:eastAsia="Times New Roman" w:hAnsi="Times New Roman" w:cs="Times New Roman"/>
                <w:i/>
                <w:noProof/>
                <w:color w:val="000000"/>
                <w:lang w:val="en-US" w:eastAsia="en-GB"/>
              </w:rPr>
              <w:t>The establishment of the JWG was preceded by a large regional consultation process implemented in both countries. In September 2019 two meetings of regional focus groups were conducted, respectively in Blagoevgrad (Republic of Bulgaria) and in Strumica (</w:t>
            </w:r>
            <w:r w:rsidR="00B802AF">
              <w:rPr>
                <w:rFonts w:ascii="Times New Roman" w:eastAsia="Times New Roman" w:hAnsi="Times New Roman" w:cs="Times New Roman"/>
                <w:i/>
                <w:noProof/>
                <w:color w:val="000000"/>
                <w:lang w:val="en-US" w:eastAsia="en-GB"/>
              </w:rPr>
              <w:t>[Republic of North Macedonia]</w:t>
            </w:r>
            <w:r w:rsidRPr="00920B92">
              <w:rPr>
                <w:rFonts w:ascii="Times New Roman" w:eastAsia="Times New Roman" w:hAnsi="Times New Roman" w:cs="Times New Roman"/>
                <w:i/>
                <w:noProof/>
                <w:color w:val="000000"/>
                <w:lang w:val="en-US" w:eastAsia="en-GB"/>
              </w:rPr>
              <w:t xml:space="preserve">). Their aim was to identify the local needs and potentials, following the bottom-up approach and to incorporate proposals </w:t>
            </w:r>
            <w:r w:rsidRPr="00920B92">
              <w:rPr>
                <w:rFonts w:ascii="Times New Roman" w:eastAsia="Times New Roman" w:hAnsi="Times New Roman" w:cs="Times New Roman"/>
                <w:i/>
                <w:noProof/>
                <w:color w:val="000000"/>
                <w:lang w:val="en-US" w:eastAsia="en-GB"/>
              </w:rPr>
              <w:lastRenderedPageBreak/>
              <w:t xml:space="preserve">by the stakeholders regarding the prioritization of policy objectives and possible interventions. Representatives of wide range of relevant stakeholders took part in the meetings – among which local and regional authorities, educational institutions, local business, non-governmental organizations from the CBC region. </w:t>
            </w:r>
          </w:p>
          <w:p w14:paraId="0BA3E574" w14:textId="77777777" w:rsidR="00920B92" w:rsidRPr="00920B92" w:rsidRDefault="00920B92" w:rsidP="00920B92">
            <w:pPr>
              <w:spacing w:after="120" w:line="276" w:lineRule="auto"/>
              <w:jc w:val="both"/>
              <w:rPr>
                <w:rFonts w:ascii="Times New Roman" w:eastAsia="Times New Roman" w:hAnsi="Times New Roman" w:cs="Times New Roman"/>
                <w:i/>
                <w:noProof/>
                <w:color w:val="000000"/>
                <w:lang w:val="en-US" w:eastAsia="en-GB"/>
              </w:rPr>
            </w:pPr>
            <w:r w:rsidRPr="00920B92">
              <w:rPr>
                <w:rFonts w:ascii="Times New Roman" w:eastAsia="Times New Roman" w:hAnsi="Times New Roman" w:cs="Times New Roman"/>
                <w:i/>
                <w:noProof/>
                <w:color w:val="000000"/>
                <w:lang w:val="en-US" w:eastAsia="en-GB"/>
              </w:rPr>
              <w:t xml:space="preserve">Participants in the extensive cross-border regional consultations agreed on the need to propose joint measures to tackle the untapped tourism potential, that is different from the one related to ski and spa tourism, by addressing the underdeveloped tourist infrastructure. The regional and local stakeholders expressed willingness for including new type of beneficiaries, partnerships and activities (through a direct support to SMEs), but also insisted on the sustainability of the previous ones and on capitalizing the experience in cooperation between the two countries. </w:t>
            </w:r>
          </w:p>
          <w:p w14:paraId="29A63B61" w14:textId="77777777" w:rsidR="00920B92" w:rsidRPr="00920B92" w:rsidRDefault="00920B92" w:rsidP="00920B92">
            <w:pPr>
              <w:spacing w:after="120" w:line="276" w:lineRule="auto"/>
              <w:jc w:val="both"/>
              <w:rPr>
                <w:rFonts w:ascii="Times New Roman" w:eastAsia="Times New Roman" w:hAnsi="Times New Roman" w:cs="Times New Roman"/>
                <w:i/>
                <w:noProof/>
                <w:color w:val="000000"/>
                <w:lang w:val="en-US" w:eastAsia="en-GB"/>
              </w:rPr>
            </w:pPr>
            <w:r w:rsidRPr="00920B92">
              <w:rPr>
                <w:rFonts w:ascii="Times New Roman" w:eastAsia="Times New Roman" w:hAnsi="Times New Roman" w:cs="Times New Roman"/>
                <w:i/>
                <w:noProof/>
                <w:color w:val="000000"/>
                <w:lang w:val="en-US" w:eastAsia="en-GB"/>
              </w:rPr>
              <w:t>Policy objective 5 ‘Europe closer to citizens’ was supported by the participating stakeholders as the most suitable way for implementation of integrated measures that could contribute for solving common and diverse challenges in the border region.</w:t>
            </w:r>
          </w:p>
          <w:p w14:paraId="6940C078" w14:textId="77777777" w:rsidR="00920B92" w:rsidRPr="00920B92" w:rsidRDefault="00920B92" w:rsidP="00920B92">
            <w:pPr>
              <w:spacing w:after="120" w:line="276" w:lineRule="auto"/>
              <w:jc w:val="both"/>
              <w:rPr>
                <w:rFonts w:ascii="Times New Roman" w:eastAsia="Times New Roman" w:hAnsi="Times New Roman" w:cs="Times New Roman"/>
                <w:i/>
                <w:noProof/>
                <w:color w:val="000000"/>
                <w:lang w:val="en-US" w:eastAsia="en-GB"/>
              </w:rPr>
            </w:pPr>
            <w:r w:rsidRPr="00920B92">
              <w:rPr>
                <w:rFonts w:ascii="Times New Roman" w:eastAsia="Times New Roman" w:hAnsi="Times New Roman" w:cs="Times New Roman"/>
                <w:i/>
                <w:noProof/>
                <w:color w:val="000000"/>
                <w:lang w:val="en-US" w:eastAsia="en-GB"/>
              </w:rPr>
              <w:t>Implementation of measures dedicated to reduction of pollution and protection of the biodiversity under PO 2”Greener, low-carbon Europe” that will improve the protection of nature for the benefit of people and of the economy of the border region, was also discusses on the regional consultations.</w:t>
            </w:r>
          </w:p>
          <w:p w14:paraId="74249954" w14:textId="77777777" w:rsidR="00E33D58" w:rsidRDefault="00C21F31" w:rsidP="00920B92">
            <w:pPr>
              <w:spacing w:after="120" w:line="276" w:lineRule="auto"/>
              <w:jc w:val="both"/>
              <w:rPr>
                <w:rFonts w:ascii="Times New Roman" w:eastAsia="Times New Roman" w:hAnsi="Times New Roman" w:cs="Times New Roman"/>
                <w:i/>
                <w:noProof/>
                <w:color w:val="000000"/>
                <w:lang w:val="en-US" w:eastAsia="en-GB"/>
              </w:rPr>
            </w:pPr>
            <w:r w:rsidRPr="00C21F31">
              <w:rPr>
                <w:rFonts w:ascii="Times New Roman" w:eastAsia="Times New Roman" w:hAnsi="Times New Roman" w:cs="Times New Roman"/>
                <w:i/>
                <w:noProof/>
                <w:color w:val="000000"/>
                <w:lang w:val="en-US" w:eastAsia="en-GB"/>
              </w:rPr>
              <w:t xml:space="preserve">Under the consultation topic on connectivity, stakeholders brought back for discussion the opening of a new border cross-check point (BCCP) Klepalo connecting </w:t>
            </w:r>
            <w:r w:rsidR="005C4DC8" w:rsidRPr="00C21F31">
              <w:rPr>
                <w:rFonts w:ascii="Times New Roman" w:eastAsia="Times New Roman" w:hAnsi="Times New Roman" w:cs="Times New Roman"/>
                <w:i/>
                <w:noProof/>
                <w:color w:val="000000"/>
                <w:lang w:val="en-US" w:eastAsia="en-GB"/>
              </w:rPr>
              <w:t>Strum</w:t>
            </w:r>
            <w:r w:rsidR="005C4DC8">
              <w:rPr>
                <w:rFonts w:ascii="Times New Roman" w:eastAsia="Times New Roman" w:hAnsi="Times New Roman" w:cs="Times New Roman"/>
                <w:i/>
                <w:noProof/>
                <w:color w:val="000000"/>
                <w:lang w:val="en-US" w:eastAsia="en-GB"/>
              </w:rPr>
              <w:t>y</w:t>
            </w:r>
            <w:r w:rsidR="005C4DC8" w:rsidRPr="00C21F31">
              <w:rPr>
                <w:rFonts w:ascii="Times New Roman" w:eastAsia="Times New Roman" w:hAnsi="Times New Roman" w:cs="Times New Roman"/>
                <w:i/>
                <w:noProof/>
                <w:color w:val="000000"/>
                <w:lang w:val="en-US" w:eastAsia="en-GB"/>
              </w:rPr>
              <w:t xml:space="preserve">ani </w:t>
            </w:r>
            <w:r w:rsidRPr="00C21F31">
              <w:rPr>
                <w:rFonts w:ascii="Times New Roman" w:eastAsia="Times New Roman" w:hAnsi="Times New Roman" w:cs="Times New Roman"/>
                <w:i/>
                <w:noProof/>
                <w:color w:val="000000"/>
                <w:lang w:val="en-US" w:eastAsia="en-GB"/>
              </w:rPr>
              <w:t>and Berovo, whose governmental engagenements date back in 1999. All participants agreed on the multisectoral effects of the new BCCP that</w:t>
            </w:r>
            <w:r>
              <w:rPr>
                <w:rFonts w:ascii="Times New Roman" w:eastAsia="Times New Roman" w:hAnsi="Times New Roman" w:cs="Times New Roman"/>
                <w:i/>
                <w:noProof/>
                <w:color w:val="000000"/>
                <w:lang w:val="en-US" w:eastAsia="en-GB"/>
              </w:rPr>
              <w:t xml:space="preserve"> it might generate in</w:t>
            </w:r>
            <w:r w:rsidRPr="00C21F31">
              <w:rPr>
                <w:rFonts w:ascii="Times New Roman" w:eastAsia="Times New Roman" w:hAnsi="Times New Roman" w:cs="Times New Roman"/>
                <w:i/>
                <w:noProof/>
                <w:color w:val="000000"/>
                <w:lang w:val="en-US" w:eastAsia="en-GB"/>
              </w:rPr>
              <w:t xml:space="preserve"> the region</w:t>
            </w:r>
            <w:r>
              <w:rPr>
                <w:rFonts w:ascii="Times New Roman" w:eastAsia="Times New Roman" w:hAnsi="Times New Roman" w:cs="Times New Roman"/>
                <w:i/>
                <w:noProof/>
                <w:color w:val="000000"/>
                <w:lang w:val="en-US" w:eastAsia="en-GB"/>
              </w:rPr>
              <w:t>al</w:t>
            </w:r>
            <w:r w:rsidRPr="00C21F31">
              <w:rPr>
                <w:rFonts w:ascii="Times New Roman" w:eastAsia="Times New Roman" w:hAnsi="Times New Roman" w:cs="Times New Roman"/>
                <w:i/>
                <w:noProof/>
                <w:color w:val="000000"/>
                <w:lang w:val="en-US" w:eastAsia="en-GB"/>
              </w:rPr>
              <w:t xml:space="preserve"> and international context, therefore the idea was defined as strategic and it was proposed for programme support</w:t>
            </w:r>
            <w:r>
              <w:rPr>
                <w:rFonts w:ascii="Times New Roman" w:eastAsia="Times New Roman" w:hAnsi="Times New Roman" w:cs="Times New Roman"/>
                <w:i/>
                <w:noProof/>
                <w:color w:val="000000"/>
                <w:lang w:val="en-US" w:eastAsia="en-GB"/>
              </w:rPr>
              <w:t xml:space="preserve">.  </w:t>
            </w:r>
            <w:r w:rsidR="00587CB4">
              <w:rPr>
                <w:rFonts w:ascii="Times New Roman" w:eastAsia="Times New Roman" w:hAnsi="Times New Roman" w:cs="Times New Roman"/>
                <w:i/>
                <w:noProof/>
                <w:color w:val="000000"/>
                <w:lang w:val="en-US" w:eastAsia="en-GB"/>
              </w:rPr>
              <w:t xml:space="preserve"> </w:t>
            </w:r>
            <w:r w:rsidR="00E33D58">
              <w:rPr>
                <w:rFonts w:ascii="Times New Roman" w:eastAsia="Times New Roman" w:hAnsi="Times New Roman" w:cs="Times New Roman"/>
                <w:i/>
                <w:noProof/>
                <w:color w:val="000000"/>
                <w:lang w:val="en-US" w:eastAsia="en-GB"/>
              </w:rPr>
              <w:t xml:space="preserve"> </w:t>
            </w:r>
          </w:p>
          <w:p w14:paraId="3B1B0E46" w14:textId="77777777" w:rsidR="00920B92" w:rsidRDefault="00920B92" w:rsidP="00920B92">
            <w:pPr>
              <w:spacing w:after="120" w:line="276" w:lineRule="auto"/>
              <w:jc w:val="both"/>
              <w:rPr>
                <w:rFonts w:ascii="Times New Roman" w:eastAsia="Times New Roman" w:hAnsi="Times New Roman" w:cs="Times New Roman"/>
                <w:i/>
                <w:noProof/>
                <w:color w:val="000000"/>
                <w:lang w:val="en-US" w:eastAsia="en-GB"/>
              </w:rPr>
            </w:pPr>
            <w:r w:rsidRPr="00920B92">
              <w:rPr>
                <w:rFonts w:ascii="Times New Roman" w:eastAsia="Times New Roman" w:hAnsi="Times New Roman" w:cs="Times New Roman"/>
                <w:i/>
                <w:noProof/>
                <w:color w:val="000000"/>
                <w:lang w:val="en-US" w:eastAsia="en-GB"/>
              </w:rPr>
              <w:t xml:space="preserve">Following the regional consultations a questionnaire was sent to the participants where they pointed out the challenges the area faces in regard to the socio economic development and the spheres of interventions in which the programme could bring an added value.The respondents strongly supported the future programme to be more focussed by addressing local challenges and needs of the border region. In addition direct support to environmental protection, local businesses, as well as promoting integrated territorial  development was also highlighted. </w:t>
            </w:r>
          </w:p>
          <w:p w14:paraId="17FF567E" w14:textId="77777777" w:rsidR="009D0FFB" w:rsidRPr="00BA7B95" w:rsidRDefault="009D0FFB" w:rsidP="00920B92">
            <w:pPr>
              <w:spacing w:after="120" w:line="276" w:lineRule="auto"/>
              <w:jc w:val="both"/>
              <w:rPr>
                <w:rFonts w:ascii="Times New Roman" w:eastAsia="Times New Roman" w:hAnsi="Times New Roman" w:cs="Times New Roman"/>
                <w:b/>
                <w:i/>
                <w:noProof/>
                <w:color w:val="000000"/>
                <w:u w:val="single"/>
                <w:lang w:val="en-US" w:eastAsia="en-GB"/>
              </w:rPr>
            </w:pPr>
            <w:r w:rsidRPr="00BA7B95">
              <w:rPr>
                <w:rFonts w:ascii="Times New Roman" w:eastAsia="Times New Roman" w:hAnsi="Times New Roman" w:cs="Times New Roman"/>
                <w:b/>
                <w:i/>
                <w:noProof/>
                <w:color w:val="000000"/>
                <w:u w:val="single"/>
                <w:lang w:val="en-US" w:eastAsia="en-GB"/>
              </w:rPr>
              <w:t>Task Force</w:t>
            </w:r>
            <w:r w:rsidR="00995A72">
              <w:rPr>
                <w:rFonts w:ascii="Times New Roman" w:eastAsia="Times New Roman" w:hAnsi="Times New Roman" w:cs="Times New Roman"/>
                <w:b/>
                <w:i/>
                <w:noProof/>
                <w:color w:val="000000"/>
                <w:u w:val="single"/>
                <w:lang w:val="en-US" w:eastAsia="en-GB"/>
              </w:rPr>
              <w:t xml:space="preserve"> (TF)</w:t>
            </w:r>
            <w:r w:rsidR="00FA15DF">
              <w:rPr>
                <w:rFonts w:ascii="Times New Roman" w:eastAsia="Times New Roman" w:hAnsi="Times New Roman" w:cs="Times New Roman"/>
                <w:b/>
                <w:i/>
                <w:noProof/>
                <w:sz w:val="24"/>
                <w:szCs w:val="24"/>
                <w:lang w:val="en-US" w:eastAsia="en-GB"/>
              </w:rPr>
              <w:t xml:space="preserve"> </w:t>
            </w:r>
            <w:r w:rsidR="00FA15DF" w:rsidRPr="00FA507D">
              <w:rPr>
                <w:rFonts w:ascii="Times New Roman" w:eastAsia="Times New Roman" w:hAnsi="Times New Roman" w:cs="Times New Roman"/>
                <w:b/>
                <w:i/>
                <w:noProof/>
                <w:color w:val="000000"/>
                <w:u w:val="single"/>
                <w:lang w:val="en-US" w:eastAsia="en-GB"/>
              </w:rPr>
              <w:t>on the elaboration of the Integrated territorial strategy for the CBC region</w:t>
            </w:r>
          </w:p>
          <w:p w14:paraId="39A5E90E" w14:textId="77777777" w:rsidR="00920B92" w:rsidRDefault="00920B92" w:rsidP="00BA7B95">
            <w:pPr>
              <w:spacing w:after="120" w:line="276" w:lineRule="auto"/>
              <w:jc w:val="both"/>
              <w:rPr>
                <w:rFonts w:ascii="Times New Roman" w:eastAsia="Times New Roman" w:hAnsi="Times New Roman" w:cs="Times New Roman"/>
                <w:i/>
                <w:noProof/>
                <w:color w:val="000000"/>
                <w:lang w:val="en-US" w:eastAsia="en-GB"/>
              </w:rPr>
            </w:pPr>
            <w:r w:rsidRPr="00920B92">
              <w:rPr>
                <w:rFonts w:ascii="Times New Roman" w:eastAsia="Times New Roman" w:hAnsi="Times New Roman" w:cs="Times New Roman"/>
                <w:i/>
                <w:noProof/>
                <w:color w:val="000000"/>
                <w:lang w:val="en-US" w:eastAsia="en-GB"/>
              </w:rPr>
              <w:t xml:space="preserve">For the purpose of implementation of PO 5, the Managing and National authorities, will support the local stakeholders for the elaboration of a territorial strategy for integrated measures. A </w:t>
            </w:r>
            <w:r w:rsidR="00904D33">
              <w:rPr>
                <w:rFonts w:ascii="Times New Roman" w:eastAsia="Times New Roman" w:hAnsi="Times New Roman" w:cs="Times New Roman"/>
                <w:i/>
                <w:noProof/>
                <w:color w:val="000000"/>
                <w:lang w:val="en-US" w:eastAsia="en-GB"/>
              </w:rPr>
              <w:t>Task Force</w:t>
            </w:r>
            <w:r w:rsidRPr="00920B92">
              <w:rPr>
                <w:rFonts w:ascii="Times New Roman" w:eastAsia="Times New Roman" w:hAnsi="Times New Roman" w:cs="Times New Roman"/>
                <w:i/>
                <w:noProof/>
                <w:color w:val="000000"/>
                <w:lang w:val="en-US" w:eastAsia="en-GB"/>
              </w:rPr>
              <w:t xml:space="preserve"> w</w:t>
            </w:r>
            <w:r w:rsidR="0083223D">
              <w:rPr>
                <w:rFonts w:ascii="Times New Roman" w:eastAsia="Times New Roman" w:hAnsi="Times New Roman" w:cs="Times New Roman"/>
                <w:i/>
                <w:noProof/>
                <w:color w:val="000000"/>
                <w:lang w:val="en-US" w:eastAsia="en-GB"/>
              </w:rPr>
              <w:t>as</w:t>
            </w:r>
            <w:r w:rsidRPr="00920B92">
              <w:rPr>
                <w:rFonts w:ascii="Times New Roman" w:eastAsia="Times New Roman" w:hAnsi="Times New Roman" w:cs="Times New Roman"/>
                <w:i/>
                <w:noProof/>
                <w:color w:val="000000"/>
                <w:lang w:val="en-US" w:eastAsia="en-GB"/>
              </w:rPr>
              <w:t xml:space="preserve"> established representing all relevant regional and local authorities and bodies, as well as other local stakeholders related to the preparation and implementation of the strategy (pursuant to Art. </w:t>
            </w:r>
            <w:r w:rsidR="002B2BF0" w:rsidRPr="00920B92">
              <w:rPr>
                <w:rFonts w:ascii="Times New Roman" w:eastAsia="Times New Roman" w:hAnsi="Times New Roman" w:cs="Times New Roman"/>
                <w:i/>
                <w:noProof/>
                <w:color w:val="000000"/>
                <w:lang w:val="en-US" w:eastAsia="en-GB"/>
              </w:rPr>
              <w:t>2</w:t>
            </w:r>
            <w:r w:rsidR="002B2BF0">
              <w:rPr>
                <w:rFonts w:ascii="Times New Roman" w:eastAsia="Times New Roman" w:hAnsi="Times New Roman" w:cs="Times New Roman"/>
                <w:i/>
                <w:noProof/>
                <w:color w:val="000000"/>
                <w:lang w:val="bg-BG" w:eastAsia="en-GB"/>
              </w:rPr>
              <w:t>9</w:t>
            </w:r>
            <w:r w:rsidR="002B2BF0" w:rsidRPr="00920B92">
              <w:rPr>
                <w:rFonts w:ascii="Times New Roman" w:eastAsia="Times New Roman" w:hAnsi="Times New Roman" w:cs="Times New Roman"/>
                <w:i/>
                <w:noProof/>
                <w:color w:val="000000"/>
                <w:lang w:val="en-US" w:eastAsia="en-GB"/>
              </w:rPr>
              <w:t xml:space="preserve"> </w:t>
            </w:r>
            <w:r w:rsidRPr="00920B92">
              <w:rPr>
                <w:rFonts w:ascii="Times New Roman" w:eastAsia="Times New Roman" w:hAnsi="Times New Roman" w:cs="Times New Roman"/>
                <w:i/>
                <w:noProof/>
                <w:color w:val="000000"/>
                <w:lang w:val="en-US" w:eastAsia="en-GB"/>
              </w:rPr>
              <w:t>of the CPR).</w:t>
            </w:r>
          </w:p>
          <w:p w14:paraId="2CEA8A4A" w14:textId="77777777" w:rsidR="00561269" w:rsidRDefault="00995A72" w:rsidP="00561269">
            <w:pPr>
              <w:spacing w:after="120" w:line="276" w:lineRule="auto"/>
              <w:jc w:val="both"/>
              <w:rPr>
                <w:rFonts w:ascii="Times New Roman" w:eastAsia="Times New Roman" w:hAnsi="Times New Roman" w:cs="Times New Roman"/>
                <w:i/>
                <w:noProof/>
                <w:color w:val="000000"/>
                <w:lang w:val="en-US" w:eastAsia="en-GB"/>
              </w:rPr>
            </w:pPr>
            <w:r w:rsidRPr="00995A72">
              <w:rPr>
                <w:rFonts w:ascii="Times New Roman" w:eastAsia="Times New Roman" w:hAnsi="Times New Roman" w:cs="Times New Roman"/>
                <w:i/>
                <w:noProof/>
                <w:color w:val="000000"/>
                <w:lang w:val="en-US" w:eastAsia="en-GB"/>
              </w:rPr>
              <w:t xml:space="preserve">The TF </w:t>
            </w:r>
            <w:r w:rsidR="00FA15DF">
              <w:rPr>
                <w:rFonts w:ascii="Times New Roman" w:eastAsia="Times New Roman" w:hAnsi="Times New Roman" w:cs="Times New Roman"/>
                <w:i/>
                <w:noProof/>
                <w:color w:val="000000"/>
                <w:lang w:val="en-US" w:eastAsia="en-GB"/>
              </w:rPr>
              <w:t>has</w:t>
            </w:r>
            <w:r w:rsidRPr="00995A72">
              <w:rPr>
                <w:rFonts w:ascii="Times New Roman" w:eastAsia="Times New Roman" w:hAnsi="Times New Roman" w:cs="Times New Roman"/>
                <w:i/>
                <w:noProof/>
                <w:color w:val="000000"/>
                <w:lang w:val="en-US" w:eastAsia="en-GB"/>
              </w:rPr>
              <w:t xml:space="preserve"> supporting functions in the elaboration of multiannual (covering the period 2021-2027) Strategy for Integrated Territorial Development, with the aim to meet the needs of the INTERREG - IPA CBC Programme between Republic of Bulgaria and </w:t>
            </w:r>
            <w:r w:rsidR="00B802AF">
              <w:rPr>
                <w:rFonts w:ascii="Times New Roman" w:eastAsia="Times New Roman" w:hAnsi="Times New Roman" w:cs="Times New Roman"/>
                <w:i/>
                <w:noProof/>
                <w:color w:val="000000"/>
                <w:lang w:val="en-US" w:eastAsia="en-GB"/>
              </w:rPr>
              <w:t>[Republic of North Macedonia]</w:t>
            </w:r>
            <w:r w:rsidRPr="00995A72">
              <w:rPr>
                <w:rFonts w:ascii="Times New Roman" w:eastAsia="Times New Roman" w:hAnsi="Times New Roman" w:cs="Times New Roman"/>
                <w:i/>
                <w:noProof/>
                <w:color w:val="000000"/>
                <w:lang w:val="en-US" w:eastAsia="en-GB"/>
              </w:rPr>
              <w:t xml:space="preserve"> 2021 – 2027 to contribute to a sustainable economic development of the region. </w:t>
            </w:r>
            <w:r w:rsidR="00561269" w:rsidRPr="00561269">
              <w:rPr>
                <w:rFonts w:ascii="Times New Roman" w:eastAsia="Times New Roman" w:hAnsi="Times New Roman" w:cs="Times New Roman"/>
                <w:i/>
                <w:noProof/>
                <w:color w:val="000000"/>
                <w:lang w:val="en-US" w:eastAsia="en-GB"/>
              </w:rPr>
              <w:t xml:space="preserve">The main responsibility of the TF is to collaborate with the Consultant during the elaboration of the Territorial strategy for integrated measures under PO5 “Europe closer to citizens” and to feed in results of dialogues with relevant stakeholders, databases, expert positions etc. </w:t>
            </w:r>
          </w:p>
          <w:p w14:paraId="3CC8084F" w14:textId="77777777" w:rsidR="00B074D1" w:rsidRPr="00793068" w:rsidRDefault="00B074D1" w:rsidP="00B074D1">
            <w:pPr>
              <w:spacing w:after="120" w:line="276" w:lineRule="auto"/>
              <w:jc w:val="both"/>
              <w:rPr>
                <w:rFonts w:ascii="Times New Roman" w:eastAsia="Times New Roman" w:hAnsi="Times New Roman" w:cs="Times New Roman"/>
                <w:b/>
                <w:i/>
                <w:noProof/>
                <w:color w:val="000000"/>
                <w:u w:val="single"/>
                <w:lang w:val="en-US" w:eastAsia="en-GB"/>
              </w:rPr>
            </w:pPr>
            <w:r>
              <w:rPr>
                <w:rFonts w:ascii="Times New Roman" w:eastAsia="Times New Roman" w:hAnsi="Times New Roman" w:cs="Times New Roman"/>
                <w:b/>
                <w:i/>
                <w:noProof/>
                <w:color w:val="000000"/>
                <w:u w:val="single"/>
                <w:lang w:val="en-US" w:eastAsia="en-GB"/>
              </w:rPr>
              <w:t xml:space="preserve">Public consultations of the </w:t>
            </w:r>
            <w:r w:rsidRPr="00793068">
              <w:rPr>
                <w:rFonts w:ascii="Times New Roman" w:eastAsia="Times New Roman" w:hAnsi="Times New Roman" w:cs="Times New Roman"/>
                <w:b/>
                <w:i/>
                <w:noProof/>
                <w:color w:val="000000"/>
                <w:u w:val="single"/>
                <w:lang w:val="en-US" w:eastAsia="en-GB"/>
              </w:rPr>
              <w:t>Environmental assessment report (EAR) of the Programme and of the Integrated territorial strategy for the CBC region</w:t>
            </w:r>
          </w:p>
          <w:p w14:paraId="79895653" w14:textId="37C1B6E2" w:rsidR="003447B8" w:rsidRPr="003447B8" w:rsidRDefault="00B074D1" w:rsidP="00531FA3">
            <w:pPr>
              <w:spacing w:after="120" w:line="276" w:lineRule="auto"/>
              <w:jc w:val="both"/>
              <w:rPr>
                <w:rFonts w:ascii="Times New Roman" w:eastAsia="Times New Roman" w:hAnsi="Times New Roman" w:cs="Times New Roman"/>
                <w:i/>
                <w:noProof/>
                <w:color w:val="000000"/>
                <w:lang w:val="en-US" w:eastAsia="en-GB"/>
              </w:rPr>
            </w:pPr>
            <w:r>
              <w:rPr>
                <w:rFonts w:ascii="Times New Roman" w:eastAsia="Times New Roman" w:hAnsi="Times New Roman" w:cs="Times New Roman"/>
                <w:i/>
                <w:noProof/>
                <w:color w:val="000000"/>
                <w:lang w:val="en-US" w:eastAsia="en-GB"/>
              </w:rPr>
              <w:lastRenderedPageBreak/>
              <w:t xml:space="preserve">As a part of preparation of the EAR </w:t>
            </w:r>
            <w:r w:rsidRPr="00793068">
              <w:rPr>
                <w:rFonts w:ascii="Times New Roman" w:eastAsia="Times New Roman" w:hAnsi="Times New Roman" w:cs="Times New Roman"/>
                <w:i/>
                <w:noProof/>
                <w:color w:val="000000"/>
                <w:lang w:val="en-US" w:eastAsia="en-GB"/>
              </w:rPr>
              <w:t>of the Programme and of the Integrated territorial strategy for the CBC region</w:t>
            </w:r>
            <w:r>
              <w:rPr>
                <w:rFonts w:ascii="Times New Roman" w:eastAsia="Times New Roman" w:hAnsi="Times New Roman" w:cs="Times New Roman"/>
                <w:i/>
                <w:noProof/>
                <w:color w:val="000000"/>
                <w:lang w:val="en-US" w:eastAsia="en-GB"/>
              </w:rPr>
              <w:t xml:space="preserve"> two rounds of public consultations were held. The first consultaions were organised in July 2021 </w:t>
            </w:r>
            <w:r w:rsidR="00FF7687">
              <w:rPr>
                <w:rFonts w:ascii="Times New Roman" w:eastAsia="Times New Roman" w:hAnsi="Times New Roman" w:cs="Times New Roman"/>
                <w:i/>
                <w:noProof/>
                <w:color w:val="000000"/>
                <w:lang w:val="en-US" w:eastAsia="en-GB"/>
              </w:rPr>
              <w:t xml:space="preserve">in Republic of Bulgaria and in August 2021 in </w:t>
            </w:r>
            <w:r w:rsidR="00531FA3">
              <w:rPr>
                <w:rFonts w:ascii="Times New Roman" w:eastAsia="Times New Roman" w:hAnsi="Times New Roman" w:cs="Times New Roman"/>
                <w:i/>
                <w:noProof/>
                <w:color w:val="000000"/>
                <w:lang w:val="en-US" w:eastAsia="en-GB"/>
              </w:rPr>
              <w:t>[</w:t>
            </w:r>
            <w:r w:rsidR="00FF7687">
              <w:rPr>
                <w:rFonts w:ascii="Times New Roman" w:eastAsia="Times New Roman" w:hAnsi="Times New Roman" w:cs="Times New Roman"/>
                <w:i/>
                <w:noProof/>
                <w:color w:val="000000"/>
                <w:lang w:val="en-US" w:eastAsia="en-GB"/>
              </w:rPr>
              <w:t>Republic of North Macedonia</w:t>
            </w:r>
            <w:r w:rsidR="00531FA3">
              <w:rPr>
                <w:rFonts w:ascii="Times New Roman" w:eastAsia="Times New Roman" w:hAnsi="Times New Roman" w:cs="Times New Roman"/>
                <w:i/>
                <w:noProof/>
                <w:color w:val="000000"/>
                <w:lang w:val="en-US" w:eastAsia="en-GB"/>
              </w:rPr>
              <w:t>]</w:t>
            </w:r>
            <w:r w:rsidR="00FF7687">
              <w:rPr>
                <w:rFonts w:ascii="Times New Roman" w:eastAsia="Times New Roman" w:hAnsi="Times New Roman" w:cs="Times New Roman"/>
                <w:i/>
                <w:noProof/>
                <w:color w:val="000000"/>
                <w:lang w:val="en-US" w:eastAsia="en-GB"/>
              </w:rPr>
              <w:t xml:space="preserve"> </w:t>
            </w:r>
            <w:r>
              <w:rPr>
                <w:rFonts w:ascii="Times New Roman" w:eastAsia="Times New Roman" w:hAnsi="Times New Roman" w:cs="Times New Roman"/>
                <w:i/>
                <w:noProof/>
                <w:color w:val="000000"/>
                <w:lang w:val="en-US" w:eastAsia="en-GB"/>
              </w:rPr>
              <w:t>on scoping report</w:t>
            </w:r>
            <w:r w:rsidRPr="00D92835">
              <w:rPr>
                <w:rFonts w:ascii="Times New Roman" w:eastAsia="Times New Roman" w:hAnsi="Times New Roman" w:cs="Times New Roman"/>
                <w:i/>
                <w:noProof/>
                <w:color w:val="000000"/>
                <w:lang w:val="en-US" w:eastAsia="en-GB"/>
              </w:rPr>
              <w:t xml:space="preserve"> for determination of the scope and content of the environmental assessment report</w:t>
            </w:r>
            <w:r>
              <w:rPr>
                <w:rFonts w:ascii="Times New Roman" w:eastAsia="Times New Roman" w:hAnsi="Times New Roman" w:cs="Times New Roman"/>
                <w:i/>
                <w:noProof/>
                <w:color w:val="000000"/>
                <w:lang w:val="en-US" w:eastAsia="en-GB"/>
              </w:rPr>
              <w:t xml:space="preserve">.  The second round consultaions is expected to be conducted </w:t>
            </w:r>
            <w:r w:rsidR="00461E07">
              <w:rPr>
                <w:rFonts w:ascii="Times New Roman" w:eastAsia="Times New Roman" w:hAnsi="Times New Roman" w:cs="Times New Roman"/>
                <w:i/>
                <w:noProof/>
                <w:color w:val="000000"/>
                <w:lang w:val="en-US" w:eastAsia="en-GB"/>
              </w:rPr>
              <w:t>in</w:t>
            </w:r>
            <w:r>
              <w:rPr>
                <w:rFonts w:ascii="Times New Roman" w:eastAsia="Times New Roman" w:hAnsi="Times New Roman" w:cs="Times New Roman"/>
                <w:i/>
                <w:noProof/>
                <w:color w:val="000000"/>
                <w:lang w:val="en-US" w:eastAsia="en-GB"/>
              </w:rPr>
              <w:t xml:space="preserve"> the period </w:t>
            </w:r>
            <w:r w:rsidRPr="00B074D1">
              <w:rPr>
                <w:rFonts w:ascii="Times New Roman" w:eastAsia="Times New Roman" w:hAnsi="Times New Roman" w:cs="Times New Roman"/>
                <w:i/>
                <w:noProof/>
                <w:color w:val="000000"/>
                <w:lang w:val="en-US" w:eastAsia="en-GB"/>
              </w:rPr>
              <w:t>December 2021</w:t>
            </w:r>
            <w:r w:rsidR="00FF7687">
              <w:rPr>
                <w:rFonts w:ascii="Times New Roman" w:eastAsia="Times New Roman" w:hAnsi="Times New Roman" w:cs="Times New Roman"/>
                <w:i/>
                <w:noProof/>
                <w:color w:val="000000"/>
                <w:lang w:val="en-US" w:eastAsia="en-GB"/>
              </w:rPr>
              <w:t xml:space="preserve">- January 2022 in Republic of Bulgaria and in the period January-Febraury 2022 in </w:t>
            </w:r>
            <w:r w:rsidR="00531FA3">
              <w:rPr>
                <w:rFonts w:ascii="Times New Roman" w:eastAsia="Times New Roman" w:hAnsi="Times New Roman" w:cs="Times New Roman"/>
                <w:i/>
                <w:noProof/>
                <w:color w:val="000000"/>
                <w:lang w:val="en-US" w:eastAsia="en-GB"/>
              </w:rPr>
              <w:t>[</w:t>
            </w:r>
            <w:r w:rsidR="00FF7687">
              <w:rPr>
                <w:rFonts w:ascii="Times New Roman" w:eastAsia="Times New Roman" w:hAnsi="Times New Roman" w:cs="Times New Roman"/>
                <w:i/>
                <w:noProof/>
                <w:color w:val="000000"/>
                <w:lang w:val="en-US" w:eastAsia="en-GB"/>
              </w:rPr>
              <w:t>Republic of North Macedonia</w:t>
            </w:r>
            <w:r w:rsidR="00531FA3">
              <w:rPr>
                <w:rFonts w:ascii="Times New Roman" w:eastAsia="Times New Roman" w:hAnsi="Times New Roman" w:cs="Times New Roman"/>
                <w:i/>
                <w:noProof/>
                <w:color w:val="000000"/>
                <w:lang w:val="en-US" w:eastAsia="en-GB"/>
              </w:rPr>
              <w:t>]</w:t>
            </w:r>
            <w:r w:rsidR="00FF7687">
              <w:rPr>
                <w:rFonts w:ascii="Times New Roman" w:eastAsia="Times New Roman" w:hAnsi="Times New Roman" w:cs="Times New Roman"/>
                <w:i/>
                <w:noProof/>
                <w:color w:val="000000"/>
                <w:lang w:val="en-US" w:eastAsia="en-GB"/>
              </w:rPr>
              <w:t xml:space="preserve"> </w:t>
            </w:r>
            <w:r>
              <w:rPr>
                <w:rFonts w:ascii="Times New Roman" w:eastAsia="Times New Roman" w:hAnsi="Times New Roman" w:cs="Times New Roman"/>
                <w:i/>
                <w:noProof/>
                <w:color w:val="000000"/>
                <w:lang w:val="en-US" w:eastAsia="en-GB"/>
              </w:rPr>
              <w:t xml:space="preserve"> on  the </w:t>
            </w:r>
            <w:r w:rsidRPr="007534B3">
              <w:rPr>
                <w:rFonts w:ascii="Times New Roman" w:eastAsia="Times New Roman" w:hAnsi="Times New Roman" w:cs="Times New Roman"/>
                <w:i/>
                <w:noProof/>
                <w:color w:val="000000"/>
                <w:lang w:val="en-US" w:eastAsia="en-GB"/>
              </w:rPr>
              <w:t>Environmental assessment report</w:t>
            </w:r>
            <w:r>
              <w:rPr>
                <w:rFonts w:ascii="Times New Roman" w:eastAsia="Times New Roman" w:hAnsi="Times New Roman" w:cs="Times New Roman"/>
                <w:i/>
                <w:noProof/>
                <w:color w:val="000000"/>
                <w:lang w:val="en-US" w:eastAsia="en-GB"/>
              </w:rPr>
              <w:t xml:space="preserve">. </w:t>
            </w:r>
            <w:r w:rsidR="00FF7687">
              <w:rPr>
                <w:rFonts w:ascii="Times New Roman" w:eastAsia="Times New Roman" w:hAnsi="Times New Roman" w:cs="Times New Roman"/>
                <w:i/>
                <w:noProof/>
                <w:color w:val="000000"/>
                <w:lang w:val="en-US" w:eastAsia="en-GB"/>
              </w:rPr>
              <w:t>T</w:t>
            </w:r>
            <w:r>
              <w:rPr>
                <w:rFonts w:ascii="Times New Roman" w:eastAsia="Times New Roman" w:hAnsi="Times New Roman" w:cs="Times New Roman"/>
                <w:i/>
                <w:noProof/>
                <w:color w:val="000000"/>
                <w:lang w:val="en-US" w:eastAsia="en-GB"/>
              </w:rPr>
              <w:t xml:space="preserve">he received comments </w:t>
            </w:r>
            <w:r w:rsidR="00B933AD">
              <w:rPr>
                <w:rFonts w:ascii="Times New Roman" w:eastAsia="Times New Roman" w:hAnsi="Times New Roman" w:cs="Times New Roman"/>
                <w:i/>
                <w:noProof/>
                <w:color w:val="000000"/>
                <w:lang w:val="en-US" w:eastAsia="en-GB"/>
              </w:rPr>
              <w:t xml:space="preserve">from all </w:t>
            </w:r>
            <w:r w:rsidR="00B933AD" w:rsidRPr="00B933AD">
              <w:rPr>
                <w:rFonts w:ascii="Times New Roman" w:eastAsia="Times New Roman" w:hAnsi="Times New Roman" w:cs="Times New Roman"/>
                <w:i/>
                <w:noProof/>
                <w:color w:val="000000"/>
                <w:lang w:val="en-US" w:eastAsia="en-GB"/>
              </w:rPr>
              <w:t>institutions</w:t>
            </w:r>
            <w:r w:rsidR="00B933AD">
              <w:rPr>
                <w:rFonts w:ascii="Times New Roman" w:eastAsia="Times New Roman" w:hAnsi="Times New Roman" w:cs="Times New Roman"/>
                <w:i/>
                <w:noProof/>
                <w:color w:val="000000"/>
                <w:lang w:val="en-US" w:eastAsia="en-GB"/>
              </w:rPr>
              <w:t xml:space="preserve"> and stakeholders </w:t>
            </w:r>
            <w:r w:rsidR="00FF7687">
              <w:rPr>
                <w:rFonts w:ascii="Times New Roman" w:eastAsia="Times New Roman" w:hAnsi="Times New Roman" w:cs="Times New Roman"/>
                <w:i/>
                <w:noProof/>
                <w:color w:val="000000"/>
                <w:lang w:val="en-US" w:eastAsia="en-GB"/>
              </w:rPr>
              <w:t xml:space="preserve">from both countries were and </w:t>
            </w:r>
            <w:r>
              <w:rPr>
                <w:rFonts w:ascii="Times New Roman" w:eastAsia="Times New Roman" w:hAnsi="Times New Roman" w:cs="Times New Roman"/>
                <w:i/>
                <w:noProof/>
                <w:color w:val="000000"/>
                <w:lang w:val="en-US" w:eastAsia="en-GB"/>
              </w:rPr>
              <w:t>will be reflected in the respective documents.</w:t>
            </w:r>
          </w:p>
          <w:p w14:paraId="24C19508" w14:textId="77777777" w:rsidR="00904D33" w:rsidRPr="00FA507D" w:rsidRDefault="0022508A" w:rsidP="0022508A">
            <w:pPr>
              <w:spacing w:after="120" w:line="276" w:lineRule="auto"/>
              <w:jc w:val="both"/>
              <w:rPr>
                <w:rFonts w:ascii="Times New Roman" w:eastAsia="Times New Roman" w:hAnsi="Times New Roman" w:cs="Times New Roman"/>
                <w:b/>
                <w:i/>
                <w:noProof/>
                <w:sz w:val="24"/>
                <w:szCs w:val="24"/>
                <w:lang w:val="en-US" w:eastAsia="en-GB"/>
              </w:rPr>
            </w:pPr>
            <w:r>
              <w:rPr>
                <w:rFonts w:ascii="Times New Roman" w:eastAsia="Times New Roman" w:hAnsi="Times New Roman" w:cs="Times New Roman"/>
                <w:b/>
                <w:i/>
                <w:noProof/>
                <w:color w:val="000000"/>
                <w:u w:val="single"/>
                <w:lang w:val="en-US" w:eastAsia="en-GB"/>
              </w:rPr>
              <w:t>I</w:t>
            </w:r>
            <w:r w:rsidR="00FA15DF" w:rsidRPr="00FA507D">
              <w:rPr>
                <w:rFonts w:ascii="Times New Roman" w:eastAsia="Times New Roman" w:hAnsi="Times New Roman" w:cs="Times New Roman"/>
                <w:b/>
                <w:i/>
                <w:noProof/>
                <w:color w:val="000000"/>
                <w:u w:val="single"/>
                <w:lang w:val="en-US" w:eastAsia="en-GB"/>
              </w:rPr>
              <w:t>mplementation, monitoring and evaluation</w:t>
            </w:r>
          </w:p>
          <w:p w14:paraId="317F1685" w14:textId="77777777" w:rsidR="0083223D" w:rsidRPr="0083223D" w:rsidRDefault="0083223D" w:rsidP="0083223D">
            <w:pPr>
              <w:spacing w:after="120" w:line="276" w:lineRule="auto"/>
              <w:jc w:val="both"/>
              <w:rPr>
                <w:rFonts w:ascii="Times New Roman" w:eastAsia="Times New Roman" w:hAnsi="Times New Roman" w:cs="Times New Roman"/>
                <w:i/>
                <w:noProof/>
                <w:color w:val="000000"/>
                <w:lang w:val="en-US" w:eastAsia="en-GB"/>
              </w:rPr>
            </w:pPr>
            <w:r w:rsidRPr="00561269">
              <w:rPr>
                <w:rFonts w:ascii="Times New Roman" w:eastAsia="Times New Roman" w:hAnsi="Times New Roman" w:cs="Times New Roman"/>
                <w:i/>
                <w:noProof/>
                <w:color w:val="000000"/>
                <w:lang w:val="en-US" w:eastAsia="en-GB"/>
              </w:rPr>
              <w:t xml:space="preserve">In accordance with Article </w:t>
            </w:r>
            <w:r w:rsidR="00FA15DF" w:rsidRPr="00FA15DF">
              <w:rPr>
                <w:rFonts w:ascii="Times New Roman" w:eastAsia="Times New Roman" w:hAnsi="Times New Roman" w:cs="Times New Roman"/>
                <w:i/>
                <w:noProof/>
                <w:color w:val="000000"/>
                <w:lang w:val="en-US" w:eastAsia="en-GB"/>
              </w:rPr>
              <w:t>28</w:t>
            </w:r>
            <w:r w:rsidRPr="00561269">
              <w:rPr>
                <w:rFonts w:ascii="Times New Roman" w:eastAsia="Times New Roman" w:hAnsi="Times New Roman" w:cs="Times New Roman"/>
                <w:i/>
                <w:noProof/>
                <w:color w:val="000000"/>
                <w:lang w:val="en-US" w:eastAsia="en-GB"/>
              </w:rPr>
              <w:t xml:space="preserve"> of Regulation </w:t>
            </w:r>
            <w:r w:rsidR="00FA15DF" w:rsidRPr="00FA15DF">
              <w:rPr>
                <w:rFonts w:ascii="Times New Roman" w:eastAsia="Times New Roman" w:hAnsi="Times New Roman" w:cs="Times New Roman"/>
                <w:i/>
                <w:noProof/>
                <w:color w:val="000000"/>
                <w:lang w:val="en-US" w:eastAsia="en-GB"/>
              </w:rPr>
              <w:t xml:space="preserve">(EU) 2021/1059  </w:t>
            </w:r>
            <w:r w:rsidRPr="00561269">
              <w:rPr>
                <w:rFonts w:ascii="Times New Roman" w:eastAsia="Times New Roman" w:hAnsi="Times New Roman" w:cs="Times New Roman"/>
                <w:i/>
                <w:noProof/>
                <w:color w:val="000000"/>
                <w:lang w:val="en-US" w:eastAsia="en-GB"/>
              </w:rPr>
              <w:t>, a committee to monitor the implementation of the programme ('</w:t>
            </w:r>
            <w:r w:rsidR="00FA15DF">
              <w:rPr>
                <w:rFonts w:ascii="Times New Roman" w:eastAsia="Times New Roman" w:hAnsi="Times New Roman" w:cs="Times New Roman"/>
                <w:i/>
                <w:noProof/>
                <w:color w:val="000000"/>
                <w:lang w:val="en-US" w:eastAsia="en-GB"/>
              </w:rPr>
              <w:t>M</w:t>
            </w:r>
            <w:r w:rsidRPr="00561269">
              <w:rPr>
                <w:rFonts w:ascii="Times New Roman" w:eastAsia="Times New Roman" w:hAnsi="Times New Roman" w:cs="Times New Roman"/>
                <w:i/>
                <w:noProof/>
                <w:color w:val="000000"/>
                <w:lang w:val="en-US" w:eastAsia="en-GB"/>
              </w:rPr>
              <w:t xml:space="preserve">onitoring committee') </w:t>
            </w:r>
            <w:r w:rsidR="002547F2">
              <w:rPr>
                <w:rFonts w:ascii="Times New Roman" w:eastAsia="Times New Roman" w:hAnsi="Times New Roman" w:cs="Times New Roman"/>
                <w:i/>
                <w:noProof/>
                <w:color w:val="000000"/>
                <w:lang w:val="en-US" w:eastAsia="en-GB"/>
              </w:rPr>
              <w:t>will be set</w:t>
            </w:r>
            <w:r w:rsidRPr="00561269">
              <w:rPr>
                <w:rFonts w:ascii="Times New Roman" w:eastAsia="Times New Roman" w:hAnsi="Times New Roman" w:cs="Times New Roman"/>
                <w:i/>
                <w:noProof/>
                <w:color w:val="000000"/>
                <w:lang w:val="en-US" w:eastAsia="en-GB"/>
              </w:rPr>
              <w:t xml:space="preserve"> within three months after the approval of the Programme. The composition of the monitoring committee </w:t>
            </w:r>
            <w:r w:rsidR="002547F2">
              <w:rPr>
                <w:rFonts w:ascii="Times New Roman" w:eastAsia="Times New Roman" w:hAnsi="Times New Roman" w:cs="Times New Roman"/>
                <w:i/>
                <w:noProof/>
                <w:color w:val="000000"/>
                <w:lang w:val="en-US" w:eastAsia="en-GB"/>
              </w:rPr>
              <w:t>wi</w:t>
            </w:r>
            <w:r w:rsidR="002547F2" w:rsidRPr="00561269">
              <w:rPr>
                <w:rFonts w:ascii="Times New Roman" w:eastAsia="Times New Roman" w:hAnsi="Times New Roman" w:cs="Times New Roman"/>
                <w:i/>
                <w:noProof/>
                <w:color w:val="000000"/>
                <w:lang w:val="en-US" w:eastAsia="en-GB"/>
              </w:rPr>
              <w:t>ll</w:t>
            </w:r>
            <w:r w:rsidRPr="00561269">
              <w:rPr>
                <w:rFonts w:ascii="Times New Roman" w:eastAsia="Times New Roman" w:hAnsi="Times New Roman" w:cs="Times New Roman"/>
                <w:i/>
                <w:noProof/>
                <w:color w:val="000000"/>
                <w:lang w:val="en-US" w:eastAsia="en-GB"/>
              </w:rPr>
              <w:t xml:space="preserve"> ensure a balanced representation of the relevant</w:t>
            </w:r>
            <w:r w:rsidRPr="0083223D">
              <w:rPr>
                <w:rFonts w:ascii="Times New Roman" w:eastAsia="Times New Roman" w:hAnsi="Times New Roman" w:cs="Times New Roman"/>
                <w:i/>
                <w:noProof/>
                <w:color w:val="000000"/>
                <w:lang w:val="en-US" w:eastAsia="en-GB"/>
              </w:rPr>
              <w:t xml:space="preserve"> authorities, intermediate bodies and representatives of the programme partners and </w:t>
            </w:r>
            <w:r w:rsidR="002547F2">
              <w:rPr>
                <w:rFonts w:ascii="Times New Roman" w:eastAsia="Times New Roman" w:hAnsi="Times New Roman" w:cs="Times New Roman"/>
                <w:i/>
                <w:noProof/>
                <w:color w:val="000000"/>
                <w:lang w:val="en-US" w:eastAsia="en-GB"/>
              </w:rPr>
              <w:t>wi</w:t>
            </w:r>
            <w:r w:rsidR="002547F2" w:rsidRPr="0083223D">
              <w:rPr>
                <w:rFonts w:ascii="Times New Roman" w:eastAsia="Times New Roman" w:hAnsi="Times New Roman" w:cs="Times New Roman"/>
                <w:i/>
                <w:noProof/>
                <w:color w:val="000000"/>
                <w:lang w:val="en-US" w:eastAsia="en-GB"/>
              </w:rPr>
              <w:t>ll</w:t>
            </w:r>
            <w:r w:rsidRPr="0083223D">
              <w:rPr>
                <w:rFonts w:ascii="Times New Roman" w:eastAsia="Times New Roman" w:hAnsi="Times New Roman" w:cs="Times New Roman"/>
                <w:i/>
                <w:noProof/>
                <w:color w:val="000000"/>
                <w:lang w:val="en-US" w:eastAsia="en-GB"/>
              </w:rPr>
              <w:t xml:space="preserve"> also include representatives of bodies jointly set up in the whole programme area or covering a part thereof, including EGTCs. The composition of the JMC will respect the principles of partnership and multi-level governance </w:t>
            </w:r>
            <w:r w:rsidR="00FA15DF" w:rsidRPr="00FA15DF">
              <w:rPr>
                <w:rFonts w:ascii="Times New Roman" w:eastAsia="Times New Roman" w:hAnsi="Times New Roman" w:cs="Times New Roman"/>
                <w:i/>
                <w:noProof/>
                <w:color w:val="000000"/>
                <w:lang w:val="en-US" w:eastAsia="en-GB"/>
              </w:rPr>
              <w:t>and will include public authorities (regional, local nd other); economic and social partners; representative of civil society, such as environmental partners, non-governmental organisations, and bodies responsible for promoting social inclusion, fundamental rights, rights of persons with disabilities, gender equality and non-discrimination;  research organisations and universities and etc. The JMC shall also involve stakeholders from the regional consultations and members of the JWG. The approach will ensure closing the loop and continuity in the process of projects identification, monitoring of the implementation and evaluation of the programme.</w:t>
            </w:r>
          </w:p>
          <w:p w14:paraId="738FB226" w14:textId="77777777" w:rsidR="00FA15DF" w:rsidRPr="00FA15DF" w:rsidRDefault="009D0FFB" w:rsidP="00FA15DF">
            <w:pPr>
              <w:spacing w:after="120" w:line="276" w:lineRule="auto"/>
              <w:jc w:val="both"/>
              <w:rPr>
                <w:rFonts w:ascii="Times New Roman" w:eastAsia="Times New Roman" w:hAnsi="Times New Roman" w:cs="Times New Roman"/>
                <w:i/>
                <w:noProof/>
                <w:color w:val="000000"/>
                <w:lang w:val="en-US" w:eastAsia="en-GB"/>
              </w:rPr>
            </w:pPr>
            <w:r w:rsidRPr="003105A2">
              <w:rPr>
                <w:rFonts w:ascii="Times New Roman" w:eastAsia="Times New Roman" w:hAnsi="Times New Roman" w:cs="Times New Roman"/>
                <w:i/>
                <w:noProof/>
                <w:color w:val="000000"/>
                <w:lang w:val="en-US" w:eastAsia="en-GB"/>
              </w:rPr>
              <w:t xml:space="preserve">The main competencies and responsibilities of the Monitoring committee </w:t>
            </w:r>
            <w:r w:rsidR="00FA15DF" w:rsidRPr="00FA15DF">
              <w:rPr>
                <w:rFonts w:ascii="Times New Roman" w:eastAsia="Times New Roman" w:hAnsi="Times New Roman" w:cs="Times New Roman"/>
                <w:i/>
                <w:noProof/>
                <w:color w:val="000000"/>
                <w:lang w:val="en-US" w:eastAsia="en-GB"/>
              </w:rPr>
              <w:t>will</w:t>
            </w:r>
            <w:r w:rsidR="00C21F31" w:rsidRPr="003105A2">
              <w:rPr>
                <w:rFonts w:ascii="Times New Roman" w:eastAsia="Times New Roman" w:hAnsi="Times New Roman" w:cs="Times New Roman"/>
                <w:i/>
                <w:noProof/>
                <w:color w:val="000000"/>
                <w:lang w:val="en-US" w:eastAsia="en-GB"/>
              </w:rPr>
              <w:t xml:space="preserve"> be set up</w:t>
            </w:r>
            <w:r w:rsidRPr="003105A2">
              <w:rPr>
                <w:rFonts w:ascii="Times New Roman" w:eastAsia="Times New Roman" w:hAnsi="Times New Roman" w:cs="Times New Roman"/>
                <w:i/>
                <w:noProof/>
                <w:color w:val="000000"/>
                <w:lang w:val="en-US" w:eastAsia="en-GB"/>
              </w:rPr>
              <w:t xml:space="preserve"> in accordance with Article </w:t>
            </w:r>
            <w:r w:rsidR="00FA15DF" w:rsidRPr="00FA15DF">
              <w:rPr>
                <w:rFonts w:ascii="Times New Roman" w:eastAsia="Times New Roman" w:hAnsi="Times New Roman" w:cs="Times New Roman"/>
                <w:i/>
                <w:noProof/>
                <w:color w:val="000000"/>
                <w:lang w:val="en-US" w:eastAsia="en-GB"/>
              </w:rPr>
              <w:t>30</w:t>
            </w:r>
            <w:r w:rsidRPr="003105A2">
              <w:rPr>
                <w:rFonts w:ascii="Times New Roman" w:eastAsia="Times New Roman" w:hAnsi="Times New Roman" w:cs="Times New Roman"/>
                <w:i/>
                <w:noProof/>
                <w:color w:val="000000"/>
                <w:lang w:val="en-US" w:eastAsia="en-GB"/>
              </w:rPr>
              <w:t xml:space="preserve"> of</w:t>
            </w:r>
            <w:r w:rsidR="00561269" w:rsidRPr="003105A2">
              <w:rPr>
                <w:rFonts w:ascii="Times New Roman" w:eastAsia="Times New Roman" w:hAnsi="Times New Roman" w:cs="Times New Roman"/>
                <w:i/>
                <w:noProof/>
                <w:color w:val="000000"/>
                <w:lang w:val="en-US" w:eastAsia="en-GB"/>
              </w:rPr>
              <w:t xml:space="preserve"> </w:t>
            </w:r>
            <w:r w:rsidR="00C21F31" w:rsidRPr="003105A2">
              <w:rPr>
                <w:rFonts w:ascii="Times New Roman" w:eastAsia="Times New Roman" w:hAnsi="Times New Roman" w:cs="Times New Roman"/>
                <w:i/>
                <w:noProof/>
                <w:color w:val="000000"/>
                <w:lang w:val="en-US" w:eastAsia="en-GB"/>
              </w:rPr>
              <w:t>the Regulation</w:t>
            </w:r>
            <w:r w:rsidR="00FA15DF" w:rsidRPr="00FA15DF">
              <w:rPr>
                <w:rFonts w:ascii="Times New Roman" w:eastAsia="Times New Roman" w:hAnsi="Times New Roman" w:cs="Times New Roman"/>
                <w:i/>
                <w:noProof/>
                <w:color w:val="000000"/>
                <w:lang w:val="en-US" w:eastAsia="en-GB"/>
              </w:rPr>
              <w:t xml:space="preserve"> (EU) 2021/1059 </w:t>
            </w:r>
          </w:p>
          <w:p w14:paraId="6AB240BB" w14:textId="77777777" w:rsidR="0083223D" w:rsidRPr="00BA7B95" w:rsidRDefault="00FA15DF" w:rsidP="00BA7B95">
            <w:pPr>
              <w:spacing w:after="120" w:line="276" w:lineRule="auto"/>
              <w:jc w:val="both"/>
              <w:rPr>
                <w:rFonts w:ascii="Times New Roman" w:eastAsia="Times New Roman" w:hAnsi="Times New Roman" w:cs="Times New Roman"/>
                <w:i/>
                <w:noProof/>
                <w:color w:val="000000"/>
                <w:lang w:val="en-US" w:eastAsia="en-GB"/>
              </w:rPr>
            </w:pPr>
            <w:r w:rsidRPr="00FA15DF">
              <w:rPr>
                <w:rFonts w:ascii="Times New Roman" w:eastAsia="Times New Roman" w:hAnsi="Times New Roman" w:cs="Times New Roman"/>
                <w:i/>
                <w:noProof/>
                <w:color w:val="000000"/>
                <w:lang w:val="en-US" w:eastAsia="en-GB"/>
              </w:rPr>
              <w:t>The Programme will continue to promote transparency by publishing all important documents for consultation on the Programme’s website. All interested parties will</w:t>
            </w:r>
            <w:r w:rsidR="00F92F3C" w:rsidRPr="003105A2">
              <w:rPr>
                <w:rFonts w:ascii="Times New Roman" w:eastAsia="Times New Roman" w:hAnsi="Times New Roman" w:cs="Times New Roman"/>
                <w:i/>
                <w:noProof/>
                <w:color w:val="000000"/>
                <w:lang w:val="en-US" w:eastAsia="en-GB"/>
              </w:rPr>
              <w:t xml:space="preserve"> be </w:t>
            </w:r>
            <w:r w:rsidRPr="00FA15DF">
              <w:rPr>
                <w:rFonts w:ascii="Times New Roman" w:eastAsia="Times New Roman" w:hAnsi="Times New Roman" w:cs="Times New Roman"/>
                <w:i/>
                <w:noProof/>
                <w:color w:val="000000"/>
                <w:lang w:val="en-US" w:eastAsia="en-GB"/>
              </w:rPr>
              <w:t>invited to send observations. An important role in</w:t>
            </w:r>
            <w:r w:rsidR="00F92F3C" w:rsidRPr="003105A2">
              <w:rPr>
                <w:rFonts w:ascii="Times New Roman" w:eastAsia="Times New Roman" w:hAnsi="Times New Roman" w:cs="Times New Roman"/>
                <w:i/>
                <w:noProof/>
                <w:color w:val="000000"/>
                <w:lang w:val="en-US" w:eastAsia="en-GB"/>
              </w:rPr>
              <w:t xml:space="preserve"> the implementation </w:t>
            </w:r>
            <w:r w:rsidRPr="00FA15DF">
              <w:rPr>
                <w:rFonts w:ascii="Times New Roman" w:eastAsia="Times New Roman" w:hAnsi="Times New Roman" w:cs="Times New Roman"/>
                <w:i/>
                <w:noProof/>
                <w:color w:val="000000"/>
                <w:lang w:val="en-US" w:eastAsia="en-GB"/>
              </w:rPr>
              <w:t>of PO 5 will belong to the governing body of the Integrated Territorial Strategy of the CBC area, who will work closely with the JMC of the Programme in order to ensure the successful implementation of PO 5</w:t>
            </w:r>
            <w:r w:rsidR="00015676" w:rsidRPr="003105A2">
              <w:rPr>
                <w:rFonts w:ascii="Times New Roman" w:eastAsia="Times New Roman" w:hAnsi="Times New Roman" w:cs="Times New Roman"/>
                <w:i/>
                <w:noProof/>
                <w:color w:val="000000"/>
                <w:lang w:val="en-US" w:eastAsia="en-GB"/>
              </w:rPr>
              <w:t>.</w:t>
            </w:r>
            <w:r w:rsidR="00015676">
              <w:rPr>
                <w:rFonts w:ascii="Times New Roman" w:eastAsia="Times New Roman" w:hAnsi="Times New Roman" w:cs="Times New Roman"/>
                <w:i/>
                <w:noProof/>
                <w:color w:val="000000"/>
                <w:lang w:val="en-US" w:eastAsia="en-GB"/>
              </w:rPr>
              <w:t xml:space="preserve">  </w:t>
            </w:r>
          </w:p>
        </w:tc>
      </w:tr>
    </w:tbl>
    <w:p w14:paraId="2D2E941D" w14:textId="77777777" w:rsidR="00A10ECC" w:rsidRPr="001F57D0" w:rsidRDefault="00A10ECC" w:rsidP="001F57D0">
      <w:pPr>
        <w:pStyle w:val="ListParagraph"/>
        <w:numPr>
          <w:ilvl w:val="0"/>
          <w:numId w:val="1"/>
        </w:numPr>
        <w:spacing w:before="240" w:after="240" w:line="240" w:lineRule="auto"/>
        <w:rPr>
          <w:rFonts w:ascii="Times New Roman" w:eastAsia="Times New Roman" w:hAnsi="Times New Roman" w:cs="Times New Roman"/>
          <w:b/>
          <w:iCs/>
          <w:noProof/>
          <w:sz w:val="24"/>
          <w:szCs w:val="24"/>
          <w:lang w:eastAsia="en-GB"/>
        </w:rPr>
      </w:pPr>
      <w:r w:rsidRPr="001F57D0">
        <w:rPr>
          <w:rFonts w:ascii="Times New Roman" w:eastAsia="Times New Roman" w:hAnsi="Times New Roman" w:cs="Times New Roman"/>
          <w:b/>
          <w:iCs/>
          <w:noProof/>
          <w:sz w:val="24"/>
          <w:szCs w:val="24"/>
          <w:lang w:eastAsia="en-GB"/>
        </w:rPr>
        <w:lastRenderedPageBreak/>
        <w:t>Approach to communication and visibility for the Interreg programme (</w:t>
      </w:r>
      <w:r w:rsidRPr="001F57D0">
        <w:rPr>
          <w:rFonts w:ascii="Times New Roman" w:eastAsia="Times New Roman" w:hAnsi="Times New Roman" w:cs="Arial"/>
          <w:b/>
          <w:sz w:val="24"/>
          <w:szCs w:val="24"/>
          <w:lang w:val="en-US"/>
        </w:rPr>
        <w:t>objectives, target audiences, communication channels, including social media outreach, where appropriate, planned budget and relevant indicators for monitoring and evaluation)</w:t>
      </w:r>
      <w:r w:rsidRPr="001F57D0">
        <w:rPr>
          <w:rFonts w:ascii="Times New Roman" w:eastAsia="Times New Roman" w:hAnsi="Times New Roman" w:cs="Times New Roman"/>
          <w:b/>
          <w:iCs/>
          <w:noProof/>
          <w:sz w:val="24"/>
          <w:szCs w:val="24"/>
          <w:lang w:eastAsia="en-GB"/>
        </w:rPr>
        <w:t xml:space="preserve"> </w:t>
      </w:r>
    </w:p>
    <w:p w14:paraId="6EF4F7B8" w14:textId="77777777" w:rsidR="00A10ECC" w:rsidRPr="00A10ECC" w:rsidRDefault="00A10ECC" w:rsidP="00A10ECC">
      <w:pPr>
        <w:spacing w:after="200" w:line="276" w:lineRule="auto"/>
        <w:jc w:val="both"/>
        <w:rPr>
          <w:rFonts w:ascii="Times New Roman" w:eastAsia="Times New Roman" w:hAnsi="Times New Roman" w:cs="Times New Roman"/>
          <w:b/>
          <w:i/>
          <w:iCs/>
          <w:noProof/>
          <w:sz w:val="24"/>
          <w:szCs w:val="24"/>
          <w:lang w:eastAsia="en-GB"/>
        </w:rPr>
      </w:pPr>
      <w:r w:rsidRPr="00A10ECC">
        <w:rPr>
          <w:rFonts w:ascii="Times New Roman" w:eastAsia="Times New Roman" w:hAnsi="Times New Roman" w:cs="Times New Roman"/>
          <w:i/>
          <w:noProof/>
          <w:color w:val="000000"/>
          <w:sz w:val="24"/>
          <w:szCs w:val="24"/>
          <w:lang w:eastAsia="en-GB"/>
        </w:rPr>
        <w:t>Reference: point (h) of Article 17(3)</w:t>
      </w:r>
    </w:p>
    <w:p w14:paraId="46D05038" w14:textId="77777777" w:rsidR="00F92F3C" w:rsidRDefault="001313AD"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i/>
          <w:noProof/>
          <w:color w:val="000000"/>
          <w:lang w:eastAsia="en-GB"/>
        </w:rPr>
      </w:pPr>
      <w:bookmarkStart w:id="2" w:name="_Toc413751938"/>
      <w:r>
        <w:rPr>
          <w:rFonts w:ascii="Times New Roman" w:eastAsia="Times New Roman" w:hAnsi="Times New Roman" w:cs="Times New Roman"/>
          <w:i/>
          <w:noProof/>
          <w:color w:val="000000"/>
          <w:lang w:val="en-US" w:eastAsia="en-GB"/>
        </w:rPr>
        <w:t>T</w:t>
      </w:r>
      <w:r w:rsidRPr="004833AF">
        <w:rPr>
          <w:rFonts w:ascii="Times New Roman" w:eastAsia="Times New Roman" w:hAnsi="Times New Roman" w:cs="Times New Roman"/>
          <w:i/>
          <w:noProof/>
          <w:color w:val="000000"/>
          <w:lang w:eastAsia="en-GB"/>
        </w:rPr>
        <w:t xml:space="preserve">he </w:t>
      </w:r>
      <w:r>
        <w:rPr>
          <w:rFonts w:ascii="Times New Roman" w:eastAsia="Times New Roman" w:hAnsi="Times New Roman" w:cs="Times New Roman"/>
          <w:i/>
          <w:noProof/>
          <w:color w:val="000000"/>
          <w:lang w:eastAsia="en-GB"/>
        </w:rPr>
        <w:t>Programe</w:t>
      </w:r>
      <w:r w:rsidRPr="004833AF">
        <w:rPr>
          <w:rFonts w:ascii="Times New Roman" w:eastAsia="Times New Roman" w:hAnsi="Times New Roman" w:cs="Times New Roman"/>
          <w:i/>
          <w:noProof/>
          <w:color w:val="000000"/>
          <w:lang w:eastAsia="en-GB"/>
        </w:rPr>
        <w:t xml:space="preserve"> will take stock of good practices in communication from the previous period and show a flexible approach to reach out the targeted audience.</w:t>
      </w:r>
      <w:r>
        <w:t xml:space="preserve"> </w:t>
      </w:r>
      <w:r w:rsidR="00F92F3C" w:rsidRPr="00F92F3C">
        <w:rPr>
          <w:rFonts w:ascii="Times New Roman" w:eastAsia="Times New Roman" w:hAnsi="Times New Roman" w:cs="Times New Roman"/>
          <w:i/>
          <w:noProof/>
          <w:color w:val="000000"/>
          <w:lang w:eastAsia="en-GB"/>
        </w:rPr>
        <w:t>All these are translated into the following communication objectives:</w:t>
      </w:r>
    </w:p>
    <w:p w14:paraId="40A25048"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i/>
          <w:noProof/>
          <w:color w:val="000000"/>
          <w:lang w:eastAsia="en-GB"/>
        </w:rPr>
      </w:pPr>
      <w:r w:rsidRPr="00F92F3C">
        <w:rPr>
          <w:rFonts w:ascii="Times New Roman" w:eastAsia="Times New Roman" w:hAnsi="Times New Roman" w:cs="Times New Roman"/>
          <w:i/>
          <w:noProof/>
          <w:color w:val="000000"/>
          <w:lang w:eastAsia="en-GB"/>
        </w:rPr>
        <w:t>-</w:t>
      </w:r>
      <w:r w:rsidRPr="00F92F3C">
        <w:rPr>
          <w:rFonts w:ascii="Times New Roman" w:eastAsia="Times New Roman" w:hAnsi="Times New Roman" w:cs="Times New Roman"/>
          <w:i/>
          <w:noProof/>
          <w:color w:val="000000"/>
          <w:lang w:eastAsia="en-GB"/>
        </w:rPr>
        <w:tab/>
        <w:t>to make the programme known, attractive and easily approachable;</w:t>
      </w:r>
    </w:p>
    <w:p w14:paraId="2DEEAF20"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i/>
          <w:noProof/>
          <w:color w:val="000000"/>
          <w:lang w:eastAsia="en-GB"/>
        </w:rPr>
      </w:pPr>
      <w:r w:rsidRPr="00F92F3C">
        <w:rPr>
          <w:rFonts w:ascii="Times New Roman" w:eastAsia="Times New Roman" w:hAnsi="Times New Roman" w:cs="Times New Roman"/>
          <w:i/>
          <w:noProof/>
          <w:color w:val="000000"/>
          <w:lang w:eastAsia="en-GB"/>
        </w:rPr>
        <w:t>-</w:t>
      </w:r>
      <w:r w:rsidRPr="00F92F3C">
        <w:rPr>
          <w:rFonts w:ascii="Times New Roman" w:eastAsia="Times New Roman" w:hAnsi="Times New Roman" w:cs="Times New Roman"/>
          <w:i/>
          <w:noProof/>
          <w:color w:val="000000"/>
          <w:lang w:eastAsia="en-GB"/>
        </w:rPr>
        <w:tab/>
        <w:t xml:space="preserve">to support beneficiaries in project implementation; </w:t>
      </w:r>
    </w:p>
    <w:p w14:paraId="38C137B7"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i/>
          <w:noProof/>
          <w:color w:val="000000"/>
          <w:lang w:eastAsia="en-GB"/>
        </w:rPr>
      </w:pPr>
      <w:r w:rsidRPr="00F92F3C">
        <w:rPr>
          <w:rFonts w:ascii="Times New Roman" w:eastAsia="Times New Roman" w:hAnsi="Times New Roman" w:cs="Times New Roman"/>
          <w:i/>
          <w:noProof/>
          <w:color w:val="000000"/>
          <w:lang w:eastAsia="en-GB"/>
        </w:rPr>
        <w:t>-</w:t>
      </w:r>
      <w:r w:rsidRPr="00F92F3C">
        <w:rPr>
          <w:rFonts w:ascii="Times New Roman" w:eastAsia="Times New Roman" w:hAnsi="Times New Roman" w:cs="Times New Roman"/>
          <w:i/>
          <w:noProof/>
          <w:color w:val="000000"/>
          <w:lang w:eastAsia="en-GB"/>
        </w:rPr>
        <w:tab/>
        <w:t xml:space="preserve">to ensure wide acknowledgement of the EU support </w:t>
      </w:r>
      <w:r w:rsidR="005A10DF">
        <w:rPr>
          <w:rFonts w:ascii="Times New Roman" w:eastAsia="Times New Roman" w:hAnsi="Times New Roman" w:cs="Times New Roman"/>
          <w:i/>
          <w:noProof/>
          <w:color w:val="000000"/>
          <w:lang w:eastAsia="en-GB"/>
        </w:rPr>
        <w:t xml:space="preserve">in </w:t>
      </w:r>
      <w:r w:rsidRPr="00F92F3C">
        <w:rPr>
          <w:rFonts w:ascii="Times New Roman" w:eastAsia="Times New Roman" w:hAnsi="Times New Roman" w:cs="Times New Roman"/>
          <w:i/>
          <w:noProof/>
          <w:color w:val="000000"/>
          <w:lang w:eastAsia="en-GB"/>
        </w:rPr>
        <w:t>develop</w:t>
      </w:r>
      <w:r w:rsidR="005A10DF">
        <w:rPr>
          <w:rFonts w:ascii="Times New Roman" w:eastAsia="Times New Roman" w:hAnsi="Times New Roman" w:cs="Times New Roman"/>
          <w:i/>
          <w:noProof/>
          <w:color w:val="000000"/>
          <w:lang w:eastAsia="en-GB"/>
        </w:rPr>
        <w:t>ing</w:t>
      </w:r>
      <w:r w:rsidRPr="00F92F3C">
        <w:rPr>
          <w:rFonts w:ascii="Times New Roman" w:eastAsia="Times New Roman" w:hAnsi="Times New Roman" w:cs="Times New Roman"/>
          <w:i/>
          <w:noProof/>
          <w:color w:val="000000"/>
          <w:lang w:eastAsia="en-GB"/>
        </w:rPr>
        <w:t xml:space="preserve"> the programme area.</w:t>
      </w:r>
    </w:p>
    <w:bookmarkEnd w:id="2"/>
    <w:p w14:paraId="67834032"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i/>
          <w:noProof/>
          <w:color w:val="000000"/>
          <w:lang w:eastAsia="en-GB"/>
        </w:rPr>
      </w:pPr>
      <w:r w:rsidRPr="00F92F3C">
        <w:rPr>
          <w:rFonts w:ascii="Times New Roman" w:eastAsia="Times New Roman" w:hAnsi="Times New Roman" w:cs="Times New Roman"/>
          <w:i/>
          <w:noProof/>
          <w:color w:val="000000"/>
          <w:lang w:eastAsia="en-GB"/>
        </w:rPr>
        <w:t>The main focus of the communication activities addresses the potential applicants, the beneficiaries, the stakeholders and the institutions involved in the implementation.</w:t>
      </w:r>
    </w:p>
    <w:p w14:paraId="31429A67"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i/>
          <w:noProof/>
          <w:color w:val="000000"/>
          <w:lang w:eastAsia="en-GB"/>
        </w:rPr>
      </w:pPr>
      <w:r w:rsidRPr="00F92F3C">
        <w:rPr>
          <w:rFonts w:ascii="Times New Roman" w:eastAsia="Times New Roman" w:hAnsi="Times New Roman" w:cs="Times New Roman"/>
          <w:i/>
          <w:noProof/>
          <w:color w:val="000000"/>
          <w:lang w:eastAsia="en-GB"/>
        </w:rPr>
        <w:lastRenderedPageBreak/>
        <w:t>The</w:t>
      </w:r>
      <w:r w:rsidR="00B20256">
        <w:rPr>
          <w:rFonts w:ascii="Times New Roman" w:eastAsia="Times New Roman" w:hAnsi="Times New Roman" w:cs="Times New Roman"/>
          <w:i/>
          <w:noProof/>
          <w:color w:val="000000"/>
          <w:lang w:eastAsia="en-GB"/>
        </w:rPr>
        <w:t xml:space="preserve"> </w:t>
      </w:r>
      <w:r w:rsidR="00B20256" w:rsidRPr="009F1CF8">
        <w:rPr>
          <w:rFonts w:ascii="Times New Roman" w:eastAsia="Times New Roman" w:hAnsi="Times New Roman" w:cs="Times New Roman"/>
          <w:i/>
          <w:noProof/>
          <w:color w:val="000000"/>
          <w:lang w:eastAsia="en-GB"/>
        </w:rPr>
        <w:t>communication and vi</w:t>
      </w:r>
      <w:r w:rsidR="00B20256" w:rsidRPr="009145EA">
        <w:rPr>
          <w:rFonts w:ascii="Times New Roman" w:eastAsia="Times New Roman" w:hAnsi="Times New Roman" w:cs="Times New Roman"/>
          <w:i/>
          <w:noProof/>
          <w:color w:val="000000"/>
          <w:lang w:eastAsia="en-GB"/>
        </w:rPr>
        <w:t xml:space="preserve">sibility actions will reach </w:t>
      </w:r>
      <w:r w:rsidR="00B20256" w:rsidRPr="001858B6">
        <w:rPr>
          <w:rFonts w:ascii="Times New Roman" w:eastAsia="Times New Roman" w:hAnsi="Times New Roman" w:cs="Times New Roman"/>
          <w:i/>
          <w:noProof/>
          <w:color w:val="000000"/>
          <w:lang w:eastAsia="en-GB"/>
        </w:rPr>
        <w:t>a large audience from the</w:t>
      </w:r>
      <w:r w:rsidR="00B20256" w:rsidRPr="009F1CF8">
        <w:rPr>
          <w:rFonts w:ascii="Times New Roman" w:eastAsia="Times New Roman" w:hAnsi="Times New Roman" w:cs="Times New Roman"/>
          <w:i/>
          <w:noProof/>
          <w:color w:val="000000"/>
          <w:lang w:eastAsia="en-GB"/>
        </w:rPr>
        <w:t xml:space="preserve"> eligibility area, both geographically and thematically</w:t>
      </w:r>
      <w:r w:rsidR="00B20256">
        <w:rPr>
          <w:rFonts w:ascii="Times New Roman" w:eastAsia="Times New Roman" w:hAnsi="Times New Roman" w:cs="Times New Roman"/>
          <w:i/>
          <w:noProof/>
          <w:color w:val="000000"/>
          <w:lang w:eastAsia="en-GB"/>
        </w:rPr>
        <w:t xml:space="preserve">, and will </w:t>
      </w:r>
      <w:r w:rsidR="00562AC9">
        <w:rPr>
          <w:rFonts w:ascii="Times New Roman" w:eastAsia="Times New Roman" w:hAnsi="Times New Roman" w:cs="Times New Roman"/>
          <w:i/>
          <w:noProof/>
          <w:color w:val="000000"/>
          <w:lang w:eastAsia="en-GB"/>
        </w:rPr>
        <w:t>follow</w:t>
      </w:r>
      <w:r w:rsidR="00B20256">
        <w:rPr>
          <w:rFonts w:ascii="Times New Roman" w:eastAsia="Times New Roman" w:hAnsi="Times New Roman" w:cs="Times New Roman"/>
          <w:i/>
          <w:noProof/>
          <w:color w:val="000000"/>
          <w:lang w:eastAsia="en-GB"/>
        </w:rPr>
        <w:t xml:space="preserve"> the programme objectives.</w:t>
      </w:r>
      <w:r w:rsidR="00B20256" w:rsidRPr="009F1CF8">
        <w:rPr>
          <w:rFonts w:ascii="Times New Roman" w:eastAsia="Times New Roman" w:hAnsi="Times New Roman" w:cs="Times New Roman"/>
          <w:i/>
          <w:noProof/>
          <w:color w:val="000000"/>
          <w:lang w:eastAsia="en-GB"/>
        </w:rPr>
        <w:t xml:space="preserve"> </w:t>
      </w:r>
      <w:r w:rsidR="00B53034">
        <w:rPr>
          <w:rFonts w:ascii="Times New Roman" w:eastAsia="Times New Roman" w:hAnsi="Times New Roman" w:cs="Times New Roman"/>
          <w:i/>
          <w:noProof/>
          <w:color w:val="000000"/>
          <w:lang w:eastAsia="en-GB"/>
        </w:rPr>
        <w:t>The target groups are:</w:t>
      </w:r>
      <w:r>
        <w:rPr>
          <w:rFonts w:ascii="Times New Roman" w:eastAsia="Times New Roman" w:hAnsi="Times New Roman" w:cs="Times New Roman"/>
          <w:i/>
          <w:noProof/>
          <w:color w:val="000000"/>
          <w:lang w:eastAsia="en-GB"/>
        </w:rPr>
        <w:t>-</w:t>
      </w:r>
      <w:r>
        <w:rPr>
          <w:rFonts w:ascii="Times New Roman" w:eastAsia="Times New Roman" w:hAnsi="Times New Roman" w:cs="Times New Roman"/>
          <w:i/>
          <w:noProof/>
          <w:color w:val="000000"/>
          <w:lang w:eastAsia="en-GB"/>
        </w:rPr>
        <w:tab/>
      </w:r>
      <w:r w:rsidR="00B20256">
        <w:rPr>
          <w:rFonts w:ascii="Times New Roman" w:eastAsia="Times New Roman" w:hAnsi="Times New Roman" w:cs="Times New Roman"/>
          <w:i/>
          <w:noProof/>
          <w:color w:val="000000"/>
          <w:lang w:eastAsia="en-GB"/>
        </w:rPr>
        <w:t>(P</w:t>
      </w:r>
      <w:r w:rsidRPr="00F92F3C">
        <w:rPr>
          <w:rFonts w:ascii="Times New Roman" w:eastAsia="Times New Roman" w:hAnsi="Times New Roman" w:cs="Times New Roman"/>
          <w:i/>
          <w:noProof/>
          <w:color w:val="000000"/>
          <w:lang w:eastAsia="en-GB"/>
        </w:rPr>
        <w:t>otential</w:t>
      </w:r>
      <w:r w:rsidR="00B20256">
        <w:rPr>
          <w:rFonts w:ascii="Times New Roman" w:eastAsia="Times New Roman" w:hAnsi="Times New Roman" w:cs="Times New Roman"/>
          <w:i/>
          <w:noProof/>
          <w:color w:val="000000"/>
          <w:lang w:eastAsia="en-GB"/>
        </w:rPr>
        <w:t>)</w:t>
      </w:r>
      <w:r w:rsidRPr="00F92F3C">
        <w:rPr>
          <w:rFonts w:ascii="Times New Roman" w:eastAsia="Times New Roman" w:hAnsi="Times New Roman" w:cs="Times New Roman"/>
          <w:i/>
          <w:noProof/>
          <w:color w:val="000000"/>
          <w:lang w:eastAsia="en-GB"/>
        </w:rPr>
        <w:t xml:space="preserve"> beneficiaries: public authorities, SMEs, NGOs,  </w:t>
      </w:r>
      <w:r w:rsidR="00B20256">
        <w:rPr>
          <w:rFonts w:ascii="Times New Roman" w:eastAsia="Times New Roman" w:hAnsi="Times New Roman" w:cs="Times New Roman"/>
          <w:i/>
          <w:noProof/>
          <w:color w:val="000000"/>
          <w:lang w:eastAsia="en-GB"/>
        </w:rPr>
        <w:t>R&amp;D</w:t>
      </w:r>
      <w:r w:rsidRPr="00F92F3C">
        <w:rPr>
          <w:rFonts w:ascii="Times New Roman" w:eastAsia="Times New Roman" w:hAnsi="Times New Roman" w:cs="Times New Roman"/>
          <w:i/>
          <w:noProof/>
          <w:color w:val="000000"/>
          <w:lang w:eastAsia="en-GB"/>
        </w:rPr>
        <w:t>, education and training institutionsand other joint cross border structures</w:t>
      </w:r>
    </w:p>
    <w:p w14:paraId="632A2BE5"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i/>
          <w:noProof/>
          <w:color w:val="000000"/>
          <w:lang w:eastAsia="en-GB"/>
        </w:rPr>
      </w:pPr>
      <w:r>
        <w:rPr>
          <w:rFonts w:ascii="Times New Roman" w:eastAsia="Times New Roman" w:hAnsi="Times New Roman" w:cs="Times New Roman"/>
          <w:i/>
          <w:noProof/>
          <w:color w:val="000000"/>
          <w:lang w:eastAsia="en-GB"/>
        </w:rPr>
        <w:t>-</w:t>
      </w:r>
      <w:r>
        <w:rPr>
          <w:rFonts w:ascii="Times New Roman" w:eastAsia="Times New Roman" w:hAnsi="Times New Roman" w:cs="Times New Roman"/>
          <w:i/>
          <w:noProof/>
          <w:color w:val="000000"/>
          <w:lang w:eastAsia="en-GB"/>
        </w:rPr>
        <w:tab/>
      </w:r>
      <w:r w:rsidRPr="00F92F3C">
        <w:rPr>
          <w:rFonts w:ascii="Times New Roman" w:eastAsia="Times New Roman" w:hAnsi="Times New Roman" w:cs="Times New Roman"/>
          <w:i/>
          <w:noProof/>
          <w:color w:val="000000"/>
          <w:lang w:eastAsia="en-GB"/>
        </w:rPr>
        <w:t xml:space="preserve">Other stakeholders - </w:t>
      </w:r>
      <w:r w:rsidR="00A038ED" w:rsidRPr="00F92F3C">
        <w:rPr>
          <w:rFonts w:ascii="Times New Roman" w:eastAsia="Times New Roman" w:hAnsi="Times New Roman" w:cs="Times New Roman"/>
          <w:i/>
          <w:noProof/>
          <w:color w:val="000000"/>
          <w:lang w:eastAsia="en-GB"/>
        </w:rPr>
        <w:t>national, regional and local authorities</w:t>
      </w:r>
      <w:r w:rsidR="00A038ED">
        <w:rPr>
          <w:rFonts w:ascii="Times New Roman" w:eastAsia="Times New Roman" w:hAnsi="Times New Roman" w:cs="Times New Roman"/>
          <w:i/>
          <w:noProof/>
          <w:color w:val="000000"/>
          <w:lang w:eastAsia="en-GB"/>
        </w:rPr>
        <w:t>,</w:t>
      </w:r>
      <w:r w:rsidR="00A038ED" w:rsidRPr="00F92F3C">
        <w:rPr>
          <w:rFonts w:ascii="Times New Roman" w:eastAsia="Times New Roman" w:hAnsi="Times New Roman" w:cs="Times New Roman"/>
          <w:i/>
          <w:noProof/>
          <w:color w:val="000000"/>
          <w:lang w:eastAsia="en-GB"/>
        </w:rPr>
        <w:t xml:space="preserve"> </w:t>
      </w:r>
      <w:r w:rsidR="00A038ED">
        <w:rPr>
          <w:rFonts w:ascii="Times New Roman" w:eastAsia="Times New Roman" w:hAnsi="Times New Roman" w:cs="Times New Roman"/>
          <w:i/>
          <w:noProof/>
          <w:color w:val="000000"/>
          <w:lang w:eastAsia="en-GB"/>
        </w:rPr>
        <w:t>business, social, tourist, cultural, sport</w:t>
      </w:r>
      <w:r w:rsidR="00A038ED" w:rsidRPr="00F92F3C">
        <w:rPr>
          <w:rFonts w:ascii="Times New Roman" w:eastAsia="Times New Roman" w:hAnsi="Times New Roman" w:cs="Times New Roman"/>
          <w:i/>
          <w:noProof/>
          <w:color w:val="000000"/>
          <w:lang w:eastAsia="en-GB"/>
        </w:rPr>
        <w:t xml:space="preserve"> associations</w:t>
      </w:r>
      <w:r w:rsidR="00A038ED">
        <w:rPr>
          <w:rFonts w:ascii="Times New Roman" w:eastAsia="Times New Roman" w:hAnsi="Times New Roman" w:cs="Times New Roman"/>
          <w:i/>
          <w:noProof/>
          <w:color w:val="000000"/>
          <w:lang w:eastAsia="en-GB"/>
        </w:rPr>
        <w:t xml:space="preserve"> and </w:t>
      </w:r>
      <w:r w:rsidRPr="00F92F3C">
        <w:rPr>
          <w:rFonts w:ascii="Times New Roman" w:eastAsia="Times New Roman" w:hAnsi="Times New Roman" w:cs="Times New Roman"/>
          <w:i/>
          <w:noProof/>
          <w:color w:val="000000"/>
          <w:lang w:eastAsia="en-GB"/>
        </w:rPr>
        <w:t>stakeholders of mainstream programmes;</w:t>
      </w:r>
    </w:p>
    <w:p w14:paraId="63E2DF29"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i/>
          <w:noProof/>
          <w:color w:val="000000"/>
          <w:lang w:eastAsia="en-GB"/>
        </w:rPr>
      </w:pPr>
      <w:r>
        <w:rPr>
          <w:rFonts w:ascii="Times New Roman" w:eastAsia="Times New Roman" w:hAnsi="Times New Roman" w:cs="Times New Roman"/>
          <w:i/>
          <w:noProof/>
          <w:color w:val="000000"/>
          <w:lang w:eastAsia="en-GB"/>
        </w:rPr>
        <w:t>-</w:t>
      </w:r>
      <w:r>
        <w:rPr>
          <w:rFonts w:ascii="Times New Roman" w:eastAsia="Times New Roman" w:hAnsi="Times New Roman" w:cs="Times New Roman"/>
          <w:i/>
          <w:noProof/>
          <w:color w:val="000000"/>
          <w:lang w:eastAsia="en-GB"/>
        </w:rPr>
        <w:tab/>
      </w:r>
      <w:r w:rsidRPr="00F92F3C">
        <w:rPr>
          <w:rFonts w:ascii="Times New Roman" w:eastAsia="Times New Roman" w:hAnsi="Times New Roman" w:cs="Times New Roman"/>
          <w:i/>
          <w:noProof/>
          <w:color w:val="000000"/>
          <w:lang w:eastAsia="en-GB"/>
        </w:rPr>
        <w:t>National/ regional/local media from both countries</w:t>
      </w:r>
    </w:p>
    <w:p w14:paraId="1198021D"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i/>
          <w:noProof/>
          <w:color w:val="000000"/>
          <w:lang w:eastAsia="en-GB"/>
        </w:rPr>
      </w:pPr>
      <w:r w:rsidRPr="00F92F3C">
        <w:rPr>
          <w:rFonts w:ascii="Times New Roman" w:eastAsia="Times New Roman" w:hAnsi="Times New Roman" w:cs="Times New Roman"/>
          <w:i/>
          <w:noProof/>
          <w:color w:val="000000"/>
          <w:lang w:eastAsia="en-GB"/>
        </w:rPr>
        <w:t>The mix of communication channels takes into account the programme’s thematic objectives. There are both the digital and traditional instruments:</w:t>
      </w:r>
    </w:p>
    <w:p w14:paraId="0F95BA53" w14:textId="77777777" w:rsid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b/>
          <w:i/>
          <w:noProof/>
          <w:color w:val="000000"/>
          <w:lang w:eastAsia="en-GB"/>
        </w:rPr>
      </w:pPr>
      <w:r w:rsidRPr="00F92F3C">
        <w:rPr>
          <w:rFonts w:ascii="Times New Roman" w:eastAsia="Times New Roman" w:hAnsi="Times New Roman" w:cs="Times New Roman"/>
          <w:b/>
          <w:i/>
          <w:noProof/>
          <w:color w:val="000000"/>
          <w:lang w:eastAsia="en-GB"/>
        </w:rPr>
        <w:t xml:space="preserve">Communication Channels: </w:t>
      </w:r>
    </w:p>
    <w:p w14:paraId="7E19C6EF" w14:textId="77777777" w:rsid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b/>
          <w:i/>
          <w:noProof/>
          <w:color w:val="000000"/>
          <w:lang w:eastAsia="en-GB"/>
        </w:rPr>
      </w:pPr>
      <w:r w:rsidRPr="00F92F3C">
        <w:rPr>
          <w:rFonts w:ascii="Times New Roman" w:eastAsia="Times New Roman" w:hAnsi="Times New Roman" w:cs="Times New Roman"/>
          <w:b/>
          <w:i/>
          <w:noProof/>
          <w:color w:val="000000"/>
          <w:lang w:eastAsia="en-GB"/>
        </w:rPr>
        <w:t>1.</w:t>
      </w:r>
      <w:r w:rsidRPr="00F92F3C">
        <w:rPr>
          <w:rFonts w:ascii="Times New Roman" w:eastAsia="Times New Roman" w:hAnsi="Times New Roman" w:cs="Times New Roman"/>
          <w:b/>
          <w:i/>
          <w:noProof/>
          <w:color w:val="000000"/>
          <w:lang w:eastAsia="en-GB"/>
        </w:rPr>
        <w:tab/>
        <w:t>Digital</w:t>
      </w:r>
    </w:p>
    <w:p w14:paraId="3DF1B549"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i/>
          <w:noProof/>
          <w:color w:val="000000"/>
          <w:lang w:eastAsia="en-GB"/>
        </w:rPr>
      </w:pPr>
      <w:r w:rsidRPr="00F92F3C">
        <w:rPr>
          <w:rFonts w:ascii="Times New Roman" w:eastAsia="Times New Roman" w:hAnsi="Times New Roman" w:cs="Times New Roman"/>
          <w:b/>
          <w:i/>
          <w:noProof/>
          <w:color w:val="000000"/>
          <w:lang w:eastAsia="en-GB"/>
        </w:rPr>
        <w:t>-</w:t>
      </w:r>
      <w:r w:rsidRPr="00F92F3C">
        <w:rPr>
          <w:rFonts w:ascii="Times New Roman" w:eastAsia="Times New Roman" w:hAnsi="Times New Roman" w:cs="Times New Roman"/>
          <w:b/>
          <w:i/>
          <w:noProof/>
          <w:color w:val="000000"/>
          <w:lang w:eastAsia="en-GB"/>
        </w:rPr>
        <w:tab/>
      </w:r>
      <w:r w:rsidRPr="00F92F3C">
        <w:rPr>
          <w:rFonts w:ascii="Times New Roman" w:eastAsia="Times New Roman" w:hAnsi="Times New Roman" w:cs="Times New Roman"/>
          <w:i/>
          <w:noProof/>
          <w:color w:val="000000"/>
          <w:lang w:eastAsia="en-GB"/>
        </w:rPr>
        <w:t>Website;</w:t>
      </w:r>
    </w:p>
    <w:p w14:paraId="7CC49219"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i/>
          <w:noProof/>
          <w:color w:val="000000"/>
          <w:lang w:eastAsia="en-GB"/>
        </w:rPr>
      </w:pPr>
      <w:r w:rsidRPr="00F92F3C">
        <w:rPr>
          <w:rFonts w:ascii="Times New Roman" w:eastAsia="Times New Roman" w:hAnsi="Times New Roman" w:cs="Times New Roman"/>
          <w:i/>
          <w:noProof/>
          <w:color w:val="000000"/>
          <w:lang w:eastAsia="en-GB"/>
        </w:rPr>
        <w:t>-</w:t>
      </w:r>
      <w:r w:rsidRPr="00F92F3C">
        <w:rPr>
          <w:rFonts w:ascii="Times New Roman" w:eastAsia="Times New Roman" w:hAnsi="Times New Roman" w:cs="Times New Roman"/>
          <w:i/>
          <w:noProof/>
          <w:color w:val="000000"/>
          <w:lang w:eastAsia="en-GB"/>
        </w:rPr>
        <w:tab/>
        <w:t>Social media (Facebook and YouTube);</w:t>
      </w:r>
    </w:p>
    <w:p w14:paraId="1C25CE75"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i/>
          <w:noProof/>
          <w:color w:val="000000"/>
          <w:lang w:eastAsia="en-GB"/>
        </w:rPr>
      </w:pPr>
      <w:r w:rsidRPr="00F92F3C">
        <w:rPr>
          <w:rFonts w:ascii="Times New Roman" w:eastAsia="Times New Roman" w:hAnsi="Times New Roman" w:cs="Times New Roman"/>
          <w:i/>
          <w:noProof/>
          <w:color w:val="000000"/>
          <w:lang w:eastAsia="en-GB"/>
        </w:rPr>
        <w:t>-</w:t>
      </w:r>
      <w:r w:rsidRPr="00F92F3C">
        <w:rPr>
          <w:rFonts w:ascii="Times New Roman" w:eastAsia="Times New Roman" w:hAnsi="Times New Roman" w:cs="Times New Roman"/>
          <w:i/>
          <w:noProof/>
          <w:color w:val="000000"/>
          <w:lang w:eastAsia="en-GB"/>
        </w:rPr>
        <w:tab/>
        <w:t>E-events (meetings, workshops, conferences, seminars, trainings);</w:t>
      </w:r>
    </w:p>
    <w:p w14:paraId="716E1E44" w14:textId="77777777" w:rsid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b/>
          <w:i/>
          <w:noProof/>
          <w:color w:val="000000"/>
          <w:lang w:eastAsia="en-GB"/>
        </w:rPr>
      </w:pPr>
      <w:r w:rsidRPr="00F92F3C">
        <w:rPr>
          <w:rFonts w:ascii="Times New Roman" w:eastAsia="Times New Roman" w:hAnsi="Times New Roman" w:cs="Times New Roman"/>
          <w:i/>
          <w:noProof/>
          <w:color w:val="000000"/>
          <w:lang w:eastAsia="en-GB"/>
        </w:rPr>
        <w:t>-</w:t>
      </w:r>
      <w:r w:rsidRPr="00F92F3C">
        <w:rPr>
          <w:rFonts w:ascii="Times New Roman" w:eastAsia="Times New Roman" w:hAnsi="Times New Roman" w:cs="Times New Roman"/>
          <w:i/>
          <w:noProof/>
          <w:color w:val="000000"/>
          <w:lang w:eastAsia="en-GB"/>
        </w:rPr>
        <w:tab/>
        <w:t>PR activities (newsletters, E-brochures, Visual Identity Manual)</w:t>
      </w:r>
    </w:p>
    <w:p w14:paraId="288C06A6"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b/>
          <w:i/>
          <w:noProof/>
          <w:color w:val="000000"/>
          <w:lang w:eastAsia="en-GB"/>
        </w:rPr>
      </w:pPr>
      <w:r>
        <w:rPr>
          <w:rFonts w:ascii="Times New Roman" w:eastAsia="Times New Roman" w:hAnsi="Times New Roman" w:cs="Times New Roman"/>
          <w:b/>
          <w:i/>
          <w:noProof/>
          <w:color w:val="000000"/>
          <w:lang w:eastAsia="en-GB"/>
        </w:rPr>
        <w:t>2.</w:t>
      </w:r>
      <w:r>
        <w:rPr>
          <w:rFonts w:ascii="Times New Roman" w:eastAsia="Times New Roman" w:hAnsi="Times New Roman" w:cs="Times New Roman"/>
          <w:b/>
          <w:i/>
          <w:noProof/>
          <w:color w:val="000000"/>
          <w:lang w:eastAsia="en-GB"/>
        </w:rPr>
        <w:tab/>
      </w:r>
      <w:r w:rsidRPr="00F92F3C">
        <w:rPr>
          <w:rFonts w:ascii="Times New Roman" w:eastAsia="Times New Roman" w:hAnsi="Times New Roman" w:cs="Times New Roman"/>
          <w:b/>
          <w:i/>
          <w:noProof/>
          <w:color w:val="000000"/>
          <w:lang w:eastAsia="en-GB"/>
        </w:rPr>
        <w:t>Traditional</w:t>
      </w:r>
    </w:p>
    <w:p w14:paraId="1EE7D02B"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i/>
          <w:noProof/>
          <w:color w:val="000000"/>
          <w:lang w:eastAsia="en-GB"/>
        </w:rPr>
      </w:pPr>
      <w:r w:rsidRPr="00F92F3C">
        <w:rPr>
          <w:rFonts w:ascii="Times New Roman" w:eastAsia="Times New Roman" w:hAnsi="Times New Roman" w:cs="Times New Roman"/>
          <w:i/>
          <w:noProof/>
          <w:color w:val="000000"/>
          <w:lang w:eastAsia="en-GB"/>
        </w:rPr>
        <w:t>-</w:t>
      </w:r>
      <w:r w:rsidRPr="00F92F3C">
        <w:rPr>
          <w:rFonts w:ascii="Times New Roman" w:eastAsia="Times New Roman" w:hAnsi="Times New Roman" w:cs="Times New Roman"/>
          <w:i/>
          <w:noProof/>
          <w:color w:val="000000"/>
          <w:lang w:eastAsia="en-GB"/>
        </w:rPr>
        <w:tab/>
        <w:t>PR activities (press releases, publications, interviews, shows, short videos)</w:t>
      </w:r>
    </w:p>
    <w:p w14:paraId="3E29CE7F"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b/>
          <w:i/>
          <w:noProof/>
          <w:color w:val="000000"/>
          <w:lang w:eastAsia="en-GB"/>
        </w:rPr>
      </w:pPr>
      <w:r w:rsidRPr="00F92F3C">
        <w:rPr>
          <w:rFonts w:ascii="Times New Roman" w:eastAsia="Times New Roman" w:hAnsi="Times New Roman" w:cs="Times New Roman"/>
          <w:i/>
          <w:noProof/>
          <w:color w:val="000000"/>
          <w:lang w:eastAsia="en-GB"/>
        </w:rPr>
        <w:t>-</w:t>
      </w:r>
      <w:r w:rsidRPr="00F92F3C">
        <w:rPr>
          <w:rFonts w:ascii="Times New Roman" w:eastAsia="Times New Roman" w:hAnsi="Times New Roman" w:cs="Times New Roman"/>
          <w:i/>
          <w:noProof/>
          <w:color w:val="000000"/>
          <w:lang w:eastAsia="en-GB"/>
        </w:rPr>
        <w:tab/>
        <w:t>Signalling  (plates with the Programme logo at the building entrance and of the MA, NA, JS, flying the EU flag);</w:t>
      </w:r>
    </w:p>
    <w:p w14:paraId="64E3C5E9" w14:textId="77777777" w:rsid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b/>
          <w:i/>
          <w:noProof/>
          <w:color w:val="000000"/>
          <w:lang w:eastAsia="en-GB"/>
        </w:rPr>
      </w:pPr>
      <w:r>
        <w:rPr>
          <w:rFonts w:ascii="Times New Roman" w:eastAsia="Times New Roman" w:hAnsi="Times New Roman" w:cs="Times New Roman"/>
          <w:i/>
          <w:noProof/>
          <w:color w:val="000000"/>
          <w:lang w:eastAsia="en-GB"/>
        </w:rPr>
        <w:t>3.</w:t>
      </w:r>
      <w:r>
        <w:rPr>
          <w:rFonts w:ascii="Times New Roman" w:eastAsia="Times New Roman" w:hAnsi="Times New Roman" w:cs="Times New Roman"/>
          <w:i/>
          <w:noProof/>
          <w:color w:val="000000"/>
          <w:lang w:eastAsia="en-GB"/>
        </w:rPr>
        <w:tab/>
      </w:r>
      <w:r w:rsidRPr="00F92F3C">
        <w:rPr>
          <w:rFonts w:ascii="Times New Roman" w:eastAsia="Times New Roman" w:hAnsi="Times New Roman" w:cs="Times New Roman"/>
          <w:b/>
          <w:i/>
          <w:noProof/>
          <w:color w:val="000000"/>
          <w:lang w:eastAsia="en-GB"/>
        </w:rPr>
        <w:t>Events/trainings</w:t>
      </w:r>
    </w:p>
    <w:p w14:paraId="112C6B71" w14:textId="77777777" w:rsid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i/>
          <w:noProof/>
          <w:color w:val="000000"/>
          <w:lang w:eastAsia="en-GB"/>
        </w:rPr>
      </w:pPr>
      <w:r w:rsidRPr="00F92F3C">
        <w:rPr>
          <w:rFonts w:ascii="Times New Roman" w:eastAsia="Times New Roman" w:hAnsi="Times New Roman" w:cs="Times New Roman"/>
          <w:i/>
          <w:noProof/>
          <w:color w:val="000000"/>
          <w:lang w:eastAsia="en-GB"/>
        </w:rPr>
        <w:t>-</w:t>
      </w:r>
      <w:r w:rsidRPr="00F92F3C">
        <w:rPr>
          <w:rFonts w:ascii="Times New Roman" w:eastAsia="Times New Roman" w:hAnsi="Times New Roman" w:cs="Times New Roman"/>
          <w:i/>
          <w:noProof/>
          <w:color w:val="000000"/>
          <w:lang w:eastAsia="en-GB"/>
        </w:rPr>
        <w:tab/>
        <w:t>Meetings, workshops, conferences, seminars</w:t>
      </w:r>
      <w:r w:rsidR="00135EB9">
        <w:rPr>
          <w:rFonts w:ascii="Times New Roman" w:eastAsia="Times New Roman" w:hAnsi="Times New Roman" w:cs="Times New Roman"/>
          <w:i/>
          <w:noProof/>
          <w:color w:val="000000"/>
          <w:lang w:eastAsia="en-GB"/>
        </w:rPr>
        <w:t xml:space="preserve"> and</w:t>
      </w:r>
      <w:r w:rsidRPr="00F92F3C">
        <w:rPr>
          <w:rFonts w:ascii="Times New Roman" w:eastAsia="Times New Roman" w:hAnsi="Times New Roman" w:cs="Times New Roman"/>
          <w:i/>
          <w:noProof/>
          <w:color w:val="000000"/>
          <w:lang w:eastAsia="en-GB"/>
        </w:rPr>
        <w:t xml:space="preserve"> trainings</w:t>
      </w:r>
    </w:p>
    <w:p w14:paraId="702281D3"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i/>
          <w:noProof/>
          <w:color w:val="000000"/>
          <w:lang w:eastAsia="en-GB"/>
        </w:rPr>
      </w:pPr>
      <w:r>
        <w:rPr>
          <w:rFonts w:ascii="Times New Roman" w:eastAsia="Times New Roman" w:hAnsi="Times New Roman" w:cs="Times New Roman"/>
          <w:i/>
          <w:noProof/>
          <w:color w:val="000000"/>
          <w:lang w:eastAsia="en-GB"/>
        </w:rPr>
        <w:t>-</w:t>
      </w:r>
      <w:r>
        <w:rPr>
          <w:rFonts w:ascii="Times New Roman" w:eastAsia="Times New Roman" w:hAnsi="Times New Roman" w:cs="Times New Roman"/>
          <w:i/>
          <w:noProof/>
          <w:color w:val="000000"/>
          <w:lang w:eastAsia="en-GB"/>
        </w:rPr>
        <w:tab/>
      </w:r>
      <w:r w:rsidRPr="00F92F3C">
        <w:rPr>
          <w:rFonts w:ascii="Times New Roman" w:eastAsia="Times New Roman" w:hAnsi="Times New Roman" w:cs="Times New Roman"/>
          <w:i/>
          <w:noProof/>
          <w:color w:val="000000"/>
          <w:lang w:eastAsia="en-GB"/>
        </w:rPr>
        <w:t>Events for celebration of European Cooperation Day</w:t>
      </w:r>
    </w:p>
    <w:p w14:paraId="76DB6932"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b/>
          <w:bCs/>
          <w:i/>
          <w:noProof/>
          <w:color w:val="000000"/>
          <w:lang w:eastAsia="en-GB"/>
        </w:rPr>
      </w:pPr>
      <w:r w:rsidRPr="00F92F3C">
        <w:rPr>
          <w:rFonts w:ascii="Times New Roman" w:eastAsia="Times New Roman" w:hAnsi="Times New Roman" w:cs="Times New Roman"/>
          <w:b/>
          <w:bCs/>
          <w:i/>
          <w:noProof/>
          <w:color w:val="000000"/>
          <w:u w:val="single"/>
          <w:lang w:eastAsia="en-GB"/>
        </w:rPr>
        <w:t>Website</w:t>
      </w:r>
    </w:p>
    <w:p w14:paraId="5A5F9295"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b/>
          <w:bCs/>
          <w:i/>
          <w:noProof/>
          <w:color w:val="000000"/>
          <w:lang w:eastAsia="en-GB"/>
        </w:rPr>
      </w:pPr>
      <w:r w:rsidRPr="00F92F3C">
        <w:rPr>
          <w:rFonts w:ascii="Times New Roman" w:eastAsia="Times New Roman" w:hAnsi="Times New Roman" w:cs="Times New Roman"/>
          <w:i/>
          <w:noProof/>
          <w:color w:val="000000"/>
          <w:lang w:eastAsia="en-GB"/>
        </w:rPr>
        <w:t xml:space="preserve">Like a main source of information, the new website will retain the main structure as the one from the </w:t>
      </w:r>
      <w:r w:rsidR="00B20256">
        <w:rPr>
          <w:rFonts w:ascii="Times New Roman" w:eastAsia="Times New Roman" w:hAnsi="Times New Roman" w:cs="Times New Roman"/>
          <w:i/>
          <w:noProof/>
          <w:color w:val="000000"/>
          <w:lang w:eastAsia="en-GB"/>
        </w:rPr>
        <w:t>2014-2020</w:t>
      </w:r>
      <w:r w:rsidR="00B20256" w:rsidRPr="00F92F3C">
        <w:rPr>
          <w:rFonts w:ascii="Times New Roman" w:eastAsia="Times New Roman" w:hAnsi="Times New Roman" w:cs="Times New Roman"/>
          <w:i/>
          <w:noProof/>
          <w:color w:val="000000"/>
          <w:lang w:eastAsia="en-GB"/>
        </w:rPr>
        <w:t xml:space="preserve"> </w:t>
      </w:r>
      <w:r w:rsidRPr="00F92F3C">
        <w:rPr>
          <w:rFonts w:ascii="Times New Roman" w:eastAsia="Times New Roman" w:hAnsi="Times New Roman" w:cs="Times New Roman"/>
          <w:i/>
          <w:noProof/>
          <w:color w:val="000000"/>
          <w:lang w:eastAsia="en-GB"/>
        </w:rPr>
        <w:t>period.</w:t>
      </w:r>
    </w:p>
    <w:p w14:paraId="1F873BDE"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b/>
          <w:bCs/>
          <w:i/>
          <w:noProof/>
          <w:color w:val="000000"/>
          <w:u w:val="single"/>
          <w:lang w:eastAsia="en-GB"/>
        </w:rPr>
      </w:pPr>
      <w:r w:rsidRPr="00F92F3C">
        <w:rPr>
          <w:rFonts w:ascii="Times New Roman" w:eastAsia="Times New Roman" w:hAnsi="Times New Roman" w:cs="Times New Roman"/>
          <w:b/>
          <w:bCs/>
          <w:i/>
          <w:noProof/>
          <w:color w:val="000000"/>
          <w:u w:val="single"/>
          <w:lang w:eastAsia="en-GB"/>
        </w:rPr>
        <w:t>Social media</w:t>
      </w:r>
    </w:p>
    <w:p w14:paraId="2210700B"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i/>
          <w:noProof/>
          <w:color w:val="000000"/>
          <w:lang w:eastAsia="en-GB"/>
        </w:rPr>
      </w:pPr>
      <w:r w:rsidRPr="00F92F3C">
        <w:rPr>
          <w:rFonts w:ascii="Times New Roman" w:eastAsia="Times New Roman" w:hAnsi="Times New Roman" w:cs="Times New Roman"/>
          <w:i/>
          <w:noProof/>
          <w:color w:val="000000"/>
          <w:lang w:eastAsia="en-GB"/>
        </w:rPr>
        <w:t xml:space="preserve">The Programme will use </w:t>
      </w:r>
      <w:r w:rsidRPr="00F92F3C">
        <w:rPr>
          <w:rFonts w:ascii="Times New Roman" w:eastAsia="Times New Roman" w:hAnsi="Times New Roman" w:cs="Times New Roman"/>
          <w:bCs/>
          <w:i/>
          <w:noProof/>
          <w:color w:val="000000"/>
          <w:lang w:eastAsia="en-GB"/>
        </w:rPr>
        <w:t>Facebook and YouTube as the main social media channels</w:t>
      </w:r>
      <w:r w:rsidRPr="00F92F3C">
        <w:rPr>
          <w:rFonts w:ascii="Times New Roman" w:eastAsia="Times New Roman" w:hAnsi="Times New Roman" w:cs="Times New Roman"/>
          <w:i/>
          <w:noProof/>
          <w:color w:val="000000"/>
          <w:lang w:eastAsia="en-GB"/>
        </w:rPr>
        <w:t>. In order to reach maximum audience MA will use Search Engine Optimization (SEO) and ads in Google (Google Ads), Facebook and You Tube.</w:t>
      </w:r>
    </w:p>
    <w:p w14:paraId="6BA718E8"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i/>
          <w:noProof/>
          <w:color w:val="000000"/>
          <w:u w:val="single"/>
          <w:lang w:eastAsia="en-GB"/>
        </w:rPr>
      </w:pPr>
      <w:r w:rsidRPr="00F92F3C">
        <w:rPr>
          <w:rFonts w:ascii="Times New Roman" w:eastAsia="Times New Roman" w:hAnsi="Times New Roman" w:cs="Times New Roman"/>
          <w:b/>
          <w:bCs/>
          <w:i/>
          <w:noProof/>
          <w:color w:val="000000"/>
          <w:u w:val="single"/>
          <w:lang w:eastAsia="en-GB"/>
        </w:rPr>
        <w:t>eLearning webinars</w:t>
      </w:r>
    </w:p>
    <w:p w14:paraId="04735DFE"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i/>
          <w:noProof/>
          <w:color w:val="000000"/>
          <w:lang w:eastAsia="en-GB"/>
        </w:rPr>
      </w:pPr>
      <w:r w:rsidRPr="00F92F3C">
        <w:rPr>
          <w:rFonts w:ascii="Times New Roman" w:eastAsia="Times New Roman" w:hAnsi="Times New Roman" w:cs="Times New Roman"/>
          <w:i/>
          <w:noProof/>
          <w:color w:val="000000"/>
          <w:lang w:eastAsia="en-GB"/>
        </w:rPr>
        <w:t xml:space="preserve">MA will </w:t>
      </w:r>
      <w:r w:rsidR="005247E9">
        <w:rPr>
          <w:rFonts w:ascii="Times New Roman" w:eastAsia="Times New Roman" w:hAnsi="Times New Roman" w:cs="Times New Roman"/>
          <w:i/>
          <w:noProof/>
          <w:color w:val="000000"/>
          <w:lang w:eastAsia="en-GB"/>
        </w:rPr>
        <w:t xml:space="preserve">pay special attention to </w:t>
      </w:r>
      <w:r w:rsidR="005247E9" w:rsidRPr="00F92F3C">
        <w:rPr>
          <w:rFonts w:ascii="Times New Roman" w:eastAsia="Times New Roman" w:hAnsi="Times New Roman" w:cs="Times New Roman"/>
          <w:i/>
          <w:noProof/>
          <w:color w:val="000000"/>
          <w:lang w:eastAsia="en-GB"/>
        </w:rPr>
        <w:t xml:space="preserve">online education </w:t>
      </w:r>
      <w:r w:rsidR="005247E9">
        <w:rPr>
          <w:rFonts w:ascii="Times New Roman" w:eastAsia="Times New Roman" w:hAnsi="Times New Roman" w:cs="Times New Roman"/>
          <w:i/>
          <w:noProof/>
          <w:color w:val="000000"/>
          <w:lang w:eastAsia="en-GB"/>
        </w:rPr>
        <w:t xml:space="preserve">and will </w:t>
      </w:r>
      <w:r w:rsidRPr="00F92F3C">
        <w:rPr>
          <w:rFonts w:ascii="Times New Roman" w:eastAsia="Times New Roman" w:hAnsi="Times New Roman" w:cs="Times New Roman"/>
          <w:i/>
          <w:noProof/>
          <w:color w:val="000000"/>
          <w:lang w:eastAsia="en-GB"/>
        </w:rPr>
        <w:t>ensure the accessibility of the information to the interested parties who can’t be present physically at the events. If necessary, all possible below-the-line (BTL) events will be transferred online.</w:t>
      </w:r>
    </w:p>
    <w:p w14:paraId="58E9875A"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b/>
          <w:i/>
          <w:noProof/>
          <w:color w:val="000000"/>
          <w:u w:val="single"/>
          <w:lang w:eastAsia="en-GB"/>
        </w:rPr>
      </w:pPr>
      <w:r w:rsidRPr="00F92F3C">
        <w:rPr>
          <w:rFonts w:ascii="Times New Roman" w:eastAsia="Times New Roman" w:hAnsi="Times New Roman" w:cs="Times New Roman"/>
          <w:b/>
          <w:i/>
          <w:noProof/>
          <w:color w:val="000000"/>
          <w:u w:val="single"/>
          <w:lang w:eastAsia="en-GB"/>
        </w:rPr>
        <w:t>PR activities</w:t>
      </w:r>
    </w:p>
    <w:p w14:paraId="11FA7CBD"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i/>
          <w:noProof/>
          <w:color w:val="000000"/>
          <w:lang w:eastAsia="en-GB"/>
        </w:rPr>
      </w:pPr>
      <w:r w:rsidRPr="00F92F3C">
        <w:rPr>
          <w:rFonts w:ascii="Times New Roman" w:eastAsia="Times New Roman" w:hAnsi="Times New Roman" w:cs="Times New Roman"/>
          <w:b/>
          <w:bCs/>
          <w:i/>
          <w:noProof/>
          <w:color w:val="000000"/>
          <w:lang w:eastAsia="en-GB"/>
        </w:rPr>
        <w:t>Press releases</w:t>
      </w:r>
      <w:r w:rsidRPr="00F92F3C">
        <w:rPr>
          <w:rFonts w:ascii="Times New Roman" w:eastAsia="Times New Roman" w:hAnsi="Times New Roman" w:cs="Times New Roman"/>
          <w:i/>
          <w:noProof/>
          <w:color w:val="000000"/>
          <w:lang w:eastAsia="en-GB"/>
        </w:rPr>
        <w:t xml:space="preserve"> will be prepared and disseminated to local/regional/national media.</w:t>
      </w:r>
    </w:p>
    <w:p w14:paraId="5190077F"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i/>
          <w:noProof/>
          <w:color w:val="000000"/>
          <w:lang w:eastAsia="en-GB"/>
        </w:rPr>
      </w:pPr>
      <w:r w:rsidRPr="00F92F3C">
        <w:rPr>
          <w:rFonts w:ascii="Times New Roman" w:eastAsia="Times New Roman" w:hAnsi="Times New Roman" w:cs="Times New Roman"/>
          <w:b/>
          <w:bCs/>
          <w:i/>
          <w:noProof/>
          <w:color w:val="000000"/>
          <w:lang w:eastAsia="en-GB"/>
        </w:rPr>
        <w:t>E-Brochure/newsletters</w:t>
      </w:r>
      <w:r w:rsidRPr="00F92F3C">
        <w:rPr>
          <w:rFonts w:ascii="Times New Roman" w:eastAsia="Times New Roman" w:hAnsi="Times New Roman" w:cs="Times New Roman"/>
          <w:i/>
          <w:noProof/>
          <w:color w:val="000000"/>
          <w:lang w:eastAsia="en-GB"/>
        </w:rPr>
        <w:t xml:space="preserve"> will be published and distributed via Social Media and Programme website.</w:t>
      </w:r>
    </w:p>
    <w:p w14:paraId="1D7C6CC1"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i/>
          <w:noProof/>
          <w:color w:val="000000"/>
          <w:lang w:eastAsia="en-GB"/>
        </w:rPr>
      </w:pPr>
      <w:r w:rsidRPr="00F92F3C">
        <w:rPr>
          <w:rFonts w:ascii="Times New Roman" w:eastAsia="Times New Roman" w:hAnsi="Times New Roman" w:cs="Times New Roman"/>
          <w:b/>
          <w:bCs/>
          <w:i/>
          <w:noProof/>
          <w:color w:val="000000"/>
          <w:lang w:eastAsia="en-GB"/>
        </w:rPr>
        <w:lastRenderedPageBreak/>
        <w:t>Info graphics</w:t>
      </w:r>
      <w:r w:rsidRPr="00F92F3C">
        <w:rPr>
          <w:rFonts w:ascii="Times New Roman" w:eastAsia="Times New Roman" w:hAnsi="Times New Roman" w:cs="Times New Roman"/>
          <w:i/>
          <w:noProof/>
          <w:color w:val="000000"/>
          <w:lang w:eastAsia="en-GB"/>
        </w:rPr>
        <w:t xml:space="preserve"> will be used for visual presentation of complex information in a quick and clear manner.</w:t>
      </w:r>
    </w:p>
    <w:p w14:paraId="4964E4E1" w14:textId="77777777" w:rsid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i/>
          <w:noProof/>
          <w:color w:val="000000"/>
          <w:lang w:eastAsia="en-GB"/>
        </w:rPr>
      </w:pPr>
      <w:r w:rsidRPr="00F92F3C">
        <w:rPr>
          <w:rFonts w:ascii="Times New Roman" w:eastAsia="Times New Roman" w:hAnsi="Times New Roman" w:cs="Times New Roman"/>
          <w:b/>
          <w:bCs/>
          <w:i/>
          <w:noProof/>
          <w:color w:val="000000"/>
          <w:lang w:eastAsia="en-GB"/>
        </w:rPr>
        <w:t>Press events</w:t>
      </w:r>
      <w:r w:rsidRPr="00F92F3C">
        <w:rPr>
          <w:rFonts w:ascii="Times New Roman" w:eastAsia="Times New Roman" w:hAnsi="Times New Roman" w:cs="Times New Roman"/>
          <w:i/>
          <w:noProof/>
          <w:color w:val="000000"/>
          <w:lang w:eastAsia="en-GB"/>
        </w:rPr>
        <w:t xml:space="preserve"> will be organised mainly on-the-spot.</w:t>
      </w:r>
    </w:p>
    <w:p w14:paraId="3EAD717E"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i/>
          <w:noProof/>
          <w:color w:val="000000"/>
          <w:lang w:eastAsia="en-GB"/>
        </w:rPr>
      </w:pPr>
      <w:r w:rsidRPr="00F92F3C">
        <w:rPr>
          <w:rFonts w:ascii="Times New Roman" w:eastAsia="Times New Roman" w:hAnsi="Times New Roman" w:cs="Times New Roman"/>
          <w:b/>
          <w:bCs/>
          <w:i/>
          <w:noProof/>
          <w:color w:val="000000"/>
          <w:lang w:eastAsia="en-GB"/>
        </w:rPr>
        <w:t xml:space="preserve">Photos </w:t>
      </w:r>
      <w:r w:rsidRPr="00F92F3C">
        <w:rPr>
          <w:rFonts w:ascii="Times New Roman" w:eastAsia="Times New Roman" w:hAnsi="Times New Roman" w:cs="Times New Roman"/>
          <w:i/>
          <w:noProof/>
          <w:color w:val="000000"/>
          <w:lang w:eastAsia="en-GB"/>
        </w:rPr>
        <w:t xml:space="preserve">from the events and the projects will be used in preparation of publications, promotional materials, videos and slide shows. </w:t>
      </w:r>
    </w:p>
    <w:p w14:paraId="1EE7BBE1"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i/>
          <w:noProof/>
          <w:color w:val="000000"/>
          <w:lang w:eastAsia="en-GB"/>
        </w:rPr>
      </w:pPr>
      <w:r w:rsidRPr="00F92F3C">
        <w:rPr>
          <w:rFonts w:ascii="Times New Roman" w:eastAsia="Times New Roman" w:hAnsi="Times New Roman" w:cs="Times New Roman"/>
          <w:b/>
          <w:bCs/>
          <w:i/>
          <w:noProof/>
          <w:color w:val="000000"/>
          <w:lang w:eastAsia="en-GB"/>
        </w:rPr>
        <w:t xml:space="preserve">Videos </w:t>
      </w:r>
      <w:r w:rsidRPr="00F92F3C">
        <w:rPr>
          <w:rFonts w:ascii="Times New Roman" w:eastAsia="Times New Roman" w:hAnsi="Times New Roman" w:cs="Times New Roman"/>
          <w:bCs/>
          <w:i/>
          <w:noProof/>
          <w:color w:val="000000"/>
          <w:lang w:eastAsia="en-GB"/>
        </w:rPr>
        <w:t xml:space="preserve">– Short event movies will </w:t>
      </w:r>
      <w:r w:rsidRPr="00F92F3C">
        <w:rPr>
          <w:rFonts w:ascii="Times New Roman" w:eastAsia="Times New Roman" w:hAnsi="Times New Roman" w:cs="Times New Roman"/>
          <w:i/>
          <w:noProof/>
          <w:color w:val="000000"/>
          <w:lang w:eastAsia="en-GB"/>
        </w:rPr>
        <w:t xml:space="preserve">be produced to promote the Programme during the whole Programming period. </w:t>
      </w:r>
    </w:p>
    <w:p w14:paraId="3B1F56B1"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i/>
          <w:noProof/>
          <w:color w:val="000000"/>
          <w:lang w:eastAsia="en-GB"/>
        </w:rPr>
      </w:pPr>
      <w:r w:rsidRPr="00F92F3C">
        <w:rPr>
          <w:rFonts w:ascii="Times New Roman" w:eastAsia="Times New Roman" w:hAnsi="Times New Roman" w:cs="Times New Roman"/>
          <w:b/>
          <w:bCs/>
          <w:i/>
          <w:noProof/>
          <w:color w:val="000000"/>
          <w:lang w:eastAsia="en-GB"/>
        </w:rPr>
        <w:t xml:space="preserve">Promotional Materials - </w:t>
      </w:r>
      <w:r w:rsidRPr="00F92F3C">
        <w:rPr>
          <w:rFonts w:ascii="Times New Roman" w:eastAsia="Times New Roman" w:hAnsi="Times New Roman" w:cs="Times New Roman"/>
          <w:i/>
          <w:noProof/>
          <w:color w:val="000000"/>
          <w:lang w:eastAsia="en-GB"/>
        </w:rPr>
        <w:t>promotional banners/gifts/gadgets will be distributed during public events</w:t>
      </w:r>
    </w:p>
    <w:p w14:paraId="3C4DA7BB"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b/>
          <w:bCs/>
          <w:i/>
          <w:noProof/>
          <w:color w:val="000000"/>
          <w:u w:val="single"/>
          <w:lang w:eastAsia="en-GB"/>
        </w:rPr>
      </w:pPr>
      <w:r w:rsidRPr="00F92F3C">
        <w:rPr>
          <w:rFonts w:ascii="Times New Roman" w:eastAsia="Times New Roman" w:hAnsi="Times New Roman" w:cs="Times New Roman"/>
          <w:b/>
          <w:bCs/>
          <w:i/>
          <w:noProof/>
          <w:color w:val="000000"/>
          <w:u w:val="single"/>
          <w:lang w:eastAsia="en-GB"/>
        </w:rPr>
        <w:t>Events &amp; meetings</w:t>
      </w:r>
    </w:p>
    <w:p w14:paraId="0A288C33"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i/>
          <w:noProof/>
          <w:color w:val="000000"/>
          <w:lang w:eastAsia="en-GB"/>
        </w:rPr>
      </w:pPr>
      <w:r w:rsidRPr="00F92F3C">
        <w:rPr>
          <w:rFonts w:ascii="Times New Roman" w:eastAsia="Times New Roman" w:hAnsi="Times New Roman" w:cs="Times New Roman"/>
          <w:i/>
          <w:noProof/>
          <w:color w:val="000000"/>
          <w:lang w:eastAsia="en-GB"/>
        </w:rPr>
        <w:t>Human interaction is essential for building trust and allowing cooperation. As a tool to reach beneficiaries and influencers, the events will address the participants to take action</w:t>
      </w:r>
      <w:r w:rsidR="00843534">
        <w:rPr>
          <w:rFonts w:ascii="Times New Roman" w:eastAsia="Times New Roman" w:hAnsi="Times New Roman" w:cs="Times New Roman"/>
          <w:i/>
          <w:noProof/>
          <w:color w:val="000000"/>
          <w:lang w:eastAsia="en-GB"/>
        </w:rPr>
        <w:t>.</w:t>
      </w:r>
    </w:p>
    <w:p w14:paraId="50973D25"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i/>
          <w:noProof/>
          <w:color w:val="000000"/>
          <w:lang w:eastAsia="en-GB"/>
        </w:rPr>
      </w:pPr>
      <w:r w:rsidRPr="00F92F3C">
        <w:rPr>
          <w:rFonts w:ascii="Times New Roman" w:eastAsia="Times New Roman" w:hAnsi="Times New Roman" w:cs="Times New Roman"/>
          <w:i/>
          <w:noProof/>
          <w:color w:val="000000"/>
          <w:lang w:eastAsia="en-GB"/>
        </w:rPr>
        <w:t>Special attention will be paid to new type of beneficiaries such as MSMEs in terms of wide information campaigns on the funding opportunities</w:t>
      </w:r>
      <w:r w:rsidR="001F370D">
        <w:rPr>
          <w:rFonts w:ascii="Times New Roman" w:eastAsia="Times New Roman" w:hAnsi="Times New Roman" w:cs="Times New Roman"/>
          <w:i/>
          <w:noProof/>
          <w:color w:val="000000"/>
          <w:lang w:eastAsia="en-GB"/>
        </w:rPr>
        <w:t xml:space="preserve"> </w:t>
      </w:r>
      <w:r w:rsidR="00843534">
        <w:rPr>
          <w:rFonts w:ascii="Times New Roman" w:eastAsia="Times New Roman" w:hAnsi="Times New Roman" w:cs="Times New Roman"/>
          <w:i/>
          <w:noProof/>
          <w:color w:val="000000"/>
          <w:lang w:eastAsia="en-GB"/>
        </w:rPr>
        <w:t>and</w:t>
      </w:r>
      <w:r w:rsidRPr="00F92F3C">
        <w:rPr>
          <w:rFonts w:ascii="Times New Roman" w:eastAsia="Times New Roman" w:hAnsi="Times New Roman" w:cs="Times New Roman"/>
          <w:i/>
          <w:noProof/>
          <w:color w:val="000000"/>
          <w:lang w:eastAsia="en-GB"/>
        </w:rPr>
        <w:t xml:space="preserve"> partner matching events. </w:t>
      </w:r>
    </w:p>
    <w:p w14:paraId="55118C42"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i/>
          <w:noProof/>
          <w:color w:val="000000"/>
          <w:lang w:eastAsia="en-GB"/>
        </w:rPr>
      </w:pPr>
      <w:r w:rsidRPr="00F92F3C">
        <w:rPr>
          <w:rFonts w:ascii="Times New Roman" w:eastAsia="Times New Roman" w:hAnsi="Times New Roman" w:cs="Times New Roman"/>
          <w:i/>
          <w:noProof/>
          <w:color w:val="000000"/>
          <w:lang w:eastAsia="en-GB"/>
        </w:rPr>
        <w:t xml:space="preserve">Another important element </w:t>
      </w:r>
      <w:r w:rsidR="00016590">
        <w:rPr>
          <w:rFonts w:ascii="Times New Roman" w:eastAsia="Times New Roman" w:hAnsi="Times New Roman" w:cs="Times New Roman"/>
          <w:i/>
          <w:noProof/>
          <w:color w:val="000000"/>
          <w:lang w:eastAsia="en-GB"/>
        </w:rPr>
        <w:t>is</w:t>
      </w:r>
      <w:r w:rsidRPr="00F92F3C">
        <w:rPr>
          <w:rFonts w:ascii="Times New Roman" w:eastAsia="Times New Roman" w:hAnsi="Times New Roman" w:cs="Times New Roman"/>
          <w:i/>
          <w:noProof/>
          <w:color w:val="000000"/>
          <w:lang w:eastAsia="en-GB"/>
        </w:rPr>
        <w:t xml:space="preserve"> dedicated to the PO 5 strategy being the Priority with the highest budget share. Communication activities will start during the elaboration of the strategy though a wide participatory approach involving all stakeholders. The elaboration of the list of operations will be carried out in a transparent manner based on the consultation with potential project promoters. </w:t>
      </w:r>
    </w:p>
    <w:p w14:paraId="1D3E9553" w14:textId="77777777" w:rsidR="00F92F3C" w:rsidRPr="00F92F3C" w:rsidRDefault="00F92F3C" w:rsidP="00F92F3C">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i/>
          <w:noProof/>
          <w:color w:val="000000"/>
          <w:u w:val="single"/>
          <w:lang w:eastAsia="en-GB"/>
        </w:rPr>
      </w:pPr>
      <w:r w:rsidRPr="00F92F3C">
        <w:rPr>
          <w:rFonts w:ascii="Times New Roman" w:eastAsia="Times New Roman" w:hAnsi="Times New Roman" w:cs="Times New Roman"/>
          <w:b/>
          <w:bCs/>
          <w:i/>
          <w:noProof/>
          <w:color w:val="000000"/>
          <w:u w:val="single"/>
          <w:lang w:eastAsia="en-GB"/>
        </w:rPr>
        <w:t>Trainings</w:t>
      </w:r>
    </w:p>
    <w:p w14:paraId="04F3405C" w14:textId="77777777" w:rsidR="00A10ECC" w:rsidRDefault="00F92F3C" w:rsidP="005A4F48">
      <w:pPr>
        <w:pBdr>
          <w:top w:val="single" w:sz="4" w:space="1" w:color="auto"/>
          <w:left w:val="single" w:sz="4" w:space="1" w:color="auto"/>
          <w:bottom w:val="single" w:sz="4" w:space="1" w:color="auto"/>
          <w:right w:val="single" w:sz="4" w:space="1" w:color="auto"/>
        </w:pBdr>
        <w:spacing w:after="120" w:line="276" w:lineRule="auto"/>
        <w:jc w:val="both"/>
        <w:rPr>
          <w:rFonts w:ascii="Times New Roman" w:eastAsia="Times New Roman" w:hAnsi="Times New Roman" w:cs="Times New Roman"/>
          <w:i/>
          <w:noProof/>
          <w:color w:val="000000"/>
          <w:lang w:eastAsia="en-GB"/>
        </w:rPr>
      </w:pPr>
      <w:r w:rsidRPr="00F92F3C">
        <w:rPr>
          <w:rFonts w:ascii="Times New Roman" w:eastAsia="Times New Roman" w:hAnsi="Times New Roman" w:cs="Times New Roman"/>
          <w:i/>
          <w:noProof/>
          <w:color w:val="000000"/>
          <w:lang w:eastAsia="en-GB"/>
        </w:rPr>
        <w:t xml:space="preserve">Trainings are provided for beneficiaries </w:t>
      </w:r>
      <w:r w:rsidR="00016590">
        <w:rPr>
          <w:rFonts w:ascii="Times New Roman" w:eastAsia="Times New Roman" w:hAnsi="Times New Roman" w:cs="Times New Roman"/>
          <w:i/>
          <w:noProof/>
          <w:color w:val="000000"/>
          <w:lang w:eastAsia="en-GB"/>
        </w:rPr>
        <w:t>on</w:t>
      </w:r>
      <w:r w:rsidRPr="00F92F3C">
        <w:rPr>
          <w:rFonts w:ascii="Times New Roman" w:eastAsia="Times New Roman" w:hAnsi="Times New Roman" w:cs="Times New Roman"/>
          <w:i/>
          <w:noProof/>
          <w:color w:val="000000"/>
          <w:lang w:eastAsia="en-GB"/>
        </w:rPr>
        <w:t xml:space="preserve"> issues related to</w:t>
      </w:r>
      <w:r w:rsidR="006A54EF">
        <w:rPr>
          <w:rFonts w:ascii="Times New Roman" w:eastAsia="Times New Roman" w:hAnsi="Times New Roman" w:cs="Times New Roman"/>
          <w:i/>
          <w:noProof/>
          <w:color w:val="000000"/>
          <w:lang w:eastAsia="en-GB"/>
        </w:rPr>
        <w:t xml:space="preserve"> the</w:t>
      </w:r>
      <w:r w:rsidRPr="00F92F3C">
        <w:rPr>
          <w:rFonts w:ascii="Times New Roman" w:eastAsia="Times New Roman" w:hAnsi="Times New Roman" w:cs="Times New Roman"/>
          <w:i/>
          <w:noProof/>
          <w:color w:val="000000"/>
          <w:lang w:eastAsia="en-GB"/>
        </w:rPr>
        <w:t xml:space="preserve"> implementation of the projects.</w:t>
      </w:r>
    </w:p>
    <w:p w14:paraId="02F8CD89" w14:textId="77777777" w:rsidR="005A4F48" w:rsidRDefault="005A4F48" w:rsidP="005A4F48">
      <w:pPr>
        <w:pBdr>
          <w:top w:val="single" w:sz="4" w:space="1" w:color="auto"/>
          <w:left w:val="single" w:sz="4" w:space="1" w:color="auto"/>
          <w:bottom w:val="single" w:sz="4" w:space="1" w:color="auto"/>
          <w:right w:val="single" w:sz="4" w:space="1" w:color="auto"/>
        </w:pBdr>
        <w:jc w:val="both"/>
        <w:rPr>
          <w:rFonts w:ascii="Times New Roman" w:hAnsi="Times New Roman" w:cs="Times New Roman"/>
          <w:i/>
        </w:rPr>
      </w:pPr>
      <w:r w:rsidRPr="00F4474E">
        <w:rPr>
          <w:rFonts w:ascii="Times New Roman" w:hAnsi="Times New Roman" w:cs="Times New Roman"/>
          <w:b/>
          <w:i/>
        </w:rPr>
        <w:t>BUDGET</w:t>
      </w:r>
      <w:r w:rsidRPr="00F4474E">
        <w:rPr>
          <w:rFonts w:ascii="Times New Roman" w:hAnsi="Times New Roman" w:cs="Times New Roman"/>
          <w:i/>
        </w:rPr>
        <w:t xml:space="preserve"> </w:t>
      </w:r>
      <w:r w:rsidRPr="00F4474E">
        <w:rPr>
          <w:rFonts w:ascii="Times New Roman" w:hAnsi="Times New Roman" w:cs="Times New Roman"/>
          <w:i/>
        </w:rPr>
        <w:br/>
        <w:t xml:space="preserve">- the planned budget is equal to or greater than </w:t>
      </w:r>
      <w:r w:rsidR="004F7E79" w:rsidRPr="00F4474E">
        <w:rPr>
          <w:rFonts w:ascii="Times New Roman" w:hAnsi="Times New Roman" w:cs="Times New Roman"/>
          <w:i/>
          <w:lang w:val="bg-BG"/>
        </w:rPr>
        <w:t>…</w:t>
      </w:r>
      <w:r w:rsidRPr="00F4474E">
        <w:rPr>
          <w:rFonts w:ascii="Times New Roman" w:hAnsi="Times New Roman" w:cs="Times New Roman"/>
          <w:i/>
        </w:rPr>
        <w:t>% of the total budget of the programme.</w:t>
      </w:r>
      <w:r w:rsidRPr="00F4474E">
        <w:rPr>
          <w:rFonts w:ascii="Times New Roman" w:hAnsi="Times New Roman" w:cs="Times New Roman"/>
          <w:i/>
        </w:rPr>
        <w:br/>
        <w:t xml:space="preserve">- </w:t>
      </w:r>
      <w:proofErr w:type="gramStart"/>
      <w:r w:rsidRPr="00F4474E">
        <w:rPr>
          <w:rFonts w:ascii="Times New Roman" w:hAnsi="Times New Roman" w:cs="Times New Roman"/>
          <w:i/>
        </w:rPr>
        <w:t>the</w:t>
      </w:r>
      <w:proofErr w:type="gramEnd"/>
      <w:r w:rsidRPr="00F4474E">
        <w:rPr>
          <w:rFonts w:ascii="Times New Roman" w:hAnsi="Times New Roman" w:cs="Times New Roman"/>
          <w:i/>
        </w:rPr>
        <w:t xml:space="preserve"> description presents an indicative financial plan by activity / channel and year.</w:t>
      </w:r>
    </w:p>
    <w:p w14:paraId="1DF1B885" w14:textId="77777777" w:rsidR="005A4F48" w:rsidRPr="00F4474E" w:rsidRDefault="005A4F48" w:rsidP="005A4F48">
      <w:pPr>
        <w:pBdr>
          <w:top w:val="single" w:sz="4" w:space="1" w:color="auto"/>
          <w:left w:val="single" w:sz="4" w:space="1" w:color="auto"/>
          <w:bottom w:val="single" w:sz="4" w:space="1" w:color="auto"/>
          <w:right w:val="single" w:sz="4" w:space="1" w:color="auto"/>
        </w:pBdr>
        <w:jc w:val="both"/>
        <w:rPr>
          <w:rFonts w:ascii="Times New Roman" w:hAnsi="Times New Roman" w:cs="Times New Roman"/>
          <w:i/>
        </w:rPr>
      </w:pPr>
      <w:r w:rsidRPr="00F4474E">
        <w:rPr>
          <w:rFonts w:ascii="Times New Roman" w:hAnsi="Times New Roman" w:cs="Times New Roman"/>
          <w:i/>
        </w:rPr>
        <w:t>Indicative costs break down:</w:t>
      </w:r>
    </w:p>
    <w:p w14:paraId="5D407F30" w14:textId="77777777" w:rsidR="005A4F48" w:rsidRPr="00F4474E" w:rsidRDefault="005A4F48" w:rsidP="005A4F48">
      <w:pPr>
        <w:pBdr>
          <w:top w:val="single" w:sz="4" w:space="1" w:color="auto"/>
          <w:left w:val="single" w:sz="4" w:space="1" w:color="auto"/>
          <w:bottom w:val="single" w:sz="4" w:space="1" w:color="auto"/>
          <w:right w:val="single" w:sz="4" w:space="1" w:color="auto"/>
        </w:pBdr>
        <w:rPr>
          <w:rFonts w:ascii="Times New Roman" w:hAnsi="Times New Roman" w:cs="Times New Roman"/>
          <w:b/>
          <w:i/>
        </w:rPr>
      </w:pPr>
      <w:r w:rsidRPr="00F4474E">
        <w:rPr>
          <w:rFonts w:ascii="Times New Roman" w:hAnsi="Times New Roman" w:cs="Times New Roman"/>
          <w:b/>
          <w:i/>
        </w:rPr>
        <w:t xml:space="preserve">MONITORING AND EVALUATION </w:t>
      </w:r>
      <w:r w:rsidRPr="00F4474E">
        <w:rPr>
          <w:rFonts w:ascii="Times New Roman" w:hAnsi="Times New Roman" w:cs="Times New Roman"/>
          <w:b/>
          <w:i/>
        </w:rPr>
        <w:tab/>
      </w:r>
      <w:r w:rsidRPr="00F4474E">
        <w:rPr>
          <w:rFonts w:ascii="Times New Roman" w:hAnsi="Times New Roman" w:cs="Times New Roman"/>
          <w:b/>
          <w:i/>
        </w:rPr>
        <w:tab/>
      </w:r>
      <w:r w:rsidRPr="00F4474E">
        <w:rPr>
          <w:rFonts w:ascii="Times New Roman" w:hAnsi="Times New Roman" w:cs="Times New Roman"/>
          <w:b/>
          <w:i/>
        </w:rPr>
        <w:tab/>
      </w:r>
      <w:r w:rsidRPr="00F4474E">
        <w:rPr>
          <w:rFonts w:ascii="Times New Roman" w:hAnsi="Times New Roman" w:cs="Times New Roman"/>
          <w:b/>
          <w:i/>
        </w:rPr>
        <w:tab/>
      </w:r>
      <w:r w:rsidRPr="00F4474E">
        <w:rPr>
          <w:rFonts w:ascii="Times New Roman" w:hAnsi="Times New Roman" w:cs="Times New Roman"/>
          <w:b/>
          <w:i/>
        </w:rPr>
        <w:tab/>
      </w:r>
      <w:r w:rsidRPr="00F4474E">
        <w:rPr>
          <w:rFonts w:ascii="Times New Roman" w:hAnsi="Times New Roman" w:cs="Times New Roman"/>
          <w:b/>
          <w:i/>
        </w:rPr>
        <w:tab/>
      </w:r>
      <w:r w:rsidRPr="00F4474E">
        <w:rPr>
          <w:rFonts w:ascii="Times New Roman" w:hAnsi="Times New Roman" w:cs="Times New Roman"/>
          <w:b/>
          <w:i/>
        </w:rPr>
        <w:tab/>
      </w:r>
    </w:p>
    <w:p w14:paraId="0E5C401D" w14:textId="77777777" w:rsidR="005A4F48" w:rsidRPr="00F4474E" w:rsidRDefault="005A4F48" w:rsidP="005A4F48">
      <w:pPr>
        <w:pBdr>
          <w:top w:val="single" w:sz="4" w:space="1" w:color="auto"/>
          <w:left w:val="single" w:sz="4" w:space="1" w:color="auto"/>
          <w:bottom w:val="single" w:sz="4" w:space="1" w:color="auto"/>
          <w:right w:val="single" w:sz="4" w:space="1" w:color="auto"/>
        </w:pBdr>
        <w:rPr>
          <w:rFonts w:ascii="Times New Roman" w:hAnsi="Times New Roman" w:cs="Times New Roman"/>
          <w:i/>
        </w:rPr>
      </w:pPr>
      <w:r w:rsidRPr="00F4474E">
        <w:rPr>
          <w:rFonts w:ascii="Times New Roman" w:hAnsi="Times New Roman" w:cs="Times New Roman"/>
          <w:i/>
        </w:rPr>
        <w:t>MA will inform the JMC once a year on the progress in the implementation of the communication actions</w:t>
      </w:r>
      <w:r w:rsidR="0034347D">
        <w:rPr>
          <w:rFonts w:ascii="Times New Roman" w:hAnsi="Times New Roman" w:cs="Times New Roman"/>
          <w:i/>
        </w:rPr>
        <w:t>.</w:t>
      </w:r>
    </w:p>
    <w:p w14:paraId="04144CB0" w14:textId="7686855C" w:rsidR="005A4F48" w:rsidRPr="00F4474E" w:rsidRDefault="00720B96" w:rsidP="005A4F48">
      <w:pPr>
        <w:pBdr>
          <w:top w:val="single" w:sz="4" w:space="1" w:color="auto"/>
          <w:left w:val="single" w:sz="4" w:space="1" w:color="auto"/>
          <w:bottom w:val="single" w:sz="4" w:space="1" w:color="auto"/>
          <w:right w:val="single" w:sz="4" w:space="1" w:color="auto"/>
        </w:pBdr>
        <w:rPr>
          <w:rFonts w:ascii="Times New Roman" w:hAnsi="Times New Roman" w:cs="Times New Roman"/>
          <w:i/>
        </w:rPr>
      </w:pPr>
      <w:r>
        <w:rPr>
          <w:rFonts w:ascii="Times New Roman" w:hAnsi="Times New Roman" w:cs="Times New Roman"/>
          <w:i/>
        </w:rPr>
        <w:t xml:space="preserve">Each year, </w:t>
      </w:r>
      <w:r w:rsidR="005A4F48" w:rsidRPr="00F4474E">
        <w:rPr>
          <w:rFonts w:ascii="Times New Roman" w:hAnsi="Times New Roman" w:cs="Times New Roman"/>
          <w:i/>
        </w:rPr>
        <w:t>MA, together with the JS and the NA</w:t>
      </w:r>
      <w:r w:rsidR="004474CE">
        <w:rPr>
          <w:rFonts w:ascii="Times New Roman" w:hAnsi="Times New Roman" w:cs="Times New Roman"/>
          <w:i/>
        </w:rPr>
        <w:t>,</w:t>
      </w:r>
      <w:r w:rsidR="005A4F48" w:rsidRPr="00F4474E">
        <w:rPr>
          <w:rFonts w:ascii="Times New Roman" w:hAnsi="Times New Roman" w:cs="Times New Roman"/>
          <w:i/>
        </w:rPr>
        <w:t xml:space="preserve"> will develop</w:t>
      </w:r>
      <w:r w:rsidR="006E415B">
        <w:rPr>
          <w:rFonts w:ascii="Times New Roman" w:hAnsi="Times New Roman" w:cs="Times New Roman"/>
          <w:i/>
        </w:rPr>
        <w:t xml:space="preserve"> </w:t>
      </w:r>
      <w:proofErr w:type="gramStart"/>
      <w:r>
        <w:rPr>
          <w:rFonts w:ascii="Times New Roman" w:hAnsi="Times New Roman" w:cs="Times New Roman"/>
          <w:i/>
        </w:rPr>
        <w:t xml:space="preserve">an </w:t>
      </w:r>
      <w:r w:rsidR="005A4F48" w:rsidRPr="00F4474E">
        <w:rPr>
          <w:rFonts w:ascii="Times New Roman" w:hAnsi="Times New Roman" w:cs="Times New Roman"/>
          <w:i/>
        </w:rPr>
        <w:t xml:space="preserve"> Annual</w:t>
      </w:r>
      <w:proofErr w:type="gramEnd"/>
      <w:r w:rsidR="005A4F48" w:rsidRPr="00F4474E">
        <w:rPr>
          <w:rFonts w:ascii="Times New Roman" w:hAnsi="Times New Roman" w:cs="Times New Roman"/>
          <w:i/>
        </w:rPr>
        <w:t xml:space="preserve"> Communication Plan</w:t>
      </w:r>
      <w:r w:rsidR="001313AD">
        <w:rPr>
          <w:rFonts w:ascii="Times New Roman" w:hAnsi="Times New Roman" w:cs="Times New Roman"/>
          <w:i/>
        </w:rPr>
        <w:t xml:space="preserve">. </w:t>
      </w:r>
      <w:r>
        <w:rPr>
          <w:rFonts w:ascii="Times New Roman" w:hAnsi="Times New Roman" w:cs="Times New Roman"/>
          <w:i/>
        </w:rPr>
        <w:t>It</w:t>
      </w:r>
      <w:r w:rsidR="001313AD">
        <w:rPr>
          <w:rFonts w:ascii="Times New Roman" w:hAnsi="Times New Roman" w:cs="Times New Roman"/>
          <w:i/>
        </w:rPr>
        <w:t xml:space="preserve"> will </w:t>
      </w:r>
      <w:r w:rsidR="001F126C">
        <w:rPr>
          <w:rFonts w:ascii="Times New Roman" w:hAnsi="Times New Roman" w:cs="Times New Roman"/>
          <w:i/>
        </w:rPr>
        <w:t>focus on</w:t>
      </w:r>
      <w:r w:rsidR="001313AD">
        <w:rPr>
          <w:rFonts w:ascii="Times New Roman" w:hAnsi="Times New Roman" w:cs="Times New Roman"/>
          <w:i/>
        </w:rPr>
        <w:t xml:space="preserve"> the</w:t>
      </w:r>
      <w:r w:rsidR="004474CE">
        <w:rPr>
          <w:rFonts w:ascii="Times New Roman" w:hAnsi="Times New Roman" w:cs="Times New Roman"/>
          <w:i/>
        </w:rPr>
        <w:t xml:space="preserve"> </w:t>
      </w:r>
      <w:r w:rsidR="004474CE" w:rsidRPr="00F4474E">
        <w:rPr>
          <w:rFonts w:ascii="Times New Roman" w:hAnsi="Times New Roman" w:cs="Times New Roman"/>
          <w:i/>
        </w:rPr>
        <w:t>communication</w:t>
      </w:r>
      <w:r w:rsidR="001313AD">
        <w:rPr>
          <w:rFonts w:ascii="Times New Roman" w:hAnsi="Times New Roman" w:cs="Times New Roman"/>
          <w:i/>
        </w:rPr>
        <w:t xml:space="preserve"> activities for the </w:t>
      </w:r>
      <w:r w:rsidR="001F126C">
        <w:rPr>
          <w:rFonts w:ascii="Times New Roman" w:hAnsi="Times New Roman" w:cs="Times New Roman"/>
          <w:i/>
        </w:rPr>
        <w:t xml:space="preserve">year in accordance with the </w:t>
      </w:r>
      <w:r w:rsidR="00A038ED">
        <w:rPr>
          <w:rFonts w:ascii="Times New Roman" w:hAnsi="Times New Roman" w:cs="Times New Roman"/>
          <w:i/>
        </w:rPr>
        <w:t>envisaged</w:t>
      </w:r>
      <w:r w:rsidR="001F126C">
        <w:rPr>
          <w:rFonts w:ascii="Times New Roman" w:hAnsi="Times New Roman" w:cs="Times New Roman"/>
          <w:i/>
        </w:rPr>
        <w:t xml:space="preserve"> Programme performance.</w:t>
      </w:r>
      <w:r w:rsidR="001F126C" w:rsidRPr="00F4474E">
        <w:rPr>
          <w:rFonts w:ascii="Times New Roman" w:hAnsi="Times New Roman" w:cs="Times New Roman"/>
          <w:i/>
        </w:rPr>
        <w:t xml:space="preserve"> </w:t>
      </w:r>
    </w:p>
    <w:p w14:paraId="19CEBF9A" w14:textId="77777777" w:rsidR="006A54EF" w:rsidRPr="00F4474E" w:rsidRDefault="006A54EF" w:rsidP="006A54EF">
      <w:pPr>
        <w:pBdr>
          <w:top w:val="single" w:sz="4" w:space="1" w:color="auto"/>
          <w:left w:val="single" w:sz="4" w:space="1" w:color="auto"/>
          <w:bottom w:val="single" w:sz="4" w:space="1" w:color="auto"/>
          <w:right w:val="single" w:sz="4" w:space="1" w:color="auto"/>
        </w:pBdr>
        <w:jc w:val="both"/>
        <w:rPr>
          <w:rFonts w:ascii="Times New Roman" w:hAnsi="Times New Roman" w:cs="Times New Roman"/>
          <w:i/>
        </w:rPr>
      </w:pPr>
      <w:r w:rsidRPr="009F1CF8">
        <w:rPr>
          <w:rFonts w:ascii="Times New Roman" w:hAnsi="Times New Roman" w:cs="Times New Roman"/>
          <w:i/>
        </w:rPr>
        <w:t xml:space="preserve">All actions will be regularly evaluated </w:t>
      </w:r>
      <w:r w:rsidR="00461E07">
        <w:rPr>
          <w:rFonts w:ascii="Times New Roman" w:hAnsi="Times New Roman" w:cs="Times New Roman"/>
          <w:i/>
        </w:rPr>
        <w:t>internally and results will be presented for approval and guidance to the JMC</w:t>
      </w:r>
      <w:r w:rsidRPr="009F1CF8">
        <w:rPr>
          <w:rFonts w:ascii="Times New Roman" w:hAnsi="Times New Roman" w:cs="Times New Roman"/>
          <w:i/>
        </w:rPr>
        <w:t>. Data for the evaluation of the communication objectives will come from surveys, inter</w:t>
      </w:r>
      <w:r w:rsidRPr="001858B6">
        <w:rPr>
          <w:rFonts w:ascii="Times New Roman" w:hAnsi="Times New Roman" w:cs="Times New Roman"/>
          <w:i/>
        </w:rPr>
        <w:t>nal statistics, project reports</w:t>
      </w:r>
      <w:r w:rsidRPr="009F1CF8">
        <w:rPr>
          <w:rFonts w:ascii="Times New Roman" w:hAnsi="Times New Roman" w:cs="Times New Roman"/>
          <w:i/>
        </w:rPr>
        <w:t xml:space="preserve"> and website analytics</w:t>
      </w:r>
      <w:r w:rsidR="00FB140A">
        <w:rPr>
          <w:rFonts w:ascii="Times New Roman" w:hAnsi="Times New Roman" w:cs="Times New Roman"/>
          <w:i/>
        </w:rPr>
        <w:t>.</w:t>
      </w:r>
      <w:r w:rsidRPr="001858B6">
        <w:t xml:space="preserve"> </w:t>
      </w:r>
      <w:r w:rsidRPr="009F1CF8">
        <w:rPr>
          <w:rFonts w:ascii="Times New Roman" w:hAnsi="Times New Roman" w:cs="Times New Roman"/>
          <w:i/>
        </w:rPr>
        <w:t>Evaluation of the communication strategy will be</w:t>
      </w:r>
      <w:r w:rsidR="00461E07">
        <w:rPr>
          <w:rFonts w:ascii="Times New Roman" w:hAnsi="Times New Roman" w:cs="Times New Roman"/>
          <w:i/>
        </w:rPr>
        <w:t xml:space="preserve"> also</w:t>
      </w:r>
      <w:r w:rsidRPr="009F1CF8">
        <w:rPr>
          <w:rFonts w:ascii="Times New Roman" w:hAnsi="Times New Roman" w:cs="Times New Roman"/>
          <w:i/>
        </w:rPr>
        <w:t xml:space="preserve"> part of the overall programme’s evaluation measures</w:t>
      </w:r>
      <w:r>
        <w:rPr>
          <w:rFonts w:ascii="Times New Roman" w:hAnsi="Times New Roman" w:cs="Times New Roman"/>
          <w:i/>
        </w:rPr>
        <w:t>.</w:t>
      </w:r>
    </w:p>
    <w:tbl>
      <w:tblPr>
        <w:tblStyle w:val="TableGrid2"/>
        <w:tblW w:w="0" w:type="auto"/>
        <w:jc w:val="center"/>
        <w:tblLook w:val="04A0" w:firstRow="1" w:lastRow="0" w:firstColumn="1" w:lastColumn="0" w:noHBand="0" w:noVBand="1"/>
      </w:tblPr>
      <w:tblGrid>
        <w:gridCol w:w="1894"/>
        <w:gridCol w:w="2048"/>
        <w:gridCol w:w="1482"/>
        <w:gridCol w:w="1948"/>
        <w:gridCol w:w="1690"/>
      </w:tblGrid>
      <w:tr w:rsidR="005A4F48" w:rsidRPr="00BA4001" w14:paraId="6D446A6B" w14:textId="77777777" w:rsidTr="0003674D">
        <w:trPr>
          <w:jc w:val="center"/>
        </w:trPr>
        <w:tc>
          <w:tcPr>
            <w:tcW w:w="1894" w:type="dxa"/>
            <w:vAlign w:val="center"/>
          </w:tcPr>
          <w:p w14:paraId="2B992B3F" w14:textId="77777777" w:rsidR="005A4F48" w:rsidRPr="00BA4001" w:rsidRDefault="005A4F48" w:rsidP="0003674D">
            <w:r w:rsidRPr="00BA4001">
              <w:t>Type of activities</w:t>
            </w:r>
          </w:p>
        </w:tc>
        <w:tc>
          <w:tcPr>
            <w:tcW w:w="2048" w:type="dxa"/>
            <w:vAlign w:val="center"/>
          </w:tcPr>
          <w:p w14:paraId="2E1CE17C" w14:textId="77777777" w:rsidR="005A4F48" w:rsidRPr="00BA4001" w:rsidRDefault="005A4F48" w:rsidP="0003674D">
            <w:r w:rsidRPr="00BA4001">
              <w:t>Output indicator</w:t>
            </w:r>
          </w:p>
        </w:tc>
        <w:tc>
          <w:tcPr>
            <w:tcW w:w="1482" w:type="dxa"/>
            <w:vAlign w:val="center"/>
          </w:tcPr>
          <w:p w14:paraId="25032478" w14:textId="77777777" w:rsidR="005A4F48" w:rsidRPr="00BA4001" w:rsidRDefault="005A4F48" w:rsidP="0003674D">
            <w:r w:rsidRPr="00BA4001">
              <w:t>Target</w:t>
            </w:r>
          </w:p>
          <w:p w14:paraId="049AE1F2" w14:textId="77777777" w:rsidR="005A4F48" w:rsidRPr="00BA4001" w:rsidRDefault="005A4F48" w:rsidP="0003674D">
            <w:r w:rsidRPr="00BA4001">
              <w:t>2027</w:t>
            </w:r>
          </w:p>
        </w:tc>
        <w:tc>
          <w:tcPr>
            <w:tcW w:w="1948" w:type="dxa"/>
            <w:vAlign w:val="center"/>
          </w:tcPr>
          <w:p w14:paraId="44DAA5EE" w14:textId="77777777" w:rsidR="005A4F48" w:rsidRPr="00BA4001" w:rsidRDefault="005A4F48" w:rsidP="0003674D">
            <w:r w:rsidRPr="00BA4001">
              <w:t>Result indicator</w:t>
            </w:r>
          </w:p>
        </w:tc>
        <w:tc>
          <w:tcPr>
            <w:tcW w:w="1690" w:type="dxa"/>
            <w:vAlign w:val="center"/>
          </w:tcPr>
          <w:p w14:paraId="131C6AF7" w14:textId="77777777" w:rsidR="005A4F48" w:rsidRPr="00BA4001" w:rsidRDefault="005A4F48" w:rsidP="0003674D">
            <w:r w:rsidRPr="00BA4001">
              <w:t>Target</w:t>
            </w:r>
          </w:p>
          <w:p w14:paraId="44402E7E" w14:textId="77777777" w:rsidR="005A4F48" w:rsidRPr="00BA4001" w:rsidRDefault="005A4F48" w:rsidP="0003674D">
            <w:r w:rsidRPr="00BA4001">
              <w:t>2027</w:t>
            </w:r>
          </w:p>
        </w:tc>
      </w:tr>
      <w:tr w:rsidR="005A4F48" w:rsidRPr="00BA4001" w14:paraId="54AC56B8" w14:textId="77777777" w:rsidTr="0003674D">
        <w:trPr>
          <w:trHeight w:val="803"/>
          <w:jc w:val="center"/>
        </w:trPr>
        <w:tc>
          <w:tcPr>
            <w:tcW w:w="1894" w:type="dxa"/>
            <w:vMerge w:val="restart"/>
            <w:vAlign w:val="center"/>
          </w:tcPr>
          <w:p w14:paraId="74B3721F" w14:textId="77777777" w:rsidR="005A4F48" w:rsidRPr="00BA4001" w:rsidRDefault="005A4F48" w:rsidP="0003674D">
            <w:r w:rsidRPr="00BA4001">
              <w:t>Events</w:t>
            </w:r>
          </w:p>
        </w:tc>
        <w:tc>
          <w:tcPr>
            <w:tcW w:w="2048" w:type="dxa"/>
            <w:vAlign w:val="center"/>
          </w:tcPr>
          <w:p w14:paraId="232DF4CB" w14:textId="77777777" w:rsidR="005A4F48" w:rsidRPr="00BA4001" w:rsidRDefault="005A4F48" w:rsidP="0003674D">
            <w:r w:rsidRPr="00BA4001">
              <w:t>No of events for potential applicants / beneficiaries / stakeholders / general public</w:t>
            </w:r>
          </w:p>
        </w:tc>
        <w:tc>
          <w:tcPr>
            <w:tcW w:w="1482" w:type="dxa"/>
            <w:vAlign w:val="center"/>
          </w:tcPr>
          <w:p w14:paraId="3514C805" w14:textId="77777777" w:rsidR="005A4F48" w:rsidRPr="00BA4001" w:rsidRDefault="005A4F48" w:rsidP="0003674D">
            <w:r w:rsidRPr="00BA4001">
              <w:t>28</w:t>
            </w:r>
          </w:p>
        </w:tc>
        <w:tc>
          <w:tcPr>
            <w:tcW w:w="1948" w:type="dxa"/>
            <w:vMerge w:val="restart"/>
            <w:vAlign w:val="center"/>
          </w:tcPr>
          <w:p w14:paraId="794A2B19" w14:textId="77777777" w:rsidR="005A4F48" w:rsidRPr="00BA4001" w:rsidRDefault="005A4F48" w:rsidP="0003674D">
            <w:r w:rsidRPr="00BA4001">
              <w:t>Overall usefulness of the event for attendees (survey)</w:t>
            </w:r>
          </w:p>
          <w:p w14:paraId="2D6462A2" w14:textId="77777777" w:rsidR="005A4F48" w:rsidRPr="00BA4001" w:rsidRDefault="005A4F48" w:rsidP="0003674D"/>
        </w:tc>
        <w:tc>
          <w:tcPr>
            <w:tcW w:w="1690" w:type="dxa"/>
            <w:vMerge w:val="restart"/>
            <w:vAlign w:val="center"/>
          </w:tcPr>
          <w:p w14:paraId="7F28A0C3" w14:textId="77777777" w:rsidR="005A4F48" w:rsidRPr="00BA4001" w:rsidRDefault="0039184A" w:rsidP="0003674D">
            <w:r>
              <w:t>75% CSAT</w:t>
            </w:r>
            <w:r w:rsidR="005A4F48" w:rsidRPr="00BA4001">
              <w:t xml:space="preserve"> score</w:t>
            </w:r>
          </w:p>
        </w:tc>
      </w:tr>
      <w:tr w:rsidR="005A4F48" w:rsidRPr="00BA4001" w14:paraId="1ECD0604" w14:textId="77777777" w:rsidTr="0003674D">
        <w:trPr>
          <w:trHeight w:val="802"/>
          <w:jc w:val="center"/>
        </w:trPr>
        <w:tc>
          <w:tcPr>
            <w:tcW w:w="1894" w:type="dxa"/>
            <w:vMerge/>
            <w:vAlign w:val="center"/>
          </w:tcPr>
          <w:p w14:paraId="7287B0AD" w14:textId="77777777" w:rsidR="005A4F48" w:rsidRPr="00BA4001" w:rsidRDefault="005A4F48" w:rsidP="0003674D"/>
        </w:tc>
        <w:tc>
          <w:tcPr>
            <w:tcW w:w="2048" w:type="dxa"/>
            <w:vAlign w:val="center"/>
          </w:tcPr>
          <w:p w14:paraId="5A91C2E6" w14:textId="77777777" w:rsidR="005A4F48" w:rsidRPr="00BA4001" w:rsidRDefault="005A4F48" w:rsidP="0003674D">
            <w:r w:rsidRPr="00BA4001">
              <w:t>No of participants in the events</w:t>
            </w:r>
          </w:p>
        </w:tc>
        <w:tc>
          <w:tcPr>
            <w:tcW w:w="1482" w:type="dxa"/>
            <w:vAlign w:val="center"/>
          </w:tcPr>
          <w:p w14:paraId="24EEDAAE" w14:textId="77777777" w:rsidR="005A4F48" w:rsidRPr="00BA4001" w:rsidRDefault="005A4F48" w:rsidP="0003674D">
            <w:r w:rsidRPr="00BA4001">
              <w:t>1300</w:t>
            </w:r>
          </w:p>
        </w:tc>
        <w:tc>
          <w:tcPr>
            <w:tcW w:w="1948" w:type="dxa"/>
            <w:vMerge/>
            <w:vAlign w:val="center"/>
          </w:tcPr>
          <w:p w14:paraId="7A4818FA" w14:textId="77777777" w:rsidR="005A4F48" w:rsidRPr="00BA4001" w:rsidRDefault="005A4F48" w:rsidP="0003674D"/>
        </w:tc>
        <w:tc>
          <w:tcPr>
            <w:tcW w:w="1690" w:type="dxa"/>
            <w:vMerge/>
            <w:vAlign w:val="center"/>
          </w:tcPr>
          <w:p w14:paraId="3AF331DF" w14:textId="77777777" w:rsidR="005A4F48" w:rsidRPr="00BA4001" w:rsidRDefault="005A4F48" w:rsidP="0003674D"/>
        </w:tc>
      </w:tr>
      <w:tr w:rsidR="005A4F48" w:rsidRPr="00BA4001" w14:paraId="305B21EA" w14:textId="77777777" w:rsidTr="0003674D">
        <w:trPr>
          <w:trHeight w:val="1148"/>
          <w:jc w:val="center"/>
        </w:trPr>
        <w:tc>
          <w:tcPr>
            <w:tcW w:w="1894" w:type="dxa"/>
            <w:vAlign w:val="center"/>
          </w:tcPr>
          <w:p w14:paraId="3A6C7E4D" w14:textId="77777777" w:rsidR="005A4F48" w:rsidRPr="00BA4001" w:rsidRDefault="005A4F48" w:rsidP="0003674D">
            <w:r w:rsidRPr="00BA4001">
              <w:t>Publications</w:t>
            </w:r>
          </w:p>
        </w:tc>
        <w:tc>
          <w:tcPr>
            <w:tcW w:w="2048" w:type="dxa"/>
            <w:vAlign w:val="center"/>
          </w:tcPr>
          <w:p w14:paraId="6F362850" w14:textId="77777777" w:rsidR="005A4F48" w:rsidRPr="00BA4001" w:rsidRDefault="005A4F48" w:rsidP="0003674D">
            <w:r w:rsidRPr="00BA4001">
              <w:t>No of publications (including Social media)</w:t>
            </w:r>
          </w:p>
        </w:tc>
        <w:tc>
          <w:tcPr>
            <w:tcW w:w="1482" w:type="dxa"/>
            <w:vAlign w:val="center"/>
          </w:tcPr>
          <w:p w14:paraId="0BB564D3" w14:textId="77777777" w:rsidR="005A4F48" w:rsidRPr="00BA4001" w:rsidRDefault="005A4F48" w:rsidP="0003674D">
            <w:r w:rsidRPr="00BA4001">
              <w:t>350</w:t>
            </w:r>
          </w:p>
        </w:tc>
        <w:tc>
          <w:tcPr>
            <w:tcW w:w="1948" w:type="dxa"/>
            <w:vAlign w:val="center"/>
          </w:tcPr>
          <w:p w14:paraId="48E9AB86" w14:textId="77777777" w:rsidR="005A4F48" w:rsidRPr="00BA4001" w:rsidRDefault="005A4F48" w:rsidP="0003674D">
            <w:r w:rsidRPr="00BA4001">
              <w:t>Overall usefulness of the publications for readers (survey)</w:t>
            </w:r>
          </w:p>
        </w:tc>
        <w:tc>
          <w:tcPr>
            <w:tcW w:w="1690" w:type="dxa"/>
            <w:vAlign w:val="center"/>
          </w:tcPr>
          <w:p w14:paraId="47660859" w14:textId="77777777" w:rsidR="005A4F48" w:rsidRPr="00BA4001" w:rsidRDefault="0039184A" w:rsidP="0003674D">
            <w:r>
              <w:t>75% CSAT</w:t>
            </w:r>
            <w:r w:rsidRPr="00BA4001">
              <w:t xml:space="preserve"> </w:t>
            </w:r>
            <w:r w:rsidR="005A4F48" w:rsidRPr="00BA4001">
              <w:t>score</w:t>
            </w:r>
          </w:p>
        </w:tc>
      </w:tr>
      <w:tr w:rsidR="005A4F48" w:rsidRPr="00BA4001" w14:paraId="644E8C67" w14:textId="77777777" w:rsidTr="0003674D">
        <w:trPr>
          <w:jc w:val="center"/>
        </w:trPr>
        <w:tc>
          <w:tcPr>
            <w:tcW w:w="1894" w:type="dxa"/>
            <w:vAlign w:val="center"/>
          </w:tcPr>
          <w:p w14:paraId="3330D0D8" w14:textId="77777777" w:rsidR="005A4F48" w:rsidRPr="00BA4001" w:rsidRDefault="005A4F48" w:rsidP="0003674D">
            <w:r w:rsidRPr="00BA4001">
              <w:t>Programme website</w:t>
            </w:r>
          </w:p>
        </w:tc>
        <w:tc>
          <w:tcPr>
            <w:tcW w:w="2048" w:type="dxa"/>
            <w:vAlign w:val="center"/>
          </w:tcPr>
          <w:p w14:paraId="72C8C934" w14:textId="77777777" w:rsidR="005A4F48" w:rsidRPr="00BA4001" w:rsidRDefault="005A4F48" w:rsidP="0003674D">
            <w:r w:rsidRPr="00BA4001">
              <w:t>No of visits</w:t>
            </w:r>
          </w:p>
        </w:tc>
        <w:tc>
          <w:tcPr>
            <w:tcW w:w="1482" w:type="dxa"/>
            <w:vAlign w:val="center"/>
          </w:tcPr>
          <w:p w14:paraId="1BDBCED2" w14:textId="77777777" w:rsidR="005A4F48" w:rsidRPr="00BA4001" w:rsidRDefault="005A4F48" w:rsidP="0003674D">
            <w:r w:rsidRPr="00BA4001">
              <w:t>70000</w:t>
            </w:r>
          </w:p>
        </w:tc>
        <w:tc>
          <w:tcPr>
            <w:tcW w:w="1948" w:type="dxa"/>
            <w:vAlign w:val="center"/>
          </w:tcPr>
          <w:p w14:paraId="5A9A1CBD" w14:textId="77777777" w:rsidR="005A4F48" w:rsidRPr="00BA4001" w:rsidRDefault="005A4F48" w:rsidP="0003674D">
            <w:r w:rsidRPr="00BA4001">
              <w:t>Overall usefulness of the site/page for readers (survey)</w:t>
            </w:r>
          </w:p>
        </w:tc>
        <w:tc>
          <w:tcPr>
            <w:tcW w:w="1690" w:type="dxa"/>
            <w:vAlign w:val="center"/>
          </w:tcPr>
          <w:p w14:paraId="654D5F51" w14:textId="77777777" w:rsidR="005A4F48" w:rsidRPr="00BA4001" w:rsidRDefault="0039184A" w:rsidP="0039184A">
            <w:r>
              <w:t>75% CSAT</w:t>
            </w:r>
            <w:r w:rsidRPr="00BA4001">
              <w:t xml:space="preserve"> </w:t>
            </w:r>
            <w:r w:rsidR="005A4F48" w:rsidRPr="00BA4001">
              <w:t>score</w:t>
            </w:r>
          </w:p>
        </w:tc>
      </w:tr>
      <w:tr w:rsidR="005A4F48" w:rsidRPr="00A2065C" w14:paraId="762A67E8" w14:textId="77777777" w:rsidTr="0003674D">
        <w:trPr>
          <w:jc w:val="center"/>
        </w:trPr>
        <w:tc>
          <w:tcPr>
            <w:tcW w:w="1894" w:type="dxa"/>
            <w:vAlign w:val="center"/>
          </w:tcPr>
          <w:p w14:paraId="346D2D6D" w14:textId="77777777" w:rsidR="005A4F48" w:rsidRPr="00BA4001" w:rsidRDefault="005A4F48" w:rsidP="0003674D">
            <w:r w:rsidRPr="00BA4001">
              <w:t xml:space="preserve">Social media </w:t>
            </w:r>
          </w:p>
        </w:tc>
        <w:tc>
          <w:tcPr>
            <w:tcW w:w="2048" w:type="dxa"/>
            <w:vAlign w:val="center"/>
          </w:tcPr>
          <w:p w14:paraId="5B74788D" w14:textId="77777777" w:rsidR="005A4F48" w:rsidRPr="00BA4001" w:rsidRDefault="005A4F48" w:rsidP="0003674D">
            <w:r w:rsidRPr="00BA4001">
              <w:t>No. of followers/ subscribers</w:t>
            </w:r>
          </w:p>
        </w:tc>
        <w:tc>
          <w:tcPr>
            <w:tcW w:w="1482" w:type="dxa"/>
            <w:vAlign w:val="center"/>
          </w:tcPr>
          <w:p w14:paraId="1E419DC7" w14:textId="77777777" w:rsidR="005A4F48" w:rsidRPr="00BA4001" w:rsidRDefault="005A4F48" w:rsidP="0003674D">
            <w:r w:rsidRPr="00BA4001">
              <w:t>700</w:t>
            </w:r>
          </w:p>
        </w:tc>
        <w:tc>
          <w:tcPr>
            <w:tcW w:w="1948" w:type="dxa"/>
            <w:vAlign w:val="center"/>
          </w:tcPr>
          <w:p w14:paraId="564EABFD" w14:textId="77777777" w:rsidR="005A4F48" w:rsidRPr="00BA4001" w:rsidRDefault="005A4F48" w:rsidP="0003674D">
            <w:r w:rsidRPr="00BA4001">
              <w:t>No. of shares, likes, views, comments and hashtag mentions</w:t>
            </w:r>
          </w:p>
        </w:tc>
        <w:tc>
          <w:tcPr>
            <w:tcW w:w="1690" w:type="dxa"/>
            <w:vAlign w:val="center"/>
          </w:tcPr>
          <w:p w14:paraId="2328FACE" w14:textId="77777777" w:rsidR="005A4F48" w:rsidRPr="00BA4001" w:rsidRDefault="005A4F48" w:rsidP="0003674D">
            <w:r w:rsidRPr="00BA4001">
              <w:t>1000</w:t>
            </w:r>
          </w:p>
        </w:tc>
      </w:tr>
    </w:tbl>
    <w:p w14:paraId="53E11C87" w14:textId="77777777" w:rsidR="00D35A7A" w:rsidRDefault="00D35A7A" w:rsidP="00A10ECC"/>
    <w:p w14:paraId="7E103A96" w14:textId="77777777" w:rsidR="00427261" w:rsidRPr="00427261" w:rsidRDefault="00427261" w:rsidP="00427261">
      <w:pPr>
        <w:numPr>
          <w:ilvl w:val="0"/>
          <w:numId w:val="1"/>
        </w:numPr>
        <w:spacing w:before="240" w:after="200" w:line="276" w:lineRule="auto"/>
        <w:ind w:left="284" w:hanging="284"/>
        <w:rPr>
          <w:rFonts w:ascii="Times New Roman" w:eastAsia="Times New Roman" w:hAnsi="Times New Roman" w:cs="Times New Roman"/>
          <w:b/>
          <w:i/>
          <w:iCs/>
          <w:noProof/>
          <w:sz w:val="24"/>
          <w:szCs w:val="24"/>
          <w:lang w:eastAsia="en-GB"/>
        </w:rPr>
      </w:pPr>
      <w:r w:rsidRPr="00427261">
        <w:rPr>
          <w:rFonts w:ascii="Times New Roman" w:eastAsia="Times New Roman" w:hAnsi="Times New Roman" w:cs="Times New Roman"/>
          <w:b/>
          <w:iCs/>
          <w:noProof/>
          <w:sz w:val="24"/>
          <w:szCs w:val="24"/>
          <w:lang w:eastAsia="en-GB"/>
        </w:rPr>
        <w:t xml:space="preserve">Indication of support to small-scale projects, including small projects within small project funds  </w:t>
      </w:r>
    </w:p>
    <w:p w14:paraId="4FA47AA3" w14:textId="77777777" w:rsidR="00427261" w:rsidRPr="00427261" w:rsidRDefault="00427261" w:rsidP="00427261">
      <w:pPr>
        <w:spacing w:before="240" w:after="200" w:line="276" w:lineRule="auto"/>
        <w:jc w:val="both"/>
        <w:rPr>
          <w:rFonts w:ascii="Times New Roman" w:eastAsia="Times New Roman" w:hAnsi="Times New Roman" w:cs="Times New Roman"/>
          <w:bCs/>
          <w:i/>
          <w:iCs/>
          <w:noProof/>
          <w:sz w:val="24"/>
          <w:szCs w:val="24"/>
          <w:lang w:eastAsia="en-GB"/>
        </w:rPr>
      </w:pPr>
      <w:r w:rsidRPr="00427261">
        <w:rPr>
          <w:rFonts w:ascii="Times New Roman" w:eastAsia="Times New Roman" w:hAnsi="Times New Roman" w:cs="Times New Roman"/>
          <w:bCs/>
          <w:i/>
          <w:noProof/>
          <w:sz w:val="24"/>
          <w:szCs w:val="24"/>
          <w:lang w:eastAsia="en-GB"/>
        </w:rPr>
        <w:t>Reference: point (i) of Article 17(3), Article 24</w:t>
      </w:r>
    </w:p>
    <w:p w14:paraId="740199A7" w14:textId="77777777" w:rsidR="00427261" w:rsidRPr="00427261" w:rsidRDefault="00427261" w:rsidP="00427261">
      <w:pPr>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New Roman" w:hAnsi="Times New Roman" w:cs="Times New Roman"/>
          <w:bCs/>
          <w:i/>
          <w:noProof/>
          <w:color w:val="000000"/>
          <w:lang w:eastAsia="en-GB"/>
        </w:rPr>
      </w:pPr>
      <w:r w:rsidRPr="00427261">
        <w:rPr>
          <w:rFonts w:ascii="Times New Roman" w:eastAsia="Times New Roman" w:hAnsi="Times New Roman" w:cs="Times New Roman"/>
          <w:bCs/>
          <w:i/>
          <w:noProof/>
          <w:color w:val="000000"/>
          <w:lang w:eastAsia="en-GB"/>
        </w:rPr>
        <w:t>Text field [7 000]</w:t>
      </w:r>
    </w:p>
    <w:p w14:paraId="7C707EB8" w14:textId="77777777" w:rsidR="00427261" w:rsidRPr="00427261" w:rsidRDefault="00427261" w:rsidP="00427261">
      <w:pPr>
        <w:spacing w:before="240" w:after="240" w:line="240" w:lineRule="auto"/>
        <w:ind w:left="284" w:hanging="284"/>
        <w:rPr>
          <w:rFonts w:ascii="Times New Roman" w:eastAsia="Times New Roman" w:hAnsi="Times New Roman" w:cs="Times New Roman"/>
          <w:b/>
          <w:iCs/>
          <w:noProof/>
          <w:sz w:val="24"/>
          <w:szCs w:val="24"/>
          <w:lang w:eastAsia="en-GB"/>
        </w:rPr>
      </w:pPr>
      <w:r w:rsidRPr="00427261">
        <w:rPr>
          <w:rFonts w:ascii="Times New Roman" w:eastAsia="Times New Roman" w:hAnsi="Times New Roman" w:cs="Times New Roman"/>
          <w:b/>
          <w:iCs/>
          <w:noProof/>
          <w:sz w:val="24"/>
          <w:szCs w:val="24"/>
          <w:lang w:eastAsia="en-GB"/>
        </w:rPr>
        <w:t>7.</w:t>
      </w:r>
      <w:r w:rsidRPr="00427261">
        <w:rPr>
          <w:rFonts w:ascii="Times New Roman" w:eastAsia="Times New Roman" w:hAnsi="Times New Roman" w:cs="Times New Roman"/>
          <w:b/>
          <w:iCs/>
          <w:noProof/>
          <w:sz w:val="24"/>
          <w:szCs w:val="24"/>
          <w:lang w:eastAsia="en-GB"/>
        </w:rPr>
        <w:tab/>
        <w:t>Implementing provisions</w:t>
      </w:r>
    </w:p>
    <w:p w14:paraId="02BA5E25" w14:textId="77777777" w:rsidR="00427261" w:rsidRPr="00427261" w:rsidRDefault="00427261" w:rsidP="00427261">
      <w:pPr>
        <w:spacing w:before="240" w:after="240" w:line="240" w:lineRule="auto"/>
        <w:ind w:left="709" w:hanging="709"/>
        <w:jc w:val="both"/>
        <w:rPr>
          <w:rFonts w:ascii="Times New Roman" w:eastAsia="Times New Roman" w:hAnsi="Times New Roman" w:cs="Times New Roman"/>
          <w:b/>
          <w:iCs/>
          <w:noProof/>
          <w:sz w:val="24"/>
          <w:szCs w:val="24"/>
          <w:lang w:eastAsia="en-GB"/>
        </w:rPr>
      </w:pPr>
      <w:r w:rsidRPr="00427261">
        <w:rPr>
          <w:rFonts w:ascii="Times New Roman" w:eastAsia="Times New Roman" w:hAnsi="Times New Roman" w:cs="Times New Roman"/>
          <w:b/>
          <w:iCs/>
          <w:noProof/>
          <w:sz w:val="24"/>
          <w:szCs w:val="24"/>
          <w:lang w:eastAsia="en-GB"/>
        </w:rPr>
        <w:t>7.1.</w:t>
      </w:r>
      <w:r w:rsidRPr="00427261">
        <w:rPr>
          <w:rFonts w:ascii="Times New Roman" w:eastAsia="Times New Roman" w:hAnsi="Times New Roman" w:cs="Times New Roman"/>
          <w:b/>
          <w:iCs/>
          <w:noProof/>
          <w:sz w:val="24"/>
          <w:szCs w:val="24"/>
          <w:lang w:eastAsia="en-GB"/>
        </w:rPr>
        <w:tab/>
        <w:t xml:space="preserve">Programme authorities </w:t>
      </w:r>
    </w:p>
    <w:p w14:paraId="42BA6A50" w14:textId="77777777" w:rsidR="00427261" w:rsidRPr="00427261" w:rsidRDefault="00427261" w:rsidP="00427261">
      <w:pPr>
        <w:spacing w:after="200" w:line="276" w:lineRule="auto"/>
        <w:jc w:val="both"/>
        <w:rPr>
          <w:rFonts w:ascii="Times New Roman" w:eastAsia="Times New Roman" w:hAnsi="Times New Roman" w:cs="Times New Roman"/>
          <w:b/>
          <w:i/>
          <w:iCs/>
          <w:noProof/>
          <w:sz w:val="24"/>
          <w:szCs w:val="24"/>
          <w:lang w:eastAsia="en-GB"/>
        </w:rPr>
      </w:pPr>
      <w:r w:rsidRPr="00427261">
        <w:rPr>
          <w:rFonts w:ascii="Times New Roman" w:eastAsia="Times New Roman" w:hAnsi="Times New Roman" w:cs="Times New Roman"/>
          <w:i/>
          <w:noProof/>
          <w:color w:val="000000"/>
          <w:sz w:val="24"/>
          <w:szCs w:val="24"/>
          <w:lang w:eastAsia="en-GB"/>
        </w:rPr>
        <w:t>Reference: point (a) of Article 17(6)</w:t>
      </w:r>
    </w:p>
    <w:p w14:paraId="048D53BD" w14:textId="77777777" w:rsidR="00427261" w:rsidRPr="007E41C5" w:rsidRDefault="00427261" w:rsidP="00427261">
      <w:pPr>
        <w:spacing w:after="200" w:line="276" w:lineRule="auto"/>
        <w:ind w:left="360"/>
        <w:contextualSpacing/>
        <w:jc w:val="center"/>
        <w:rPr>
          <w:rFonts w:ascii="Times New Roman" w:eastAsia="Times New Roman" w:hAnsi="Times New Roman" w:cs="Times New Roman"/>
          <w:b/>
          <w:i/>
          <w:iCs/>
          <w:noProof/>
          <w:sz w:val="24"/>
          <w:szCs w:val="24"/>
          <w:highlight w:val="yellow"/>
          <w:lang w:eastAsia="en-GB"/>
        </w:rPr>
      </w:pPr>
      <w:r w:rsidRPr="007E41C5">
        <w:rPr>
          <w:rFonts w:ascii="Times New Roman" w:eastAsia="Times New Roman" w:hAnsi="Times New Roman" w:cs="Times New Roman"/>
          <w:b/>
          <w:i/>
          <w:iCs/>
          <w:noProof/>
          <w:sz w:val="24"/>
          <w:szCs w:val="24"/>
          <w:highlight w:val="yellow"/>
          <w:lang w:eastAsia="en-GB"/>
        </w:rPr>
        <w:t>Table 10</w:t>
      </w:r>
    </w:p>
    <w:tbl>
      <w:tblPr>
        <w:tblStyle w:val="TableGrid12"/>
        <w:tblW w:w="0" w:type="auto"/>
        <w:tblLook w:val="04A0" w:firstRow="1" w:lastRow="0" w:firstColumn="1" w:lastColumn="0" w:noHBand="0" w:noVBand="1"/>
      </w:tblPr>
      <w:tblGrid>
        <w:gridCol w:w="1995"/>
        <w:gridCol w:w="1887"/>
        <w:gridCol w:w="1819"/>
        <w:gridCol w:w="3361"/>
      </w:tblGrid>
      <w:tr w:rsidR="00427261" w:rsidRPr="007E41C5" w14:paraId="64D52498" w14:textId="77777777" w:rsidTr="0096715F">
        <w:tc>
          <w:tcPr>
            <w:tcW w:w="2610" w:type="dxa"/>
          </w:tcPr>
          <w:p w14:paraId="3CD22784" w14:textId="77777777" w:rsidR="00427261" w:rsidRPr="007E41C5" w:rsidRDefault="00427261" w:rsidP="00427261">
            <w:pPr>
              <w:rPr>
                <w:rFonts w:ascii="Times New Roman" w:eastAsia="Calibri" w:hAnsi="Times New Roman" w:cs="Times New Roman"/>
                <w:b/>
                <w:noProof/>
                <w:sz w:val="20"/>
                <w:szCs w:val="20"/>
                <w:highlight w:val="yellow"/>
              </w:rPr>
            </w:pPr>
            <w:r w:rsidRPr="007E41C5">
              <w:rPr>
                <w:rFonts w:ascii="Times New Roman" w:eastAsia="Calibri" w:hAnsi="Times New Roman" w:cs="Times New Roman"/>
                <w:b/>
                <w:noProof/>
                <w:sz w:val="20"/>
                <w:szCs w:val="20"/>
                <w:highlight w:val="yellow"/>
              </w:rPr>
              <w:t xml:space="preserve">Programme authorities </w:t>
            </w:r>
          </w:p>
        </w:tc>
        <w:tc>
          <w:tcPr>
            <w:tcW w:w="2518" w:type="dxa"/>
          </w:tcPr>
          <w:p w14:paraId="6542D316" w14:textId="77777777" w:rsidR="00427261" w:rsidRPr="007E41C5" w:rsidRDefault="00427261" w:rsidP="00427261">
            <w:pPr>
              <w:rPr>
                <w:rFonts w:ascii="Times New Roman" w:eastAsia="Calibri" w:hAnsi="Times New Roman" w:cs="Times New Roman"/>
                <w:b/>
                <w:noProof/>
                <w:sz w:val="20"/>
                <w:szCs w:val="20"/>
                <w:highlight w:val="yellow"/>
              </w:rPr>
            </w:pPr>
            <w:r w:rsidRPr="007E41C5">
              <w:rPr>
                <w:rFonts w:ascii="Times New Roman" w:eastAsia="Calibri" w:hAnsi="Times New Roman" w:cs="Times New Roman"/>
                <w:b/>
                <w:noProof/>
                <w:sz w:val="20"/>
                <w:szCs w:val="20"/>
                <w:highlight w:val="yellow"/>
              </w:rPr>
              <w:t xml:space="preserve">Name of the institution </w:t>
            </w:r>
            <w:r w:rsidRPr="007E41C5">
              <w:rPr>
                <w:rFonts w:ascii="Times New Roman" w:eastAsia="Calibri" w:hAnsi="Times New Roman" w:cs="Times New Roman"/>
                <w:noProof/>
                <w:sz w:val="20"/>
                <w:szCs w:val="20"/>
                <w:highlight w:val="yellow"/>
              </w:rPr>
              <w:t>[255]</w:t>
            </w:r>
          </w:p>
        </w:tc>
        <w:tc>
          <w:tcPr>
            <w:tcW w:w="2460" w:type="dxa"/>
          </w:tcPr>
          <w:p w14:paraId="4FA8CE8E" w14:textId="77777777" w:rsidR="00427261" w:rsidRPr="007E41C5" w:rsidRDefault="00427261" w:rsidP="00427261">
            <w:pPr>
              <w:rPr>
                <w:rFonts w:ascii="Times New Roman" w:eastAsia="Calibri" w:hAnsi="Times New Roman" w:cs="Times New Roman"/>
                <w:b/>
                <w:noProof/>
                <w:sz w:val="20"/>
                <w:szCs w:val="20"/>
                <w:highlight w:val="yellow"/>
              </w:rPr>
            </w:pPr>
            <w:r w:rsidRPr="007E41C5">
              <w:rPr>
                <w:rFonts w:ascii="Times New Roman" w:eastAsia="Calibri" w:hAnsi="Times New Roman" w:cs="Times New Roman"/>
                <w:b/>
                <w:noProof/>
                <w:sz w:val="20"/>
                <w:szCs w:val="20"/>
                <w:highlight w:val="yellow"/>
              </w:rPr>
              <w:t xml:space="preserve">Contact name </w:t>
            </w:r>
            <w:r w:rsidRPr="007E41C5">
              <w:rPr>
                <w:rFonts w:ascii="Times New Roman" w:eastAsia="Calibri" w:hAnsi="Times New Roman" w:cs="Times New Roman"/>
                <w:noProof/>
                <w:sz w:val="20"/>
                <w:szCs w:val="20"/>
                <w:highlight w:val="yellow"/>
              </w:rPr>
              <w:t>[200]</w:t>
            </w:r>
          </w:p>
        </w:tc>
        <w:tc>
          <w:tcPr>
            <w:tcW w:w="2266" w:type="dxa"/>
          </w:tcPr>
          <w:p w14:paraId="1A08F614" w14:textId="77777777" w:rsidR="00427261" w:rsidRPr="007E41C5" w:rsidRDefault="00427261" w:rsidP="00427261">
            <w:pPr>
              <w:rPr>
                <w:rFonts w:ascii="Times New Roman" w:eastAsia="Calibri" w:hAnsi="Times New Roman" w:cs="Times New Roman"/>
                <w:b/>
                <w:noProof/>
                <w:sz w:val="20"/>
                <w:szCs w:val="20"/>
                <w:highlight w:val="yellow"/>
              </w:rPr>
            </w:pPr>
            <w:r w:rsidRPr="007E41C5">
              <w:rPr>
                <w:rFonts w:ascii="Times New Roman" w:eastAsia="Calibri" w:hAnsi="Times New Roman" w:cs="Times New Roman"/>
                <w:b/>
                <w:noProof/>
                <w:sz w:val="20"/>
                <w:szCs w:val="20"/>
                <w:highlight w:val="yellow"/>
              </w:rPr>
              <w:t xml:space="preserve">E-mail </w:t>
            </w:r>
            <w:r w:rsidRPr="007E41C5">
              <w:rPr>
                <w:rFonts w:ascii="Times New Roman" w:eastAsia="Calibri" w:hAnsi="Times New Roman" w:cs="Times New Roman"/>
                <w:noProof/>
                <w:sz w:val="20"/>
                <w:szCs w:val="20"/>
                <w:highlight w:val="yellow"/>
              </w:rPr>
              <w:t>[200]</w:t>
            </w:r>
          </w:p>
        </w:tc>
      </w:tr>
      <w:tr w:rsidR="00427261" w:rsidRPr="007E41C5" w14:paraId="5FCF2F9D" w14:textId="77777777" w:rsidTr="0096715F">
        <w:tc>
          <w:tcPr>
            <w:tcW w:w="2610" w:type="dxa"/>
          </w:tcPr>
          <w:p w14:paraId="5FE9D86C" w14:textId="77777777" w:rsidR="00427261" w:rsidRPr="007E41C5" w:rsidRDefault="00427261" w:rsidP="00427261">
            <w:pPr>
              <w:rPr>
                <w:rFonts w:ascii="Times New Roman" w:eastAsia="Calibri" w:hAnsi="Times New Roman" w:cs="Times New Roman"/>
                <w:noProof/>
                <w:sz w:val="20"/>
                <w:szCs w:val="20"/>
                <w:highlight w:val="yellow"/>
              </w:rPr>
            </w:pPr>
            <w:r w:rsidRPr="007E41C5">
              <w:rPr>
                <w:rFonts w:ascii="Times New Roman" w:eastAsia="Calibri" w:hAnsi="Times New Roman" w:cs="Times New Roman"/>
                <w:noProof/>
                <w:sz w:val="20"/>
                <w:szCs w:val="20"/>
                <w:highlight w:val="yellow"/>
              </w:rPr>
              <w:t>Managing authority</w:t>
            </w:r>
          </w:p>
        </w:tc>
        <w:tc>
          <w:tcPr>
            <w:tcW w:w="2518" w:type="dxa"/>
          </w:tcPr>
          <w:p w14:paraId="29209515" w14:textId="77777777" w:rsidR="00427261" w:rsidRPr="007E41C5" w:rsidRDefault="009F129F" w:rsidP="0095157F">
            <w:pPr>
              <w:rPr>
                <w:rFonts w:ascii="Times New Roman" w:eastAsia="Calibri" w:hAnsi="Times New Roman" w:cs="Times New Roman"/>
                <w:noProof/>
                <w:sz w:val="20"/>
                <w:szCs w:val="20"/>
                <w:highlight w:val="yellow"/>
                <w:lang w:val="en-US"/>
              </w:rPr>
            </w:pPr>
            <w:r w:rsidRPr="007E41C5">
              <w:rPr>
                <w:rFonts w:ascii="Times New Roman" w:eastAsia="Calibri" w:hAnsi="Times New Roman" w:cs="Times New Roman"/>
                <w:noProof/>
                <w:sz w:val="20"/>
                <w:szCs w:val="20"/>
                <w:highlight w:val="yellow"/>
              </w:rPr>
              <w:t xml:space="preserve"> </w:t>
            </w:r>
            <w:r w:rsidR="0095157F" w:rsidRPr="007E41C5">
              <w:rPr>
                <w:rFonts w:ascii="Times New Roman" w:eastAsia="Calibri" w:hAnsi="Times New Roman" w:cs="Times New Roman"/>
                <w:noProof/>
                <w:sz w:val="20"/>
                <w:szCs w:val="20"/>
                <w:highlight w:val="yellow"/>
              </w:rPr>
              <w:t>Ministry of Regional Development and Public Works Territorial Cooperation Management Directorate</w:t>
            </w:r>
            <w:r w:rsidR="0095157F" w:rsidRPr="007E41C5" w:rsidDel="0095157F">
              <w:rPr>
                <w:rFonts w:ascii="Times New Roman" w:eastAsia="Calibri" w:hAnsi="Times New Roman" w:cs="Times New Roman"/>
                <w:noProof/>
                <w:sz w:val="20"/>
                <w:szCs w:val="20"/>
                <w:highlight w:val="yellow"/>
              </w:rPr>
              <w:t xml:space="preserve"> </w:t>
            </w:r>
          </w:p>
        </w:tc>
        <w:tc>
          <w:tcPr>
            <w:tcW w:w="2460" w:type="dxa"/>
          </w:tcPr>
          <w:p w14:paraId="6204050B" w14:textId="77777777" w:rsidR="0095157F" w:rsidRPr="007E41C5" w:rsidRDefault="0095157F" w:rsidP="0095157F">
            <w:pPr>
              <w:rPr>
                <w:rFonts w:ascii="Times New Roman" w:eastAsia="Calibri" w:hAnsi="Times New Roman" w:cs="Times New Roman"/>
                <w:noProof/>
                <w:sz w:val="20"/>
                <w:szCs w:val="20"/>
                <w:highlight w:val="yellow"/>
              </w:rPr>
            </w:pPr>
            <w:r w:rsidRPr="007E41C5">
              <w:rPr>
                <w:rFonts w:ascii="Times New Roman" w:eastAsia="Calibri" w:hAnsi="Times New Roman" w:cs="Times New Roman"/>
                <w:noProof/>
                <w:sz w:val="20"/>
                <w:szCs w:val="20"/>
                <w:highlight w:val="yellow"/>
              </w:rPr>
              <w:t>Nina Stoimenova</w:t>
            </w:r>
          </w:p>
          <w:p w14:paraId="4F425C99" w14:textId="77777777" w:rsidR="0095157F" w:rsidRPr="007E41C5" w:rsidRDefault="0095157F" w:rsidP="0095157F">
            <w:pPr>
              <w:rPr>
                <w:rFonts w:ascii="Times New Roman" w:eastAsia="Calibri" w:hAnsi="Times New Roman" w:cs="Times New Roman"/>
                <w:noProof/>
                <w:sz w:val="20"/>
                <w:szCs w:val="20"/>
                <w:highlight w:val="yellow"/>
              </w:rPr>
            </w:pPr>
            <w:r w:rsidRPr="007E41C5">
              <w:rPr>
                <w:rFonts w:ascii="Times New Roman" w:eastAsia="Calibri" w:hAnsi="Times New Roman" w:cs="Times New Roman"/>
                <w:noProof/>
                <w:sz w:val="20"/>
                <w:szCs w:val="20"/>
                <w:highlight w:val="yellow"/>
              </w:rPr>
              <w:t>Deputy Minister</w:t>
            </w:r>
          </w:p>
          <w:p w14:paraId="3FE73F1C" w14:textId="77777777" w:rsidR="00427261" w:rsidRPr="007E41C5" w:rsidRDefault="0095157F" w:rsidP="0095157F">
            <w:pPr>
              <w:rPr>
                <w:rFonts w:ascii="Times New Roman" w:eastAsia="Calibri" w:hAnsi="Times New Roman" w:cs="Times New Roman"/>
                <w:noProof/>
                <w:sz w:val="20"/>
                <w:szCs w:val="20"/>
                <w:highlight w:val="yellow"/>
              </w:rPr>
            </w:pPr>
            <w:r w:rsidRPr="007E41C5">
              <w:rPr>
                <w:rFonts w:ascii="Times New Roman" w:eastAsia="Calibri" w:hAnsi="Times New Roman" w:cs="Times New Roman"/>
                <w:noProof/>
                <w:sz w:val="20"/>
                <w:szCs w:val="20"/>
                <w:highlight w:val="yellow"/>
              </w:rPr>
              <w:t>Head of Managing Authority</w:t>
            </w:r>
          </w:p>
        </w:tc>
        <w:tc>
          <w:tcPr>
            <w:tcW w:w="2266" w:type="dxa"/>
          </w:tcPr>
          <w:p w14:paraId="256CF3BC" w14:textId="77777777" w:rsidR="00427261" w:rsidRPr="007E41C5" w:rsidRDefault="0095157F" w:rsidP="00427261">
            <w:pPr>
              <w:rPr>
                <w:rFonts w:ascii="Times New Roman" w:eastAsia="Calibri" w:hAnsi="Times New Roman" w:cs="Times New Roman"/>
                <w:noProof/>
                <w:sz w:val="20"/>
                <w:szCs w:val="20"/>
                <w:highlight w:val="yellow"/>
              </w:rPr>
            </w:pPr>
            <w:r w:rsidRPr="007E41C5">
              <w:rPr>
                <w:rFonts w:ascii="Times New Roman" w:eastAsia="Calibri" w:hAnsi="Times New Roman" w:cs="Times New Roman"/>
                <w:noProof/>
                <w:sz w:val="20"/>
                <w:szCs w:val="20"/>
                <w:highlight w:val="yellow"/>
              </w:rPr>
              <w:t>nina.stoimenova@mrrb.government.bg</w:t>
            </w:r>
          </w:p>
        </w:tc>
      </w:tr>
      <w:tr w:rsidR="00427261" w:rsidRPr="007E41C5" w14:paraId="27B1233E" w14:textId="77777777" w:rsidTr="0096715F">
        <w:tc>
          <w:tcPr>
            <w:tcW w:w="2610" w:type="dxa"/>
          </w:tcPr>
          <w:p w14:paraId="2A627C58" w14:textId="77777777" w:rsidR="00427261" w:rsidRPr="007E41C5" w:rsidRDefault="00427261" w:rsidP="00427261">
            <w:pPr>
              <w:rPr>
                <w:rFonts w:ascii="Times New Roman" w:eastAsia="Calibri" w:hAnsi="Times New Roman" w:cs="Times New Roman"/>
                <w:noProof/>
                <w:sz w:val="20"/>
                <w:szCs w:val="20"/>
                <w:highlight w:val="yellow"/>
              </w:rPr>
            </w:pPr>
            <w:r w:rsidRPr="007E41C5">
              <w:rPr>
                <w:rFonts w:ascii="Times New Roman" w:eastAsia="Calibri" w:hAnsi="Times New Roman" w:cs="Times New Roman"/>
                <w:noProof/>
                <w:sz w:val="20"/>
                <w:szCs w:val="20"/>
                <w:highlight w:val="yellow"/>
              </w:rPr>
              <w:t>National authority (for programmes with participating third or partner countries, if appropriate)</w:t>
            </w:r>
          </w:p>
        </w:tc>
        <w:tc>
          <w:tcPr>
            <w:tcW w:w="2518" w:type="dxa"/>
          </w:tcPr>
          <w:p w14:paraId="1F48FB6F" w14:textId="77777777" w:rsidR="00427261" w:rsidRPr="007E41C5" w:rsidRDefault="003209D0" w:rsidP="00427261">
            <w:pPr>
              <w:rPr>
                <w:rFonts w:ascii="Times New Roman" w:eastAsia="Calibri" w:hAnsi="Times New Roman" w:cs="Times New Roman"/>
                <w:noProof/>
                <w:sz w:val="20"/>
                <w:szCs w:val="20"/>
                <w:highlight w:val="yellow"/>
                <w:lang w:val="bg-BG"/>
              </w:rPr>
            </w:pPr>
            <w:r w:rsidRPr="007E41C5">
              <w:rPr>
                <w:rFonts w:ascii="Times New Roman" w:eastAsia="Calibri" w:hAnsi="Times New Roman" w:cs="Times New Roman"/>
                <w:noProof/>
                <w:sz w:val="20"/>
                <w:szCs w:val="20"/>
                <w:highlight w:val="yellow"/>
              </w:rPr>
              <w:t>The Ministry of Local Self-Government</w:t>
            </w:r>
            <w:r w:rsidRPr="007E41C5">
              <w:rPr>
                <w:rFonts w:ascii="Times New Roman" w:eastAsia="Calibri" w:hAnsi="Times New Roman" w:cs="Times New Roman"/>
                <w:noProof/>
                <w:sz w:val="20"/>
                <w:szCs w:val="20"/>
                <w:highlight w:val="yellow"/>
                <w:lang w:val="bg-BG"/>
              </w:rPr>
              <w:t xml:space="preserve"> </w:t>
            </w:r>
            <w:r w:rsidRPr="007E41C5">
              <w:rPr>
                <w:rFonts w:ascii="Times New Roman" w:eastAsia="Calibri" w:hAnsi="Times New Roman" w:cs="Times New Roman"/>
                <w:noProof/>
                <w:sz w:val="20"/>
                <w:szCs w:val="20"/>
                <w:highlight w:val="yellow"/>
              </w:rPr>
              <w:t>of the Republic of North</w:t>
            </w:r>
            <w:r w:rsidRPr="007E41C5">
              <w:rPr>
                <w:rFonts w:ascii="Times New Roman" w:eastAsia="Calibri" w:hAnsi="Times New Roman" w:cs="Times New Roman"/>
                <w:noProof/>
                <w:sz w:val="20"/>
                <w:szCs w:val="20"/>
                <w:highlight w:val="yellow"/>
                <w:lang w:val="bg-BG"/>
              </w:rPr>
              <w:t xml:space="preserve"> </w:t>
            </w:r>
            <w:r w:rsidRPr="007E41C5">
              <w:rPr>
                <w:rFonts w:ascii="Times New Roman" w:eastAsia="Calibri" w:hAnsi="Times New Roman" w:cs="Times New Roman"/>
                <w:noProof/>
                <w:sz w:val="20"/>
                <w:szCs w:val="20"/>
                <w:highlight w:val="yellow"/>
              </w:rPr>
              <w:t>Macedonia</w:t>
            </w:r>
            <w:r w:rsidRPr="007E41C5" w:rsidDel="003209D0">
              <w:rPr>
                <w:rFonts w:ascii="Times New Roman" w:eastAsia="Calibri" w:hAnsi="Times New Roman" w:cs="Times New Roman"/>
                <w:noProof/>
                <w:sz w:val="20"/>
                <w:szCs w:val="20"/>
                <w:highlight w:val="yellow"/>
              </w:rPr>
              <w:t xml:space="preserve"> </w:t>
            </w:r>
          </w:p>
        </w:tc>
        <w:tc>
          <w:tcPr>
            <w:tcW w:w="2460" w:type="dxa"/>
          </w:tcPr>
          <w:p w14:paraId="4DE2A565" w14:textId="77777777" w:rsidR="00891312" w:rsidRPr="007E41C5" w:rsidRDefault="00891312" w:rsidP="00891312">
            <w:pPr>
              <w:rPr>
                <w:rFonts w:ascii="Times New Roman" w:eastAsia="Calibri" w:hAnsi="Times New Roman" w:cs="Times New Roman"/>
                <w:noProof/>
                <w:sz w:val="20"/>
                <w:szCs w:val="20"/>
                <w:highlight w:val="yellow"/>
              </w:rPr>
            </w:pPr>
            <w:r w:rsidRPr="007E41C5">
              <w:rPr>
                <w:rFonts w:ascii="Times New Roman" w:eastAsia="Calibri" w:hAnsi="Times New Roman" w:cs="Times New Roman"/>
                <w:noProof/>
                <w:sz w:val="20"/>
                <w:szCs w:val="20"/>
                <w:highlight w:val="yellow"/>
              </w:rPr>
              <w:t>Goran Milevski</w:t>
            </w:r>
          </w:p>
          <w:p w14:paraId="0AEFE5E4" w14:textId="77777777" w:rsidR="00891312" w:rsidRPr="007E41C5" w:rsidRDefault="00891312" w:rsidP="00891312">
            <w:pPr>
              <w:rPr>
                <w:rFonts w:ascii="Times New Roman" w:eastAsia="Calibri" w:hAnsi="Times New Roman" w:cs="Times New Roman"/>
                <w:noProof/>
                <w:sz w:val="20"/>
                <w:szCs w:val="20"/>
                <w:highlight w:val="yellow"/>
              </w:rPr>
            </w:pPr>
            <w:r w:rsidRPr="007E41C5">
              <w:rPr>
                <w:rFonts w:ascii="Times New Roman" w:eastAsia="Calibri" w:hAnsi="Times New Roman" w:cs="Times New Roman"/>
                <w:noProof/>
                <w:sz w:val="20"/>
                <w:szCs w:val="20"/>
                <w:highlight w:val="yellow"/>
              </w:rPr>
              <w:t>Minister of Local Self-Government of the Republic of North</w:t>
            </w:r>
          </w:p>
          <w:p w14:paraId="30531945" w14:textId="77777777" w:rsidR="00427261" w:rsidRPr="007E41C5" w:rsidRDefault="00891312" w:rsidP="00891312">
            <w:pPr>
              <w:rPr>
                <w:rFonts w:ascii="Times New Roman" w:eastAsia="Calibri" w:hAnsi="Times New Roman" w:cs="Times New Roman"/>
                <w:noProof/>
                <w:sz w:val="20"/>
                <w:szCs w:val="20"/>
                <w:highlight w:val="yellow"/>
              </w:rPr>
            </w:pPr>
            <w:r w:rsidRPr="007E41C5">
              <w:rPr>
                <w:rFonts w:ascii="Times New Roman" w:eastAsia="Calibri" w:hAnsi="Times New Roman" w:cs="Times New Roman"/>
                <w:noProof/>
                <w:sz w:val="20"/>
                <w:szCs w:val="20"/>
                <w:highlight w:val="yellow"/>
              </w:rPr>
              <w:t>Macedonia</w:t>
            </w:r>
            <w:r w:rsidRPr="007E41C5" w:rsidDel="00891312">
              <w:rPr>
                <w:rFonts w:ascii="Times New Roman" w:eastAsia="Calibri" w:hAnsi="Times New Roman" w:cs="Times New Roman"/>
                <w:noProof/>
                <w:sz w:val="20"/>
                <w:szCs w:val="20"/>
                <w:highlight w:val="yellow"/>
              </w:rPr>
              <w:t xml:space="preserve"> </w:t>
            </w:r>
          </w:p>
        </w:tc>
        <w:tc>
          <w:tcPr>
            <w:tcW w:w="2266" w:type="dxa"/>
          </w:tcPr>
          <w:p w14:paraId="7EFD43CE" w14:textId="77777777" w:rsidR="00427261" w:rsidRPr="007E41C5" w:rsidRDefault="00BA13F7" w:rsidP="00427261">
            <w:pPr>
              <w:rPr>
                <w:rFonts w:ascii="Times New Roman" w:eastAsia="Calibri" w:hAnsi="Times New Roman" w:cs="Times New Roman"/>
                <w:noProof/>
                <w:sz w:val="20"/>
                <w:szCs w:val="20"/>
                <w:highlight w:val="yellow"/>
              </w:rPr>
            </w:pPr>
            <w:r w:rsidRPr="007E41C5">
              <w:rPr>
                <w:rFonts w:ascii="Times New Roman" w:eastAsia="Calibri" w:hAnsi="Times New Roman" w:cs="Times New Roman"/>
                <w:noProof/>
                <w:sz w:val="20"/>
                <w:szCs w:val="20"/>
                <w:highlight w:val="yellow"/>
              </w:rPr>
              <w:t xml:space="preserve">info@mls.gov.mk  </w:t>
            </w:r>
          </w:p>
          <w:p w14:paraId="551F2A93" w14:textId="77777777" w:rsidR="003447B8" w:rsidRPr="007E41C5" w:rsidRDefault="003447B8" w:rsidP="00427261">
            <w:pPr>
              <w:rPr>
                <w:rFonts w:ascii="Times New Roman" w:eastAsia="Calibri" w:hAnsi="Times New Roman" w:cs="Times New Roman"/>
                <w:noProof/>
                <w:sz w:val="20"/>
                <w:szCs w:val="20"/>
                <w:highlight w:val="yellow"/>
              </w:rPr>
            </w:pPr>
            <w:r w:rsidRPr="007E41C5">
              <w:rPr>
                <w:rFonts w:ascii="Times New Roman" w:eastAsia="Calibri" w:hAnsi="Times New Roman" w:cs="Times New Roman"/>
                <w:noProof/>
                <w:sz w:val="20"/>
                <w:szCs w:val="20"/>
                <w:highlight w:val="yellow"/>
              </w:rPr>
              <w:t>milevski.goran@gmail.com</w:t>
            </w:r>
          </w:p>
        </w:tc>
      </w:tr>
      <w:tr w:rsidR="00427261" w:rsidRPr="007E41C5" w14:paraId="409E9D62" w14:textId="77777777" w:rsidTr="0096715F">
        <w:tc>
          <w:tcPr>
            <w:tcW w:w="2610" w:type="dxa"/>
          </w:tcPr>
          <w:p w14:paraId="51A1D332" w14:textId="77777777" w:rsidR="00427261" w:rsidRPr="007E41C5" w:rsidRDefault="00427261" w:rsidP="00427261">
            <w:pPr>
              <w:rPr>
                <w:rFonts w:ascii="Times New Roman" w:eastAsia="Calibri" w:hAnsi="Times New Roman" w:cs="Times New Roman"/>
                <w:noProof/>
                <w:sz w:val="20"/>
                <w:szCs w:val="20"/>
                <w:highlight w:val="yellow"/>
              </w:rPr>
            </w:pPr>
            <w:r w:rsidRPr="007E41C5">
              <w:rPr>
                <w:rFonts w:ascii="Times New Roman" w:eastAsia="Calibri" w:hAnsi="Times New Roman" w:cs="Times New Roman"/>
                <w:noProof/>
                <w:sz w:val="20"/>
                <w:szCs w:val="20"/>
                <w:highlight w:val="yellow"/>
              </w:rPr>
              <w:t>Audit authority</w:t>
            </w:r>
          </w:p>
        </w:tc>
        <w:tc>
          <w:tcPr>
            <w:tcW w:w="2518" w:type="dxa"/>
          </w:tcPr>
          <w:p w14:paraId="482FFE8E" w14:textId="77777777" w:rsidR="00781590" w:rsidRPr="007E41C5" w:rsidRDefault="00781590" w:rsidP="00781590">
            <w:pPr>
              <w:rPr>
                <w:rFonts w:ascii="Times New Roman" w:eastAsia="Calibri" w:hAnsi="Times New Roman" w:cs="Times New Roman"/>
                <w:noProof/>
                <w:sz w:val="20"/>
                <w:szCs w:val="20"/>
                <w:highlight w:val="yellow"/>
              </w:rPr>
            </w:pPr>
            <w:r w:rsidRPr="007E41C5">
              <w:rPr>
                <w:rFonts w:ascii="Times New Roman" w:eastAsia="Calibri" w:hAnsi="Times New Roman" w:cs="Times New Roman"/>
                <w:noProof/>
                <w:sz w:val="20"/>
                <w:szCs w:val="20"/>
                <w:highlight w:val="yellow"/>
              </w:rPr>
              <w:t>Executive agency</w:t>
            </w:r>
          </w:p>
          <w:p w14:paraId="74455BCF" w14:textId="77777777" w:rsidR="00427261" w:rsidRPr="007E41C5" w:rsidRDefault="00781590" w:rsidP="00781590">
            <w:pPr>
              <w:rPr>
                <w:rFonts w:ascii="Times New Roman" w:eastAsia="Calibri" w:hAnsi="Times New Roman" w:cs="Times New Roman"/>
                <w:noProof/>
                <w:sz w:val="20"/>
                <w:szCs w:val="20"/>
                <w:highlight w:val="yellow"/>
              </w:rPr>
            </w:pPr>
            <w:r w:rsidRPr="007E41C5">
              <w:rPr>
                <w:rFonts w:ascii="Times New Roman" w:eastAsia="Calibri" w:hAnsi="Times New Roman" w:cs="Times New Roman"/>
                <w:noProof/>
                <w:sz w:val="20"/>
                <w:szCs w:val="20"/>
                <w:highlight w:val="yellow"/>
              </w:rPr>
              <w:t>Audit of European Union Funds, Ministry of finance</w:t>
            </w:r>
          </w:p>
        </w:tc>
        <w:tc>
          <w:tcPr>
            <w:tcW w:w="2460" w:type="dxa"/>
          </w:tcPr>
          <w:p w14:paraId="23E00651" w14:textId="77777777" w:rsidR="00781590" w:rsidRPr="007E41C5" w:rsidRDefault="00781590" w:rsidP="00781590">
            <w:pPr>
              <w:rPr>
                <w:rFonts w:ascii="Times New Roman" w:eastAsia="Calibri" w:hAnsi="Times New Roman" w:cs="Times New Roman"/>
                <w:noProof/>
                <w:sz w:val="20"/>
                <w:szCs w:val="20"/>
                <w:highlight w:val="yellow"/>
              </w:rPr>
            </w:pPr>
            <w:r w:rsidRPr="007E41C5">
              <w:rPr>
                <w:rFonts w:ascii="Times New Roman" w:eastAsia="Calibri" w:hAnsi="Times New Roman" w:cs="Times New Roman"/>
                <w:noProof/>
                <w:sz w:val="20"/>
                <w:szCs w:val="20"/>
                <w:highlight w:val="yellow"/>
              </w:rPr>
              <w:t>Lyudmila Rangelova, CGAP</w:t>
            </w:r>
          </w:p>
          <w:p w14:paraId="645F1D7A" w14:textId="77777777" w:rsidR="00427261" w:rsidRPr="007E41C5" w:rsidRDefault="00781590" w:rsidP="00781590">
            <w:pPr>
              <w:rPr>
                <w:rFonts w:ascii="Times New Roman" w:eastAsia="Calibri" w:hAnsi="Times New Roman" w:cs="Times New Roman"/>
                <w:noProof/>
                <w:sz w:val="20"/>
                <w:szCs w:val="20"/>
                <w:highlight w:val="yellow"/>
              </w:rPr>
            </w:pPr>
            <w:r w:rsidRPr="007E41C5">
              <w:rPr>
                <w:rFonts w:ascii="Times New Roman" w:eastAsia="Calibri" w:hAnsi="Times New Roman" w:cs="Times New Roman"/>
                <w:noProof/>
                <w:sz w:val="20"/>
                <w:szCs w:val="20"/>
                <w:highlight w:val="yellow"/>
              </w:rPr>
              <w:t>Executive Director</w:t>
            </w:r>
          </w:p>
        </w:tc>
        <w:tc>
          <w:tcPr>
            <w:tcW w:w="2266" w:type="dxa"/>
          </w:tcPr>
          <w:p w14:paraId="2FFAB92C" w14:textId="77777777" w:rsidR="00427261" w:rsidRPr="007E41C5" w:rsidRDefault="00781590" w:rsidP="00427261">
            <w:pPr>
              <w:rPr>
                <w:rFonts w:ascii="Times New Roman" w:eastAsia="Calibri" w:hAnsi="Times New Roman" w:cs="Times New Roman"/>
                <w:noProof/>
                <w:sz w:val="20"/>
                <w:szCs w:val="20"/>
                <w:highlight w:val="yellow"/>
              </w:rPr>
            </w:pPr>
            <w:r w:rsidRPr="007E41C5">
              <w:rPr>
                <w:rFonts w:ascii="Times New Roman" w:eastAsia="Calibri" w:hAnsi="Times New Roman" w:cs="Times New Roman"/>
                <w:noProof/>
                <w:sz w:val="20"/>
                <w:szCs w:val="20"/>
                <w:highlight w:val="yellow"/>
              </w:rPr>
              <w:t>aeuf@minfin.bg</w:t>
            </w:r>
          </w:p>
        </w:tc>
      </w:tr>
      <w:tr w:rsidR="00427261" w:rsidRPr="007E41C5" w14:paraId="1DABB9B6" w14:textId="77777777" w:rsidTr="0096715F">
        <w:tc>
          <w:tcPr>
            <w:tcW w:w="2610" w:type="dxa"/>
          </w:tcPr>
          <w:p w14:paraId="20088E9F" w14:textId="77777777" w:rsidR="00427261" w:rsidRPr="007E41C5" w:rsidRDefault="00427261" w:rsidP="00427261">
            <w:pPr>
              <w:rPr>
                <w:rFonts w:ascii="Times New Roman" w:eastAsia="Calibri" w:hAnsi="Times New Roman" w:cs="Times New Roman"/>
                <w:noProof/>
                <w:sz w:val="20"/>
                <w:szCs w:val="20"/>
                <w:highlight w:val="yellow"/>
              </w:rPr>
            </w:pPr>
            <w:r w:rsidRPr="007E41C5">
              <w:rPr>
                <w:rFonts w:ascii="Times New Roman" w:eastAsia="Calibri" w:hAnsi="Times New Roman" w:cs="Times New Roman"/>
                <w:noProof/>
                <w:sz w:val="20"/>
                <w:szCs w:val="20"/>
                <w:highlight w:val="yellow"/>
              </w:rPr>
              <w:t xml:space="preserve">Group of auditors representatives </w:t>
            </w:r>
          </w:p>
        </w:tc>
        <w:tc>
          <w:tcPr>
            <w:tcW w:w="2518" w:type="dxa"/>
          </w:tcPr>
          <w:p w14:paraId="03543153" w14:textId="77777777" w:rsidR="006E1711" w:rsidRPr="007E41C5" w:rsidRDefault="006E1711" w:rsidP="006E1711">
            <w:pPr>
              <w:rPr>
                <w:rFonts w:ascii="Times New Roman" w:eastAsia="Calibri" w:hAnsi="Times New Roman" w:cs="Times New Roman"/>
                <w:noProof/>
                <w:sz w:val="20"/>
                <w:szCs w:val="20"/>
                <w:highlight w:val="yellow"/>
              </w:rPr>
            </w:pPr>
            <w:r w:rsidRPr="007E41C5">
              <w:rPr>
                <w:rFonts w:ascii="Times New Roman" w:eastAsia="Calibri" w:hAnsi="Times New Roman" w:cs="Times New Roman"/>
                <w:noProof/>
                <w:sz w:val="20"/>
                <w:szCs w:val="20"/>
                <w:highlight w:val="yellow"/>
              </w:rPr>
              <w:t>Audit Authority of audit of instrument for pre-accession assistance,</w:t>
            </w:r>
          </w:p>
          <w:p w14:paraId="4FF4DC2C" w14:textId="77777777" w:rsidR="00427261" w:rsidRPr="007E41C5" w:rsidRDefault="006E1711" w:rsidP="006E1711">
            <w:pPr>
              <w:rPr>
                <w:rFonts w:ascii="Times New Roman" w:eastAsia="Calibri" w:hAnsi="Times New Roman" w:cs="Times New Roman"/>
                <w:noProof/>
                <w:sz w:val="20"/>
                <w:szCs w:val="20"/>
                <w:highlight w:val="yellow"/>
              </w:rPr>
            </w:pPr>
            <w:r w:rsidRPr="007E41C5">
              <w:rPr>
                <w:rFonts w:ascii="Times New Roman" w:eastAsia="Calibri" w:hAnsi="Times New Roman" w:cs="Times New Roman"/>
                <w:noProof/>
                <w:sz w:val="20"/>
                <w:szCs w:val="20"/>
                <w:highlight w:val="yellow"/>
              </w:rPr>
              <w:lastRenderedPageBreak/>
              <w:t>Republic of North Macedonia</w:t>
            </w:r>
          </w:p>
        </w:tc>
        <w:tc>
          <w:tcPr>
            <w:tcW w:w="2460" w:type="dxa"/>
          </w:tcPr>
          <w:p w14:paraId="7FAF6577" w14:textId="77777777" w:rsidR="002B672B" w:rsidRPr="007E41C5" w:rsidRDefault="002B672B" w:rsidP="002B672B">
            <w:pPr>
              <w:rPr>
                <w:rFonts w:ascii="Times New Roman" w:eastAsia="Calibri" w:hAnsi="Times New Roman" w:cs="Times New Roman"/>
                <w:noProof/>
                <w:sz w:val="20"/>
                <w:szCs w:val="20"/>
                <w:highlight w:val="yellow"/>
              </w:rPr>
            </w:pPr>
            <w:r w:rsidRPr="007E41C5">
              <w:rPr>
                <w:rFonts w:ascii="Times New Roman" w:eastAsia="Calibri" w:hAnsi="Times New Roman" w:cs="Times New Roman"/>
                <w:noProof/>
                <w:sz w:val="20"/>
                <w:szCs w:val="20"/>
                <w:highlight w:val="yellow"/>
              </w:rPr>
              <w:lastRenderedPageBreak/>
              <w:t>Adem Curi, CSA, CFE, CA</w:t>
            </w:r>
          </w:p>
          <w:p w14:paraId="06D48324" w14:textId="77777777" w:rsidR="00427261" w:rsidRPr="007E41C5" w:rsidRDefault="002B672B" w:rsidP="002B672B">
            <w:pPr>
              <w:rPr>
                <w:rFonts w:ascii="Times New Roman" w:eastAsia="Calibri" w:hAnsi="Times New Roman" w:cs="Times New Roman"/>
                <w:noProof/>
                <w:sz w:val="20"/>
                <w:szCs w:val="20"/>
                <w:highlight w:val="yellow"/>
              </w:rPr>
            </w:pPr>
            <w:r w:rsidRPr="007E41C5">
              <w:rPr>
                <w:rFonts w:ascii="Times New Roman" w:eastAsia="Calibri" w:hAnsi="Times New Roman" w:cs="Times New Roman"/>
                <w:noProof/>
                <w:sz w:val="20"/>
                <w:szCs w:val="20"/>
                <w:highlight w:val="yellow"/>
              </w:rPr>
              <w:t>General IPA Auditor of the Audit Authority</w:t>
            </w:r>
          </w:p>
        </w:tc>
        <w:tc>
          <w:tcPr>
            <w:tcW w:w="2266" w:type="dxa"/>
          </w:tcPr>
          <w:p w14:paraId="21B7A7C3" w14:textId="77777777" w:rsidR="00427261" w:rsidRPr="007E41C5" w:rsidRDefault="00ED1DC9" w:rsidP="00427261">
            <w:pPr>
              <w:rPr>
                <w:rFonts w:ascii="Times New Roman" w:eastAsia="Calibri" w:hAnsi="Times New Roman" w:cs="Times New Roman"/>
                <w:noProof/>
                <w:sz w:val="20"/>
                <w:szCs w:val="20"/>
                <w:highlight w:val="yellow"/>
              </w:rPr>
            </w:pPr>
            <w:r w:rsidRPr="007E41C5">
              <w:rPr>
                <w:rFonts w:ascii="Times New Roman" w:eastAsia="Calibri" w:hAnsi="Times New Roman" w:cs="Times New Roman"/>
                <w:noProof/>
                <w:sz w:val="20"/>
                <w:szCs w:val="20"/>
                <w:highlight w:val="yellow"/>
              </w:rPr>
              <w:t>adem.curi@aaipa.gov.mk</w:t>
            </w:r>
          </w:p>
        </w:tc>
      </w:tr>
      <w:tr w:rsidR="00427261" w:rsidRPr="007E41C5" w14:paraId="11BE940E" w14:textId="77777777" w:rsidTr="0096715F">
        <w:tc>
          <w:tcPr>
            <w:tcW w:w="2610" w:type="dxa"/>
          </w:tcPr>
          <w:p w14:paraId="600034BC" w14:textId="77777777" w:rsidR="00427261" w:rsidRPr="007E41C5" w:rsidRDefault="00427261" w:rsidP="00427261">
            <w:pPr>
              <w:rPr>
                <w:rFonts w:ascii="Times New Roman" w:eastAsia="Calibri" w:hAnsi="Times New Roman" w:cs="Times New Roman"/>
                <w:noProof/>
                <w:sz w:val="20"/>
                <w:szCs w:val="20"/>
                <w:highlight w:val="yellow"/>
              </w:rPr>
            </w:pPr>
            <w:r w:rsidRPr="007E41C5">
              <w:rPr>
                <w:rFonts w:ascii="Times New Roman" w:eastAsia="Calibri" w:hAnsi="Times New Roman" w:cs="Times New Roman"/>
                <w:noProof/>
                <w:sz w:val="20"/>
                <w:szCs w:val="20"/>
                <w:highlight w:val="yellow"/>
              </w:rPr>
              <w:t>Body to which the payments are to be made by the Commission</w:t>
            </w:r>
          </w:p>
        </w:tc>
        <w:tc>
          <w:tcPr>
            <w:tcW w:w="2518" w:type="dxa"/>
          </w:tcPr>
          <w:p w14:paraId="02F4044A" w14:textId="77777777" w:rsidR="00427261" w:rsidRPr="007E41C5" w:rsidRDefault="00B80215" w:rsidP="00427261">
            <w:pPr>
              <w:rPr>
                <w:rFonts w:ascii="Times New Roman" w:eastAsia="Calibri" w:hAnsi="Times New Roman" w:cs="Times New Roman"/>
                <w:noProof/>
                <w:sz w:val="20"/>
                <w:szCs w:val="20"/>
                <w:highlight w:val="yellow"/>
              </w:rPr>
            </w:pPr>
            <w:r w:rsidRPr="007E41C5">
              <w:rPr>
                <w:rFonts w:ascii="Times New Roman" w:eastAsia="Calibri" w:hAnsi="Times New Roman" w:cs="Times New Roman"/>
                <w:noProof/>
                <w:sz w:val="20"/>
                <w:szCs w:val="20"/>
                <w:highlight w:val="yellow"/>
              </w:rPr>
              <w:t>National Fund Directorate, Ministry of finance</w:t>
            </w:r>
          </w:p>
        </w:tc>
        <w:tc>
          <w:tcPr>
            <w:tcW w:w="2460" w:type="dxa"/>
          </w:tcPr>
          <w:p w14:paraId="66554540" w14:textId="77777777" w:rsidR="00427261" w:rsidRPr="007E41C5" w:rsidRDefault="00B80215" w:rsidP="00427261">
            <w:pPr>
              <w:rPr>
                <w:rFonts w:ascii="Times New Roman" w:eastAsia="Calibri" w:hAnsi="Times New Roman" w:cs="Times New Roman"/>
                <w:noProof/>
                <w:sz w:val="20"/>
                <w:szCs w:val="20"/>
                <w:highlight w:val="yellow"/>
              </w:rPr>
            </w:pPr>
            <w:r w:rsidRPr="007E41C5">
              <w:rPr>
                <w:rFonts w:ascii="Times New Roman" w:eastAsia="Calibri" w:hAnsi="Times New Roman" w:cs="Times New Roman"/>
                <w:noProof/>
                <w:sz w:val="20"/>
                <w:szCs w:val="20"/>
                <w:highlight w:val="yellow"/>
              </w:rPr>
              <w:t xml:space="preserve">Manuela Milosheva Director of National Fund Directorate </w:t>
            </w:r>
          </w:p>
        </w:tc>
        <w:tc>
          <w:tcPr>
            <w:tcW w:w="2266" w:type="dxa"/>
          </w:tcPr>
          <w:p w14:paraId="704E9532" w14:textId="77777777" w:rsidR="00427261" w:rsidRPr="007E41C5" w:rsidRDefault="00B80215" w:rsidP="00427261">
            <w:pPr>
              <w:rPr>
                <w:rFonts w:ascii="Times New Roman" w:eastAsia="Calibri" w:hAnsi="Times New Roman" w:cs="Times New Roman"/>
                <w:noProof/>
                <w:sz w:val="20"/>
                <w:szCs w:val="20"/>
                <w:highlight w:val="yellow"/>
              </w:rPr>
            </w:pPr>
            <w:r w:rsidRPr="007E41C5">
              <w:rPr>
                <w:rFonts w:ascii="Times New Roman" w:eastAsia="Calibri" w:hAnsi="Times New Roman" w:cs="Times New Roman"/>
                <w:noProof/>
                <w:sz w:val="20"/>
                <w:szCs w:val="20"/>
                <w:highlight w:val="yellow"/>
              </w:rPr>
              <w:t xml:space="preserve">natfund@minfin.bg </w:t>
            </w:r>
          </w:p>
        </w:tc>
      </w:tr>
    </w:tbl>
    <w:p w14:paraId="57429E59" w14:textId="77777777" w:rsidR="00427261" w:rsidRPr="007E41C5" w:rsidRDefault="00427261" w:rsidP="00427261">
      <w:pPr>
        <w:spacing w:after="0" w:line="240" w:lineRule="auto"/>
        <w:rPr>
          <w:rFonts w:ascii="Times New Roman" w:eastAsia="Times New Roman" w:hAnsi="Times New Roman" w:cs="Times New Roman"/>
          <w:b/>
          <w:iCs/>
          <w:noProof/>
          <w:sz w:val="24"/>
          <w:szCs w:val="24"/>
          <w:highlight w:val="yellow"/>
          <w:lang w:eastAsia="en-GB"/>
        </w:rPr>
      </w:pPr>
    </w:p>
    <w:p w14:paraId="31C19E31" w14:textId="77777777" w:rsidR="00427261" w:rsidRPr="007E41C5" w:rsidRDefault="00427261" w:rsidP="00427261">
      <w:pPr>
        <w:spacing w:before="240" w:after="240" w:line="240" w:lineRule="auto"/>
        <w:ind w:left="709" w:hanging="709"/>
        <w:jc w:val="both"/>
        <w:rPr>
          <w:rFonts w:ascii="Times New Roman" w:eastAsia="Times New Roman" w:hAnsi="Times New Roman" w:cs="Times New Roman"/>
          <w:b/>
          <w:iCs/>
          <w:noProof/>
          <w:sz w:val="24"/>
          <w:szCs w:val="24"/>
          <w:highlight w:val="yellow"/>
          <w:lang w:eastAsia="en-GB"/>
        </w:rPr>
      </w:pPr>
      <w:r w:rsidRPr="007E41C5">
        <w:rPr>
          <w:rFonts w:ascii="Times New Roman" w:eastAsia="Times New Roman" w:hAnsi="Times New Roman" w:cs="Times New Roman"/>
          <w:b/>
          <w:iCs/>
          <w:noProof/>
          <w:sz w:val="24"/>
          <w:szCs w:val="24"/>
          <w:highlight w:val="yellow"/>
          <w:lang w:eastAsia="en-GB"/>
        </w:rPr>
        <w:t>7.2.</w:t>
      </w:r>
      <w:r w:rsidRPr="007E41C5">
        <w:rPr>
          <w:rFonts w:ascii="Times New Roman" w:eastAsia="Times New Roman" w:hAnsi="Times New Roman" w:cs="Times New Roman"/>
          <w:b/>
          <w:iCs/>
          <w:noProof/>
          <w:sz w:val="24"/>
          <w:szCs w:val="24"/>
          <w:highlight w:val="yellow"/>
          <w:lang w:eastAsia="en-GB"/>
        </w:rPr>
        <w:tab/>
        <w:t xml:space="preserve">Procedure for setting up the joint secretariat </w:t>
      </w:r>
    </w:p>
    <w:p w14:paraId="6BDE79D1" w14:textId="77777777" w:rsidR="00427261" w:rsidRPr="007E41C5" w:rsidRDefault="00427261" w:rsidP="00427261">
      <w:pPr>
        <w:spacing w:after="200" w:line="276" w:lineRule="auto"/>
        <w:jc w:val="both"/>
        <w:rPr>
          <w:rFonts w:ascii="Times New Roman" w:eastAsia="Times New Roman" w:hAnsi="Times New Roman" w:cs="Times New Roman"/>
          <w:b/>
          <w:i/>
          <w:iCs/>
          <w:noProof/>
          <w:sz w:val="24"/>
          <w:szCs w:val="24"/>
          <w:highlight w:val="yellow"/>
          <w:lang w:eastAsia="en-GB"/>
        </w:rPr>
      </w:pPr>
      <w:r w:rsidRPr="007E41C5">
        <w:rPr>
          <w:rFonts w:ascii="Times New Roman" w:eastAsia="Times New Roman" w:hAnsi="Times New Roman" w:cs="Times New Roman"/>
          <w:i/>
          <w:noProof/>
          <w:color w:val="000000"/>
          <w:sz w:val="24"/>
          <w:szCs w:val="24"/>
          <w:highlight w:val="yellow"/>
          <w:lang w:eastAsia="en-GB"/>
        </w:rPr>
        <w:t>Reference: point (b) of Article 17(6)</w:t>
      </w:r>
    </w:p>
    <w:p w14:paraId="50F433B9" w14:textId="77777777" w:rsidR="00427261" w:rsidRPr="007E41C5" w:rsidRDefault="00427261" w:rsidP="00427261">
      <w:pPr>
        <w:pBdr>
          <w:top w:val="single" w:sz="4" w:space="1" w:color="auto"/>
          <w:left w:val="single" w:sz="4" w:space="4" w:color="auto"/>
          <w:bottom w:val="single" w:sz="4" w:space="1" w:color="auto"/>
          <w:right w:val="single" w:sz="4" w:space="4" w:color="auto"/>
        </w:pBdr>
        <w:spacing w:after="120" w:line="276" w:lineRule="auto"/>
        <w:rPr>
          <w:rFonts w:ascii="Times New Roman" w:eastAsia="Times New Roman" w:hAnsi="Times New Roman" w:cs="Times New Roman"/>
          <w:i/>
          <w:noProof/>
          <w:color w:val="000000"/>
          <w:highlight w:val="yellow"/>
          <w:lang w:eastAsia="en-GB"/>
        </w:rPr>
      </w:pPr>
      <w:r w:rsidRPr="007E41C5">
        <w:rPr>
          <w:rFonts w:ascii="Times New Roman" w:eastAsia="Times New Roman" w:hAnsi="Times New Roman" w:cs="Times New Roman"/>
          <w:i/>
          <w:noProof/>
          <w:color w:val="000000"/>
          <w:highlight w:val="yellow"/>
          <w:lang w:eastAsia="en-GB"/>
        </w:rPr>
        <w:t>Text field [3</w:t>
      </w:r>
      <w:r w:rsidR="00CF1193" w:rsidRPr="007E41C5">
        <w:rPr>
          <w:rFonts w:ascii="Times New Roman" w:eastAsia="Times New Roman" w:hAnsi="Times New Roman" w:cs="Times New Roman"/>
          <w:i/>
          <w:noProof/>
          <w:color w:val="000000"/>
          <w:highlight w:val="yellow"/>
          <w:lang w:eastAsia="en-GB"/>
        </w:rPr>
        <w:t> </w:t>
      </w:r>
      <w:r w:rsidRPr="007E41C5">
        <w:rPr>
          <w:rFonts w:ascii="Times New Roman" w:eastAsia="Times New Roman" w:hAnsi="Times New Roman" w:cs="Times New Roman"/>
          <w:i/>
          <w:noProof/>
          <w:color w:val="000000"/>
          <w:highlight w:val="yellow"/>
          <w:lang w:eastAsia="en-GB"/>
        </w:rPr>
        <w:t>500]</w:t>
      </w:r>
    </w:p>
    <w:p w14:paraId="43711028" w14:textId="77777777" w:rsidR="00CF1193" w:rsidRPr="007E41C5" w:rsidRDefault="00CF1193" w:rsidP="00CF1193">
      <w:pPr>
        <w:pBdr>
          <w:top w:val="single" w:sz="4" w:space="1" w:color="auto"/>
          <w:left w:val="single" w:sz="4" w:space="4" w:color="auto"/>
          <w:bottom w:val="single" w:sz="4" w:space="1" w:color="auto"/>
          <w:right w:val="single" w:sz="4" w:space="4" w:color="auto"/>
        </w:pBdr>
        <w:spacing w:after="120" w:line="276" w:lineRule="auto"/>
        <w:rPr>
          <w:rFonts w:ascii="Times New Roman" w:eastAsia="Times New Roman" w:hAnsi="Times New Roman" w:cs="Times New Roman"/>
          <w:i/>
          <w:noProof/>
          <w:color w:val="000000"/>
          <w:highlight w:val="yellow"/>
          <w:lang w:eastAsia="en-GB"/>
        </w:rPr>
      </w:pPr>
      <w:r w:rsidRPr="007E41C5">
        <w:rPr>
          <w:rFonts w:ascii="Times New Roman" w:eastAsia="Times New Roman" w:hAnsi="Times New Roman" w:cs="Times New Roman"/>
          <w:i/>
          <w:noProof/>
          <w:color w:val="000000"/>
          <w:highlight w:val="yellow"/>
          <w:lang w:eastAsia="en-GB"/>
        </w:rPr>
        <w:t xml:space="preserve">The joint secretariat (JS) is a common structure that assists the managing authority (MA), national authority (NA) and the joint monitoring committee (JMC) in carrying their functions, provides information on the programme to the potential beneficiaries and supports the beneficiaries in implementation of projects. </w:t>
      </w:r>
    </w:p>
    <w:p w14:paraId="6385A11A" w14:textId="70F853A9" w:rsidR="00CF1193" w:rsidRPr="007E41C5" w:rsidRDefault="00CF1193" w:rsidP="00CF1193">
      <w:pPr>
        <w:pBdr>
          <w:top w:val="single" w:sz="4" w:space="1" w:color="auto"/>
          <w:left w:val="single" w:sz="4" w:space="4" w:color="auto"/>
          <w:bottom w:val="single" w:sz="4" w:space="1" w:color="auto"/>
          <w:right w:val="single" w:sz="4" w:space="4" w:color="auto"/>
        </w:pBdr>
        <w:spacing w:after="120" w:line="276" w:lineRule="auto"/>
        <w:rPr>
          <w:rFonts w:ascii="Times New Roman" w:eastAsia="Times New Roman" w:hAnsi="Times New Roman" w:cs="Times New Roman"/>
          <w:i/>
          <w:noProof/>
          <w:color w:val="000000"/>
          <w:highlight w:val="yellow"/>
          <w:lang w:eastAsia="en-GB"/>
        </w:rPr>
      </w:pPr>
      <w:r w:rsidRPr="007E41C5">
        <w:rPr>
          <w:rFonts w:ascii="Times New Roman" w:eastAsia="Times New Roman" w:hAnsi="Times New Roman" w:cs="Times New Roman"/>
          <w:i/>
          <w:noProof/>
          <w:color w:val="000000"/>
          <w:highlight w:val="yellow"/>
          <w:lang w:eastAsia="en-GB"/>
        </w:rPr>
        <w:t xml:space="preserve">In accordance with Article 17(7)(b), the MA in cooperation with NA shall set up the JS. JWG decided to maintain the JS at the same location in Kyustendil (Republic of Bulgaria) with a branch office located in Strumica, Republic of North Macedonia for the 2021-2027 programming period as it was the case during the 2007-2013 and 2014-2020 Bulgaria – </w:t>
      </w:r>
      <w:r w:rsidR="001C539A" w:rsidRPr="007E41C5">
        <w:rPr>
          <w:rFonts w:ascii="Times New Roman" w:eastAsia="Times New Roman" w:hAnsi="Times New Roman" w:cs="Times New Roman"/>
          <w:i/>
          <w:noProof/>
          <w:color w:val="000000"/>
          <w:highlight w:val="yellow"/>
          <w:lang w:eastAsia="en-GB"/>
        </w:rPr>
        <w:t>FYROM</w:t>
      </w:r>
      <w:r w:rsidRPr="007E41C5">
        <w:rPr>
          <w:rFonts w:ascii="Times New Roman" w:eastAsia="Times New Roman" w:hAnsi="Times New Roman" w:cs="Times New Roman"/>
          <w:i/>
          <w:noProof/>
          <w:color w:val="000000"/>
          <w:highlight w:val="yellow"/>
          <w:lang w:eastAsia="en-GB"/>
        </w:rPr>
        <w:t xml:space="preserve">, due to the following arguments: </w:t>
      </w:r>
    </w:p>
    <w:p w14:paraId="188242BB" w14:textId="77777777" w:rsidR="00CF1193" w:rsidRPr="007E41C5" w:rsidRDefault="00CF1193" w:rsidP="00CF1193">
      <w:pPr>
        <w:pBdr>
          <w:top w:val="single" w:sz="4" w:space="1" w:color="auto"/>
          <w:left w:val="single" w:sz="4" w:space="4" w:color="auto"/>
          <w:bottom w:val="single" w:sz="4" w:space="1" w:color="auto"/>
          <w:right w:val="single" w:sz="4" w:space="4" w:color="auto"/>
        </w:pBdr>
        <w:spacing w:after="120" w:line="276" w:lineRule="auto"/>
        <w:rPr>
          <w:rFonts w:ascii="Times New Roman" w:eastAsia="Times New Roman" w:hAnsi="Times New Roman" w:cs="Times New Roman"/>
          <w:i/>
          <w:noProof/>
          <w:color w:val="000000"/>
          <w:highlight w:val="yellow"/>
          <w:lang w:eastAsia="en-GB"/>
        </w:rPr>
      </w:pPr>
      <w:r w:rsidRPr="007E41C5">
        <w:rPr>
          <w:rFonts w:ascii="Times New Roman" w:eastAsia="Times New Roman" w:hAnsi="Times New Roman" w:cs="Times New Roman"/>
          <w:i/>
          <w:noProof/>
          <w:color w:val="000000"/>
          <w:highlight w:val="yellow"/>
          <w:lang w:eastAsia="en-GB"/>
        </w:rPr>
        <w:t>- the experience of one entire programming period will allow to start the implementation of the new Programme as soon as possible, (quick launch of calls for proposals after the Programme’s approval in order to ensure a high level of absorption),</w:t>
      </w:r>
    </w:p>
    <w:p w14:paraId="5846C311" w14:textId="77777777" w:rsidR="00CF1193" w:rsidRPr="007E41C5" w:rsidRDefault="00CF1193" w:rsidP="00CF1193">
      <w:pPr>
        <w:pBdr>
          <w:top w:val="single" w:sz="4" w:space="1" w:color="auto"/>
          <w:left w:val="single" w:sz="4" w:space="4" w:color="auto"/>
          <w:bottom w:val="single" w:sz="4" w:space="1" w:color="auto"/>
          <w:right w:val="single" w:sz="4" w:space="4" w:color="auto"/>
        </w:pBdr>
        <w:spacing w:after="120" w:line="276" w:lineRule="auto"/>
        <w:rPr>
          <w:rFonts w:ascii="Times New Roman" w:eastAsia="Times New Roman" w:hAnsi="Times New Roman" w:cs="Times New Roman"/>
          <w:i/>
          <w:noProof/>
          <w:color w:val="000000"/>
          <w:highlight w:val="yellow"/>
          <w:lang w:eastAsia="en-GB"/>
        </w:rPr>
      </w:pPr>
      <w:r w:rsidRPr="007E41C5">
        <w:rPr>
          <w:rFonts w:ascii="Times New Roman" w:eastAsia="Times New Roman" w:hAnsi="Times New Roman" w:cs="Times New Roman"/>
          <w:i/>
          <w:noProof/>
          <w:color w:val="000000"/>
          <w:highlight w:val="yellow"/>
          <w:lang w:eastAsia="en-GB"/>
        </w:rPr>
        <w:t xml:space="preserve"> - the Kyustendil and Strumica offices are already existing administrative bodies with entirely functional management structures and with experience in programme management. This will ensure reduced operational costs such as staff training costs. </w:t>
      </w:r>
    </w:p>
    <w:p w14:paraId="2DB659CA" w14:textId="77777777" w:rsidR="00CF1193" w:rsidRPr="007E41C5" w:rsidRDefault="00CF1193" w:rsidP="00CF1193">
      <w:pPr>
        <w:pBdr>
          <w:top w:val="single" w:sz="4" w:space="1" w:color="auto"/>
          <w:left w:val="single" w:sz="4" w:space="4" w:color="auto"/>
          <w:bottom w:val="single" w:sz="4" w:space="1" w:color="auto"/>
          <w:right w:val="single" w:sz="4" w:space="4" w:color="auto"/>
        </w:pBdr>
        <w:spacing w:after="120" w:line="276" w:lineRule="auto"/>
        <w:rPr>
          <w:rFonts w:ascii="Times New Roman" w:eastAsia="Times New Roman" w:hAnsi="Times New Roman" w:cs="Times New Roman"/>
          <w:i/>
          <w:noProof/>
          <w:color w:val="000000"/>
          <w:highlight w:val="yellow"/>
          <w:lang w:eastAsia="en-GB"/>
        </w:rPr>
      </w:pPr>
      <w:r w:rsidRPr="007E41C5">
        <w:rPr>
          <w:rFonts w:ascii="Times New Roman" w:eastAsia="Times New Roman" w:hAnsi="Times New Roman" w:cs="Times New Roman"/>
          <w:i/>
          <w:noProof/>
          <w:color w:val="000000"/>
          <w:highlight w:val="yellow"/>
          <w:lang w:eastAsia="en-GB"/>
        </w:rPr>
        <w:t xml:space="preserve">- the working procedures of the current JS were audited and can be easily updated according to the provisions of the new EU regulations and the lessons learned, The costs of the tasks of the JS will be financed from the programme’s technical assistance budget. The JS will have a staff fluent in English as well as in one of the state languages of the partner countries. </w:t>
      </w:r>
    </w:p>
    <w:p w14:paraId="479F6277" w14:textId="77777777" w:rsidR="00CF1193" w:rsidRPr="007E41C5" w:rsidRDefault="00CF1193" w:rsidP="00CF1193">
      <w:pPr>
        <w:pBdr>
          <w:top w:val="single" w:sz="4" w:space="1" w:color="auto"/>
          <w:left w:val="single" w:sz="4" w:space="4" w:color="auto"/>
          <w:bottom w:val="single" w:sz="4" w:space="1" w:color="auto"/>
          <w:right w:val="single" w:sz="4" w:space="4" w:color="auto"/>
        </w:pBdr>
        <w:spacing w:after="120" w:line="276" w:lineRule="auto"/>
        <w:rPr>
          <w:rFonts w:ascii="Times New Roman" w:eastAsia="Times New Roman" w:hAnsi="Times New Roman" w:cs="Times New Roman"/>
          <w:i/>
          <w:noProof/>
          <w:color w:val="000000"/>
          <w:highlight w:val="yellow"/>
          <w:lang w:eastAsia="en-GB"/>
        </w:rPr>
      </w:pPr>
      <w:r w:rsidRPr="007E41C5">
        <w:rPr>
          <w:rFonts w:ascii="Times New Roman" w:eastAsia="Times New Roman" w:hAnsi="Times New Roman" w:cs="Times New Roman"/>
          <w:i/>
          <w:noProof/>
          <w:color w:val="000000"/>
          <w:highlight w:val="yellow"/>
          <w:lang w:eastAsia="en-GB"/>
        </w:rPr>
        <w:t xml:space="preserve">The branch office in Strumica will have as a main role to serve as local contact point for project beneficiaries or potential beneficiaries. As the staff of the JTS for the </w:t>
      </w:r>
      <w:r w:rsidR="001C539A" w:rsidRPr="007E41C5">
        <w:rPr>
          <w:rFonts w:ascii="Times New Roman" w:eastAsia="Times New Roman" w:hAnsi="Times New Roman" w:cs="Times New Roman"/>
          <w:i/>
          <w:noProof/>
          <w:color w:val="000000"/>
          <w:highlight w:val="yellow"/>
          <w:lang w:eastAsia="en-GB"/>
        </w:rPr>
        <w:t xml:space="preserve">Republic of </w:t>
      </w:r>
      <w:r w:rsidRPr="007E41C5">
        <w:rPr>
          <w:rFonts w:ascii="Times New Roman" w:eastAsia="Times New Roman" w:hAnsi="Times New Roman" w:cs="Times New Roman"/>
          <w:i/>
          <w:noProof/>
          <w:color w:val="000000"/>
          <w:highlight w:val="yellow"/>
          <w:lang w:eastAsia="en-GB"/>
        </w:rPr>
        <w:t xml:space="preserve">Bulgaria – Republic of North Macedonia IPA Cross Border Programme is already trained and experienced, it will take over additional responsibilities, according to each person’s expertise for the INTERREG IPA Cross-border Cooperation Programme </w:t>
      </w:r>
      <w:r w:rsidR="001C539A" w:rsidRPr="007E41C5">
        <w:rPr>
          <w:rFonts w:ascii="Times New Roman" w:eastAsia="Times New Roman" w:hAnsi="Times New Roman" w:cs="Times New Roman"/>
          <w:i/>
          <w:noProof/>
          <w:color w:val="000000"/>
          <w:highlight w:val="yellow"/>
          <w:lang w:eastAsia="en-GB"/>
        </w:rPr>
        <w:t xml:space="preserve">Republic of </w:t>
      </w:r>
      <w:r w:rsidRPr="007E41C5">
        <w:rPr>
          <w:rFonts w:ascii="Times New Roman" w:eastAsia="Times New Roman" w:hAnsi="Times New Roman" w:cs="Times New Roman"/>
          <w:i/>
          <w:noProof/>
          <w:color w:val="000000"/>
          <w:highlight w:val="yellow"/>
          <w:lang w:eastAsia="en-GB"/>
        </w:rPr>
        <w:t>Bulgaria – Republic of North Macedonia.</w:t>
      </w:r>
    </w:p>
    <w:p w14:paraId="48913F07" w14:textId="77777777" w:rsidR="00427261" w:rsidRPr="007E41C5" w:rsidRDefault="00427261" w:rsidP="00427261">
      <w:pPr>
        <w:spacing w:after="0" w:line="240" w:lineRule="auto"/>
        <w:rPr>
          <w:rFonts w:ascii="Times New Roman" w:eastAsia="Times New Roman" w:hAnsi="Times New Roman" w:cs="Times New Roman"/>
          <w:b/>
          <w:iCs/>
          <w:noProof/>
          <w:sz w:val="24"/>
          <w:szCs w:val="24"/>
          <w:highlight w:val="yellow"/>
          <w:lang w:eastAsia="en-GB"/>
        </w:rPr>
      </w:pPr>
    </w:p>
    <w:p w14:paraId="072BDA8B" w14:textId="77777777" w:rsidR="00427261" w:rsidRPr="007E41C5" w:rsidRDefault="00427261" w:rsidP="00427261">
      <w:pPr>
        <w:spacing w:before="240" w:after="240" w:line="240" w:lineRule="auto"/>
        <w:rPr>
          <w:rFonts w:ascii="Times New Roman" w:eastAsia="Times New Roman" w:hAnsi="Times New Roman" w:cs="Times New Roman"/>
          <w:b/>
          <w:iCs/>
          <w:noProof/>
          <w:sz w:val="24"/>
          <w:szCs w:val="24"/>
          <w:highlight w:val="yellow"/>
          <w:lang w:eastAsia="en-GB"/>
        </w:rPr>
      </w:pPr>
      <w:r w:rsidRPr="007E41C5">
        <w:rPr>
          <w:rFonts w:ascii="Times New Roman" w:eastAsia="Times New Roman" w:hAnsi="Times New Roman" w:cs="Times New Roman"/>
          <w:b/>
          <w:iCs/>
          <w:noProof/>
          <w:sz w:val="24"/>
          <w:szCs w:val="24"/>
          <w:highlight w:val="yellow"/>
          <w:lang w:eastAsia="en-GB"/>
        </w:rPr>
        <w:br w:type="page"/>
      </w:r>
      <w:r w:rsidRPr="007E41C5">
        <w:rPr>
          <w:rFonts w:ascii="Times New Roman" w:eastAsia="Times New Roman" w:hAnsi="Times New Roman" w:cs="Times New Roman"/>
          <w:b/>
          <w:iCs/>
          <w:noProof/>
          <w:sz w:val="24"/>
          <w:szCs w:val="24"/>
          <w:highlight w:val="yellow"/>
          <w:lang w:eastAsia="en-GB"/>
        </w:rPr>
        <w:lastRenderedPageBreak/>
        <w:t>7.3</w:t>
      </w:r>
      <w:r w:rsidRPr="007E41C5">
        <w:rPr>
          <w:rFonts w:ascii="Times New Roman" w:eastAsia="Times New Roman" w:hAnsi="Times New Roman" w:cs="Times New Roman"/>
          <w:b/>
          <w:iCs/>
          <w:noProof/>
          <w:sz w:val="24"/>
          <w:szCs w:val="24"/>
          <w:highlight w:val="yellow"/>
          <w:lang w:eastAsia="en-GB"/>
        </w:rPr>
        <w:tab/>
        <w:t>Apportionment of liabilities among participating Member States and where applicable, the third or partner</w:t>
      </w:r>
      <w:r w:rsidRPr="007E41C5">
        <w:rPr>
          <w:rFonts w:ascii="Times New Roman" w:eastAsia="Times New Roman" w:hAnsi="Times New Roman" w:cs="Times New Roman"/>
          <w:b/>
          <w:iCs/>
          <w:noProof/>
          <w:sz w:val="24"/>
          <w:szCs w:val="24"/>
          <w:highlight w:val="yellow"/>
          <w:u w:val="single"/>
          <w:lang w:eastAsia="en-GB"/>
        </w:rPr>
        <w:t xml:space="preserve"> </w:t>
      </w:r>
      <w:r w:rsidRPr="007E41C5">
        <w:rPr>
          <w:rFonts w:ascii="Times New Roman" w:eastAsia="Times New Roman" w:hAnsi="Times New Roman" w:cs="Times New Roman"/>
          <w:b/>
          <w:iCs/>
          <w:noProof/>
          <w:sz w:val="24"/>
          <w:szCs w:val="24"/>
          <w:highlight w:val="yellow"/>
          <w:lang w:eastAsia="en-GB"/>
        </w:rPr>
        <w:t>countries and OCTs, in the event of financial corrections imposed by the managing authority or the Commission</w:t>
      </w:r>
    </w:p>
    <w:p w14:paraId="386BC8A9" w14:textId="77777777" w:rsidR="00427261" w:rsidRPr="007E41C5" w:rsidRDefault="00427261" w:rsidP="00427261">
      <w:pPr>
        <w:spacing w:after="200" w:line="276" w:lineRule="auto"/>
        <w:jc w:val="both"/>
        <w:rPr>
          <w:rFonts w:ascii="Times New Roman" w:eastAsia="Times New Roman" w:hAnsi="Times New Roman" w:cs="Times New Roman"/>
          <w:b/>
          <w:i/>
          <w:iCs/>
          <w:noProof/>
          <w:sz w:val="24"/>
          <w:szCs w:val="24"/>
          <w:highlight w:val="yellow"/>
          <w:lang w:eastAsia="en-GB"/>
        </w:rPr>
      </w:pPr>
      <w:r w:rsidRPr="007E41C5">
        <w:rPr>
          <w:rFonts w:ascii="Times New Roman" w:eastAsia="Times New Roman" w:hAnsi="Times New Roman" w:cs="Times New Roman"/>
          <w:i/>
          <w:noProof/>
          <w:color w:val="000000"/>
          <w:sz w:val="24"/>
          <w:szCs w:val="24"/>
          <w:highlight w:val="yellow"/>
          <w:lang w:eastAsia="en-GB"/>
        </w:rPr>
        <w:t>Reference: point (c) of Article 17(6)</w:t>
      </w:r>
    </w:p>
    <w:p w14:paraId="19FDBDC9" w14:textId="77777777" w:rsidR="00427261" w:rsidRPr="007E41C5" w:rsidRDefault="00427261" w:rsidP="00427261">
      <w:pPr>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New Roman" w:hAnsi="Times New Roman" w:cs="Times New Roman"/>
          <w:i/>
          <w:noProof/>
          <w:color w:val="000000"/>
          <w:highlight w:val="yellow"/>
          <w:lang w:eastAsia="en-GB"/>
        </w:rPr>
      </w:pPr>
      <w:r w:rsidRPr="007E41C5">
        <w:rPr>
          <w:rFonts w:ascii="Times New Roman" w:eastAsia="Times New Roman" w:hAnsi="Times New Roman" w:cs="Times New Roman"/>
          <w:i/>
          <w:noProof/>
          <w:color w:val="000000"/>
          <w:highlight w:val="yellow"/>
          <w:lang w:eastAsia="en-GB"/>
        </w:rPr>
        <w:t>According to art. 69 (2) of Regulation (EU) 2021/1060 - CPR, Partnering Countries shall ensure the legality and regularity of expenditure included in the accounts submitted to the Commission and shall take all required actions to prevent, detect and correct and report on irregularities including fraud. Each Partnering country shall be responsible for investigating irregularities committed by the beneficiaries located on its territory. Financial correction shall consist of cancelling all or part of the support from the Funds to an operation or programme where expenditure declared to the Commission is found to be irregular. Financial corrections shall be recorded in the annual accounts by the managing authority for the accounting year in which the cancellation is decided.</w:t>
      </w:r>
    </w:p>
    <w:p w14:paraId="366678F3" w14:textId="77777777" w:rsidR="00427261" w:rsidRPr="007E41C5" w:rsidRDefault="00427261" w:rsidP="00427261">
      <w:pPr>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New Roman" w:hAnsi="Times New Roman" w:cs="Times New Roman"/>
          <w:i/>
          <w:noProof/>
          <w:color w:val="000000"/>
          <w:highlight w:val="yellow"/>
          <w:lang w:eastAsia="en-GB"/>
        </w:rPr>
      </w:pPr>
      <w:r w:rsidRPr="007E41C5">
        <w:rPr>
          <w:rFonts w:ascii="Times New Roman" w:eastAsia="Times New Roman" w:hAnsi="Times New Roman" w:cs="Times New Roman"/>
          <w:i/>
          <w:noProof/>
          <w:color w:val="000000"/>
          <w:highlight w:val="yellow"/>
          <w:lang w:eastAsia="en-GB"/>
        </w:rPr>
        <w:t xml:space="preserve">The managing authority shall ensure that any amount paid as a result of an irregularity is recovered from the lead or sole partner. Partners shall repay to the lead partner any amounts unduly paid. Special provisions regarding the repayment of amounts subject to an irregularity shall be included both in the contract to be signed between managing authority and the lead partner and in the partnership agreement to be signed between the beneficiaries. </w:t>
      </w:r>
    </w:p>
    <w:p w14:paraId="143ACD35" w14:textId="77777777" w:rsidR="00427261" w:rsidRPr="007E41C5" w:rsidRDefault="00427261" w:rsidP="00427261">
      <w:pPr>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New Roman" w:hAnsi="Times New Roman" w:cs="Times New Roman"/>
          <w:i/>
          <w:noProof/>
          <w:color w:val="000000"/>
          <w:highlight w:val="yellow"/>
          <w:lang w:eastAsia="en-GB"/>
        </w:rPr>
      </w:pPr>
      <w:r w:rsidRPr="007E41C5">
        <w:rPr>
          <w:rFonts w:ascii="Times New Roman" w:eastAsia="Times New Roman" w:hAnsi="Times New Roman" w:cs="Times New Roman"/>
          <w:i/>
          <w:noProof/>
          <w:color w:val="000000"/>
          <w:highlight w:val="yellow"/>
          <w:lang w:eastAsia="en-GB"/>
        </w:rPr>
        <w:t xml:space="preserve">If the lead partner does not succeed in securing repayment from other partners or if the managing authority does not succeed in securing repayment from the lead partner, the partnering country on whose territory the beneficiary concerned is located shall reimburse the managing authority the amount unduly paid to that partner. Where the partnering country has not reimbursed the managing authority any amounts unduly paid to a partner, those amounts shall be subject to a recovery order issued by the Commission which shall be executed, where possible, by offsetting to the respective partnering country. </w:t>
      </w:r>
    </w:p>
    <w:p w14:paraId="2EDF364F" w14:textId="77777777" w:rsidR="00427261" w:rsidRPr="007E41C5" w:rsidRDefault="00427261" w:rsidP="00427261">
      <w:pPr>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New Roman" w:hAnsi="Times New Roman" w:cs="Times New Roman"/>
          <w:i/>
          <w:noProof/>
          <w:color w:val="000000"/>
          <w:highlight w:val="yellow"/>
          <w:lang w:eastAsia="en-GB"/>
        </w:rPr>
      </w:pPr>
      <w:r w:rsidRPr="007E41C5">
        <w:rPr>
          <w:rFonts w:ascii="Times New Roman" w:eastAsia="Times New Roman" w:hAnsi="Times New Roman" w:cs="Times New Roman"/>
          <w:i/>
          <w:noProof/>
          <w:color w:val="000000"/>
          <w:highlight w:val="yellow"/>
          <w:lang w:eastAsia="en-GB"/>
        </w:rPr>
        <w:t>The managing authority shall be responsible for reimbursing the amounts concerned to the general budget of the Union, in accordance with the apportionment of liabilities among the participating countries as laid down in this programme and as detailed in the bilateral Memorandum of Understanding/ the Memorandum of Implementation.</w:t>
      </w:r>
    </w:p>
    <w:p w14:paraId="44333630" w14:textId="77777777" w:rsidR="00427261" w:rsidRPr="007E41C5" w:rsidRDefault="00427261" w:rsidP="00427261">
      <w:pPr>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New Roman" w:hAnsi="Times New Roman" w:cs="Times New Roman"/>
          <w:i/>
          <w:noProof/>
          <w:color w:val="000000"/>
          <w:highlight w:val="yellow"/>
          <w:lang w:eastAsia="en-GB"/>
        </w:rPr>
      </w:pPr>
      <w:r w:rsidRPr="007E41C5">
        <w:rPr>
          <w:rFonts w:ascii="Times New Roman" w:eastAsia="Times New Roman" w:hAnsi="Times New Roman" w:cs="Times New Roman"/>
          <w:i/>
          <w:noProof/>
          <w:color w:val="000000"/>
          <w:highlight w:val="yellow"/>
          <w:lang w:eastAsia="en-GB"/>
        </w:rPr>
        <w:t>In accordance with article 104 of Regulation (EU) 2021/1060 – CPR, the Commission has the right of making financial corrections by reducing support from the Funds to a programme and effecting recovery from the partner States in order to exclude from Union financing expenditure which is in breach of applicable Union and national law, including in relation to deficiencies in the effective functioning of the management and control systems.</w:t>
      </w:r>
    </w:p>
    <w:p w14:paraId="7BB29FD5" w14:textId="7F994AAF" w:rsidR="00427261" w:rsidRPr="007E41C5" w:rsidRDefault="00427261" w:rsidP="00427261">
      <w:pPr>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New Roman" w:hAnsi="Times New Roman" w:cs="Times New Roman"/>
          <w:i/>
          <w:noProof/>
          <w:color w:val="000000"/>
          <w:highlight w:val="yellow"/>
          <w:lang w:eastAsia="en-GB"/>
        </w:rPr>
      </w:pPr>
      <w:r w:rsidRPr="007E41C5">
        <w:rPr>
          <w:rFonts w:ascii="Times New Roman" w:eastAsia="Times New Roman" w:hAnsi="Times New Roman" w:cs="Times New Roman"/>
          <w:i/>
          <w:noProof/>
          <w:color w:val="000000"/>
          <w:highlight w:val="yellow"/>
          <w:lang w:eastAsia="en-GB"/>
        </w:rPr>
        <w:t xml:space="preserve">In case of any financial corrections by the Commission, the two partnering countries commit to recover the amount proportionally with the approved project budgets and performed activities by respectively beneficiaries from </w:t>
      </w:r>
      <w:r w:rsidR="00531FA3" w:rsidRPr="007E41C5">
        <w:rPr>
          <w:rFonts w:ascii="Times New Roman" w:eastAsia="Times New Roman" w:hAnsi="Times New Roman" w:cs="Times New Roman"/>
          <w:i/>
          <w:noProof/>
          <w:color w:val="000000"/>
          <w:highlight w:val="yellow"/>
          <w:lang w:eastAsia="en-GB"/>
        </w:rPr>
        <w:t>Rebublic of Bulgaria and [</w:t>
      </w:r>
      <w:r w:rsidRPr="007E41C5">
        <w:rPr>
          <w:rFonts w:ascii="Times New Roman" w:eastAsia="Times New Roman" w:hAnsi="Times New Roman" w:cs="Times New Roman"/>
          <w:i/>
          <w:noProof/>
          <w:color w:val="000000"/>
          <w:highlight w:val="yellow"/>
          <w:lang w:eastAsia="en-GB"/>
        </w:rPr>
        <w:t>Republic of North Macedonia</w:t>
      </w:r>
      <w:r w:rsidR="00531FA3" w:rsidRPr="007E41C5">
        <w:rPr>
          <w:rFonts w:ascii="Times New Roman" w:eastAsia="Times New Roman" w:hAnsi="Times New Roman" w:cs="Times New Roman"/>
          <w:i/>
          <w:noProof/>
          <w:color w:val="000000"/>
          <w:highlight w:val="yellow"/>
          <w:lang w:eastAsia="en-GB"/>
        </w:rPr>
        <w:t>]</w:t>
      </w:r>
      <w:r w:rsidRPr="007E41C5">
        <w:rPr>
          <w:rFonts w:ascii="Times New Roman" w:eastAsia="Times New Roman" w:hAnsi="Times New Roman" w:cs="Times New Roman"/>
          <w:i/>
          <w:noProof/>
          <w:color w:val="000000"/>
          <w:highlight w:val="yellow"/>
          <w:lang w:eastAsia="en-GB"/>
        </w:rPr>
        <w:t xml:space="preserve"> affected by the financial correction. In case of financial corrections by the Commission, due to random or anomalous irregularities, the two partner States commit to investigate on a case by case basis. The financial correction by the Commission shall not prejudice the partner countries’ obligation to pursue recoveries under the provisions of the applicable European Regulations.</w:t>
      </w:r>
    </w:p>
    <w:p w14:paraId="0EAAAAC3" w14:textId="77777777" w:rsidR="00427261" w:rsidRPr="007E41C5" w:rsidRDefault="00427261" w:rsidP="00427261">
      <w:pPr>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New Roman" w:hAnsi="Times New Roman" w:cs="Times New Roman"/>
          <w:i/>
          <w:noProof/>
          <w:color w:val="000000"/>
          <w:highlight w:val="yellow"/>
          <w:lang w:eastAsia="en-GB"/>
        </w:rPr>
      </w:pPr>
      <w:r w:rsidRPr="007E41C5">
        <w:rPr>
          <w:rFonts w:ascii="Times New Roman" w:eastAsia="Times New Roman" w:hAnsi="Times New Roman" w:cs="Times New Roman"/>
          <w:i/>
          <w:noProof/>
          <w:color w:val="000000"/>
          <w:highlight w:val="yellow"/>
          <w:lang w:eastAsia="en-GB"/>
        </w:rPr>
        <w:t>The bilateral Memorandum of Understanding/ Memorandum of Implementation between the partnering countries shall provide for detailed provisions with regard to the apportionment of liabilities and debts recovery.</w:t>
      </w:r>
    </w:p>
    <w:p w14:paraId="4465C265" w14:textId="77777777" w:rsidR="00427261" w:rsidRPr="007E41C5" w:rsidRDefault="00427261" w:rsidP="00427261">
      <w:pPr>
        <w:tabs>
          <w:tab w:val="left" w:pos="284"/>
        </w:tabs>
        <w:spacing w:before="120" w:after="120" w:line="276" w:lineRule="auto"/>
        <w:jc w:val="both"/>
        <w:rPr>
          <w:rFonts w:ascii="Times New Roman" w:eastAsia="Calibri" w:hAnsi="Times New Roman" w:cs="Times New Roman"/>
          <w:b/>
          <w:bCs/>
          <w:noProof/>
          <w:sz w:val="24"/>
          <w:szCs w:val="24"/>
          <w:highlight w:val="yellow"/>
        </w:rPr>
      </w:pPr>
    </w:p>
    <w:p w14:paraId="0EDF8871" w14:textId="77777777" w:rsidR="00427261" w:rsidRPr="007E41C5" w:rsidRDefault="00427261" w:rsidP="00427261">
      <w:pPr>
        <w:tabs>
          <w:tab w:val="left" w:pos="284"/>
        </w:tabs>
        <w:spacing w:before="120" w:after="120" w:line="276" w:lineRule="auto"/>
        <w:jc w:val="both"/>
        <w:rPr>
          <w:rFonts w:ascii="Times New Roman" w:eastAsia="Calibri" w:hAnsi="Times New Roman" w:cs="Times New Roman"/>
          <w:b/>
          <w:bCs/>
          <w:noProof/>
          <w:sz w:val="24"/>
          <w:szCs w:val="24"/>
          <w:highlight w:val="yellow"/>
        </w:rPr>
      </w:pPr>
      <w:r w:rsidRPr="007E41C5">
        <w:rPr>
          <w:rFonts w:ascii="Times New Roman" w:eastAsia="Calibri" w:hAnsi="Times New Roman" w:cs="Times New Roman"/>
          <w:b/>
          <w:bCs/>
          <w:noProof/>
          <w:sz w:val="24"/>
          <w:szCs w:val="24"/>
          <w:highlight w:val="yellow"/>
        </w:rPr>
        <w:t>8.</w:t>
      </w:r>
      <w:r w:rsidRPr="007E41C5">
        <w:rPr>
          <w:rFonts w:ascii="Times New Roman" w:eastAsia="Calibri" w:hAnsi="Times New Roman" w:cs="Times New Roman"/>
          <w:b/>
          <w:bCs/>
          <w:noProof/>
          <w:sz w:val="24"/>
          <w:szCs w:val="24"/>
          <w:highlight w:val="yellow"/>
        </w:rPr>
        <w:tab/>
        <w:t>Use of unit costs, lump sums, flat rates and financing not linked to costs</w:t>
      </w:r>
    </w:p>
    <w:p w14:paraId="3082122C" w14:textId="77777777" w:rsidR="00427261" w:rsidRPr="007E41C5" w:rsidRDefault="00427261" w:rsidP="00427261">
      <w:pPr>
        <w:spacing w:before="240" w:after="240" w:line="276" w:lineRule="auto"/>
        <w:rPr>
          <w:rFonts w:ascii="Times New Roman" w:eastAsia="Times New Roman" w:hAnsi="Times New Roman" w:cs="Times New Roman"/>
          <w:i/>
          <w:noProof/>
          <w:sz w:val="24"/>
          <w:szCs w:val="24"/>
          <w:highlight w:val="yellow"/>
        </w:rPr>
      </w:pPr>
      <w:r w:rsidRPr="007E41C5">
        <w:rPr>
          <w:rFonts w:ascii="Times New Roman" w:eastAsia="Times New Roman" w:hAnsi="Times New Roman" w:cs="Times New Roman"/>
          <w:i/>
          <w:noProof/>
          <w:sz w:val="24"/>
          <w:szCs w:val="24"/>
          <w:highlight w:val="yellow"/>
        </w:rPr>
        <w:t xml:space="preserve">Reference: Articles 88 and 89 </w:t>
      </w:r>
      <w:r w:rsidRPr="007E41C5">
        <w:rPr>
          <w:rFonts w:ascii="Times New Roman" w:eastAsia="Calibri" w:hAnsi="Times New Roman" w:cs="Times New Roman"/>
          <w:noProof/>
          <w:sz w:val="24"/>
          <w:highlight w:val="yellow"/>
        </w:rPr>
        <w:t xml:space="preserve">of </w:t>
      </w:r>
      <w:r w:rsidRPr="007E41C5">
        <w:rPr>
          <w:rFonts w:ascii="Times New Roman" w:eastAsia="Calibri" w:hAnsi="Times New Roman" w:cs="Times New Roman"/>
          <w:noProof/>
          <w:sz w:val="24"/>
          <w:szCs w:val="24"/>
          <w:highlight w:val="yellow"/>
        </w:rPr>
        <w:t xml:space="preserve">Regulation </w:t>
      </w:r>
      <w:r w:rsidRPr="007E41C5">
        <w:rPr>
          <w:rFonts w:ascii="Times New Roman" w:eastAsia="Times New Roman" w:hAnsi="Times New Roman" w:cs="Times New Roman"/>
          <w:bCs/>
          <w:sz w:val="24"/>
          <w:szCs w:val="24"/>
          <w:highlight w:val="yellow"/>
        </w:rPr>
        <w:t>2021/…</w:t>
      </w:r>
      <w:r w:rsidRPr="007E41C5">
        <w:rPr>
          <w:rFonts w:ascii="Times New Roman" w:eastAsia="Times New Roman" w:hAnsi="Times New Roman" w:cs="Times New Roman"/>
          <w:b/>
          <w:bCs/>
          <w:sz w:val="24"/>
          <w:szCs w:val="24"/>
          <w:highlight w:val="yellow"/>
          <w:vertAlign w:val="superscript"/>
        </w:rPr>
        <w:footnoteReference w:customMarkFollows="1" w:id="22"/>
        <w:t>+</w:t>
      </w:r>
      <w:r w:rsidRPr="007E41C5">
        <w:rPr>
          <w:rFonts w:ascii="Times New Roman" w:eastAsia="Calibri" w:hAnsi="Times New Roman" w:cs="Times New Roman"/>
          <w:sz w:val="24"/>
          <w:highlight w:val="yellow"/>
        </w:rPr>
        <w:t xml:space="preserve"> (</w:t>
      </w:r>
      <w:r w:rsidRPr="007E41C5">
        <w:rPr>
          <w:rFonts w:ascii="Times New Roman" w:eastAsia="Times New Roman" w:hAnsi="Times New Roman" w:cs="Times New Roman"/>
          <w:i/>
          <w:noProof/>
          <w:sz w:val="24"/>
          <w:szCs w:val="24"/>
          <w:highlight w:val="yellow"/>
        </w:rPr>
        <w:t>CPR)</w:t>
      </w:r>
    </w:p>
    <w:p w14:paraId="08FFE187" w14:textId="77777777" w:rsidR="00427261" w:rsidRPr="007E41C5" w:rsidRDefault="00427261" w:rsidP="00427261">
      <w:pPr>
        <w:spacing w:before="120" w:after="120" w:line="276" w:lineRule="auto"/>
        <w:rPr>
          <w:rFonts w:ascii="Times New Roman" w:eastAsia="Times New Roman" w:hAnsi="Times New Roman" w:cs="Times New Roman"/>
          <w:iCs/>
          <w:noProof/>
          <w:sz w:val="24"/>
          <w:szCs w:val="24"/>
          <w:highlight w:val="yellow"/>
        </w:rPr>
      </w:pPr>
      <w:r w:rsidRPr="007E41C5">
        <w:rPr>
          <w:rFonts w:ascii="Times New Roman" w:eastAsia="Times New Roman" w:hAnsi="Times New Roman" w:cs="Times New Roman"/>
          <w:iCs/>
          <w:noProof/>
          <w:sz w:val="24"/>
          <w:szCs w:val="24"/>
          <w:highlight w:val="yellow"/>
        </w:rPr>
        <w:t>Table 11: Use of unit costs, lump sums, flat rates and financing not linked to costs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701"/>
        <w:gridCol w:w="1701"/>
      </w:tblGrid>
      <w:tr w:rsidR="00427261" w:rsidRPr="007E41C5" w14:paraId="0CFB8072" w14:textId="77777777" w:rsidTr="0096715F">
        <w:tc>
          <w:tcPr>
            <w:tcW w:w="5920" w:type="dxa"/>
          </w:tcPr>
          <w:p w14:paraId="5B7BACB7" w14:textId="77777777" w:rsidR="00427261" w:rsidRPr="007E41C5" w:rsidRDefault="00427261" w:rsidP="00427261">
            <w:pPr>
              <w:spacing w:before="120" w:after="200" w:line="276" w:lineRule="auto"/>
              <w:rPr>
                <w:rFonts w:ascii="Times New Roman" w:eastAsia="Calibri" w:hAnsi="Times New Roman" w:cs="Times New Roman"/>
                <w:b/>
                <w:bCs/>
                <w:noProof/>
                <w:sz w:val="24"/>
                <w:szCs w:val="24"/>
                <w:highlight w:val="yellow"/>
              </w:rPr>
            </w:pPr>
            <w:r w:rsidRPr="007E41C5">
              <w:rPr>
                <w:rFonts w:ascii="Times New Roman" w:eastAsia="Calibri" w:hAnsi="Times New Roman" w:cs="Times New Roman"/>
                <w:b/>
                <w:bCs/>
                <w:noProof/>
                <w:sz w:val="24"/>
                <w:szCs w:val="24"/>
                <w:highlight w:val="yellow"/>
              </w:rPr>
              <w:t>Intended use of Articles 88 and 89</w:t>
            </w:r>
          </w:p>
        </w:tc>
        <w:tc>
          <w:tcPr>
            <w:tcW w:w="1701" w:type="dxa"/>
          </w:tcPr>
          <w:p w14:paraId="329DDCEC" w14:textId="77777777" w:rsidR="00427261" w:rsidRPr="007E41C5" w:rsidRDefault="00427261" w:rsidP="00427261">
            <w:pPr>
              <w:spacing w:before="120" w:after="200" w:line="276" w:lineRule="auto"/>
              <w:rPr>
                <w:rFonts w:ascii="Times New Roman" w:eastAsia="Calibri" w:hAnsi="Times New Roman" w:cs="Times New Roman"/>
                <w:b/>
                <w:bCs/>
                <w:noProof/>
                <w:sz w:val="24"/>
                <w:szCs w:val="24"/>
                <w:highlight w:val="yellow"/>
              </w:rPr>
            </w:pPr>
            <w:r w:rsidRPr="007E41C5">
              <w:rPr>
                <w:rFonts w:ascii="Times New Roman" w:eastAsia="Calibri" w:hAnsi="Times New Roman" w:cs="Times New Roman"/>
                <w:b/>
                <w:bCs/>
                <w:noProof/>
                <w:sz w:val="24"/>
                <w:szCs w:val="24"/>
                <w:highlight w:val="yellow"/>
              </w:rPr>
              <w:t>YES</w:t>
            </w:r>
          </w:p>
        </w:tc>
        <w:tc>
          <w:tcPr>
            <w:tcW w:w="1701" w:type="dxa"/>
          </w:tcPr>
          <w:p w14:paraId="6D31078C" w14:textId="77777777" w:rsidR="00427261" w:rsidRPr="007E41C5" w:rsidRDefault="00427261" w:rsidP="00427261">
            <w:pPr>
              <w:spacing w:before="120" w:after="200" w:line="276" w:lineRule="auto"/>
              <w:rPr>
                <w:rFonts w:ascii="Times New Roman" w:eastAsia="Calibri" w:hAnsi="Times New Roman" w:cs="Times New Roman"/>
                <w:b/>
                <w:bCs/>
                <w:noProof/>
                <w:sz w:val="24"/>
                <w:szCs w:val="24"/>
                <w:highlight w:val="yellow"/>
              </w:rPr>
            </w:pPr>
            <w:r w:rsidRPr="007E41C5">
              <w:rPr>
                <w:rFonts w:ascii="Times New Roman" w:eastAsia="Calibri" w:hAnsi="Times New Roman" w:cs="Times New Roman"/>
                <w:b/>
                <w:bCs/>
                <w:noProof/>
                <w:sz w:val="24"/>
                <w:szCs w:val="24"/>
                <w:highlight w:val="yellow"/>
              </w:rPr>
              <w:t>NO</w:t>
            </w:r>
          </w:p>
        </w:tc>
      </w:tr>
      <w:tr w:rsidR="00427261" w:rsidRPr="007E41C5" w14:paraId="457E1916" w14:textId="77777777" w:rsidTr="0096715F">
        <w:tc>
          <w:tcPr>
            <w:tcW w:w="5920" w:type="dxa"/>
          </w:tcPr>
          <w:p w14:paraId="277B4F30" w14:textId="77777777" w:rsidR="00427261" w:rsidRPr="007E41C5" w:rsidRDefault="00427261" w:rsidP="00427261">
            <w:pPr>
              <w:spacing w:before="120" w:after="200" w:line="276" w:lineRule="auto"/>
              <w:rPr>
                <w:rFonts w:ascii="Times New Roman" w:eastAsia="Calibri" w:hAnsi="Times New Roman" w:cs="Times New Roman"/>
                <w:b/>
                <w:bCs/>
                <w:noProof/>
                <w:sz w:val="24"/>
                <w:szCs w:val="24"/>
                <w:highlight w:val="yellow"/>
              </w:rPr>
            </w:pPr>
            <w:r w:rsidRPr="007E41C5">
              <w:rPr>
                <w:rFonts w:ascii="Times New Roman" w:eastAsia="Times New Roman" w:hAnsi="Times New Roman" w:cs="Times New Roman"/>
                <w:b/>
                <w:bCs/>
                <w:noProof/>
                <w:sz w:val="24"/>
                <w:szCs w:val="24"/>
                <w:highlight w:val="yellow"/>
              </w:rPr>
              <w:t>From the adoption the programme will make use of reimbursement of the Union contribution based on based on unit costs, lump sums and flat rates under priority according to Article 88 CPR (if yes, fill in Appendix 1)</w:t>
            </w:r>
          </w:p>
        </w:tc>
        <w:tc>
          <w:tcPr>
            <w:tcW w:w="1701" w:type="dxa"/>
          </w:tcPr>
          <w:p w14:paraId="409999A3" w14:textId="77777777" w:rsidR="00427261" w:rsidRPr="007E41C5" w:rsidRDefault="00840168" w:rsidP="00427261">
            <w:pPr>
              <w:spacing w:before="120" w:after="200" w:line="276" w:lineRule="auto"/>
              <w:rPr>
                <w:rFonts w:ascii="Times New Roman" w:eastAsia="Calibri" w:hAnsi="Times New Roman" w:cs="Times New Roman"/>
                <w:b/>
                <w:bCs/>
                <w:noProof/>
                <w:sz w:val="24"/>
                <w:szCs w:val="24"/>
                <w:highlight w:val="yellow"/>
              </w:rPr>
            </w:pPr>
            <w:r w:rsidRPr="007E41C5">
              <w:rPr>
                <w:rFonts w:ascii="Times New Roman" w:eastAsia="Calibri" w:hAnsi="Times New Roman" w:cs="Times New Roman"/>
                <w:b/>
                <w:bCs/>
                <w:noProof/>
                <w:sz w:val="24"/>
                <w:szCs w:val="24"/>
                <w:highlight w:val="yellow"/>
              </w:rPr>
              <w:fldChar w:fldCharType="begin">
                <w:ffData>
                  <w:name w:val="Check2"/>
                  <w:enabled/>
                  <w:calcOnExit w:val="0"/>
                  <w:checkBox>
                    <w:sizeAuto/>
                    <w:default w:val="0"/>
                  </w:checkBox>
                </w:ffData>
              </w:fldChar>
            </w:r>
            <w:r w:rsidR="00427261" w:rsidRPr="007E41C5">
              <w:rPr>
                <w:rFonts w:ascii="Times New Roman" w:eastAsia="Calibri" w:hAnsi="Times New Roman" w:cs="Times New Roman"/>
                <w:b/>
                <w:bCs/>
                <w:noProof/>
                <w:sz w:val="24"/>
                <w:szCs w:val="24"/>
                <w:highlight w:val="yellow"/>
              </w:rPr>
              <w:instrText xml:space="preserve"> FORMCHECKBOX </w:instrText>
            </w:r>
            <w:r w:rsidR="00716D6E">
              <w:rPr>
                <w:rFonts w:ascii="Times New Roman" w:eastAsia="Calibri" w:hAnsi="Times New Roman" w:cs="Times New Roman"/>
                <w:b/>
                <w:bCs/>
                <w:noProof/>
                <w:sz w:val="24"/>
                <w:szCs w:val="24"/>
                <w:highlight w:val="yellow"/>
              </w:rPr>
            </w:r>
            <w:r w:rsidR="00716D6E">
              <w:rPr>
                <w:rFonts w:ascii="Times New Roman" w:eastAsia="Calibri" w:hAnsi="Times New Roman" w:cs="Times New Roman"/>
                <w:b/>
                <w:bCs/>
                <w:noProof/>
                <w:sz w:val="24"/>
                <w:szCs w:val="24"/>
                <w:highlight w:val="yellow"/>
              </w:rPr>
              <w:fldChar w:fldCharType="separate"/>
            </w:r>
            <w:r w:rsidRPr="007E41C5">
              <w:rPr>
                <w:rFonts w:ascii="Times New Roman" w:eastAsia="Calibri" w:hAnsi="Times New Roman" w:cs="Times New Roman"/>
                <w:b/>
                <w:bCs/>
                <w:noProof/>
                <w:sz w:val="24"/>
                <w:szCs w:val="24"/>
                <w:highlight w:val="yellow"/>
              </w:rPr>
              <w:fldChar w:fldCharType="end"/>
            </w:r>
          </w:p>
        </w:tc>
        <w:tc>
          <w:tcPr>
            <w:tcW w:w="1701" w:type="dxa"/>
          </w:tcPr>
          <w:p w14:paraId="5FA7DAB4" w14:textId="77777777" w:rsidR="00427261" w:rsidRPr="007E41C5" w:rsidRDefault="00840168" w:rsidP="00427261">
            <w:pPr>
              <w:spacing w:before="120" w:after="200" w:line="276" w:lineRule="auto"/>
              <w:rPr>
                <w:rFonts w:ascii="Times New Roman" w:eastAsia="Calibri" w:hAnsi="Times New Roman" w:cs="Times New Roman"/>
                <w:b/>
                <w:bCs/>
                <w:noProof/>
                <w:sz w:val="24"/>
                <w:szCs w:val="24"/>
                <w:highlight w:val="yellow"/>
              </w:rPr>
            </w:pPr>
            <w:r w:rsidRPr="007E41C5">
              <w:rPr>
                <w:rFonts w:ascii="Times New Roman" w:eastAsia="Calibri" w:hAnsi="Times New Roman" w:cs="Times New Roman"/>
                <w:b/>
                <w:bCs/>
                <w:noProof/>
                <w:sz w:val="24"/>
                <w:szCs w:val="24"/>
                <w:highlight w:val="yellow"/>
              </w:rPr>
              <w:fldChar w:fldCharType="begin">
                <w:ffData>
                  <w:name w:val="Check1"/>
                  <w:enabled/>
                  <w:calcOnExit w:val="0"/>
                  <w:checkBox>
                    <w:sizeAuto/>
                    <w:default w:val="0"/>
                  </w:checkBox>
                </w:ffData>
              </w:fldChar>
            </w:r>
            <w:r w:rsidR="00427261" w:rsidRPr="007E41C5">
              <w:rPr>
                <w:rFonts w:ascii="Times New Roman" w:eastAsia="Calibri" w:hAnsi="Times New Roman" w:cs="Times New Roman"/>
                <w:b/>
                <w:bCs/>
                <w:noProof/>
                <w:sz w:val="24"/>
                <w:szCs w:val="24"/>
                <w:highlight w:val="yellow"/>
              </w:rPr>
              <w:instrText xml:space="preserve"> FORMCHECKBOX </w:instrText>
            </w:r>
            <w:r w:rsidR="00716D6E">
              <w:rPr>
                <w:rFonts w:ascii="Times New Roman" w:eastAsia="Calibri" w:hAnsi="Times New Roman" w:cs="Times New Roman"/>
                <w:b/>
                <w:bCs/>
                <w:noProof/>
                <w:sz w:val="24"/>
                <w:szCs w:val="24"/>
                <w:highlight w:val="yellow"/>
              </w:rPr>
            </w:r>
            <w:r w:rsidR="00716D6E">
              <w:rPr>
                <w:rFonts w:ascii="Times New Roman" w:eastAsia="Calibri" w:hAnsi="Times New Roman" w:cs="Times New Roman"/>
                <w:b/>
                <w:bCs/>
                <w:noProof/>
                <w:sz w:val="24"/>
                <w:szCs w:val="24"/>
                <w:highlight w:val="yellow"/>
              </w:rPr>
              <w:fldChar w:fldCharType="separate"/>
            </w:r>
            <w:r w:rsidRPr="007E41C5">
              <w:rPr>
                <w:rFonts w:ascii="Times New Roman" w:eastAsia="Calibri" w:hAnsi="Times New Roman" w:cs="Times New Roman"/>
                <w:b/>
                <w:bCs/>
                <w:noProof/>
                <w:sz w:val="24"/>
                <w:szCs w:val="24"/>
                <w:highlight w:val="yellow"/>
              </w:rPr>
              <w:fldChar w:fldCharType="end"/>
            </w:r>
          </w:p>
        </w:tc>
      </w:tr>
      <w:tr w:rsidR="00427261" w:rsidRPr="00427261" w14:paraId="39B041A6" w14:textId="77777777" w:rsidTr="0096715F">
        <w:tc>
          <w:tcPr>
            <w:tcW w:w="5920" w:type="dxa"/>
          </w:tcPr>
          <w:p w14:paraId="119537D6" w14:textId="77777777" w:rsidR="00427261" w:rsidRPr="007E41C5" w:rsidRDefault="00427261" w:rsidP="00427261">
            <w:pPr>
              <w:spacing w:before="240" w:after="240" w:line="276" w:lineRule="auto"/>
              <w:rPr>
                <w:rFonts w:ascii="Times New Roman" w:eastAsia="Times New Roman" w:hAnsi="Times New Roman" w:cs="Times New Roman"/>
                <w:b/>
                <w:bCs/>
                <w:i/>
                <w:noProof/>
                <w:sz w:val="24"/>
                <w:szCs w:val="24"/>
                <w:highlight w:val="yellow"/>
              </w:rPr>
            </w:pPr>
            <w:r w:rsidRPr="007E41C5">
              <w:rPr>
                <w:rFonts w:ascii="Times New Roman" w:eastAsia="Times New Roman" w:hAnsi="Times New Roman" w:cs="Times New Roman"/>
                <w:b/>
                <w:bCs/>
                <w:noProof/>
                <w:sz w:val="24"/>
                <w:szCs w:val="24"/>
                <w:highlight w:val="yellow"/>
              </w:rPr>
              <w:t>From the adoption the programme will make use of reimbursement of the Union contribution based on financing not linked to costs according to Article 89 CPR (if yes, fill in Appendix 2)</w:t>
            </w:r>
          </w:p>
        </w:tc>
        <w:tc>
          <w:tcPr>
            <w:tcW w:w="1701" w:type="dxa"/>
          </w:tcPr>
          <w:p w14:paraId="248BD43A" w14:textId="77777777" w:rsidR="00427261" w:rsidRPr="007E41C5" w:rsidRDefault="00840168" w:rsidP="00427261">
            <w:pPr>
              <w:spacing w:before="120" w:after="200" w:line="276" w:lineRule="auto"/>
              <w:rPr>
                <w:rFonts w:ascii="Times New Roman" w:eastAsia="Calibri" w:hAnsi="Times New Roman" w:cs="Times New Roman"/>
                <w:b/>
                <w:bCs/>
                <w:noProof/>
                <w:sz w:val="24"/>
                <w:szCs w:val="24"/>
                <w:highlight w:val="yellow"/>
              </w:rPr>
            </w:pPr>
            <w:r w:rsidRPr="007E41C5">
              <w:rPr>
                <w:rFonts w:ascii="Times New Roman" w:eastAsia="Calibri" w:hAnsi="Times New Roman" w:cs="Times New Roman"/>
                <w:b/>
                <w:bCs/>
                <w:noProof/>
                <w:sz w:val="24"/>
                <w:szCs w:val="24"/>
                <w:highlight w:val="yellow"/>
              </w:rPr>
              <w:fldChar w:fldCharType="begin">
                <w:ffData>
                  <w:name w:val="Check2"/>
                  <w:enabled/>
                  <w:calcOnExit w:val="0"/>
                  <w:checkBox>
                    <w:sizeAuto/>
                    <w:default w:val="0"/>
                  </w:checkBox>
                </w:ffData>
              </w:fldChar>
            </w:r>
            <w:r w:rsidR="00427261" w:rsidRPr="007E41C5">
              <w:rPr>
                <w:rFonts w:ascii="Times New Roman" w:eastAsia="Calibri" w:hAnsi="Times New Roman" w:cs="Times New Roman"/>
                <w:b/>
                <w:bCs/>
                <w:noProof/>
                <w:sz w:val="24"/>
                <w:szCs w:val="24"/>
                <w:highlight w:val="yellow"/>
              </w:rPr>
              <w:instrText xml:space="preserve"> FORMCHECKBOX </w:instrText>
            </w:r>
            <w:r w:rsidR="00716D6E">
              <w:rPr>
                <w:rFonts w:ascii="Times New Roman" w:eastAsia="Calibri" w:hAnsi="Times New Roman" w:cs="Times New Roman"/>
                <w:b/>
                <w:bCs/>
                <w:noProof/>
                <w:sz w:val="24"/>
                <w:szCs w:val="24"/>
                <w:highlight w:val="yellow"/>
              </w:rPr>
            </w:r>
            <w:r w:rsidR="00716D6E">
              <w:rPr>
                <w:rFonts w:ascii="Times New Roman" w:eastAsia="Calibri" w:hAnsi="Times New Roman" w:cs="Times New Roman"/>
                <w:b/>
                <w:bCs/>
                <w:noProof/>
                <w:sz w:val="24"/>
                <w:szCs w:val="24"/>
                <w:highlight w:val="yellow"/>
              </w:rPr>
              <w:fldChar w:fldCharType="separate"/>
            </w:r>
            <w:r w:rsidRPr="007E41C5">
              <w:rPr>
                <w:rFonts w:ascii="Times New Roman" w:eastAsia="Calibri" w:hAnsi="Times New Roman" w:cs="Times New Roman"/>
                <w:b/>
                <w:bCs/>
                <w:noProof/>
                <w:sz w:val="24"/>
                <w:szCs w:val="24"/>
                <w:highlight w:val="yellow"/>
              </w:rPr>
              <w:fldChar w:fldCharType="end"/>
            </w:r>
          </w:p>
        </w:tc>
        <w:tc>
          <w:tcPr>
            <w:tcW w:w="1701" w:type="dxa"/>
          </w:tcPr>
          <w:p w14:paraId="2359737D" w14:textId="77777777" w:rsidR="00427261" w:rsidRPr="00427261" w:rsidRDefault="00840168" w:rsidP="00427261">
            <w:pPr>
              <w:spacing w:before="120" w:after="200" w:line="276" w:lineRule="auto"/>
              <w:rPr>
                <w:rFonts w:ascii="Times New Roman" w:eastAsia="Calibri" w:hAnsi="Times New Roman" w:cs="Times New Roman"/>
                <w:b/>
                <w:bCs/>
                <w:noProof/>
                <w:sz w:val="24"/>
                <w:szCs w:val="24"/>
              </w:rPr>
            </w:pPr>
            <w:r w:rsidRPr="007E41C5">
              <w:rPr>
                <w:rFonts w:ascii="Times New Roman" w:eastAsia="Calibri" w:hAnsi="Times New Roman" w:cs="Times New Roman"/>
                <w:b/>
                <w:bCs/>
                <w:noProof/>
                <w:sz w:val="24"/>
                <w:szCs w:val="24"/>
                <w:highlight w:val="yellow"/>
              </w:rPr>
              <w:fldChar w:fldCharType="begin">
                <w:ffData>
                  <w:name w:val="Check2"/>
                  <w:enabled/>
                  <w:calcOnExit w:val="0"/>
                  <w:checkBox>
                    <w:sizeAuto/>
                    <w:default w:val="0"/>
                  </w:checkBox>
                </w:ffData>
              </w:fldChar>
            </w:r>
            <w:r w:rsidR="00427261" w:rsidRPr="007E41C5">
              <w:rPr>
                <w:rFonts w:ascii="Times New Roman" w:eastAsia="Calibri" w:hAnsi="Times New Roman" w:cs="Times New Roman"/>
                <w:b/>
                <w:bCs/>
                <w:noProof/>
                <w:sz w:val="24"/>
                <w:szCs w:val="24"/>
                <w:highlight w:val="yellow"/>
              </w:rPr>
              <w:instrText xml:space="preserve"> FORMCHECKBOX </w:instrText>
            </w:r>
            <w:r w:rsidR="00716D6E">
              <w:rPr>
                <w:rFonts w:ascii="Times New Roman" w:eastAsia="Calibri" w:hAnsi="Times New Roman" w:cs="Times New Roman"/>
                <w:b/>
                <w:bCs/>
                <w:noProof/>
                <w:sz w:val="24"/>
                <w:szCs w:val="24"/>
                <w:highlight w:val="yellow"/>
              </w:rPr>
            </w:r>
            <w:r w:rsidR="00716D6E">
              <w:rPr>
                <w:rFonts w:ascii="Times New Roman" w:eastAsia="Calibri" w:hAnsi="Times New Roman" w:cs="Times New Roman"/>
                <w:b/>
                <w:bCs/>
                <w:noProof/>
                <w:sz w:val="24"/>
                <w:szCs w:val="24"/>
                <w:highlight w:val="yellow"/>
              </w:rPr>
              <w:fldChar w:fldCharType="separate"/>
            </w:r>
            <w:r w:rsidRPr="007E41C5">
              <w:rPr>
                <w:rFonts w:ascii="Times New Roman" w:eastAsia="Calibri" w:hAnsi="Times New Roman" w:cs="Times New Roman"/>
                <w:b/>
                <w:bCs/>
                <w:noProof/>
                <w:sz w:val="24"/>
                <w:szCs w:val="24"/>
                <w:highlight w:val="yellow"/>
              </w:rPr>
              <w:fldChar w:fldCharType="end"/>
            </w:r>
          </w:p>
        </w:tc>
      </w:tr>
    </w:tbl>
    <w:p w14:paraId="39D362D5" w14:textId="77777777" w:rsidR="00427261" w:rsidRDefault="00427261" w:rsidP="00A10ECC"/>
    <w:sectPr w:rsidR="00427261" w:rsidSect="00840168">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3D813" w14:textId="77777777" w:rsidR="00716D6E" w:rsidRDefault="00716D6E" w:rsidP="00A10ECC">
      <w:pPr>
        <w:spacing w:after="0" w:line="240" w:lineRule="auto"/>
      </w:pPr>
      <w:r>
        <w:separator/>
      </w:r>
    </w:p>
  </w:endnote>
  <w:endnote w:type="continuationSeparator" w:id="0">
    <w:p w14:paraId="35932F5B" w14:textId="77777777" w:rsidR="00716D6E" w:rsidRDefault="00716D6E" w:rsidP="00A10ECC">
      <w:pPr>
        <w:spacing w:after="0" w:line="240" w:lineRule="auto"/>
      </w:pPr>
      <w:r>
        <w:continuationSeparator/>
      </w:r>
    </w:p>
  </w:endnote>
  <w:endnote w:type="continuationNotice" w:id="1">
    <w:p w14:paraId="2C318AF9" w14:textId="77777777" w:rsidR="00716D6E" w:rsidRDefault="00716D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IDFont+F1">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7988C" w14:textId="77777777" w:rsidR="006707A4" w:rsidRPr="000C035E" w:rsidRDefault="006707A4" w:rsidP="00CD19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5170"/>
      <w:gridCol w:w="2116"/>
      <w:gridCol w:w="1821"/>
      <w:gridCol w:w="303"/>
      <w:gridCol w:w="2162"/>
      <w:gridCol w:w="1282"/>
      <w:gridCol w:w="1716"/>
    </w:tblGrid>
    <w:tr w:rsidR="006707A4" w:rsidRPr="00D94637" w14:paraId="46C893FE" w14:textId="77777777" w:rsidTr="00CD1943">
      <w:trPr>
        <w:jc w:val="center"/>
      </w:trPr>
      <w:tc>
        <w:tcPr>
          <w:tcW w:w="5000" w:type="pct"/>
          <w:gridSpan w:val="7"/>
          <w:shd w:val="clear" w:color="auto" w:fill="auto"/>
          <w:tcMar>
            <w:top w:w="57" w:type="dxa"/>
          </w:tcMar>
        </w:tcPr>
        <w:p w14:paraId="2735674C" w14:textId="77777777" w:rsidR="006707A4" w:rsidRPr="00D94637" w:rsidRDefault="006707A4" w:rsidP="00CD1943">
          <w:pPr>
            <w:pStyle w:val="FooterText"/>
            <w:pBdr>
              <w:top w:val="single" w:sz="4" w:space="1" w:color="auto"/>
            </w:pBdr>
            <w:spacing w:before="200"/>
            <w:rPr>
              <w:sz w:val="2"/>
              <w:szCs w:val="2"/>
            </w:rPr>
          </w:pPr>
        </w:p>
      </w:tc>
    </w:tr>
    <w:tr w:rsidR="006707A4" w:rsidRPr="00B310DC" w14:paraId="3CF10203" w14:textId="77777777" w:rsidTr="00CD1943">
      <w:trPr>
        <w:jc w:val="center"/>
      </w:trPr>
      <w:tc>
        <w:tcPr>
          <w:tcW w:w="2500" w:type="pct"/>
          <w:gridSpan w:val="2"/>
          <w:shd w:val="clear" w:color="auto" w:fill="auto"/>
          <w:tcMar>
            <w:top w:w="0" w:type="dxa"/>
          </w:tcMar>
        </w:tcPr>
        <w:p w14:paraId="17E258C2" w14:textId="77777777" w:rsidR="006707A4" w:rsidRPr="00AD7BF2" w:rsidRDefault="006707A4" w:rsidP="00CD1943">
          <w:pPr>
            <w:pStyle w:val="FooterText"/>
          </w:pPr>
        </w:p>
      </w:tc>
      <w:tc>
        <w:tcPr>
          <w:tcW w:w="625" w:type="pct"/>
          <w:shd w:val="clear" w:color="auto" w:fill="auto"/>
          <w:tcMar>
            <w:top w:w="0" w:type="dxa"/>
          </w:tcMar>
        </w:tcPr>
        <w:p w14:paraId="6173CA04" w14:textId="77777777" w:rsidR="006707A4" w:rsidRPr="00AD7BF2" w:rsidRDefault="006707A4" w:rsidP="00CD1943">
          <w:pPr>
            <w:pStyle w:val="FooterText"/>
            <w:jc w:val="center"/>
          </w:pPr>
        </w:p>
      </w:tc>
      <w:tc>
        <w:tcPr>
          <w:tcW w:w="1286" w:type="pct"/>
          <w:gridSpan w:val="3"/>
          <w:shd w:val="clear" w:color="auto" w:fill="auto"/>
          <w:tcMar>
            <w:top w:w="0" w:type="dxa"/>
          </w:tcMar>
        </w:tcPr>
        <w:p w14:paraId="3219D67E" w14:textId="77777777" w:rsidR="006707A4" w:rsidRPr="002511D8" w:rsidRDefault="006707A4" w:rsidP="00CD1943">
          <w:pPr>
            <w:pStyle w:val="FooterText"/>
            <w:jc w:val="center"/>
          </w:pPr>
        </w:p>
      </w:tc>
      <w:tc>
        <w:tcPr>
          <w:tcW w:w="589" w:type="pct"/>
          <w:shd w:val="clear" w:color="auto" w:fill="auto"/>
          <w:tcMar>
            <w:top w:w="0" w:type="dxa"/>
          </w:tcMar>
        </w:tcPr>
        <w:p w14:paraId="24466DDA" w14:textId="5DAA30A8" w:rsidR="006707A4" w:rsidRPr="00B310DC" w:rsidRDefault="00C91FBD" w:rsidP="00CD1943">
          <w:pPr>
            <w:pStyle w:val="FooterText"/>
            <w:jc w:val="right"/>
          </w:pPr>
          <w:r>
            <w:rPr>
              <w:noProof/>
            </w:rPr>
            <w:fldChar w:fldCharType="begin"/>
          </w:r>
          <w:r>
            <w:rPr>
              <w:noProof/>
            </w:rPr>
            <w:instrText xml:space="preserve"> PAGE  \* MERGEFORMAT </w:instrText>
          </w:r>
          <w:r>
            <w:rPr>
              <w:noProof/>
            </w:rPr>
            <w:fldChar w:fldCharType="separate"/>
          </w:r>
          <w:r w:rsidR="0036129D">
            <w:rPr>
              <w:noProof/>
            </w:rPr>
            <w:t>34</w:t>
          </w:r>
          <w:r>
            <w:rPr>
              <w:noProof/>
            </w:rPr>
            <w:fldChar w:fldCharType="end"/>
          </w:r>
        </w:p>
      </w:tc>
    </w:tr>
    <w:tr w:rsidR="006707A4" w:rsidRPr="00D94637" w14:paraId="485BA054" w14:textId="77777777" w:rsidTr="00CD1943">
      <w:trPr>
        <w:jc w:val="center"/>
      </w:trPr>
      <w:tc>
        <w:tcPr>
          <w:tcW w:w="1774" w:type="pct"/>
          <w:shd w:val="clear" w:color="auto" w:fill="auto"/>
        </w:tcPr>
        <w:p w14:paraId="04E70150" w14:textId="77777777" w:rsidR="006707A4" w:rsidRPr="00AD7BF2" w:rsidRDefault="006707A4" w:rsidP="00CD1943">
          <w:pPr>
            <w:pStyle w:val="FooterText"/>
            <w:spacing w:before="40"/>
          </w:pPr>
        </w:p>
      </w:tc>
      <w:tc>
        <w:tcPr>
          <w:tcW w:w="1455" w:type="pct"/>
          <w:gridSpan w:val="3"/>
          <w:shd w:val="clear" w:color="auto" w:fill="auto"/>
        </w:tcPr>
        <w:p w14:paraId="2D2A13D5" w14:textId="77777777" w:rsidR="006707A4" w:rsidRPr="00AD7BF2" w:rsidRDefault="006707A4" w:rsidP="00CD1943">
          <w:pPr>
            <w:pStyle w:val="FooterText"/>
            <w:spacing w:before="40"/>
            <w:jc w:val="center"/>
          </w:pPr>
        </w:p>
      </w:tc>
      <w:tc>
        <w:tcPr>
          <w:tcW w:w="742" w:type="pct"/>
          <w:shd w:val="clear" w:color="auto" w:fill="auto"/>
        </w:tcPr>
        <w:p w14:paraId="4247ADF1" w14:textId="77777777" w:rsidR="006707A4" w:rsidRPr="00D94637" w:rsidRDefault="006707A4" w:rsidP="00CD1943">
          <w:pPr>
            <w:pStyle w:val="FooterText"/>
            <w:jc w:val="center"/>
            <w:rPr>
              <w:b/>
              <w:position w:val="-4"/>
              <w:sz w:val="36"/>
            </w:rPr>
          </w:pPr>
        </w:p>
      </w:tc>
      <w:tc>
        <w:tcPr>
          <w:tcW w:w="1029" w:type="pct"/>
          <w:gridSpan w:val="2"/>
          <w:shd w:val="clear" w:color="auto" w:fill="auto"/>
        </w:tcPr>
        <w:p w14:paraId="52E8CF0A" w14:textId="77777777" w:rsidR="006707A4" w:rsidRPr="000310C2" w:rsidRDefault="006707A4" w:rsidP="00CD1943">
          <w:pPr>
            <w:pStyle w:val="FooterText"/>
            <w:jc w:val="right"/>
            <w:rPr>
              <w:spacing w:val="-20"/>
              <w:sz w:val="16"/>
            </w:rPr>
          </w:pPr>
          <w:r>
            <w:rPr>
              <w:b/>
              <w:spacing w:val="-20"/>
              <w:position w:val="-4"/>
              <w:sz w:val="36"/>
            </w:rPr>
            <w:t>EN</w:t>
          </w:r>
        </w:p>
      </w:tc>
    </w:tr>
  </w:tbl>
  <w:p w14:paraId="7E228D5B" w14:textId="77777777" w:rsidR="006707A4" w:rsidRPr="000C035E" w:rsidRDefault="006707A4" w:rsidP="00CD1943">
    <w:pPr>
      <w:pStyle w:val="FooterCounci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BF304" w14:textId="77777777" w:rsidR="006707A4" w:rsidRPr="000C035E" w:rsidRDefault="006707A4" w:rsidP="00CD194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4D475" w14:textId="77777777" w:rsidR="006707A4" w:rsidRPr="000C035E" w:rsidRDefault="006707A4" w:rsidP="00CD194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219"/>
      <w:gridCol w:w="1317"/>
      <w:gridCol w:w="1134"/>
      <w:gridCol w:w="189"/>
      <w:gridCol w:w="1346"/>
      <w:gridCol w:w="798"/>
      <w:gridCol w:w="1069"/>
    </w:tblGrid>
    <w:tr w:rsidR="006707A4" w:rsidRPr="00D94637" w14:paraId="0CED672C" w14:textId="77777777" w:rsidTr="00CD1943">
      <w:trPr>
        <w:jc w:val="center"/>
      </w:trPr>
      <w:tc>
        <w:tcPr>
          <w:tcW w:w="5000" w:type="pct"/>
          <w:gridSpan w:val="7"/>
          <w:shd w:val="clear" w:color="auto" w:fill="auto"/>
          <w:tcMar>
            <w:top w:w="57" w:type="dxa"/>
          </w:tcMar>
        </w:tcPr>
        <w:p w14:paraId="72ADB45E" w14:textId="77777777" w:rsidR="006707A4" w:rsidRPr="00D94637" w:rsidRDefault="006707A4" w:rsidP="00CD1943">
          <w:pPr>
            <w:pStyle w:val="FooterText"/>
            <w:pBdr>
              <w:top w:val="single" w:sz="4" w:space="1" w:color="auto"/>
            </w:pBdr>
            <w:spacing w:before="200"/>
            <w:rPr>
              <w:sz w:val="2"/>
              <w:szCs w:val="2"/>
            </w:rPr>
          </w:pPr>
        </w:p>
      </w:tc>
    </w:tr>
    <w:tr w:rsidR="006707A4" w:rsidRPr="00B310DC" w14:paraId="5E9A41A5" w14:textId="77777777" w:rsidTr="00CD1943">
      <w:trPr>
        <w:jc w:val="center"/>
      </w:trPr>
      <w:tc>
        <w:tcPr>
          <w:tcW w:w="2500" w:type="pct"/>
          <w:gridSpan w:val="2"/>
          <w:shd w:val="clear" w:color="auto" w:fill="auto"/>
          <w:tcMar>
            <w:top w:w="0" w:type="dxa"/>
          </w:tcMar>
        </w:tcPr>
        <w:p w14:paraId="0A9BC18E" w14:textId="77777777" w:rsidR="006707A4" w:rsidRPr="00AD7BF2" w:rsidRDefault="006707A4" w:rsidP="00CD1943">
          <w:pPr>
            <w:pStyle w:val="FooterText"/>
          </w:pPr>
        </w:p>
      </w:tc>
      <w:tc>
        <w:tcPr>
          <w:tcW w:w="625" w:type="pct"/>
          <w:shd w:val="clear" w:color="auto" w:fill="auto"/>
          <w:tcMar>
            <w:top w:w="0" w:type="dxa"/>
          </w:tcMar>
        </w:tcPr>
        <w:p w14:paraId="145D0B67" w14:textId="77777777" w:rsidR="006707A4" w:rsidRPr="00AD7BF2" w:rsidRDefault="006707A4" w:rsidP="00CD1943">
          <w:pPr>
            <w:pStyle w:val="FooterText"/>
            <w:jc w:val="center"/>
          </w:pPr>
        </w:p>
      </w:tc>
      <w:tc>
        <w:tcPr>
          <w:tcW w:w="1286" w:type="pct"/>
          <w:gridSpan w:val="3"/>
          <w:shd w:val="clear" w:color="auto" w:fill="auto"/>
          <w:tcMar>
            <w:top w:w="0" w:type="dxa"/>
          </w:tcMar>
        </w:tcPr>
        <w:p w14:paraId="508B2557" w14:textId="77777777" w:rsidR="006707A4" w:rsidRPr="002511D8" w:rsidRDefault="006707A4" w:rsidP="00CD1943">
          <w:pPr>
            <w:pStyle w:val="FooterText"/>
            <w:jc w:val="center"/>
          </w:pPr>
        </w:p>
      </w:tc>
      <w:tc>
        <w:tcPr>
          <w:tcW w:w="589" w:type="pct"/>
          <w:shd w:val="clear" w:color="auto" w:fill="auto"/>
          <w:tcMar>
            <w:top w:w="0" w:type="dxa"/>
          </w:tcMar>
        </w:tcPr>
        <w:p w14:paraId="052459EB" w14:textId="72BFBAA3" w:rsidR="006707A4" w:rsidRPr="00B310DC" w:rsidRDefault="00C91FBD" w:rsidP="00CD1943">
          <w:pPr>
            <w:pStyle w:val="FooterText"/>
            <w:jc w:val="right"/>
          </w:pPr>
          <w:r>
            <w:rPr>
              <w:noProof/>
            </w:rPr>
            <w:fldChar w:fldCharType="begin"/>
          </w:r>
          <w:r>
            <w:rPr>
              <w:noProof/>
            </w:rPr>
            <w:instrText xml:space="preserve"> PAGE  \* MERGEFORMAT </w:instrText>
          </w:r>
          <w:r>
            <w:rPr>
              <w:noProof/>
            </w:rPr>
            <w:fldChar w:fldCharType="separate"/>
          </w:r>
          <w:r w:rsidR="0036129D">
            <w:rPr>
              <w:noProof/>
            </w:rPr>
            <w:t>43</w:t>
          </w:r>
          <w:r>
            <w:rPr>
              <w:noProof/>
            </w:rPr>
            <w:fldChar w:fldCharType="end"/>
          </w:r>
        </w:p>
      </w:tc>
    </w:tr>
    <w:tr w:rsidR="006707A4" w:rsidRPr="00D94637" w14:paraId="0120B2A8" w14:textId="77777777" w:rsidTr="00CD1943">
      <w:trPr>
        <w:jc w:val="center"/>
      </w:trPr>
      <w:tc>
        <w:tcPr>
          <w:tcW w:w="1774" w:type="pct"/>
          <w:shd w:val="clear" w:color="auto" w:fill="auto"/>
        </w:tcPr>
        <w:p w14:paraId="5ED53666" w14:textId="77777777" w:rsidR="006707A4" w:rsidRPr="00AD7BF2" w:rsidRDefault="006707A4" w:rsidP="00CD1943">
          <w:pPr>
            <w:pStyle w:val="FooterText"/>
            <w:spacing w:before="40"/>
          </w:pPr>
        </w:p>
      </w:tc>
      <w:tc>
        <w:tcPr>
          <w:tcW w:w="1455" w:type="pct"/>
          <w:gridSpan w:val="3"/>
          <w:shd w:val="clear" w:color="auto" w:fill="auto"/>
        </w:tcPr>
        <w:p w14:paraId="3494D0A1" w14:textId="77777777" w:rsidR="006707A4" w:rsidRPr="00AD7BF2" w:rsidRDefault="006707A4" w:rsidP="00CD1943">
          <w:pPr>
            <w:pStyle w:val="FooterText"/>
            <w:spacing w:before="40"/>
            <w:jc w:val="center"/>
          </w:pPr>
        </w:p>
      </w:tc>
      <w:tc>
        <w:tcPr>
          <w:tcW w:w="742" w:type="pct"/>
          <w:shd w:val="clear" w:color="auto" w:fill="auto"/>
        </w:tcPr>
        <w:p w14:paraId="4C1487B4" w14:textId="77777777" w:rsidR="006707A4" w:rsidRPr="00D94637" w:rsidRDefault="006707A4" w:rsidP="00CD1943">
          <w:pPr>
            <w:pStyle w:val="FooterText"/>
            <w:jc w:val="center"/>
            <w:rPr>
              <w:b/>
              <w:position w:val="-4"/>
              <w:sz w:val="36"/>
            </w:rPr>
          </w:pPr>
        </w:p>
      </w:tc>
      <w:tc>
        <w:tcPr>
          <w:tcW w:w="1029" w:type="pct"/>
          <w:gridSpan w:val="2"/>
          <w:shd w:val="clear" w:color="auto" w:fill="auto"/>
        </w:tcPr>
        <w:p w14:paraId="4AA6EEB7" w14:textId="77777777" w:rsidR="006707A4" w:rsidRPr="000310C2" w:rsidRDefault="006707A4" w:rsidP="00CD1943">
          <w:pPr>
            <w:pStyle w:val="FooterText"/>
            <w:jc w:val="right"/>
            <w:rPr>
              <w:spacing w:val="-20"/>
              <w:sz w:val="16"/>
            </w:rPr>
          </w:pPr>
          <w:r>
            <w:rPr>
              <w:b/>
              <w:spacing w:val="-20"/>
              <w:position w:val="-4"/>
              <w:sz w:val="36"/>
            </w:rPr>
            <w:t>EN</w:t>
          </w:r>
        </w:p>
      </w:tc>
    </w:tr>
  </w:tbl>
  <w:p w14:paraId="5E729824" w14:textId="77777777" w:rsidR="006707A4" w:rsidRPr="000C035E" w:rsidRDefault="006707A4" w:rsidP="00CD1943">
    <w:pPr>
      <w:pStyle w:val="FooterCouncil"/>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01743" w14:textId="77777777" w:rsidR="006707A4" w:rsidRPr="000C035E" w:rsidRDefault="006707A4" w:rsidP="00CD19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B65D0" w14:textId="77777777" w:rsidR="00716D6E" w:rsidRDefault="00716D6E" w:rsidP="00A10ECC">
      <w:pPr>
        <w:spacing w:after="0" w:line="240" w:lineRule="auto"/>
      </w:pPr>
      <w:r>
        <w:separator/>
      </w:r>
    </w:p>
  </w:footnote>
  <w:footnote w:type="continuationSeparator" w:id="0">
    <w:p w14:paraId="6056200D" w14:textId="77777777" w:rsidR="00716D6E" w:rsidRDefault="00716D6E" w:rsidP="00A10ECC">
      <w:pPr>
        <w:spacing w:after="0" w:line="240" w:lineRule="auto"/>
      </w:pPr>
      <w:r>
        <w:continuationSeparator/>
      </w:r>
    </w:p>
  </w:footnote>
  <w:footnote w:type="continuationNotice" w:id="1">
    <w:p w14:paraId="3F569074" w14:textId="77777777" w:rsidR="00716D6E" w:rsidRDefault="00716D6E">
      <w:pPr>
        <w:spacing w:after="0" w:line="240" w:lineRule="auto"/>
      </w:pPr>
    </w:p>
  </w:footnote>
  <w:footnote w:id="2">
    <w:p w14:paraId="275694C4" w14:textId="77777777" w:rsidR="006707A4" w:rsidRPr="00D467B8" w:rsidRDefault="006707A4" w:rsidP="00D467B8">
      <w:pPr>
        <w:pStyle w:val="FootnoteText"/>
        <w:jc w:val="both"/>
        <w:rPr>
          <w:lang w:val="en-US"/>
        </w:rPr>
      </w:pPr>
      <w:r>
        <w:rPr>
          <w:rStyle w:val="FootnoteReference"/>
        </w:rPr>
        <w:footnoteRef/>
      </w:r>
      <w:r>
        <w:t xml:space="preserve"> </w:t>
      </w:r>
      <w:r w:rsidRPr="00402D1A">
        <w:rPr>
          <w:rFonts w:ascii="Times New Roman" w:eastAsia="Times New Roman" w:hAnsi="Times New Roman" w:cs="Times New Roman"/>
          <w:i/>
          <w:iCs/>
          <w:noProof/>
          <w:lang w:eastAsia="en-GB"/>
        </w:rPr>
        <w:t>The narrative bello</w:t>
      </w:r>
      <w:r>
        <w:rPr>
          <w:rFonts w:ascii="Times New Roman" w:eastAsia="Times New Roman" w:hAnsi="Times New Roman" w:cs="Times New Roman"/>
          <w:i/>
          <w:iCs/>
          <w:noProof/>
          <w:lang w:eastAsia="en-GB"/>
        </w:rPr>
        <w:t xml:space="preserve">w is structured in a way to </w:t>
      </w:r>
      <w:r w:rsidRPr="00402D1A">
        <w:rPr>
          <w:rFonts w:ascii="Times New Roman" w:eastAsia="Times New Roman" w:hAnsi="Times New Roman" w:cs="Times New Roman"/>
          <w:i/>
          <w:iCs/>
          <w:noProof/>
          <w:lang w:eastAsia="en-GB"/>
        </w:rPr>
        <w:t xml:space="preserve">provide evidence-based summary of the latest socio-economic challenges, developmental setbacks and economic drivers </w:t>
      </w:r>
      <w:r>
        <w:rPr>
          <w:rFonts w:ascii="Times New Roman" w:eastAsia="Times New Roman" w:hAnsi="Times New Roman" w:cs="Times New Roman"/>
          <w:i/>
          <w:iCs/>
          <w:noProof/>
          <w:lang w:eastAsia="en-GB"/>
        </w:rPr>
        <w:t xml:space="preserve">of the CBC area with the aim to </w:t>
      </w:r>
      <w:r w:rsidRPr="003758CE">
        <w:rPr>
          <w:rFonts w:ascii="Times New Roman" w:eastAsia="Times New Roman" w:hAnsi="Times New Roman" w:cs="Times New Roman"/>
          <w:i/>
          <w:iCs/>
          <w:noProof/>
          <w:lang w:eastAsia="en-GB"/>
        </w:rPr>
        <w:t>define the cooperation programme strategy</w:t>
      </w:r>
      <w:r>
        <w:rPr>
          <w:rFonts w:ascii="Times New Roman" w:eastAsia="Times New Roman" w:hAnsi="Times New Roman" w:cs="Times New Roman"/>
          <w:i/>
          <w:iCs/>
          <w:noProof/>
          <w:lang w:val="bg-BG" w:eastAsia="en-GB"/>
        </w:rPr>
        <w:t xml:space="preserve"> </w:t>
      </w:r>
      <w:r>
        <w:rPr>
          <w:rFonts w:ascii="Times New Roman" w:eastAsia="Times New Roman" w:hAnsi="Times New Roman" w:cs="Times New Roman"/>
          <w:i/>
          <w:iCs/>
          <w:noProof/>
          <w:lang w:val="en-US" w:eastAsia="en-GB"/>
        </w:rPr>
        <w:t>for the next programme period</w:t>
      </w:r>
      <w:r w:rsidRPr="00402D1A">
        <w:rPr>
          <w:rFonts w:ascii="Times New Roman" w:eastAsia="Times New Roman" w:hAnsi="Times New Roman" w:cs="Times New Roman"/>
          <w:i/>
          <w:iCs/>
          <w:noProof/>
          <w:lang w:eastAsia="en-GB"/>
        </w:rPr>
        <w:t>. The summary</w:t>
      </w:r>
      <w:r>
        <w:rPr>
          <w:rFonts w:ascii="Times New Roman" w:eastAsia="Times New Roman" w:hAnsi="Times New Roman" w:cs="Times New Roman"/>
          <w:i/>
          <w:iCs/>
          <w:noProof/>
          <w:lang w:eastAsia="en-GB"/>
        </w:rPr>
        <w:t>, however,</w:t>
      </w:r>
      <w:r w:rsidRPr="00402D1A">
        <w:rPr>
          <w:rFonts w:ascii="Times New Roman" w:eastAsia="Times New Roman" w:hAnsi="Times New Roman" w:cs="Times New Roman"/>
          <w:i/>
          <w:iCs/>
          <w:noProof/>
          <w:lang w:eastAsia="en-GB"/>
        </w:rPr>
        <w:t xml:space="preserve"> confronts data limitation due to the lack of comparable and equivalent NUTS 3 data in both countries. The timeliness and sources of data reveals another methodological concern. It is often the case where important indicators are not evenly present in both territories. When all this limitation occurs, upper spatial scale (NUTS 2-1, nation-level) data are used instead, accounting for comparability (in terms of sourcing, measurement and timeliness), reciprocity and relevancy in the CBC context so as to better capture territorial dimension </w:t>
      </w:r>
      <w:r w:rsidRPr="00402D1A">
        <w:rPr>
          <w:rFonts w:ascii="Times New Roman" w:eastAsia="Times New Roman" w:hAnsi="Times New Roman" w:cs="Times New Roman"/>
          <w:i/>
          <w:iCs/>
          <w:noProof/>
          <w:lang w:val="en-US" w:eastAsia="en-GB"/>
        </w:rPr>
        <w:t>of sector policies at all governance levels,</w:t>
      </w:r>
      <w:r w:rsidRPr="00402D1A">
        <w:rPr>
          <w:rFonts w:ascii="Times New Roman" w:eastAsia="Times New Roman" w:hAnsi="Times New Roman" w:cs="Times New Roman"/>
          <w:i/>
          <w:iCs/>
          <w:noProof/>
          <w:lang w:eastAsia="en-GB"/>
        </w:rPr>
        <w:t xml:space="preserve"> whose need for that is highlighted in the Territorial Agenda 2030.</w:t>
      </w:r>
      <w:r>
        <w:rPr>
          <w:rFonts w:ascii="Times New Roman" w:eastAsia="Times New Roman" w:hAnsi="Times New Roman" w:cs="Times New Roman"/>
          <w:i/>
          <w:iCs/>
          <w:noProof/>
          <w:lang w:eastAsia="en-GB"/>
        </w:rPr>
        <w:t xml:space="preserve"> The narrative is built up on data for 2020, and when this is not possible latest available data are used instead.</w:t>
      </w:r>
    </w:p>
  </w:footnote>
  <w:footnote w:id="3">
    <w:p w14:paraId="3F95DE06" w14:textId="77777777" w:rsidR="006707A4" w:rsidRPr="00E50C38" w:rsidRDefault="006707A4" w:rsidP="00006ED5">
      <w:pPr>
        <w:pStyle w:val="FootnoteText"/>
        <w:rPr>
          <w:lang w:val="en-US"/>
        </w:rPr>
      </w:pPr>
      <w:r>
        <w:rPr>
          <w:rStyle w:val="FootnoteReference"/>
        </w:rPr>
        <w:footnoteRef/>
      </w:r>
      <w:r>
        <w:t xml:space="preserve"> </w:t>
      </w:r>
      <w:hyperlink r:id="rId1" w:anchor="Poverty_and_deprivation" w:history="1">
        <w:r w:rsidRPr="00C3061C">
          <w:rPr>
            <w:rStyle w:val="Hyperlink"/>
          </w:rPr>
          <w:t>https://ec.europa.eu/eurostat/statistics-explained/index.php?title=Living_conditions_statistics_at_regional_level#Poverty_and_deprivation</w:t>
        </w:r>
      </w:hyperlink>
      <w:r>
        <w:rPr>
          <w:lang w:val="en-US"/>
        </w:rPr>
        <w:t xml:space="preserve"> </w:t>
      </w:r>
    </w:p>
  </w:footnote>
  <w:footnote w:id="4">
    <w:p w14:paraId="73735635" w14:textId="77777777" w:rsidR="006707A4" w:rsidRPr="003845E2" w:rsidRDefault="006707A4" w:rsidP="00111435">
      <w:pPr>
        <w:pStyle w:val="FootnoteText"/>
        <w:rPr>
          <w:lang w:val="en-US"/>
        </w:rPr>
      </w:pPr>
      <w:r>
        <w:rPr>
          <w:rStyle w:val="FootnoteReference"/>
        </w:rPr>
        <w:footnoteRef/>
      </w:r>
      <w:r>
        <w:t xml:space="preserve"> </w:t>
      </w:r>
      <w:hyperlink r:id="rId2" w:history="1">
        <w:r w:rsidRPr="003309FC">
          <w:rPr>
            <w:rStyle w:val="Hyperlink"/>
          </w:rPr>
          <w:t>https://ec.europa.eu/eurostat/databrowser/view/BD_HGNACE2_R3__custom_692265/default/table?lang=en</w:t>
        </w:r>
      </w:hyperlink>
      <w:r>
        <w:rPr>
          <w:lang w:val="en-US"/>
        </w:rPr>
        <w:t xml:space="preserve"> </w:t>
      </w:r>
    </w:p>
  </w:footnote>
  <w:footnote w:id="5">
    <w:p w14:paraId="2ABF1AC7" w14:textId="77777777" w:rsidR="006707A4" w:rsidRPr="00127615" w:rsidRDefault="006707A4" w:rsidP="008A4E1A">
      <w:pPr>
        <w:pStyle w:val="FootnoteText"/>
        <w:rPr>
          <w:lang w:val="en-US"/>
        </w:rPr>
      </w:pPr>
      <w:r>
        <w:rPr>
          <w:rStyle w:val="FootnoteReference"/>
        </w:rPr>
        <w:footnoteRef/>
      </w:r>
      <w:r>
        <w:t xml:space="preserve"> </w:t>
      </w:r>
      <w:hyperlink r:id="rId3" w:history="1">
        <w:r w:rsidRPr="003309FC">
          <w:rPr>
            <w:rStyle w:val="Hyperlink"/>
          </w:rPr>
          <w:t>https://ec.europa.eu/digital-single-market/en/digital-economy-and-society-index-desi</w:t>
        </w:r>
      </w:hyperlink>
      <w:r>
        <w:rPr>
          <w:lang w:val="en-US"/>
        </w:rPr>
        <w:t xml:space="preserve"> </w:t>
      </w:r>
    </w:p>
  </w:footnote>
  <w:footnote w:id="6">
    <w:p w14:paraId="007310F3" w14:textId="77777777" w:rsidR="006707A4" w:rsidRPr="00B46F25" w:rsidRDefault="006707A4" w:rsidP="008A4E1A">
      <w:pPr>
        <w:pStyle w:val="FootnoteText"/>
        <w:rPr>
          <w:lang w:val="en-US"/>
        </w:rPr>
      </w:pPr>
      <w:r>
        <w:rPr>
          <w:rStyle w:val="FootnoteReference"/>
        </w:rPr>
        <w:footnoteRef/>
      </w:r>
      <w:r>
        <w:t xml:space="preserve"> </w:t>
      </w:r>
      <w:hyperlink r:id="rId4" w:history="1">
        <w:r w:rsidRPr="003309FC">
          <w:rPr>
            <w:rStyle w:val="Hyperlink"/>
          </w:rPr>
          <w:t>https://joinup.ec.europa.eu/collection/nifo-national-interoperability-framework-observatory/digital-government-factsheets-2019</w:t>
        </w:r>
      </w:hyperlink>
      <w:r>
        <w:rPr>
          <w:lang w:val="en-US"/>
        </w:rPr>
        <w:t xml:space="preserve"> </w:t>
      </w:r>
    </w:p>
  </w:footnote>
  <w:footnote w:id="7">
    <w:p w14:paraId="595DE6C9" w14:textId="77777777" w:rsidR="006707A4" w:rsidRPr="00D64F12" w:rsidRDefault="006707A4" w:rsidP="00533160">
      <w:pPr>
        <w:pStyle w:val="FootnoteText"/>
        <w:rPr>
          <w:lang w:val="en-US"/>
        </w:rPr>
      </w:pPr>
      <w:r>
        <w:rPr>
          <w:rStyle w:val="FootnoteReference"/>
        </w:rPr>
        <w:footnoteRef/>
      </w:r>
      <w:r>
        <w:t xml:space="preserve"> European Commission (2019b), Employment and Social Developments in Europe 2019, July 2019.</w:t>
      </w:r>
    </w:p>
  </w:footnote>
  <w:footnote w:id="8">
    <w:p w14:paraId="026B82D1" w14:textId="77777777" w:rsidR="006707A4" w:rsidRPr="00890C01" w:rsidRDefault="006707A4" w:rsidP="00533160">
      <w:pPr>
        <w:pStyle w:val="FootnoteText"/>
        <w:rPr>
          <w:lang w:val="en-US"/>
        </w:rPr>
      </w:pPr>
      <w:r>
        <w:rPr>
          <w:rStyle w:val="FootnoteReference"/>
        </w:rPr>
        <w:footnoteRef/>
      </w:r>
      <w:r>
        <w:t xml:space="preserve"> </w:t>
      </w:r>
      <w:r w:rsidRPr="003F68DF">
        <w:rPr>
          <w:rStyle w:val="Hyperlink"/>
        </w:rPr>
        <w:t>https://ec.europa.eu/eurostat/web/circular-economy/indicators/main-tables</w:t>
      </w:r>
      <w:r>
        <w:rPr>
          <w:lang w:val="en-US"/>
        </w:rPr>
        <w:t xml:space="preserve"> </w:t>
      </w:r>
    </w:p>
  </w:footnote>
  <w:footnote w:id="9">
    <w:p w14:paraId="71864A0A" w14:textId="77777777" w:rsidR="006707A4" w:rsidRPr="001E4CFD" w:rsidRDefault="006707A4" w:rsidP="00DF7695">
      <w:pPr>
        <w:pStyle w:val="FootnoteText"/>
        <w:rPr>
          <w:lang w:val="en-US"/>
        </w:rPr>
      </w:pPr>
      <w:r>
        <w:rPr>
          <w:rStyle w:val="FootnoteReference"/>
        </w:rPr>
        <w:footnoteRef/>
      </w:r>
      <w:r>
        <w:t xml:space="preserve"> </w:t>
      </w:r>
      <w:hyperlink r:id="rId5" w:history="1">
        <w:r w:rsidRPr="001E4CFD">
          <w:rPr>
            <w:rStyle w:val="Hyperlink"/>
            <w:sz w:val="18"/>
            <w:szCs w:val="18"/>
          </w:rPr>
          <w:t>https://biodiversity.europa.eu/green-infrastructure/typology-of-gi</w:t>
        </w:r>
      </w:hyperlink>
      <w:r>
        <w:rPr>
          <w:sz w:val="18"/>
          <w:szCs w:val="18"/>
          <w:lang w:val="en-US"/>
        </w:rPr>
        <w:t xml:space="preserve"> </w:t>
      </w:r>
    </w:p>
  </w:footnote>
  <w:footnote w:id="10">
    <w:p w14:paraId="47D351BA" w14:textId="77777777" w:rsidR="006707A4" w:rsidRPr="0079401F" w:rsidRDefault="006707A4" w:rsidP="001B1197">
      <w:pPr>
        <w:pStyle w:val="FootnoteText"/>
        <w:ind w:left="567" w:hanging="567"/>
        <w:rPr>
          <w:i/>
        </w:rPr>
      </w:pPr>
      <w:r w:rsidRPr="00EB52E8">
        <w:rPr>
          <w:rStyle w:val="FootnoteReference"/>
        </w:rPr>
        <w:footnoteRef/>
      </w:r>
      <w:r w:rsidRPr="0079401F">
        <w:tab/>
      </w:r>
      <w:r w:rsidRPr="0079401F">
        <w:rPr>
          <w:i/>
        </w:rPr>
        <w:t>Interreg A, external cross-border cooperation</w:t>
      </w:r>
      <w:r>
        <w:rPr>
          <w:i/>
        </w:rPr>
        <w:t>.</w:t>
      </w:r>
    </w:p>
  </w:footnote>
  <w:footnote w:id="11">
    <w:p w14:paraId="10F3334D" w14:textId="77777777" w:rsidR="006707A4" w:rsidRPr="00AF2B95" w:rsidRDefault="006707A4" w:rsidP="001B1197">
      <w:pPr>
        <w:pStyle w:val="FootnoteText"/>
        <w:ind w:left="567" w:hanging="567"/>
      </w:pPr>
      <w:r w:rsidRPr="00EB52E8">
        <w:rPr>
          <w:rStyle w:val="FootnoteReference"/>
        </w:rPr>
        <w:footnoteRef/>
      </w:r>
      <w:r w:rsidRPr="0079401F">
        <w:tab/>
      </w:r>
      <w:r w:rsidRPr="0079401F">
        <w:rPr>
          <w:i/>
        </w:rPr>
        <w:t>Interreg A, external cross-border cooperation</w:t>
      </w:r>
      <w:r>
        <w:rPr>
          <w:i/>
        </w:rPr>
        <w:t>.</w:t>
      </w:r>
    </w:p>
  </w:footnote>
  <w:footnote w:id="12">
    <w:p w14:paraId="5D03C592" w14:textId="77777777" w:rsidR="006707A4" w:rsidRPr="0079401F" w:rsidRDefault="006707A4" w:rsidP="001B1197">
      <w:pPr>
        <w:pStyle w:val="FootnoteText"/>
        <w:ind w:left="567" w:hanging="567"/>
      </w:pPr>
      <w:r w:rsidRPr="00EB52E8">
        <w:rPr>
          <w:rStyle w:val="FootnoteReference"/>
        </w:rPr>
        <w:footnoteRef/>
      </w:r>
      <w:r w:rsidRPr="0079401F">
        <w:tab/>
      </w:r>
      <w:r w:rsidRPr="0079401F">
        <w:rPr>
          <w:i/>
        </w:rPr>
        <w:t>Interreg</w:t>
      </w:r>
      <w:r w:rsidRPr="0079401F" w:rsidDel="001E0D5A">
        <w:rPr>
          <w:i/>
        </w:rPr>
        <w:t xml:space="preserve"> </w:t>
      </w:r>
      <w:r w:rsidRPr="0079401F">
        <w:rPr>
          <w:i/>
        </w:rPr>
        <w:t>B and C</w:t>
      </w:r>
      <w:r>
        <w:rPr>
          <w:i/>
        </w:rPr>
        <w:t>.</w:t>
      </w:r>
    </w:p>
  </w:footnote>
  <w:footnote w:id="13">
    <w:p w14:paraId="74BF5F82" w14:textId="77777777" w:rsidR="006707A4" w:rsidRPr="0079401F" w:rsidRDefault="006707A4" w:rsidP="001B1197">
      <w:pPr>
        <w:pStyle w:val="FootnoteText"/>
        <w:ind w:left="567" w:hanging="567"/>
        <w:rPr>
          <w:lang w:val="en-US"/>
        </w:rPr>
      </w:pPr>
      <w:r w:rsidRPr="00EB52E8">
        <w:rPr>
          <w:rStyle w:val="FootnoteReference"/>
        </w:rPr>
        <w:footnoteRef/>
      </w:r>
      <w:r w:rsidRPr="0079401F">
        <w:tab/>
      </w:r>
      <w:r w:rsidRPr="0079401F">
        <w:rPr>
          <w:i/>
        </w:rPr>
        <w:t>Interreg B and C</w:t>
      </w:r>
      <w:r>
        <w:rPr>
          <w:i/>
        </w:rPr>
        <w:t>.</w:t>
      </w:r>
    </w:p>
  </w:footnote>
  <w:footnote w:id="14">
    <w:p w14:paraId="6CBFE686" w14:textId="77777777" w:rsidR="006707A4" w:rsidRPr="0079401F" w:rsidRDefault="006707A4" w:rsidP="001B1197">
      <w:pPr>
        <w:pStyle w:val="FootnoteText"/>
        <w:ind w:left="567" w:hanging="567"/>
        <w:rPr>
          <w:lang w:val="en-US"/>
        </w:rPr>
      </w:pPr>
      <w:r w:rsidRPr="00EB52E8">
        <w:rPr>
          <w:rStyle w:val="FootnoteReference"/>
        </w:rPr>
        <w:footnoteRef/>
      </w:r>
      <w:r w:rsidRPr="0079401F">
        <w:tab/>
      </w:r>
      <w:r w:rsidRPr="0079401F">
        <w:rPr>
          <w:i/>
        </w:rPr>
        <w:t>Interreg</w:t>
      </w:r>
      <w:r>
        <w:rPr>
          <w:i/>
        </w:rPr>
        <w:t xml:space="preserve"> B,</w:t>
      </w:r>
      <w:r w:rsidRPr="0079401F" w:rsidDel="001E0D5A">
        <w:rPr>
          <w:i/>
        </w:rPr>
        <w:t xml:space="preserve"> </w:t>
      </w:r>
      <w:r w:rsidRPr="0079401F">
        <w:rPr>
          <w:i/>
        </w:rPr>
        <w:t>C and D</w:t>
      </w:r>
      <w:r>
        <w:rPr>
          <w:i/>
        </w:rPr>
        <w:t>.</w:t>
      </w:r>
    </w:p>
  </w:footnote>
  <w:footnote w:id="15">
    <w:p w14:paraId="18FB9CE4" w14:textId="77777777" w:rsidR="006707A4" w:rsidRDefault="006707A4" w:rsidP="001B1197">
      <w:pPr>
        <w:pStyle w:val="FootnoteText"/>
        <w:ind w:left="567" w:hanging="567"/>
      </w:pPr>
      <w:r w:rsidRPr="00EB52E8">
        <w:rPr>
          <w:rStyle w:val="FootnoteReference"/>
        </w:rPr>
        <w:footnoteRef/>
      </w:r>
      <w:r w:rsidRPr="0079401F">
        <w:tab/>
      </w:r>
      <w:r w:rsidRPr="0079401F">
        <w:rPr>
          <w:i/>
        </w:rPr>
        <w:t>ERDF,</w:t>
      </w:r>
      <w:r w:rsidRPr="0079401F">
        <w:t xml:space="preserve"> </w:t>
      </w:r>
      <w:r>
        <w:rPr>
          <w:i/>
        </w:rPr>
        <w:t xml:space="preserve">IPA III, NDICI or OCTP, </w:t>
      </w:r>
      <w:proofErr w:type="spellStart"/>
      <w:r>
        <w:rPr>
          <w:i/>
        </w:rPr>
        <w:t xml:space="preserve">where </w:t>
      </w:r>
      <w:r w:rsidRPr="0079401F">
        <w:rPr>
          <w:i/>
        </w:rPr>
        <w:t>as</w:t>
      </w:r>
      <w:proofErr w:type="spellEnd"/>
      <w:r w:rsidRPr="0079401F">
        <w:rPr>
          <w:i/>
        </w:rPr>
        <w:t xml:space="preserve"> single amount under Interreg B and C</w:t>
      </w:r>
      <w:r>
        <w:rPr>
          <w:i/>
        </w:rPr>
        <w:t>.</w:t>
      </w:r>
    </w:p>
  </w:footnote>
  <w:footnote w:id="16">
    <w:p w14:paraId="07BE9433" w14:textId="77777777" w:rsidR="006707A4" w:rsidRPr="00583567" w:rsidRDefault="006707A4" w:rsidP="001B1197">
      <w:pPr>
        <w:pStyle w:val="FootnoteText"/>
        <w:ind w:left="567" w:hanging="567"/>
        <w:rPr>
          <w:rFonts w:ascii="Times New Roman" w:hAnsi="Times New Roman" w:cs="Times New Roman"/>
          <w:i/>
          <w:iCs/>
          <w:lang w:val="bg-BG"/>
        </w:rPr>
      </w:pPr>
      <w:r w:rsidRPr="00A10ECC">
        <w:rPr>
          <w:rStyle w:val="FootnoteReference"/>
          <w:rFonts w:ascii="Times New Roman" w:hAnsi="Times New Roman" w:cs="Times New Roman"/>
          <w:i/>
          <w:iCs/>
        </w:rPr>
        <w:footnoteRef/>
      </w:r>
      <w:r w:rsidRPr="00A10ECC">
        <w:rPr>
          <w:rFonts w:ascii="Times New Roman" w:hAnsi="Times New Roman" w:cs="Times New Roman"/>
          <w:i/>
          <w:iCs/>
        </w:rPr>
        <w:tab/>
        <w:t>Interreg A, external cross-border cooperation.</w:t>
      </w:r>
    </w:p>
  </w:footnote>
  <w:footnote w:id="17">
    <w:p w14:paraId="354812F0" w14:textId="77777777" w:rsidR="006707A4" w:rsidRPr="00A10ECC" w:rsidRDefault="006707A4" w:rsidP="001B1197">
      <w:pPr>
        <w:pStyle w:val="FootnoteText"/>
        <w:ind w:left="567" w:hanging="567"/>
        <w:rPr>
          <w:rFonts w:ascii="Times New Roman" w:hAnsi="Times New Roman" w:cs="Times New Roman"/>
          <w:i/>
          <w:iCs/>
        </w:rPr>
      </w:pPr>
      <w:r w:rsidRPr="00A10ECC">
        <w:rPr>
          <w:rStyle w:val="FootnoteReference"/>
          <w:rFonts w:ascii="Times New Roman" w:hAnsi="Times New Roman" w:cs="Times New Roman"/>
          <w:i/>
          <w:iCs/>
        </w:rPr>
        <w:footnoteRef/>
      </w:r>
      <w:r w:rsidRPr="00A10ECC">
        <w:rPr>
          <w:rFonts w:ascii="Times New Roman" w:hAnsi="Times New Roman" w:cs="Times New Roman"/>
          <w:i/>
          <w:iCs/>
        </w:rPr>
        <w:tab/>
        <w:t>Interreg A, external cross-border cooperation.</w:t>
      </w:r>
    </w:p>
  </w:footnote>
  <w:footnote w:id="18">
    <w:p w14:paraId="290B53AF" w14:textId="77777777" w:rsidR="006707A4" w:rsidRPr="00A10ECC" w:rsidRDefault="006707A4" w:rsidP="001B1197">
      <w:pPr>
        <w:pStyle w:val="FootnoteText"/>
        <w:ind w:left="567" w:hanging="567"/>
        <w:rPr>
          <w:rFonts w:ascii="Times New Roman" w:hAnsi="Times New Roman" w:cs="Times New Roman"/>
          <w:i/>
          <w:iCs/>
        </w:rPr>
      </w:pPr>
      <w:r w:rsidRPr="00A10ECC">
        <w:rPr>
          <w:rStyle w:val="FootnoteReference"/>
          <w:rFonts w:ascii="Times New Roman" w:hAnsi="Times New Roman" w:cs="Times New Roman"/>
          <w:i/>
          <w:iCs/>
        </w:rPr>
        <w:footnoteRef/>
      </w:r>
      <w:r w:rsidRPr="00A10ECC">
        <w:rPr>
          <w:rFonts w:ascii="Times New Roman" w:hAnsi="Times New Roman" w:cs="Times New Roman"/>
          <w:i/>
          <w:iCs/>
        </w:rPr>
        <w:tab/>
        <w:t>Interreg</w:t>
      </w:r>
      <w:r w:rsidRPr="00A10ECC">
        <w:rPr>
          <w:rFonts w:ascii="Times New Roman" w:hAnsi="Times New Roman" w:cs="Times New Roman"/>
          <w:bCs/>
          <w:i/>
          <w:iCs/>
        </w:rPr>
        <w:t xml:space="preserve"> B and C.</w:t>
      </w:r>
    </w:p>
  </w:footnote>
  <w:footnote w:id="19">
    <w:p w14:paraId="329639E4" w14:textId="77777777" w:rsidR="006707A4" w:rsidRPr="00A10ECC" w:rsidRDefault="006707A4" w:rsidP="001B1197">
      <w:pPr>
        <w:pStyle w:val="FootnoteText"/>
        <w:ind w:left="567" w:hanging="567"/>
        <w:rPr>
          <w:rFonts w:ascii="Times New Roman" w:hAnsi="Times New Roman" w:cs="Times New Roman"/>
          <w:i/>
          <w:iCs/>
          <w:lang w:val="en-US"/>
        </w:rPr>
      </w:pPr>
      <w:r w:rsidRPr="00A10ECC">
        <w:rPr>
          <w:rStyle w:val="FootnoteReference"/>
          <w:rFonts w:ascii="Times New Roman" w:hAnsi="Times New Roman" w:cs="Times New Roman"/>
          <w:i/>
          <w:iCs/>
        </w:rPr>
        <w:footnoteRef/>
      </w:r>
      <w:r w:rsidRPr="00A10ECC">
        <w:rPr>
          <w:rFonts w:ascii="Times New Roman" w:hAnsi="Times New Roman" w:cs="Times New Roman"/>
          <w:i/>
          <w:iCs/>
        </w:rPr>
        <w:tab/>
        <w:t>Interreg</w:t>
      </w:r>
      <w:r w:rsidRPr="00A10ECC">
        <w:rPr>
          <w:rFonts w:ascii="Times New Roman" w:hAnsi="Times New Roman" w:cs="Times New Roman"/>
          <w:bCs/>
          <w:i/>
          <w:iCs/>
        </w:rPr>
        <w:t xml:space="preserve"> B and C.</w:t>
      </w:r>
    </w:p>
  </w:footnote>
  <w:footnote w:id="20">
    <w:p w14:paraId="4837A716" w14:textId="77777777" w:rsidR="006707A4" w:rsidRPr="0081773C" w:rsidRDefault="006707A4" w:rsidP="001B1197">
      <w:pPr>
        <w:pStyle w:val="FootnoteText"/>
        <w:ind w:left="567" w:hanging="567"/>
        <w:rPr>
          <w:rFonts w:ascii="Times New Roman" w:hAnsi="Times New Roman" w:cs="Times New Roman"/>
          <w:i/>
          <w:iCs/>
          <w:lang w:val="en-US"/>
        </w:rPr>
      </w:pPr>
      <w:r w:rsidRPr="00A10ECC">
        <w:rPr>
          <w:rStyle w:val="FootnoteReference"/>
          <w:rFonts w:ascii="Times New Roman" w:hAnsi="Times New Roman" w:cs="Times New Roman"/>
          <w:i/>
          <w:iCs/>
        </w:rPr>
        <w:footnoteRef/>
      </w:r>
      <w:r w:rsidRPr="00A10ECC">
        <w:rPr>
          <w:rFonts w:ascii="Times New Roman" w:hAnsi="Times New Roman" w:cs="Times New Roman"/>
          <w:i/>
          <w:iCs/>
        </w:rPr>
        <w:tab/>
        <w:t>Interreg B,</w:t>
      </w:r>
      <w:r w:rsidRPr="00A10ECC">
        <w:rPr>
          <w:rFonts w:ascii="Times New Roman" w:hAnsi="Times New Roman" w:cs="Times New Roman"/>
          <w:bCs/>
          <w:i/>
          <w:iCs/>
        </w:rPr>
        <w:t xml:space="preserve"> C and D.</w:t>
      </w:r>
    </w:p>
  </w:footnote>
  <w:footnote w:id="21">
    <w:p w14:paraId="1A11C6DE" w14:textId="77777777" w:rsidR="006707A4" w:rsidRPr="00627B52" w:rsidRDefault="006707A4" w:rsidP="001B1197">
      <w:pPr>
        <w:pStyle w:val="FootnoteText"/>
        <w:ind w:left="567" w:hanging="567"/>
      </w:pPr>
      <w:r w:rsidRPr="00A10ECC">
        <w:rPr>
          <w:rStyle w:val="FootnoteReference"/>
          <w:rFonts w:ascii="Times New Roman" w:hAnsi="Times New Roman" w:cs="Times New Roman"/>
          <w:i/>
          <w:iCs/>
        </w:rPr>
        <w:footnoteRef/>
      </w:r>
      <w:r w:rsidRPr="00A10ECC">
        <w:rPr>
          <w:rFonts w:ascii="Times New Roman" w:hAnsi="Times New Roman" w:cs="Times New Roman"/>
          <w:i/>
          <w:iCs/>
        </w:rPr>
        <w:tab/>
        <w:t xml:space="preserve">ERDF, IPA III, NDICI or OCTP, </w:t>
      </w:r>
      <w:proofErr w:type="spellStart"/>
      <w:r w:rsidRPr="00A10ECC">
        <w:rPr>
          <w:rFonts w:ascii="Times New Roman" w:hAnsi="Times New Roman" w:cs="Times New Roman"/>
          <w:i/>
          <w:iCs/>
        </w:rPr>
        <w:t>where as</w:t>
      </w:r>
      <w:proofErr w:type="spellEnd"/>
      <w:r w:rsidRPr="00A10ECC">
        <w:rPr>
          <w:rFonts w:ascii="Times New Roman" w:hAnsi="Times New Roman" w:cs="Times New Roman"/>
          <w:i/>
          <w:iCs/>
        </w:rPr>
        <w:t xml:space="preserve"> single amount under </w:t>
      </w:r>
      <w:r w:rsidRPr="00A10ECC">
        <w:rPr>
          <w:rFonts w:ascii="Times New Roman" w:hAnsi="Times New Roman" w:cs="Times New Roman"/>
          <w:bCs/>
          <w:i/>
          <w:iCs/>
        </w:rPr>
        <w:t>Interreg B and C.</w:t>
      </w:r>
    </w:p>
  </w:footnote>
  <w:footnote w:id="22">
    <w:p w14:paraId="3706FE41" w14:textId="77777777" w:rsidR="006707A4" w:rsidRPr="00C41960" w:rsidRDefault="006707A4" w:rsidP="00427261">
      <w:pPr>
        <w:pStyle w:val="FootnoteText"/>
      </w:pPr>
      <w:r>
        <w:rPr>
          <w:rStyle w:val="FootnoteReference"/>
        </w:rPr>
        <w:t>+</w:t>
      </w:r>
      <w:r>
        <w:t xml:space="preserve"> </w:t>
      </w:r>
      <w:r>
        <w:tab/>
      </w:r>
      <w:r w:rsidRPr="0039752E">
        <w:rPr>
          <w:lang w:val="ro-RO"/>
        </w:rPr>
        <w:t xml:space="preserve">OJ: Please insert in the text the number of the Regulation contained in document … </w:t>
      </w:r>
      <w:r w:rsidRPr="00F42BBA">
        <w:rPr>
          <w:iCs/>
        </w:rPr>
        <w:t>[</w:t>
      </w:r>
      <w:r w:rsidRPr="00C41960">
        <w:rPr>
          <w:lang w:val="ro-RO"/>
        </w:rPr>
        <w:t>2018/0196(COD)</w:t>
      </w:r>
      <w:r w:rsidRPr="00F42BBA">
        <w:rPr>
          <w:iCs/>
        </w:rPr>
        <w:t>]</w:t>
      </w:r>
      <w:r>
        <w:rPr>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DA9C8" w14:textId="77777777" w:rsidR="006707A4" w:rsidRPr="000C035E" w:rsidRDefault="006707A4" w:rsidP="00CD19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C8C55" w14:textId="77777777" w:rsidR="006707A4" w:rsidRPr="000C035E" w:rsidRDefault="006707A4" w:rsidP="00CD19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F87D9" w14:textId="77777777" w:rsidR="006707A4" w:rsidRPr="000C035E" w:rsidRDefault="006707A4" w:rsidP="00CD194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7B9B1" w14:textId="77777777" w:rsidR="006707A4" w:rsidRPr="000C035E" w:rsidRDefault="006707A4" w:rsidP="00CD194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FCDEC" w14:textId="77777777" w:rsidR="006707A4" w:rsidRPr="000C035E" w:rsidRDefault="006707A4" w:rsidP="00CD194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29A82" w14:textId="77777777" w:rsidR="006707A4" w:rsidRPr="000C035E" w:rsidRDefault="006707A4" w:rsidP="00CD19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808E3"/>
    <w:multiLevelType w:val="hybridMultilevel"/>
    <w:tmpl w:val="1BD89668"/>
    <w:lvl w:ilvl="0" w:tplc="74463356">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5F66404"/>
    <w:multiLevelType w:val="hybridMultilevel"/>
    <w:tmpl w:val="BED0BFC0"/>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 w15:restartNumberingAfterBreak="0">
    <w:nsid w:val="07DE6FCC"/>
    <w:multiLevelType w:val="hybridMultilevel"/>
    <w:tmpl w:val="75F60130"/>
    <w:lvl w:ilvl="0" w:tplc="95EE448E">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70C4F4E"/>
    <w:multiLevelType w:val="multilevel"/>
    <w:tmpl w:val="6400C5F2"/>
    <w:lvl w:ilvl="0">
      <w:start w:val="2"/>
      <w:numFmt w:val="decimal"/>
      <w:lvlText w:val="%1."/>
      <w:lvlJc w:val="left"/>
      <w:pPr>
        <w:ind w:left="360" w:hanging="360"/>
      </w:pPr>
      <w:rPr>
        <w:rFonts w:hint="default"/>
      </w:rPr>
    </w:lvl>
    <w:lvl w:ilvl="1">
      <w:start w:val="3"/>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 w15:restartNumberingAfterBreak="0">
    <w:nsid w:val="176B2912"/>
    <w:multiLevelType w:val="hybridMultilevel"/>
    <w:tmpl w:val="9B3A689E"/>
    <w:lvl w:ilvl="0" w:tplc="790C3228">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 w15:restartNumberingAfterBreak="0">
    <w:nsid w:val="223A4615"/>
    <w:multiLevelType w:val="multilevel"/>
    <w:tmpl w:val="0809001F"/>
    <w:lvl w:ilvl="0">
      <w:start w:val="1"/>
      <w:numFmt w:val="decimal"/>
      <w:lvlText w:val="%1."/>
      <w:lvlJc w:val="left"/>
      <w:pPr>
        <w:ind w:left="360" w:hanging="360"/>
      </w:pPr>
      <w:rPr>
        <w:i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CA4565"/>
    <w:multiLevelType w:val="hybridMultilevel"/>
    <w:tmpl w:val="9668C10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7" w15:restartNumberingAfterBreak="0">
    <w:nsid w:val="4438492A"/>
    <w:multiLevelType w:val="hybridMultilevel"/>
    <w:tmpl w:val="259E66D2"/>
    <w:lvl w:ilvl="0" w:tplc="0402000B">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8" w15:restartNumberingAfterBreak="0">
    <w:nsid w:val="4A3B0D57"/>
    <w:multiLevelType w:val="hybridMultilevel"/>
    <w:tmpl w:val="33D6E8D8"/>
    <w:lvl w:ilvl="0" w:tplc="A854415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542B2F76"/>
    <w:multiLevelType w:val="hybridMultilevel"/>
    <w:tmpl w:val="F918BC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6A3842FF"/>
    <w:multiLevelType w:val="hybridMultilevel"/>
    <w:tmpl w:val="C70ED78C"/>
    <w:lvl w:ilvl="0" w:tplc="A37A10C6">
      <w:start w:val="1"/>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7A2A6135"/>
    <w:multiLevelType w:val="hybridMultilevel"/>
    <w:tmpl w:val="E1504A0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10"/>
  </w:num>
  <w:num w:numId="7">
    <w:abstractNumId w:val="11"/>
  </w:num>
  <w:num w:numId="8">
    <w:abstractNumId w:val="7"/>
  </w:num>
  <w:num w:numId="9">
    <w:abstractNumId w:val="0"/>
  </w:num>
  <w:num w:numId="10">
    <w:abstractNumId w:val="9"/>
  </w:num>
  <w:num w:numId="11">
    <w:abstractNumId w:val="8"/>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F33"/>
    <w:rsid w:val="00005208"/>
    <w:rsid w:val="00006ED5"/>
    <w:rsid w:val="000076BA"/>
    <w:rsid w:val="0001111A"/>
    <w:rsid w:val="0001170D"/>
    <w:rsid w:val="0001247A"/>
    <w:rsid w:val="00014310"/>
    <w:rsid w:val="00015676"/>
    <w:rsid w:val="00016590"/>
    <w:rsid w:val="0002187B"/>
    <w:rsid w:val="00022743"/>
    <w:rsid w:val="000304BC"/>
    <w:rsid w:val="0003201D"/>
    <w:rsid w:val="00032ED3"/>
    <w:rsid w:val="00036050"/>
    <w:rsid w:val="0003674D"/>
    <w:rsid w:val="0004174B"/>
    <w:rsid w:val="00052821"/>
    <w:rsid w:val="00053698"/>
    <w:rsid w:val="00053974"/>
    <w:rsid w:val="00054715"/>
    <w:rsid w:val="00056FC6"/>
    <w:rsid w:val="00061ED3"/>
    <w:rsid w:val="000626E3"/>
    <w:rsid w:val="00066060"/>
    <w:rsid w:val="00067AA8"/>
    <w:rsid w:val="00071897"/>
    <w:rsid w:val="00072142"/>
    <w:rsid w:val="00076260"/>
    <w:rsid w:val="00076A3E"/>
    <w:rsid w:val="000803AF"/>
    <w:rsid w:val="00082083"/>
    <w:rsid w:val="000831B0"/>
    <w:rsid w:val="00083681"/>
    <w:rsid w:val="000900D7"/>
    <w:rsid w:val="00091DFD"/>
    <w:rsid w:val="000A08EF"/>
    <w:rsid w:val="000A1E4D"/>
    <w:rsid w:val="000A2C6A"/>
    <w:rsid w:val="000A4031"/>
    <w:rsid w:val="000A7DD2"/>
    <w:rsid w:val="000B174C"/>
    <w:rsid w:val="000B225C"/>
    <w:rsid w:val="000B24E1"/>
    <w:rsid w:val="000B75E7"/>
    <w:rsid w:val="000D195D"/>
    <w:rsid w:val="000D3644"/>
    <w:rsid w:val="000D4377"/>
    <w:rsid w:val="000D511E"/>
    <w:rsid w:val="000D732C"/>
    <w:rsid w:val="000E1A69"/>
    <w:rsid w:val="000E5323"/>
    <w:rsid w:val="000F20DC"/>
    <w:rsid w:val="001005DB"/>
    <w:rsid w:val="0010393A"/>
    <w:rsid w:val="00104815"/>
    <w:rsid w:val="00105206"/>
    <w:rsid w:val="00105D9F"/>
    <w:rsid w:val="001109AD"/>
    <w:rsid w:val="00111433"/>
    <w:rsid w:val="00111435"/>
    <w:rsid w:val="001223D8"/>
    <w:rsid w:val="00125081"/>
    <w:rsid w:val="001313AD"/>
    <w:rsid w:val="00132614"/>
    <w:rsid w:val="00134940"/>
    <w:rsid w:val="00134C52"/>
    <w:rsid w:val="00135EB9"/>
    <w:rsid w:val="001420F2"/>
    <w:rsid w:val="00142136"/>
    <w:rsid w:val="001444C9"/>
    <w:rsid w:val="00145F9B"/>
    <w:rsid w:val="00156283"/>
    <w:rsid w:val="00162403"/>
    <w:rsid w:val="00162F33"/>
    <w:rsid w:val="001631A0"/>
    <w:rsid w:val="001635EC"/>
    <w:rsid w:val="001655B6"/>
    <w:rsid w:val="00166F73"/>
    <w:rsid w:val="00167219"/>
    <w:rsid w:val="00167E63"/>
    <w:rsid w:val="001728D7"/>
    <w:rsid w:val="0017764F"/>
    <w:rsid w:val="00181C8C"/>
    <w:rsid w:val="00185F6F"/>
    <w:rsid w:val="001959C0"/>
    <w:rsid w:val="001A525C"/>
    <w:rsid w:val="001B0017"/>
    <w:rsid w:val="001B1197"/>
    <w:rsid w:val="001B699F"/>
    <w:rsid w:val="001C161B"/>
    <w:rsid w:val="001C539A"/>
    <w:rsid w:val="001D6469"/>
    <w:rsid w:val="001E34BA"/>
    <w:rsid w:val="001E71EA"/>
    <w:rsid w:val="001F0F44"/>
    <w:rsid w:val="001F126C"/>
    <w:rsid w:val="001F208D"/>
    <w:rsid w:val="001F24B1"/>
    <w:rsid w:val="001F322E"/>
    <w:rsid w:val="001F370D"/>
    <w:rsid w:val="001F57D0"/>
    <w:rsid w:val="00203171"/>
    <w:rsid w:val="00204C46"/>
    <w:rsid w:val="0020788B"/>
    <w:rsid w:val="00210759"/>
    <w:rsid w:val="002130E5"/>
    <w:rsid w:val="00214AE0"/>
    <w:rsid w:val="00216407"/>
    <w:rsid w:val="0021719A"/>
    <w:rsid w:val="0022508A"/>
    <w:rsid w:val="0022756E"/>
    <w:rsid w:val="0023670F"/>
    <w:rsid w:val="00236A27"/>
    <w:rsid w:val="0024135F"/>
    <w:rsid w:val="00247670"/>
    <w:rsid w:val="002535A4"/>
    <w:rsid w:val="002547F2"/>
    <w:rsid w:val="002556A6"/>
    <w:rsid w:val="00255F90"/>
    <w:rsid w:val="00263FFB"/>
    <w:rsid w:val="00265A8C"/>
    <w:rsid w:val="002701AB"/>
    <w:rsid w:val="00272184"/>
    <w:rsid w:val="00272B33"/>
    <w:rsid w:val="00272D50"/>
    <w:rsid w:val="0027366C"/>
    <w:rsid w:val="00273CA6"/>
    <w:rsid w:val="00276435"/>
    <w:rsid w:val="00281D53"/>
    <w:rsid w:val="00295ADF"/>
    <w:rsid w:val="00297FDB"/>
    <w:rsid w:val="002A40CD"/>
    <w:rsid w:val="002A5B5E"/>
    <w:rsid w:val="002A66D7"/>
    <w:rsid w:val="002B2BF0"/>
    <w:rsid w:val="002B32E1"/>
    <w:rsid w:val="002B4A9C"/>
    <w:rsid w:val="002B5F99"/>
    <w:rsid w:val="002B672B"/>
    <w:rsid w:val="002C0851"/>
    <w:rsid w:val="002C4FEB"/>
    <w:rsid w:val="002C55C1"/>
    <w:rsid w:val="002C6529"/>
    <w:rsid w:val="002D1EDF"/>
    <w:rsid w:val="002D48FB"/>
    <w:rsid w:val="002D6C77"/>
    <w:rsid w:val="002E159B"/>
    <w:rsid w:val="002F3AF5"/>
    <w:rsid w:val="002F49BD"/>
    <w:rsid w:val="002F7D01"/>
    <w:rsid w:val="00300C4B"/>
    <w:rsid w:val="00306E2A"/>
    <w:rsid w:val="00310503"/>
    <w:rsid w:val="003105A2"/>
    <w:rsid w:val="00310BBB"/>
    <w:rsid w:val="00312E8C"/>
    <w:rsid w:val="00316314"/>
    <w:rsid w:val="003209D0"/>
    <w:rsid w:val="00321441"/>
    <w:rsid w:val="0032243D"/>
    <w:rsid w:val="003243E3"/>
    <w:rsid w:val="00325397"/>
    <w:rsid w:val="00325DBE"/>
    <w:rsid w:val="00337DEA"/>
    <w:rsid w:val="00340BEC"/>
    <w:rsid w:val="0034347D"/>
    <w:rsid w:val="003447B8"/>
    <w:rsid w:val="00345401"/>
    <w:rsid w:val="0034602A"/>
    <w:rsid w:val="003462A7"/>
    <w:rsid w:val="00351824"/>
    <w:rsid w:val="0035206E"/>
    <w:rsid w:val="00352E34"/>
    <w:rsid w:val="00355636"/>
    <w:rsid w:val="00360228"/>
    <w:rsid w:val="00360D0F"/>
    <w:rsid w:val="0036129D"/>
    <w:rsid w:val="0036418F"/>
    <w:rsid w:val="003656B6"/>
    <w:rsid w:val="00365D52"/>
    <w:rsid w:val="003728A5"/>
    <w:rsid w:val="003730C3"/>
    <w:rsid w:val="0037389C"/>
    <w:rsid w:val="00373F53"/>
    <w:rsid w:val="0037454D"/>
    <w:rsid w:val="00375456"/>
    <w:rsid w:val="003758CE"/>
    <w:rsid w:val="003828FD"/>
    <w:rsid w:val="00384035"/>
    <w:rsid w:val="00390BCA"/>
    <w:rsid w:val="0039184A"/>
    <w:rsid w:val="00391C2A"/>
    <w:rsid w:val="00393DEA"/>
    <w:rsid w:val="003A0DAD"/>
    <w:rsid w:val="003A3553"/>
    <w:rsid w:val="003A380C"/>
    <w:rsid w:val="003A7ED9"/>
    <w:rsid w:val="003B16B9"/>
    <w:rsid w:val="003B1E80"/>
    <w:rsid w:val="003B229D"/>
    <w:rsid w:val="003B3022"/>
    <w:rsid w:val="003B5D20"/>
    <w:rsid w:val="003B5F82"/>
    <w:rsid w:val="003B74E2"/>
    <w:rsid w:val="003B7DD5"/>
    <w:rsid w:val="003C0857"/>
    <w:rsid w:val="003C0B44"/>
    <w:rsid w:val="003C2C9C"/>
    <w:rsid w:val="003C3C3B"/>
    <w:rsid w:val="003C43FF"/>
    <w:rsid w:val="003C4D94"/>
    <w:rsid w:val="003C74B2"/>
    <w:rsid w:val="003D494D"/>
    <w:rsid w:val="003D4A25"/>
    <w:rsid w:val="003D504F"/>
    <w:rsid w:val="003D5234"/>
    <w:rsid w:val="003E125D"/>
    <w:rsid w:val="003E2E0F"/>
    <w:rsid w:val="003E34F0"/>
    <w:rsid w:val="003E3585"/>
    <w:rsid w:val="003F0B54"/>
    <w:rsid w:val="00401400"/>
    <w:rsid w:val="00402D1A"/>
    <w:rsid w:val="00406DDB"/>
    <w:rsid w:val="004117AB"/>
    <w:rsid w:val="00411F5A"/>
    <w:rsid w:val="00421E44"/>
    <w:rsid w:val="00426662"/>
    <w:rsid w:val="00427261"/>
    <w:rsid w:val="00436A2D"/>
    <w:rsid w:val="00440C8A"/>
    <w:rsid w:val="004455B7"/>
    <w:rsid w:val="004474CE"/>
    <w:rsid w:val="00451D78"/>
    <w:rsid w:val="00461E07"/>
    <w:rsid w:val="00467F86"/>
    <w:rsid w:val="0047205C"/>
    <w:rsid w:val="00472CAD"/>
    <w:rsid w:val="00475F6C"/>
    <w:rsid w:val="0047685E"/>
    <w:rsid w:val="00482F66"/>
    <w:rsid w:val="004833AF"/>
    <w:rsid w:val="00484774"/>
    <w:rsid w:val="00486493"/>
    <w:rsid w:val="004A2556"/>
    <w:rsid w:val="004A4AE5"/>
    <w:rsid w:val="004B2C8E"/>
    <w:rsid w:val="004B696C"/>
    <w:rsid w:val="004D0804"/>
    <w:rsid w:val="004D34AB"/>
    <w:rsid w:val="004E06E4"/>
    <w:rsid w:val="004E27AE"/>
    <w:rsid w:val="004E3CAF"/>
    <w:rsid w:val="004E7590"/>
    <w:rsid w:val="004E7C10"/>
    <w:rsid w:val="004F07BA"/>
    <w:rsid w:val="004F6E32"/>
    <w:rsid w:val="004F784D"/>
    <w:rsid w:val="004F7E79"/>
    <w:rsid w:val="00500818"/>
    <w:rsid w:val="005010DC"/>
    <w:rsid w:val="005011E2"/>
    <w:rsid w:val="00502272"/>
    <w:rsid w:val="00505E63"/>
    <w:rsid w:val="00512924"/>
    <w:rsid w:val="00516798"/>
    <w:rsid w:val="00520654"/>
    <w:rsid w:val="005229D6"/>
    <w:rsid w:val="005247E9"/>
    <w:rsid w:val="00526EB9"/>
    <w:rsid w:val="005277FA"/>
    <w:rsid w:val="00531FA3"/>
    <w:rsid w:val="00532680"/>
    <w:rsid w:val="00533160"/>
    <w:rsid w:val="0053358F"/>
    <w:rsid w:val="00534983"/>
    <w:rsid w:val="0053571F"/>
    <w:rsid w:val="00536857"/>
    <w:rsid w:val="005458C1"/>
    <w:rsid w:val="00546AE7"/>
    <w:rsid w:val="00551320"/>
    <w:rsid w:val="00551738"/>
    <w:rsid w:val="00555DDA"/>
    <w:rsid w:val="00556D73"/>
    <w:rsid w:val="00561269"/>
    <w:rsid w:val="00561F22"/>
    <w:rsid w:val="00562AC9"/>
    <w:rsid w:val="005635CF"/>
    <w:rsid w:val="005658DF"/>
    <w:rsid w:val="005672AF"/>
    <w:rsid w:val="00571C7E"/>
    <w:rsid w:val="00573384"/>
    <w:rsid w:val="005741CF"/>
    <w:rsid w:val="005748EA"/>
    <w:rsid w:val="005775C8"/>
    <w:rsid w:val="00583567"/>
    <w:rsid w:val="00586CF0"/>
    <w:rsid w:val="00587CB4"/>
    <w:rsid w:val="00591D82"/>
    <w:rsid w:val="005A10DF"/>
    <w:rsid w:val="005A4F48"/>
    <w:rsid w:val="005A60CE"/>
    <w:rsid w:val="005B1142"/>
    <w:rsid w:val="005B393C"/>
    <w:rsid w:val="005B5B2A"/>
    <w:rsid w:val="005C2DEC"/>
    <w:rsid w:val="005C2DF0"/>
    <w:rsid w:val="005C315B"/>
    <w:rsid w:val="005C4DC8"/>
    <w:rsid w:val="005C4F4D"/>
    <w:rsid w:val="005C7409"/>
    <w:rsid w:val="005D03E9"/>
    <w:rsid w:val="005D3DA8"/>
    <w:rsid w:val="005D4F4D"/>
    <w:rsid w:val="005D5CC5"/>
    <w:rsid w:val="005D7469"/>
    <w:rsid w:val="005E0D37"/>
    <w:rsid w:val="005E117A"/>
    <w:rsid w:val="005E18CD"/>
    <w:rsid w:val="005E1F5C"/>
    <w:rsid w:val="005E27F3"/>
    <w:rsid w:val="005E2A0D"/>
    <w:rsid w:val="005E48F0"/>
    <w:rsid w:val="005E751A"/>
    <w:rsid w:val="005F1D08"/>
    <w:rsid w:val="005F2393"/>
    <w:rsid w:val="0060230A"/>
    <w:rsid w:val="00603C32"/>
    <w:rsid w:val="0061196C"/>
    <w:rsid w:val="00612676"/>
    <w:rsid w:val="0061281C"/>
    <w:rsid w:val="00614B63"/>
    <w:rsid w:val="00616176"/>
    <w:rsid w:val="00617C7C"/>
    <w:rsid w:val="006201D6"/>
    <w:rsid w:val="0062032A"/>
    <w:rsid w:val="00621357"/>
    <w:rsid w:val="00622994"/>
    <w:rsid w:val="006236F3"/>
    <w:rsid w:val="00625FFE"/>
    <w:rsid w:val="00631555"/>
    <w:rsid w:val="00637F8A"/>
    <w:rsid w:val="00644013"/>
    <w:rsid w:val="006452B6"/>
    <w:rsid w:val="0064591B"/>
    <w:rsid w:val="00650121"/>
    <w:rsid w:val="00651579"/>
    <w:rsid w:val="00651D2C"/>
    <w:rsid w:val="00654B61"/>
    <w:rsid w:val="00655F9E"/>
    <w:rsid w:val="0066257B"/>
    <w:rsid w:val="0066363A"/>
    <w:rsid w:val="00663CB0"/>
    <w:rsid w:val="0066515B"/>
    <w:rsid w:val="00665C4B"/>
    <w:rsid w:val="006707A4"/>
    <w:rsid w:val="00672F96"/>
    <w:rsid w:val="00673542"/>
    <w:rsid w:val="0067549E"/>
    <w:rsid w:val="006773B4"/>
    <w:rsid w:val="00680FA5"/>
    <w:rsid w:val="00683B36"/>
    <w:rsid w:val="00690E2C"/>
    <w:rsid w:val="006914EC"/>
    <w:rsid w:val="00693DE0"/>
    <w:rsid w:val="006955CE"/>
    <w:rsid w:val="006967CF"/>
    <w:rsid w:val="006A5247"/>
    <w:rsid w:val="006A54EF"/>
    <w:rsid w:val="006A79BA"/>
    <w:rsid w:val="006B0CB7"/>
    <w:rsid w:val="006B2BA6"/>
    <w:rsid w:val="006B303C"/>
    <w:rsid w:val="006B5F1E"/>
    <w:rsid w:val="006B6759"/>
    <w:rsid w:val="006C1A5E"/>
    <w:rsid w:val="006D01B7"/>
    <w:rsid w:val="006D3329"/>
    <w:rsid w:val="006D5361"/>
    <w:rsid w:val="006D6E5C"/>
    <w:rsid w:val="006E1711"/>
    <w:rsid w:val="006E415B"/>
    <w:rsid w:val="006E4EE3"/>
    <w:rsid w:val="006E6314"/>
    <w:rsid w:val="006E69B2"/>
    <w:rsid w:val="006F2384"/>
    <w:rsid w:val="006F295D"/>
    <w:rsid w:val="006F3600"/>
    <w:rsid w:val="006F68A7"/>
    <w:rsid w:val="0070024D"/>
    <w:rsid w:val="00701654"/>
    <w:rsid w:val="00702B25"/>
    <w:rsid w:val="00713A40"/>
    <w:rsid w:val="00716D6E"/>
    <w:rsid w:val="00717FEB"/>
    <w:rsid w:val="00720880"/>
    <w:rsid w:val="00720B96"/>
    <w:rsid w:val="00724D2A"/>
    <w:rsid w:val="00725009"/>
    <w:rsid w:val="0072641B"/>
    <w:rsid w:val="007275CC"/>
    <w:rsid w:val="00731DF3"/>
    <w:rsid w:val="00741729"/>
    <w:rsid w:val="007438EB"/>
    <w:rsid w:val="00750F06"/>
    <w:rsid w:val="00754475"/>
    <w:rsid w:val="007573D7"/>
    <w:rsid w:val="00760139"/>
    <w:rsid w:val="00765A6B"/>
    <w:rsid w:val="0077016B"/>
    <w:rsid w:val="007716DF"/>
    <w:rsid w:val="00773B45"/>
    <w:rsid w:val="00773DE5"/>
    <w:rsid w:val="00774B5A"/>
    <w:rsid w:val="00775455"/>
    <w:rsid w:val="007802EC"/>
    <w:rsid w:val="00781590"/>
    <w:rsid w:val="007830F5"/>
    <w:rsid w:val="00785183"/>
    <w:rsid w:val="007931F9"/>
    <w:rsid w:val="007A1775"/>
    <w:rsid w:val="007A23BF"/>
    <w:rsid w:val="007A3361"/>
    <w:rsid w:val="007A5FCE"/>
    <w:rsid w:val="007A7F73"/>
    <w:rsid w:val="007B1DB1"/>
    <w:rsid w:val="007B2D63"/>
    <w:rsid w:val="007B4341"/>
    <w:rsid w:val="007B6B0B"/>
    <w:rsid w:val="007B759F"/>
    <w:rsid w:val="007B75FD"/>
    <w:rsid w:val="007C1871"/>
    <w:rsid w:val="007C1C26"/>
    <w:rsid w:val="007C2CBE"/>
    <w:rsid w:val="007D7238"/>
    <w:rsid w:val="007E0846"/>
    <w:rsid w:val="007E41C5"/>
    <w:rsid w:val="007E51AD"/>
    <w:rsid w:val="007E791C"/>
    <w:rsid w:val="007F113E"/>
    <w:rsid w:val="007F44D2"/>
    <w:rsid w:val="00800648"/>
    <w:rsid w:val="00801C1F"/>
    <w:rsid w:val="0080327C"/>
    <w:rsid w:val="008039D1"/>
    <w:rsid w:val="00805E7B"/>
    <w:rsid w:val="00807A9F"/>
    <w:rsid w:val="008104B3"/>
    <w:rsid w:val="00810EB1"/>
    <w:rsid w:val="00811AFF"/>
    <w:rsid w:val="00813BA7"/>
    <w:rsid w:val="008169A6"/>
    <w:rsid w:val="0081773C"/>
    <w:rsid w:val="00820BA4"/>
    <w:rsid w:val="00827073"/>
    <w:rsid w:val="00830B0B"/>
    <w:rsid w:val="0083223D"/>
    <w:rsid w:val="008338B2"/>
    <w:rsid w:val="00840168"/>
    <w:rsid w:val="00842441"/>
    <w:rsid w:val="00843534"/>
    <w:rsid w:val="00847DFE"/>
    <w:rsid w:val="0085055F"/>
    <w:rsid w:val="00850BB6"/>
    <w:rsid w:val="00851680"/>
    <w:rsid w:val="00851D3E"/>
    <w:rsid w:val="0085533B"/>
    <w:rsid w:val="0086006C"/>
    <w:rsid w:val="008604D9"/>
    <w:rsid w:val="008623EE"/>
    <w:rsid w:val="00864194"/>
    <w:rsid w:val="008645B6"/>
    <w:rsid w:val="0086603A"/>
    <w:rsid w:val="00866CA8"/>
    <w:rsid w:val="008677DF"/>
    <w:rsid w:val="00870308"/>
    <w:rsid w:val="00874D3A"/>
    <w:rsid w:val="0087771E"/>
    <w:rsid w:val="0088561E"/>
    <w:rsid w:val="00891312"/>
    <w:rsid w:val="0089264D"/>
    <w:rsid w:val="00893359"/>
    <w:rsid w:val="00893561"/>
    <w:rsid w:val="00897C13"/>
    <w:rsid w:val="008A0755"/>
    <w:rsid w:val="008A1461"/>
    <w:rsid w:val="008A4E1A"/>
    <w:rsid w:val="008A5A99"/>
    <w:rsid w:val="008A68F4"/>
    <w:rsid w:val="008B0892"/>
    <w:rsid w:val="008B10FB"/>
    <w:rsid w:val="008B4346"/>
    <w:rsid w:val="008B4CFA"/>
    <w:rsid w:val="008B7B4D"/>
    <w:rsid w:val="008C1189"/>
    <w:rsid w:val="008C323B"/>
    <w:rsid w:val="008D02B1"/>
    <w:rsid w:val="008D2457"/>
    <w:rsid w:val="008D4E69"/>
    <w:rsid w:val="008E42C4"/>
    <w:rsid w:val="008E4E67"/>
    <w:rsid w:val="008E572E"/>
    <w:rsid w:val="008E6F25"/>
    <w:rsid w:val="008E745C"/>
    <w:rsid w:val="008E7630"/>
    <w:rsid w:val="008E7CE5"/>
    <w:rsid w:val="008F38BF"/>
    <w:rsid w:val="00903698"/>
    <w:rsid w:val="00904C58"/>
    <w:rsid w:val="00904D33"/>
    <w:rsid w:val="009057B1"/>
    <w:rsid w:val="00907306"/>
    <w:rsid w:val="009147C1"/>
    <w:rsid w:val="0091583C"/>
    <w:rsid w:val="0091727E"/>
    <w:rsid w:val="00920B92"/>
    <w:rsid w:val="0092130D"/>
    <w:rsid w:val="00930CA5"/>
    <w:rsid w:val="00930E80"/>
    <w:rsid w:val="009350C4"/>
    <w:rsid w:val="00937E94"/>
    <w:rsid w:val="00942C46"/>
    <w:rsid w:val="009434A1"/>
    <w:rsid w:val="009466C1"/>
    <w:rsid w:val="0095157F"/>
    <w:rsid w:val="00960747"/>
    <w:rsid w:val="0096153F"/>
    <w:rsid w:val="0096500F"/>
    <w:rsid w:val="0096715F"/>
    <w:rsid w:val="00972BF2"/>
    <w:rsid w:val="00973063"/>
    <w:rsid w:val="00974F3B"/>
    <w:rsid w:val="009837F4"/>
    <w:rsid w:val="0098462E"/>
    <w:rsid w:val="00986319"/>
    <w:rsid w:val="0098638B"/>
    <w:rsid w:val="009952F1"/>
    <w:rsid w:val="00995A72"/>
    <w:rsid w:val="009A331F"/>
    <w:rsid w:val="009A389E"/>
    <w:rsid w:val="009A5088"/>
    <w:rsid w:val="009B1247"/>
    <w:rsid w:val="009B3550"/>
    <w:rsid w:val="009B7576"/>
    <w:rsid w:val="009C0219"/>
    <w:rsid w:val="009C0D61"/>
    <w:rsid w:val="009C2AF1"/>
    <w:rsid w:val="009C4D09"/>
    <w:rsid w:val="009C7A9B"/>
    <w:rsid w:val="009D0FFB"/>
    <w:rsid w:val="009D1526"/>
    <w:rsid w:val="009D1FA9"/>
    <w:rsid w:val="009D4577"/>
    <w:rsid w:val="009E1A8B"/>
    <w:rsid w:val="009E4ABC"/>
    <w:rsid w:val="009F129F"/>
    <w:rsid w:val="009F3D98"/>
    <w:rsid w:val="009F7A66"/>
    <w:rsid w:val="00A0015F"/>
    <w:rsid w:val="00A038ED"/>
    <w:rsid w:val="00A10ECC"/>
    <w:rsid w:val="00A11F1D"/>
    <w:rsid w:val="00A1491D"/>
    <w:rsid w:val="00A14D16"/>
    <w:rsid w:val="00A2038F"/>
    <w:rsid w:val="00A2065C"/>
    <w:rsid w:val="00A20FF4"/>
    <w:rsid w:val="00A22A2C"/>
    <w:rsid w:val="00A32F9E"/>
    <w:rsid w:val="00A5098D"/>
    <w:rsid w:val="00A54312"/>
    <w:rsid w:val="00A56DC6"/>
    <w:rsid w:val="00A65293"/>
    <w:rsid w:val="00A77BA6"/>
    <w:rsid w:val="00A84E2E"/>
    <w:rsid w:val="00A8646B"/>
    <w:rsid w:val="00A9154B"/>
    <w:rsid w:val="00A92B00"/>
    <w:rsid w:val="00A93DC4"/>
    <w:rsid w:val="00A97AD8"/>
    <w:rsid w:val="00AA0606"/>
    <w:rsid w:val="00AA2367"/>
    <w:rsid w:val="00AA3D01"/>
    <w:rsid w:val="00AA5285"/>
    <w:rsid w:val="00AA7DEE"/>
    <w:rsid w:val="00AB1682"/>
    <w:rsid w:val="00AB1E23"/>
    <w:rsid w:val="00AB34BF"/>
    <w:rsid w:val="00AB7D62"/>
    <w:rsid w:val="00AC0803"/>
    <w:rsid w:val="00AC3EAA"/>
    <w:rsid w:val="00AC7767"/>
    <w:rsid w:val="00AC7962"/>
    <w:rsid w:val="00AC7D66"/>
    <w:rsid w:val="00AD0992"/>
    <w:rsid w:val="00AD2A12"/>
    <w:rsid w:val="00AD67A3"/>
    <w:rsid w:val="00AE3DE3"/>
    <w:rsid w:val="00AF249C"/>
    <w:rsid w:val="00AF2E99"/>
    <w:rsid w:val="00AF416B"/>
    <w:rsid w:val="00AF51CE"/>
    <w:rsid w:val="00AF5CA9"/>
    <w:rsid w:val="00B0100F"/>
    <w:rsid w:val="00B02CBD"/>
    <w:rsid w:val="00B03729"/>
    <w:rsid w:val="00B04EC8"/>
    <w:rsid w:val="00B074D1"/>
    <w:rsid w:val="00B20256"/>
    <w:rsid w:val="00B209A0"/>
    <w:rsid w:val="00B22FBC"/>
    <w:rsid w:val="00B23160"/>
    <w:rsid w:val="00B302EC"/>
    <w:rsid w:val="00B30A06"/>
    <w:rsid w:val="00B340F8"/>
    <w:rsid w:val="00B370FB"/>
    <w:rsid w:val="00B37CF6"/>
    <w:rsid w:val="00B46C0A"/>
    <w:rsid w:val="00B523F1"/>
    <w:rsid w:val="00B53034"/>
    <w:rsid w:val="00B54D7B"/>
    <w:rsid w:val="00B5654E"/>
    <w:rsid w:val="00B65141"/>
    <w:rsid w:val="00B72309"/>
    <w:rsid w:val="00B7258B"/>
    <w:rsid w:val="00B7575D"/>
    <w:rsid w:val="00B75775"/>
    <w:rsid w:val="00B75B34"/>
    <w:rsid w:val="00B76BFB"/>
    <w:rsid w:val="00B80215"/>
    <w:rsid w:val="00B802AF"/>
    <w:rsid w:val="00B835A7"/>
    <w:rsid w:val="00B836AD"/>
    <w:rsid w:val="00B83C0D"/>
    <w:rsid w:val="00B86EB6"/>
    <w:rsid w:val="00B90747"/>
    <w:rsid w:val="00B92EC8"/>
    <w:rsid w:val="00B933AD"/>
    <w:rsid w:val="00BA13F7"/>
    <w:rsid w:val="00BA1CF8"/>
    <w:rsid w:val="00BA1F52"/>
    <w:rsid w:val="00BA4120"/>
    <w:rsid w:val="00BA7B95"/>
    <w:rsid w:val="00BB016C"/>
    <w:rsid w:val="00BB4E0C"/>
    <w:rsid w:val="00BC16E7"/>
    <w:rsid w:val="00BC196D"/>
    <w:rsid w:val="00BC1F37"/>
    <w:rsid w:val="00BC2926"/>
    <w:rsid w:val="00BD4E35"/>
    <w:rsid w:val="00BD64D9"/>
    <w:rsid w:val="00BD7768"/>
    <w:rsid w:val="00BE215E"/>
    <w:rsid w:val="00BE5BF4"/>
    <w:rsid w:val="00BE7614"/>
    <w:rsid w:val="00BF7D00"/>
    <w:rsid w:val="00C01232"/>
    <w:rsid w:val="00C04741"/>
    <w:rsid w:val="00C13EE5"/>
    <w:rsid w:val="00C167C2"/>
    <w:rsid w:val="00C21F31"/>
    <w:rsid w:val="00C227C0"/>
    <w:rsid w:val="00C3026F"/>
    <w:rsid w:val="00C32111"/>
    <w:rsid w:val="00C329DA"/>
    <w:rsid w:val="00C333C9"/>
    <w:rsid w:val="00C347F5"/>
    <w:rsid w:val="00C36842"/>
    <w:rsid w:val="00C43E62"/>
    <w:rsid w:val="00C4531E"/>
    <w:rsid w:val="00C47DFF"/>
    <w:rsid w:val="00C50610"/>
    <w:rsid w:val="00C55CE6"/>
    <w:rsid w:val="00C63FD6"/>
    <w:rsid w:val="00C7340D"/>
    <w:rsid w:val="00C7357C"/>
    <w:rsid w:val="00C83190"/>
    <w:rsid w:val="00C8379E"/>
    <w:rsid w:val="00C84863"/>
    <w:rsid w:val="00C90CBC"/>
    <w:rsid w:val="00C91FBD"/>
    <w:rsid w:val="00C92ECA"/>
    <w:rsid w:val="00C953A6"/>
    <w:rsid w:val="00CB3C0B"/>
    <w:rsid w:val="00CB54E9"/>
    <w:rsid w:val="00CC1B9F"/>
    <w:rsid w:val="00CC3DEA"/>
    <w:rsid w:val="00CC4813"/>
    <w:rsid w:val="00CC4BAD"/>
    <w:rsid w:val="00CC537B"/>
    <w:rsid w:val="00CD1943"/>
    <w:rsid w:val="00CD7FF5"/>
    <w:rsid w:val="00CE0FD0"/>
    <w:rsid w:val="00CE15F5"/>
    <w:rsid w:val="00CE2421"/>
    <w:rsid w:val="00CE4F59"/>
    <w:rsid w:val="00CF1193"/>
    <w:rsid w:val="00CF2061"/>
    <w:rsid w:val="00D01FB9"/>
    <w:rsid w:val="00D02F1F"/>
    <w:rsid w:val="00D03337"/>
    <w:rsid w:val="00D065F0"/>
    <w:rsid w:val="00D07428"/>
    <w:rsid w:val="00D1058E"/>
    <w:rsid w:val="00D10B5C"/>
    <w:rsid w:val="00D1704B"/>
    <w:rsid w:val="00D17221"/>
    <w:rsid w:val="00D17DA1"/>
    <w:rsid w:val="00D17E42"/>
    <w:rsid w:val="00D227E6"/>
    <w:rsid w:val="00D2401F"/>
    <w:rsid w:val="00D25C66"/>
    <w:rsid w:val="00D30E7C"/>
    <w:rsid w:val="00D3256A"/>
    <w:rsid w:val="00D35272"/>
    <w:rsid w:val="00D35A7A"/>
    <w:rsid w:val="00D42B82"/>
    <w:rsid w:val="00D43505"/>
    <w:rsid w:val="00D45EAD"/>
    <w:rsid w:val="00D467B8"/>
    <w:rsid w:val="00D535F3"/>
    <w:rsid w:val="00D549C2"/>
    <w:rsid w:val="00D62491"/>
    <w:rsid w:val="00D630C2"/>
    <w:rsid w:val="00D64CCC"/>
    <w:rsid w:val="00D67747"/>
    <w:rsid w:val="00D6786E"/>
    <w:rsid w:val="00D706AE"/>
    <w:rsid w:val="00D7418B"/>
    <w:rsid w:val="00D762BB"/>
    <w:rsid w:val="00D76FF4"/>
    <w:rsid w:val="00D85688"/>
    <w:rsid w:val="00D85FE3"/>
    <w:rsid w:val="00D865ED"/>
    <w:rsid w:val="00D86EC4"/>
    <w:rsid w:val="00D87896"/>
    <w:rsid w:val="00D87B3E"/>
    <w:rsid w:val="00D91774"/>
    <w:rsid w:val="00D92F9E"/>
    <w:rsid w:val="00D9394F"/>
    <w:rsid w:val="00D9560B"/>
    <w:rsid w:val="00DA06BA"/>
    <w:rsid w:val="00DA06E5"/>
    <w:rsid w:val="00DA68EE"/>
    <w:rsid w:val="00DA7AC2"/>
    <w:rsid w:val="00DA7F7E"/>
    <w:rsid w:val="00DB556C"/>
    <w:rsid w:val="00DC19B1"/>
    <w:rsid w:val="00DC6A62"/>
    <w:rsid w:val="00DD6757"/>
    <w:rsid w:val="00DD6985"/>
    <w:rsid w:val="00DD701C"/>
    <w:rsid w:val="00DE386A"/>
    <w:rsid w:val="00DE3B54"/>
    <w:rsid w:val="00DE6462"/>
    <w:rsid w:val="00DF1EDC"/>
    <w:rsid w:val="00DF362D"/>
    <w:rsid w:val="00DF568F"/>
    <w:rsid w:val="00DF5A1C"/>
    <w:rsid w:val="00DF7695"/>
    <w:rsid w:val="00E00A01"/>
    <w:rsid w:val="00E0124E"/>
    <w:rsid w:val="00E02A3E"/>
    <w:rsid w:val="00E05A16"/>
    <w:rsid w:val="00E05B2E"/>
    <w:rsid w:val="00E103EA"/>
    <w:rsid w:val="00E115DE"/>
    <w:rsid w:val="00E15198"/>
    <w:rsid w:val="00E16E87"/>
    <w:rsid w:val="00E1777B"/>
    <w:rsid w:val="00E207EB"/>
    <w:rsid w:val="00E22DBA"/>
    <w:rsid w:val="00E2315A"/>
    <w:rsid w:val="00E24804"/>
    <w:rsid w:val="00E26B76"/>
    <w:rsid w:val="00E33D58"/>
    <w:rsid w:val="00E456A6"/>
    <w:rsid w:val="00E56097"/>
    <w:rsid w:val="00E62050"/>
    <w:rsid w:val="00E65316"/>
    <w:rsid w:val="00E664F6"/>
    <w:rsid w:val="00E66CC9"/>
    <w:rsid w:val="00E71409"/>
    <w:rsid w:val="00E74B5A"/>
    <w:rsid w:val="00E772E1"/>
    <w:rsid w:val="00E77CD1"/>
    <w:rsid w:val="00E953DF"/>
    <w:rsid w:val="00EA5660"/>
    <w:rsid w:val="00EA568C"/>
    <w:rsid w:val="00EA74BA"/>
    <w:rsid w:val="00EB3ED9"/>
    <w:rsid w:val="00EB4ABF"/>
    <w:rsid w:val="00EB718E"/>
    <w:rsid w:val="00EC002D"/>
    <w:rsid w:val="00EC0899"/>
    <w:rsid w:val="00ED0CD4"/>
    <w:rsid w:val="00ED1DC9"/>
    <w:rsid w:val="00ED2549"/>
    <w:rsid w:val="00ED4E13"/>
    <w:rsid w:val="00ED6ED0"/>
    <w:rsid w:val="00EE1BDA"/>
    <w:rsid w:val="00EE36C9"/>
    <w:rsid w:val="00EE6298"/>
    <w:rsid w:val="00EE664D"/>
    <w:rsid w:val="00EE685F"/>
    <w:rsid w:val="00EE6C61"/>
    <w:rsid w:val="00EE7201"/>
    <w:rsid w:val="00EE72AB"/>
    <w:rsid w:val="00EF2358"/>
    <w:rsid w:val="00EF2FD7"/>
    <w:rsid w:val="00F02273"/>
    <w:rsid w:val="00F04981"/>
    <w:rsid w:val="00F04F04"/>
    <w:rsid w:val="00F13F4C"/>
    <w:rsid w:val="00F15E44"/>
    <w:rsid w:val="00F23C9C"/>
    <w:rsid w:val="00F2760C"/>
    <w:rsid w:val="00F31CB4"/>
    <w:rsid w:val="00F3481D"/>
    <w:rsid w:val="00F356B0"/>
    <w:rsid w:val="00F36490"/>
    <w:rsid w:val="00F37E8E"/>
    <w:rsid w:val="00F4474E"/>
    <w:rsid w:val="00F476D3"/>
    <w:rsid w:val="00F50275"/>
    <w:rsid w:val="00F54E39"/>
    <w:rsid w:val="00F62105"/>
    <w:rsid w:val="00F6517D"/>
    <w:rsid w:val="00F6522B"/>
    <w:rsid w:val="00F65B03"/>
    <w:rsid w:val="00F76B6B"/>
    <w:rsid w:val="00F80D26"/>
    <w:rsid w:val="00F83A55"/>
    <w:rsid w:val="00F85E44"/>
    <w:rsid w:val="00F92F3C"/>
    <w:rsid w:val="00F940E4"/>
    <w:rsid w:val="00F9455C"/>
    <w:rsid w:val="00F9691E"/>
    <w:rsid w:val="00FA0FB7"/>
    <w:rsid w:val="00FA15DF"/>
    <w:rsid w:val="00FA2CC0"/>
    <w:rsid w:val="00FA4213"/>
    <w:rsid w:val="00FA507D"/>
    <w:rsid w:val="00FA54A9"/>
    <w:rsid w:val="00FA56C3"/>
    <w:rsid w:val="00FB0837"/>
    <w:rsid w:val="00FB140A"/>
    <w:rsid w:val="00FB2B77"/>
    <w:rsid w:val="00FB6F5C"/>
    <w:rsid w:val="00FC05C5"/>
    <w:rsid w:val="00FC24EC"/>
    <w:rsid w:val="00FC2B89"/>
    <w:rsid w:val="00FC2EB5"/>
    <w:rsid w:val="00FC4FDE"/>
    <w:rsid w:val="00FC5B50"/>
    <w:rsid w:val="00FC6895"/>
    <w:rsid w:val="00FC774F"/>
    <w:rsid w:val="00FD07BD"/>
    <w:rsid w:val="00FD0BF4"/>
    <w:rsid w:val="00FD4032"/>
    <w:rsid w:val="00FD6695"/>
    <w:rsid w:val="00FE154A"/>
    <w:rsid w:val="00FE56E3"/>
    <w:rsid w:val="00FF0C18"/>
    <w:rsid w:val="00FF1628"/>
    <w:rsid w:val="00FF4F3D"/>
    <w:rsid w:val="00FF7687"/>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59B85"/>
  <w15:docId w15:val="{BDEBF692-B093-4D43-888B-3A2B813A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D00"/>
    <w:rPr>
      <w:lang w:val="en-GB"/>
    </w:rPr>
  </w:style>
  <w:style w:type="paragraph" w:styleId="Heading1">
    <w:name w:val="heading 1"/>
    <w:basedOn w:val="Normal"/>
    <w:next w:val="Normal"/>
    <w:link w:val="Heading1Char"/>
    <w:uiPriority w:val="9"/>
    <w:qFormat/>
    <w:rsid w:val="007E51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E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0ECC"/>
    <w:rPr>
      <w:lang w:val="en-GB"/>
    </w:rPr>
  </w:style>
  <w:style w:type="paragraph" w:styleId="Footer">
    <w:name w:val="footer"/>
    <w:basedOn w:val="Normal"/>
    <w:link w:val="FooterChar"/>
    <w:uiPriority w:val="99"/>
    <w:unhideWhenUsed/>
    <w:rsid w:val="00A10E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0ECC"/>
    <w:rPr>
      <w:lang w:val="en-GB"/>
    </w:rPr>
  </w:style>
  <w:style w:type="paragraph" w:styleId="FootnoteText">
    <w:name w:val="footnote text"/>
    <w:aliases w:val="Footnote Text Char Char Char Char Char Char,fn,single space,FOOTNOTES,Footnote Text Char Char,ft,Texto nota pie Car,Footnote Text Char1,Fußnotentext Char,Fußnotentext arial,ALTS FOOTNOTE,ADB,pod carou,Footnote text,Fußnotentextf"/>
    <w:basedOn w:val="Normal"/>
    <w:link w:val="FootnoteTextChar"/>
    <w:uiPriority w:val="99"/>
    <w:unhideWhenUsed/>
    <w:qFormat/>
    <w:rsid w:val="00A10ECC"/>
    <w:pPr>
      <w:spacing w:after="0" w:line="240" w:lineRule="auto"/>
    </w:pPr>
    <w:rPr>
      <w:sz w:val="20"/>
      <w:szCs w:val="20"/>
    </w:rPr>
  </w:style>
  <w:style w:type="character" w:customStyle="1" w:styleId="FootnoteTextChar">
    <w:name w:val="Footnote Text Char"/>
    <w:aliases w:val="Footnote Text Char Char Char Char Char Char Char,fn Char,single space Char,FOOTNOTES Char,Footnote Text Char Char Char,ft Char,Texto nota pie Car Char,Footnote Text Char1 Char,Fußnotentext Char Char,Fußnotentext arial Char,ADB Char"/>
    <w:basedOn w:val="DefaultParagraphFont"/>
    <w:link w:val="FootnoteText"/>
    <w:uiPriority w:val="99"/>
    <w:semiHidden/>
    <w:rsid w:val="00A10ECC"/>
    <w:rPr>
      <w:sz w:val="20"/>
      <w:szCs w:val="20"/>
      <w:lang w:val="en-GB"/>
    </w:rPr>
  </w:style>
  <w:style w:type="paragraph" w:styleId="CommentText">
    <w:name w:val="annotation text"/>
    <w:basedOn w:val="Normal"/>
    <w:link w:val="CommentTextChar"/>
    <w:uiPriority w:val="99"/>
    <w:semiHidden/>
    <w:unhideWhenUsed/>
    <w:rsid w:val="00A10ECC"/>
    <w:pPr>
      <w:spacing w:line="240" w:lineRule="auto"/>
    </w:pPr>
    <w:rPr>
      <w:sz w:val="20"/>
      <w:szCs w:val="20"/>
    </w:rPr>
  </w:style>
  <w:style w:type="character" w:customStyle="1" w:styleId="CommentTextChar">
    <w:name w:val="Comment Text Char"/>
    <w:basedOn w:val="DefaultParagraphFont"/>
    <w:link w:val="CommentText"/>
    <w:uiPriority w:val="99"/>
    <w:semiHidden/>
    <w:rsid w:val="00A10ECC"/>
    <w:rPr>
      <w:sz w:val="20"/>
      <w:szCs w:val="20"/>
      <w:lang w:val="en-GB"/>
    </w:rPr>
  </w:style>
  <w:style w:type="character" w:styleId="FootnoteReference">
    <w:name w:val="footnote reference"/>
    <w:aliases w:val="Footnote call,BVI fnr,SUPERS,Footnote symbol,(Footnote Reference),Footnote,Voetnootverwijzing,Times 10 Point,Exposant 3 Point,Footnote reference number,note TESI,stylish,Ref,de nota al pie,Footnote Reference1,16 Point,fr,o,FR,number"/>
    <w:basedOn w:val="DefaultParagraphFont"/>
    <w:link w:val="BVIfnrZnak"/>
    <w:uiPriority w:val="99"/>
    <w:unhideWhenUsed/>
    <w:qFormat/>
    <w:rsid w:val="00A10ECC"/>
    <w:rPr>
      <w:b/>
      <w:vertAlign w:val="superscript"/>
    </w:rPr>
  </w:style>
  <w:style w:type="paragraph" w:customStyle="1" w:styleId="FooterCouncil">
    <w:name w:val="Footer Council"/>
    <w:basedOn w:val="Normal"/>
    <w:link w:val="FooterCouncilChar"/>
    <w:rsid w:val="00A10ECC"/>
    <w:pPr>
      <w:spacing w:after="0" w:line="240" w:lineRule="auto"/>
    </w:pPr>
    <w:rPr>
      <w:rFonts w:ascii="Times New Roman" w:hAnsi="Times New Roman" w:cs="Times New Roman"/>
      <w:sz w:val="2"/>
    </w:rPr>
  </w:style>
  <w:style w:type="character" w:customStyle="1" w:styleId="FooterCouncilChar">
    <w:name w:val="Footer Council Char"/>
    <w:basedOn w:val="DefaultParagraphFont"/>
    <w:link w:val="FooterCouncil"/>
    <w:rsid w:val="00A10ECC"/>
    <w:rPr>
      <w:rFonts w:ascii="Times New Roman" w:hAnsi="Times New Roman" w:cs="Times New Roman"/>
      <w:sz w:val="2"/>
      <w:lang w:val="en-GB"/>
    </w:rPr>
  </w:style>
  <w:style w:type="paragraph" w:customStyle="1" w:styleId="FooterText">
    <w:name w:val="Footer Text"/>
    <w:basedOn w:val="Normal"/>
    <w:rsid w:val="00A10ECC"/>
    <w:pPr>
      <w:spacing w:after="0" w:line="240" w:lineRule="auto"/>
    </w:pPr>
    <w:rPr>
      <w:rFonts w:ascii="Times New Roman" w:eastAsia="Times New Roman" w:hAnsi="Times New Roman" w:cs="Times New Roman"/>
      <w:sz w:val="24"/>
      <w:szCs w:val="24"/>
    </w:rPr>
  </w:style>
  <w:style w:type="character" w:styleId="CommentReference">
    <w:name w:val="annotation reference"/>
    <w:uiPriority w:val="99"/>
    <w:unhideWhenUsed/>
    <w:rsid w:val="00A10ECC"/>
    <w:rPr>
      <w:sz w:val="16"/>
      <w:szCs w:val="16"/>
    </w:rPr>
  </w:style>
  <w:style w:type="table" w:customStyle="1" w:styleId="TableGrid1">
    <w:name w:val="Table Grid1"/>
    <w:basedOn w:val="TableNormal"/>
    <w:next w:val="TableGrid"/>
    <w:uiPriority w:val="59"/>
    <w:rsid w:val="00A10EC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FootnoteReference"/>
    <w:uiPriority w:val="99"/>
    <w:rsid w:val="00A10ECC"/>
    <w:pPr>
      <w:spacing w:line="240" w:lineRule="exact"/>
    </w:pPr>
    <w:rPr>
      <w:b/>
      <w:vertAlign w:val="superscript"/>
      <w:lang w:val="bg-BG"/>
    </w:rPr>
  </w:style>
  <w:style w:type="table" w:styleId="TableGrid">
    <w:name w:val="Table Grid"/>
    <w:basedOn w:val="TableNormal"/>
    <w:uiPriority w:val="39"/>
    <w:rsid w:val="00A10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0E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ECC"/>
    <w:rPr>
      <w:rFonts w:ascii="Segoe UI" w:hAnsi="Segoe UI" w:cs="Segoe UI"/>
      <w:sz w:val="18"/>
      <w:szCs w:val="18"/>
      <w:lang w:val="en-GB"/>
    </w:rPr>
  </w:style>
  <w:style w:type="character" w:styleId="Hyperlink">
    <w:name w:val="Hyperlink"/>
    <w:basedOn w:val="DefaultParagraphFont"/>
    <w:uiPriority w:val="99"/>
    <w:unhideWhenUsed/>
    <w:rsid w:val="00DF7695"/>
    <w:rPr>
      <w:color w:val="0563C1" w:themeColor="hyperlink"/>
      <w:u w:val="single"/>
    </w:rPr>
  </w:style>
  <w:style w:type="character" w:customStyle="1" w:styleId="29pt">
    <w:name w:val="Основен текст (2) + 9 pt;Удебелен;Курсив"/>
    <w:basedOn w:val="DefaultParagraphFont"/>
    <w:rsid w:val="005A60CE"/>
    <w:rPr>
      <w:rFonts w:ascii="Trebuchet MS" w:eastAsia="Trebuchet MS" w:hAnsi="Trebuchet MS" w:cs="Trebuchet MS"/>
      <w:b/>
      <w:bCs/>
      <w:i/>
      <w:iCs/>
      <w:smallCaps w:val="0"/>
      <w:strike w:val="0"/>
      <w:color w:val="000000"/>
      <w:spacing w:val="0"/>
      <w:w w:val="100"/>
      <w:position w:val="0"/>
      <w:sz w:val="18"/>
      <w:szCs w:val="18"/>
      <w:u w:val="none"/>
      <w:lang w:val="en-US" w:eastAsia="en-US" w:bidi="en-US"/>
    </w:rPr>
  </w:style>
  <w:style w:type="paragraph" w:styleId="Revision">
    <w:name w:val="Revision"/>
    <w:hidden/>
    <w:uiPriority w:val="99"/>
    <w:semiHidden/>
    <w:rsid w:val="00D9394F"/>
    <w:pPr>
      <w:spacing w:after="0" w:line="240" w:lineRule="auto"/>
    </w:pPr>
    <w:rPr>
      <w:lang w:val="en-GB"/>
    </w:rPr>
  </w:style>
  <w:style w:type="paragraph" w:styleId="ListParagraph">
    <w:name w:val="List Paragraph"/>
    <w:basedOn w:val="Normal"/>
    <w:link w:val="ListParagraphChar"/>
    <w:uiPriority w:val="34"/>
    <w:qFormat/>
    <w:rsid w:val="00693DE0"/>
    <w:pPr>
      <w:ind w:left="720"/>
      <w:contextualSpacing/>
    </w:pPr>
  </w:style>
  <w:style w:type="table" w:customStyle="1" w:styleId="TableGrid11">
    <w:name w:val="Table Grid11"/>
    <w:basedOn w:val="TableNormal"/>
    <w:next w:val="TableGrid"/>
    <w:uiPriority w:val="59"/>
    <w:rsid w:val="00693DE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458C1"/>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E0FD0"/>
    <w:rPr>
      <w:b/>
      <w:bCs/>
    </w:rPr>
  </w:style>
  <w:style w:type="character" w:customStyle="1" w:styleId="CommentSubjectChar">
    <w:name w:val="Comment Subject Char"/>
    <w:basedOn w:val="CommentTextChar"/>
    <w:link w:val="CommentSubject"/>
    <w:uiPriority w:val="99"/>
    <w:semiHidden/>
    <w:rsid w:val="00CE0FD0"/>
    <w:rPr>
      <w:b/>
      <w:bCs/>
      <w:sz w:val="20"/>
      <w:szCs w:val="20"/>
      <w:lang w:val="en-GB"/>
    </w:rPr>
  </w:style>
  <w:style w:type="character" w:styleId="FollowedHyperlink">
    <w:name w:val="FollowedHyperlink"/>
    <w:basedOn w:val="DefaultParagraphFont"/>
    <w:uiPriority w:val="99"/>
    <w:semiHidden/>
    <w:unhideWhenUsed/>
    <w:rsid w:val="005F2393"/>
    <w:rPr>
      <w:color w:val="954F72" w:themeColor="followedHyperlink"/>
      <w:u w:val="single"/>
    </w:rPr>
  </w:style>
  <w:style w:type="character" w:customStyle="1" w:styleId="Heading1Char">
    <w:name w:val="Heading 1 Char"/>
    <w:basedOn w:val="DefaultParagraphFont"/>
    <w:link w:val="Heading1"/>
    <w:uiPriority w:val="9"/>
    <w:rsid w:val="007E51AD"/>
    <w:rPr>
      <w:rFonts w:asciiTheme="majorHAnsi" w:eastAsiaTheme="majorEastAsia" w:hAnsiTheme="majorHAnsi" w:cstheme="majorBidi"/>
      <w:color w:val="2E74B5" w:themeColor="accent1" w:themeShade="BF"/>
      <w:sz w:val="32"/>
      <w:szCs w:val="32"/>
      <w:lang w:val="en-GB"/>
    </w:rPr>
  </w:style>
  <w:style w:type="character" w:customStyle="1" w:styleId="ListParagraphChar">
    <w:name w:val="List Paragraph Char"/>
    <w:basedOn w:val="DefaultParagraphFont"/>
    <w:link w:val="ListParagraph"/>
    <w:uiPriority w:val="34"/>
    <w:rsid w:val="0023670F"/>
    <w:rPr>
      <w:lang w:val="en-GB"/>
    </w:rPr>
  </w:style>
  <w:style w:type="table" w:customStyle="1" w:styleId="TableGrid12">
    <w:name w:val="Table Grid12"/>
    <w:basedOn w:val="TableNormal"/>
    <w:next w:val="TableGrid"/>
    <w:uiPriority w:val="59"/>
    <w:rsid w:val="0042726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B119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47670"/>
    <w:rPr>
      <w:rFonts w:ascii="CIDFont+F1" w:hAnsi="CIDFont+F1" w:hint="default"/>
      <w:b w:val="0"/>
      <w:bCs w:val="0"/>
      <w:i w:val="0"/>
      <w:iCs w:val="0"/>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25918">
      <w:bodyDiv w:val="1"/>
      <w:marLeft w:val="0"/>
      <w:marRight w:val="0"/>
      <w:marTop w:val="0"/>
      <w:marBottom w:val="0"/>
      <w:divBdr>
        <w:top w:val="none" w:sz="0" w:space="0" w:color="auto"/>
        <w:left w:val="none" w:sz="0" w:space="0" w:color="auto"/>
        <w:bottom w:val="none" w:sz="0" w:space="0" w:color="auto"/>
        <w:right w:val="none" w:sz="0" w:space="0" w:color="auto"/>
      </w:divBdr>
    </w:div>
    <w:div w:id="260066842">
      <w:bodyDiv w:val="1"/>
      <w:marLeft w:val="0"/>
      <w:marRight w:val="0"/>
      <w:marTop w:val="0"/>
      <w:marBottom w:val="0"/>
      <w:divBdr>
        <w:top w:val="none" w:sz="0" w:space="0" w:color="auto"/>
        <w:left w:val="none" w:sz="0" w:space="0" w:color="auto"/>
        <w:bottom w:val="none" w:sz="0" w:space="0" w:color="auto"/>
        <w:right w:val="none" w:sz="0" w:space="0" w:color="auto"/>
      </w:divBdr>
    </w:div>
    <w:div w:id="296765757">
      <w:bodyDiv w:val="1"/>
      <w:marLeft w:val="0"/>
      <w:marRight w:val="0"/>
      <w:marTop w:val="0"/>
      <w:marBottom w:val="0"/>
      <w:divBdr>
        <w:top w:val="none" w:sz="0" w:space="0" w:color="auto"/>
        <w:left w:val="none" w:sz="0" w:space="0" w:color="auto"/>
        <w:bottom w:val="none" w:sz="0" w:space="0" w:color="auto"/>
        <w:right w:val="none" w:sz="0" w:space="0" w:color="auto"/>
      </w:divBdr>
    </w:div>
    <w:div w:id="488449982">
      <w:bodyDiv w:val="1"/>
      <w:marLeft w:val="0"/>
      <w:marRight w:val="0"/>
      <w:marTop w:val="0"/>
      <w:marBottom w:val="0"/>
      <w:divBdr>
        <w:top w:val="none" w:sz="0" w:space="0" w:color="auto"/>
        <w:left w:val="none" w:sz="0" w:space="0" w:color="auto"/>
        <w:bottom w:val="none" w:sz="0" w:space="0" w:color="auto"/>
        <w:right w:val="none" w:sz="0" w:space="0" w:color="auto"/>
      </w:divBdr>
    </w:div>
    <w:div w:id="879784080">
      <w:bodyDiv w:val="1"/>
      <w:marLeft w:val="0"/>
      <w:marRight w:val="0"/>
      <w:marTop w:val="0"/>
      <w:marBottom w:val="0"/>
      <w:divBdr>
        <w:top w:val="none" w:sz="0" w:space="0" w:color="auto"/>
        <w:left w:val="none" w:sz="0" w:space="0" w:color="auto"/>
        <w:bottom w:val="none" w:sz="0" w:space="0" w:color="auto"/>
        <w:right w:val="none" w:sz="0" w:space="0" w:color="auto"/>
      </w:divBdr>
    </w:div>
    <w:div w:id="974406779">
      <w:bodyDiv w:val="1"/>
      <w:marLeft w:val="0"/>
      <w:marRight w:val="0"/>
      <w:marTop w:val="0"/>
      <w:marBottom w:val="0"/>
      <w:divBdr>
        <w:top w:val="none" w:sz="0" w:space="0" w:color="auto"/>
        <w:left w:val="none" w:sz="0" w:space="0" w:color="auto"/>
        <w:bottom w:val="none" w:sz="0" w:space="0" w:color="auto"/>
        <w:right w:val="none" w:sz="0" w:space="0" w:color="auto"/>
      </w:divBdr>
    </w:div>
    <w:div w:id="1001737720">
      <w:bodyDiv w:val="1"/>
      <w:marLeft w:val="0"/>
      <w:marRight w:val="0"/>
      <w:marTop w:val="0"/>
      <w:marBottom w:val="0"/>
      <w:divBdr>
        <w:top w:val="none" w:sz="0" w:space="0" w:color="auto"/>
        <w:left w:val="none" w:sz="0" w:space="0" w:color="auto"/>
        <w:bottom w:val="none" w:sz="0" w:space="0" w:color="auto"/>
        <w:right w:val="none" w:sz="0" w:space="0" w:color="auto"/>
      </w:divBdr>
    </w:div>
    <w:div w:id="1158573171">
      <w:bodyDiv w:val="1"/>
      <w:marLeft w:val="0"/>
      <w:marRight w:val="0"/>
      <w:marTop w:val="0"/>
      <w:marBottom w:val="0"/>
      <w:divBdr>
        <w:top w:val="none" w:sz="0" w:space="0" w:color="auto"/>
        <w:left w:val="none" w:sz="0" w:space="0" w:color="auto"/>
        <w:bottom w:val="none" w:sz="0" w:space="0" w:color="auto"/>
        <w:right w:val="none" w:sz="0" w:space="0" w:color="auto"/>
      </w:divBdr>
    </w:div>
    <w:div w:id="1412658885">
      <w:bodyDiv w:val="1"/>
      <w:marLeft w:val="0"/>
      <w:marRight w:val="0"/>
      <w:marTop w:val="0"/>
      <w:marBottom w:val="0"/>
      <w:divBdr>
        <w:top w:val="none" w:sz="0" w:space="0" w:color="auto"/>
        <w:left w:val="none" w:sz="0" w:space="0" w:color="auto"/>
        <w:bottom w:val="none" w:sz="0" w:space="0" w:color="auto"/>
        <w:right w:val="none" w:sz="0" w:space="0" w:color="auto"/>
      </w:divBdr>
    </w:div>
    <w:div w:id="1504321056">
      <w:bodyDiv w:val="1"/>
      <w:marLeft w:val="0"/>
      <w:marRight w:val="0"/>
      <w:marTop w:val="0"/>
      <w:marBottom w:val="0"/>
      <w:divBdr>
        <w:top w:val="none" w:sz="0" w:space="0" w:color="auto"/>
        <w:left w:val="none" w:sz="0" w:space="0" w:color="auto"/>
        <w:bottom w:val="none" w:sz="0" w:space="0" w:color="auto"/>
        <w:right w:val="none" w:sz="0" w:space="0" w:color="auto"/>
      </w:divBdr>
    </w:div>
    <w:div w:id="1640726175">
      <w:bodyDiv w:val="1"/>
      <w:marLeft w:val="0"/>
      <w:marRight w:val="0"/>
      <w:marTop w:val="0"/>
      <w:marBottom w:val="0"/>
      <w:divBdr>
        <w:top w:val="none" w:sz="0" w:space="0" w:color="auto"/>
        <w:left w:val="none" w:sz="0" w:space="0" w:color="auto"/>
        <w:bottom w:val="none" w:sz="0" w:space="0" w:color="auto"/>
        <w:right w:val="none" w:sz="0" w:space="0" w:color="auto"/>
      </w:divBdr>
    </w:div>
    <w:div w:id="1642810255">
      <w:bodyDiv w:val="1"/>
      <w:marLeft w:val="0"/>
      <w:marRight w:val="0"/>
      <w:marTop w:val="0"/>
      <w:marBottom w:val="0"/>
      <w:divBdr>
        <w:top w:val="none" w:sz="0" w:space="0" w:color="auto"/>
        <w:left w:val="none" w:sz="0" w:space="0" w:color="auto"/>
        <w:bottom w:val="none" w:sz="0" w:space="0" w:color="auto"/>
        <w:right w:val="none" w:sz="0" w:space="0" w:color="auto"/>
      </w:divBdr>
    </w:div>
    <w:div w:id="1706906820">
      <w:bodyDiv w:val="1"/>
      <w:marLeft w:val="0"/>
      <w:marRight w:val="0"/>
      <w:marTop w:val="0"/>
      <w:marBottom w:val="0"/>
      <w:divBdr>
        <w:top w:val="none" w:sz="0" w:space="0" w:color="auto"/>
        <w:left w:val="none" w:sz="0" w:space="0" w:color="auto"/>
        <w:bottom w:val="none" w:sz="0" w:space="0" w:color="auto"/>
        <w:right w:val="none" w:sz="0" w:space="0" w:color="auto"/>
      </w:divBdr>
    </w:div>
    <w:div w:id="1939438212">
      <w:bodyDiv w:val="1"/>
      <w:marLeft w:val="0"/>
      <w:marRight w:val="0"/>
      <w:marTop w:val="0"/>
      <w:marBottom w:val="0"/>
      <w:divBdr>
        <w:top w:val="none" w:sz="0" w:space="0" w:color="auto"/>
        <w:left w:val="none" w:sz="0" w:space="0" w:color="auto"/>
        <w:bottom w:val="none" w:sz="0" w:space="0" w:color="auto"/>
        <w:right w:val="none" w:sz="0" w:space="0" w:color="auto"/>
      </w:divBdr>
    </w:div>
    <w:div w:id="198824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digital-single-market/en/digital-economy-and-society-index-desi" TargetMode="External"/><Relationship Id="rId2" Type="http://schemas.openxmlformats.org/officeDocument/2006/relationships/hyperlink" Target="https://ec.europa.eu/eurostat/databrowser/view/BD_HGNACE2_R3__custom_692265/default/table?lang=en" TargetMode="External"/><Relationship Id="rId1" Type="http://schemas.openxmlformats.org/officeDocument/2006/relationships/hyperlink" Target="https://ec.europa.eu/eurostat/statistics-explained/index.php?title=Living_conditions_statistics_at_regional_level" TargetMode="External"/><Relationship Id="rId5" Type="http://schemas.openxmlformats.org/officeDocument/2006/relationships/hyperlink" Target="https://biodiversity.europa.eu/green-infrastructure/typology-of-gi" TargetMode="External"/><Relationship Id="rId4" Type="http://schemas.openxmlformats.org/officeDocument/2006/relationships/hyperlink" Target="https://joinup.ec.europa.eu/collection/nifo-national-interoperability-framework-observatory/digital-government-factsheets-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2E6CE-6046-487D-BF75-C8B1976C7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18852</Words>
  <Characters>107457</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Evdokia Dimitrova</dc:creator>
  <cp:lastModifiedBy>DELL</cp:lastModifiedBy>
  <cp:revision>2</cp:revision>
  <cp:lastPrinted>2021-10-22T14:38:00Z</cp:lastPrinted>
  <dcterms:created xsi:type="dcterms:W3CDTF">2022-01-19T10:03:00Z</dcterms:created>
  <dcterms:modified xsi:type="dcterms:W3CDTF">2022-01-19T10:03:00Z</dcterms:modified>
</cp:coreProperties>
</file>