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25939" w14:textId="77777777" w:rsidR="003E7D71" w:rsidRPr="00E83202" w:rsidRDefault="003E7D71" w:rsidP="00CA2ADD">
      <w:pPr>
        <w:pStyle w:val="Heading2"/>
      </w:pPr>
      <w:r w:rsidRPr="00E83202">
        <w:t>Republic of North Macedonia</w:t>
      </w:r>
    </w:p>
    <w:p w14:paraId="2795D280" w14:textId="77777777" w:rsidR="003E7D71" w:rsidRPr="00E83202" w:rsidRDefault="003E7D71" w:rsidP="003E7D71">
      <w:pPr>
        <w:jc w:val="center"/>
        <w:rPr>
          <w:rFonts w:ascii="Times New Roman Bold" w:hAnsi="Times New Roman Bold"/>
          <w:smallCaps/>
          <w:sz w:val="22"/>
          <w:szCs w:val="22"/>
        </w:rPr>
      </w:pPr>
      <w:r w:rsidRPr="00E83202">
        <w:rPr>
          <w:sz w:val="22"/>
          <w:szCs w:val="22"/>
        </w:rPr>
        <w:t>Ministry of Transport</w:t>
      </w:r>
    </w:p>
    <w:p w14:paraId="39B93677" w14:textId="77777777" w:rsidR="003E7D71" w:rsidRPr="00E83202" w:rsidRDefault="003E7D71" w:rsidP="003E7D71">
      <w:pPr>
        <w:pStyle w:val="Heading2"/>
        <w:rPr>
          <w:rFonts w:ascii="Times New Roman" w:hAnsi="Times New Roman"/>
          <w:b w:val="0"/>
          <w:sz w:val="22"/>
          <w:szCs w:val="22"/>
        </w:rPr>
      </w:pPr>
      <w:r w:rsidRPr="00E83202">
        <w:rPr>
          <w:rFonts w:ascii="Times New Roman" w:hAnsi="Times New Roman"/>
          <w:b w:val="0"/>
          <w:sz w:val="22"/>
          <w:szCs w:val="22"/>
        </w:rPr>
        <w:t>Western Balkans Trade and Transport Facilitation Project</w:t>
      </w:r>
    </w:p>
    <w:p w14:paraId="116B5564" w14:textId="77777777" w:rsidR="003E7D71" w:rsidRPr="00E83202" w:rsidRDefault="003E7D71" w:rsidP="003E7D71">
      <w:pPr>
        <w:rPr>
          <w:lang w:eastAsia="en-US"/>
        </w:rPr>
      </w:pPr>
    </w:p>
    <w:p w14:paraId="5DB78EDB" w14:textId="77777777" w:rsidR="003E7D71" w:rsidRPr="00E83202" w:rsidRDefault="003E7D71" w:rsidP="003E7D71">
      <w:pPr>
        <w:pStyle w:val="Heading2"/>
        <w:rPr>
          <w:rFonts w:ascii="Times New Roman" w:hAnsi="Times New Roman"/>
          <w:sz w:val="28"/>
          <w:szCs w:val="28"/>
        </w:rPr>
      </w:pPr>
      <w:r w:rsidRPr="004B4A6B">
        <w:rPr>
          <w:rFonts w:ascii="Times New Roman" w:hAnsi="Times New Roman"/>
          <w:sz w:val="28"/>
          <w:szCs w:val="28"/>
        </w:rPr>
        <w:t xml:space="preserve">CLARIFICATION </w:t>
      </w:r>
      <w:r w:rsidR="00793DE3" w:rsidRPr="00B8737E">
        <w:rPr>
          <w:rFonts w:ascii="Times New Roman" w:hAnsi="Times New Roman"/>
          <w:sz w:val="28"/>
          <w:szCs w:val="28"/>
        </w:rPr>
        <w:t xml:space="preserve">no. </w:t>
      </w:r>
      <w:r w:rsidR="00CA2ADD">
        <w:rPr>
          <w:rFonts w:ascii="Times New Roman" w:hAnsi="Times New Roman"/>
          <w:sz w:val="28"/>
          <w:szCs w:val="28"/>
        </w:rPr>
        <w:t>1</w:t>
      </w:r>
    </w:p>
    <w:p w14:paraId="65F043DE" w14:textId="77777777"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To the </w:t>
      </w:r>
      <w:r w:rsidR="00006F79" w:rsidRPr="00E83202">
        <w:rPr>
          <w:rFonts w:ascii="Times New Roman" w:hAnsi="Times New Roman"/>
          <w:sz w:val="22"/>
          <w:szCs w:val="22"/>
        </w:rPr>
        <w:t xml:space="preserve">Request for Bids </w:t>
      </w:r>
      <w:r w:rsidRPr="00E83202">
        <w:rPr>
          <w:rFonts w:ascii="Times New Roman" w:hAnsi="Times New Roman"/>
          <w:sz w:val="22"/>
          <w:szCs w:val="22"/>
        </w:rPr>
        <w:t>for the procurement of</w:t>
      </w:r>
    </w:p>
    <w:p w14:paraId="3FEDDA5A" w14:textId="2903CA8D" w:rsidR="003E7D71" w:rsidRPr="00E83202" w:rsidRDefault="003E7D71" w:rsidP="003E7D71">
      <w:pPr>
        <w:pStyle w:val="Heading2"/>
        <w:rPr>
          <w:rFonts w:ascii="Times New Roman" w:hAnsi="Times New Roman"/>
          <w:sz w:val="22"/>
          <w:szCs w:val="22"/>
        </w:rPr>
      </w:pPr>
      <w:r w:rsidRPr="00E83202">
        <w:rPr>
          <w:rFonts w:ascii="Times New Roman" w:hAnsi="Times New Roman"/>
          <w:sz w:val="22"/>
          <w:szCs w:val="22"/>
        </w:rPr>
        <w:t xml:space="preserve">Deployment of Intelligent Transport Systems (ITS) on highway A1 (Corridor X) – </w:t>
      </w:r>
      <w:r w:rsidR="00CA2ADD" w:rsidRPr="00CA2ADD">
        <w:rPr>
          <w:rFonts w:ascii="Times New Roman" w:hAnsi="Times New Roman"/>
          <w:sz w:val="22"/>
          <w:szCs w:val="22"/>
        </w:rPr>
        <w:t xml:space="preserve">Border crossing </w:t>
      </w:r>
      <w:proofErr w:type="spellStart"/>
      <w:r w:rsidR="00CA2ADD" w:rsidRPr="00CA2ADD">
        <w:rPr>
          <w:rFonts w:ascii="Times New Roman" w:hAnsi="Times New Roman"/>
          <w:sz w:val="22"/>
          <w:szCs w:val="22"/>
        </w:rPr>
        <w:t>Tabanovce</w:t>
      </w:r>
      <w:proofErr w:type="spellEnd"/>
      <w:r w:rsidR="00CA2ADD" w:rsidRPr="00CA2ADD">
        <w:rPr>
          <w:rFonts w:ascii="Times New Roman" w:hAnsi="Times New Roman"/>
          <w:sz w:val="22"/>
          <w:szCs w:val="22"/>
        </w:rPr>
        <w:t xml:space="preserve"> - Border crossing </w:t>
      </w:r>
      <w:proofErr w:type="spellStart"/>
      <w:r w:rsidR="00CA2ADD" w:rsidRPr="00CA2ADD">
        <w:rPr>
          <w:rFonts w:ascii="Times New Roman" w:hAnsi="Times New Roman"/>
          <w:sz w:val="22"/>
          <w:szCs w:val="22"/>
        </w:rPr>
        <w:t>Bogorodica</w:t>
      </w:r>
      <w:proofErr w:type="spellEnd"/>
      <w:r w:rsidRPr="00E83202">
        <w:rPr>
          <w:rFonts w:ascii="Times New Roman" w:hAnsi="Times New Roman"/>
          <w:sz w:val="22"/>
          <w:szCs w:val="22"/>
        </w:rPr>
        <w:t xml:space="preserve"> </w:t>
      </w:r>
    </w:p>
    <w:p w14:paraId="22DE8949" w14:textId="77777777" w:rsidR="003E7D71" w:rsidRPr="005D60CB" w:rsidRDefault="003E7D71" w:rsidP="003E7D71">
      <w:pPr>
        <w:pStyle w:val="Heading2"/>
        <w:rPr>
          <w:rFonts w:ascii="Times New Roman" w:hAnsi="Times New Roman"/>
          <w:sz w:val="16"/>
          <w:szCs w:val="16"/>
        </w:rPr>
      </w:pPr>
    </w:p>
    <w:p w14:paraId="4E458026" w14:textId="77777777" w:rsidR="003E7D71" w:rsidRPr="00E83202" w:rsidRDefault="003E7D71" w:rsidP="003E7D71">
      <w:pPr>
        <w:pStyle w:val="Heading2"/>
        <w:rPr>
          <w:b w:val="0"/>
          <w:sz w:val="22"/>
          <w:szCs w:val="22"/>
        </w:rPr>
      </w:pPr>
      <w:r w:rsidRPr="00E83202">
        <w:rPr>
          <w:b w:val="0"/>
          <w:sz w:val="22"/>
          <w:szCs w:val="22"/>
        </w:rPr>
        <w:t>Ref. No.: WBTTFP-8929-MK-212-RFB</w:t>
      </w:r>
    </w:p>
    <w:p w14:paraId="5B520858" w14:textId="2188966B" w:rsidR="003E7D71" w:rsidRPr="00E83202" w:rsidRDefault="003F7CDC" w:rsidP="00785FA3">
      <w:pPr>
        <w:spacing w:before="120"/>
        <w:jc w:val="center"/>
        <w:rPr>
          <w:b/>
          <w:sz w:val="22"/>
          <w:szCs w:val="22"/>
        </w:rPr>
      </w:pPr>
      <w:r>
        <w:rPr>
          <w:sz w:val="22"/>
          <w:szCs w:val="22"/>
        </w:rPr>
        <w:t>D</w:t>
      </w:r>
      <w:r w:rsidR="003E7D71" w:rsidRPr="00E83202">
        <w:rPr>
          <w:sz w:val="22"/>
          <w:szCs w:val="22"/>
        </w:rPr>
        <w:t xml:space="preserve">ate: </w:t>
      </w:r>
      <w:r w:rsidR="00CA2ADD">
        <w:rPr>
          <w:sz w:val="22"/>
          <w:szCs w:val="22"/>
        </w:rPr>
        <w:t>October</w:t>
      </w:r>
      <w:r w:rsidR="004B4A6B">
        <w:rPr>
          <w:sz w:val="22"/>
          <w:szCs w:val="22"/>
        </w:rPr>
        <w:t xml:space="preserve"> </w:t>
      </w:r>
      <w:r w:rsidR="00D32FA1">
        <w:rPr>
          <w:sz w:val="22"/>
          <w:szCs w:val="22"/>
        </w:rPr>
        <w:t>30</w:t>
      </w:r>
      <w:r w:rsidR="00B8737E">
        <w:rPr>
          <w:sz w:val="22"/>
          <w:szCs w:val="22"/>
        </w:rPr>
        <w:t>,</w:t>
      </w:r>
      <w:r w:rsidR="003E7D71" w:rsidRPr="00E83202">
        <w:rPr>
          <w:sz w:val="22"/>
          <w:szCs w:val="22"/>
        </w:rPr>
        <w:t xml:space="preserve"> 202</w:t>
      </w:r>
      <w:r w:rsidR="00CA2ADD">
        <w:rPr>
          <w:sz w:val="22"/>
          <w:szCs w:val="22"/>
        </w:rPr>
        <w:t>5</w:t>
      </w:r>
    </w:p>
    <w:p w14:paraId="7517104D" w14:textId="77777777" w:rsidR="003E7D71" w:rsidRPr="005D60CB" w:rsidRDefault="003E7D71" w:rsidP="003E7D71">
      <w:pPr>
        <w:rPr>
          <w:sz w:val="16"/>
          <w:szCs w:val="16"/>
          <w:lang w:eastAsia="en-US"/>
        </w:rPr>
      </w:pPr>
    </w:p>
    <w:p w14:paraId="10D94F3D" w14:textId="58FAE853" w:rsidR="003E7D71" w:rsidRPr="003F7CDC" w:rsidRDefault="003E7D71" w:rsidP="003E7D71">
      <w:pPr>
        <w:jc w:val="center"/>
        <w:rPr>
          <w:sz w:val="22"/>
          <w:szCs w:val="22"/>
          <w:lang w:eastAsia="en-US"/>
        </w:rPr>
      </w:pPr>
      <w:r w:rsidRPr="003F7CDC">
        <w:rPr>
          <w:sz w:val="22"/>
          <w:szCs w:val="22"/>
          <w:lang w:eastAsia="en-US"/>
        </w:rPr>
        <w:t xml:space="preserve">To all prospective </w:t>
      </w:r>
      <w:r w:rsidR="00281E5A">
        <w:rPr>
          <w:sz w:val="22"/>
          <w:szCs w:val="22"/>
          <w:lang w:eastAsia="en-US"/>
        </w:rPr>
        <w:t>Bidders</w:t>
      </w:r>
      <w:r w:rsidRPr="003F7CDC">
        <w:rPr>
          <w:sz w:val="22"/>
          <w:szCs w:val="22"/>
          <w:lang w:eastAsia="en-US"/>
        </w:rPr>
        <w:t xml:space="preserve"> and to all firms that have obtained the RFB documents</w:t>
      </w:r>
    </w:p>
    <w:p w14:paraId="7BC194F9" w14:textId="77777777" w:rsidR="003E7D71" w:rsidRPr="003F7CDC" w:rsidRDefault="003E7D71" w:rsidP="003E7D71">
      <w:pPr>
        <w:rPr>
          <w:sz w:val="22"/>
          <w:szCs w:val="22"/>
          <w:lang w:eastAsia="en-US"/>
        </w:rPr>
      </w:pPr>
    </w:p>
    <w:p w14:paraId="74B6D2C3" w14:textId="77777777" w:rsidR="003E7D71" w:rsidRPr="003F7CDC" w:rsidRDefault="003E7D71" w:rsidP="003E7D71">
      <w:pPr>
        <w:jc w:val="both"/>
        <w:rPr>
          <w:sz w:val="22"/>
          <w:szCs w:val="22"/>
        </w:rPr>
      </w:pPr>
      <w:r w:rsidRPr="003F7CDC">
        <w:rPr>
          <w:sz w:val="22"/>
          <w:szCs w:val="22"/>
        </w:rPr>
        <w:t>Dear All,</w:t>
      </w:r>
    </w:p>
    <w:p w14:paraId="24C084C4" w14:textId="77777777" w:rsidR="003E7D71" w:rsidRPr="003F7CDC" w:rsidRDefault="003E7D71" w:rsidP="003E7D71">
      <w:pPr>
        <w:jc w:val="both"/>
        <w:rPr>
          <w:sz w:val="22"/>
          <w:szCs w:val="22"/>
        </w:rPr>
      </w:pPr>
    </w:p>
    <w:p w14:paraId="08B22BD9" w14:textId="77777777" w:rsidR="00006F79" w:rsidRDefault="00006F79" w:rsidP="00006F79">
      <w:pPr>
        <w:jc w:val="both"/>
        <w:rPr>
          <w:sz w:val="22"/>
          <w:szCs w:val="22"/>
        </w:rPr>
      </w:pPr>
      <w:r w:rsidRPr="00E83202">
        <w:rPr>
          <w:sz w:val="22"/>
          <w:szCs w:val="22"/>
        </w:rPr>
        <w:t>With reference to the question raised by the prospective Bidders and pursuant to the issued RFB for the stated subject, please find enclosed the Clarification Table below with the questions and answers.</w:t>
      </w:r>
    </w:p>
    <w:p w14:paraId="3648D2BD" w14:textId="77777777" w:rsidR="003E7D71" w:rsidRPr="005D60CB" w:rsidRDefault="003E7D71" w:rsidP="003E7D71">
      <w:pPr>
        <w:rPr>
          <w:b/>
          <w:color w:val="FF0000"/>
          <w:sz w:val="16"/>
          <w:szCs w:val="16"/>
        </w:rPr>
      </w:pPr>
    </w:p>
    <w:tbl>
      <w:tblPr>
        <w:tblStyle w:val="TableGrid"/>
        <w:tblW w:w="13860" w:type="dxa"/>
        <w:tblInd w:w="-5" w:type="dxa"/>
        <w:tblLayout w:type="fixed"/>
        <w:tblLook w:val="04A0" w:firstRow="1" w:lastRow="0" w:firstColumn="1" w:lastColumn="0" w:noHBand="0" w:noVBand="1"/>
      </w:tblPr>
      <w:tblGrid>
        <w:gridCol w:w="810"/>
        <w:gridCol w:w="4435"/>
        <w:gridCol w:w="1415"/>
        <w:gridCol w:w="810"/>
        <w:gridCol w:w="4721"/>
        <w:gridCol w:w="1669"/>
      </w:tblGrid>
      <w:tr w:rsidR="004443BD" w:rsidRPr="005B056B" w14:paraId="25798DB0" w14:textId="77777777" w:rsidTr="005D60CB">
        <w:trPr>
          <w:trHeight w:val="703"/>
        </w:trPr>
        <w:tc>
          <w:tcPr>
            <w:tcW w:w="13860" w:type="dxa"/>
            <w:gridSpan w:val="6"/>
            <w:tcBorders>
              <w:top w:val="single" w:sz="4" w:space="0" w:color="auto"/>
              <w:left w:val="single" w:sz="4" w:space="0" w:color="auto"/>
              <w:bottom w:val="single" w:sz="4" w:space="0" w:color="auto"/>
              <w:right w:val="single" w:sz="4" w:space="0" w:color="auto"/>
            </w:tcBorders>
          </w:tcPr>
          <w:p w14:paraId="22C96B43" w14:textId="77777777" w:rsidR="004443BD" w:rsidRPr="005D60CB" w:rsidRDefault="004443BD" w:rsidP="00097369">
            <w:pPr>
              <w:jc w:val="center"/>
              <w:rPr>
                <w:bCs/>
                <w:iCs/>
                <w:sz w:val="16"/>
                <w:szCs w:val="16"/>
              </w:rPr>
            </w:pPr>
          </w:p>
          <w:p w14:paraId="2424B193" w14:textId="77777777" w:rsidR="004443BD" w:rsidRDefault="004443BD" w:rsidP="00097369">
            <w:pPr>
              <w:jc w:val="center"/>
              <w:rPr>
                <w:b/>
                <w:i/>
              </w:rPr>
            </w:pPr>
            <w:r w:rsidRPr="005B056B">
              <w:rPr>
                <w:b/>
                <w:i/>
              </w:rPr>
              <w:t>CLARIFICATION TABLE</w:t>
            </w:r>
            <w:r>
              <w:rPr>
                <w:b/>
                <w:i/>
              </w:rPr>
              <w:t xml:space="preserve"> –</w:t>
            </w:r>
            <w:r w:rsidR="002A3708">
              <w:rPr>
                <w:b/>
                <w:i/>
              </w:rPr>
              <w:t xml:space="preserve"> </w:t>
            </w:r>
            <w:r>
              <w:rPr>
                <w:b/>
                <w:i/>
              </w:rPr>
              <w:t>Questions and Answers</w:t>
            </w:r>
          </w:p>
          <w:p w14:paraId="2EBD0BC7" w14:textId="77777777" w:rsidR="004443BD" w:rsidRPr="005D60CB" w:rsidRDefault="004443BD" w:rsidP="003F7CDC">
            <w:pPr>
              <w:jc w:val="center"/>
              <w:rPr>
                <w:bCs/>
                <w:sz w:val="16"/>
                <w:szCs w:val="16"/>
              </w:rPr>
            </w:pPr>
          </w:p>
        </w:tc>
      </w:tr>
      <w:tr w:rsidR="00785FA3" w:rsidRPr="005B056B" w14:paraId="71AC2D70" w14:textId="77777777" w:rsidTr="0038094E">
        <w:tc>
          <w:tcPr>
            <w:tcW w:w="810" w:type="dxa"/>
            <w:tcBorders>
              <w:top w:val="single" w:sz="4" w:space="0" w:color="auto"/>
              <w:bottom w:val="single" w:sz="4" w:space="0" w:color="auto"/>
            </w:tcBorders>
          </w:tcPr>
          <w:p w14:paraId="433D5BD9" w14:textId="77777777" w:rsidR="00F122A5" w:rsidRPr="005B056B" w:rsidRDefault="00F122A5" w:rsidP="00785FA3">
            <w:pPr>
              <w:ind w:left="-15" w:right="-105"/>
              <w:rPr>
                <w:b/>
                <w:sz w:val="18"/>
                <w:szCs w:val="18"/>
              </w:rPr>
            </w:pPr>
            <w:r w:rsidRPr="005B056B">
              <w:rPr>
                <w:b/>
                <w:sz w:val="18"/>
                <w:szCs w:val="18"/>
              </w:rPr>
              <w:t>No. of Question</w:t>
            </w:r>
          </w:p>
        </w:tc>
        <w:tc>
          <w:tcPr>
            <w:tcW w:w="4435" w:type="dxa"/>
            <w:tcBorders>
              <w:top w:val="single" w:sz="4" w:space="0" w:color="auto"/>
              <w:bottom w:val="single" w:sz="4" w:space="0" w:color="auto"/>
            </w:tcBorders>
          </w:tcPr>
          <w:p w14:paraId="23F9758A" w14:textId="77777777" w:rsidR="00F122A5" w:rsidRPr="005D60CB" w:rsidRDefault="00F122A5" w:rsidP="00097369">
            <w:pPr>
              <w:rPr>
                <w:b/>
                <w:sz w:val="22"/>
                <w:szCs w:val="22"/>
              </w:rPr>
            </w:pPr>
            <w:r w:rsidRPr="005D60CB">
              <w:rPr>
                <w:b/>
                <w:sz w:val="22"/>
                <w:szCs w:val="22"/>
              </w:rPr>
              <w:t>Question</w:t>
            </w:r>
          </w:p>
        </w:tc>
        <w:tc>
          <w:tcPr>
            <w:tcW w:w="1415" w:type="dxa"/>
            <w:tcBorders>
              <w:top w:val="single" w:sz="4" w:space="0" w:color="auto"/>
              <w:bottom w:val="single" w:sz="4" w:space="0" w:color="auto"/>
            </w:tcBorders>
          </w:tcPr>
          <w:p w14:paraId="341F0394" w14:textId="77777777" w:rsidR="00F122A5" w:rsidRPr="005D60CB" w:rsidRDefault="00F122A5" w:rsidP="00097369">
            <w:pPr>
              <w:rPr>
                <w:b/>
                <w:bCs/>
                <w:sz w:val="22"/>
                <w:szCs w:val="22"/>
              </w:rPr>
            </w:pPr>
            <w:r w:rsidRPr="005D60CB">
              <w:rPr>
                <w:b/>
                <w:bCs/>
                <w:sz w:val="22"/>
                <w:szCs w:val="22"/>
              </w:rPr>
              <w:t>Ref. to the BD (RFB)</w:t>
            </w:r>
          </w:p>
          <w:p w14:paraId="24D91371" w14:textId="77777777" w:rsidR="00F122A5" w:rsidRPr="005D60CB" w:rsidRDefault="00F122A5" w:rsidP="00097369">
            <w:pPr>
              <w:rPr>
                <w:b/>
                <w:sz w:val="22"/>
                <w:szCs w:val="22"/>
              </w:rPr>
            </w:pPr>
          </w:p>
        </w:tc>
        <w:tc>
          <w:tcPr>
            <w:tcW w:w="810" w:type="dxa"/>
            <w:tcBorders>
              <w:top w:val="single" w:sz="4" w:space="0" w:color="auto"/>
              <w:bottom w:val="single" w:sz="4" w:space="0" w:color="auto"/>
            </w:tcBorders>
          </w:tcPr>
          <w:p w14:paraId="36CBA540" w14:textId="77777777" w:rsidR="00F122A5" w:rsidRPr="005D60CB" w:rsidRDefault="00F122A5" w:rsidP="00097369">
            <w:pPr>
              <w:rPr>
                <w:b/>
                <w:sz w:val="22"/>
                <w:szCs w:val="22"/>
              </w:rPr>
            </w:pPr>
            <w:r w:rsidRPr="005D60CB">
              <w:rPr>
                <w:b/>
                <w:sz w:val="22"/>
                <w:szCs w:val="22"/>
              </w:rPr>
              <w:t>No. of Answer</w:t>
            </w:r>
          </w:p>
        </w:tc>
        <w:tc>
          <w:tcPr>
            <w:tcW w:w="4721" w:type="dxa"/>
            <w:tcBorders>
              <w:top w:val="single" w:sz="4" w:space="0" w:color="auto"/>
              <w:bottom w:val="single" w:sz="4" w:space="0" w:color="auto"/>
            </w:tcBorders>
          </w:tcPr>
          <w:p w14:paraId="3D8F61DD" w14:textId="77777777" w:rsidR="00F122A5" w:rsidRPr="005D60CB" w:rsidRDefault="00F122A5" w:rsidP="00097369">
            <w:pPr>
              <w:rPr>
                <w:b/>
                <w:sz w:val="22"/>
                <w:szCs w:val="22"/>
              </w:rPr>
            </w:pPr>
            <w:r w:rsidRPr="005D60CB">
              <w:rPr>
                <w:b/>
                <w:sz w:val="22"/>
                <w:szCs w:val="22"/>
              </w:rPr>
              <w:t>Answer</w:t>
            </w:r>
          </w:p>
        </w:tc>
        <w:tc>
          <w:tcPr>
            <w:tcW w:w="1669" w:type="dxa"/>
            <w:tcBorders>
              <w:top w:val="single" w:sz="4" w:space="0" w:color="auto"/>
              <w:bottom w:val="single" w:sz="4" w:space="0" w:color="auto"/>
            </w:tcBorders>
          </w:tcPr>
          <w:p w14:paraId="40AA3E6A" w14:textId="77777777" w:rsidR="00F122A5" w:rsidRPr="005D60CB" w:rsidRDefault="00F122A5" w:rsidP="00097369">
            <w:pPr>
              <w:rPr>
                <w:b/>
                <w:sz w:val="22"/>
                <w:szCs w:val="22"/>
              </w:rPr>
            </w:pPr>
            <w:r w:rsidRPr="005D60CB">
              <w:rPr>
                <w:b/>
                <w:sz w:val="22"/>
                <w:szCs w:val="22"/>
              </w:rPr>
              <w:t>Category:</w:t>
            </w:r>
          </w:p>
          <w:p w14:paraId="5E294E42" w14:textId="77777777" w:rsidR="00F122A5" w:rsidRPr="005D60CB" w:rsidRDefault="00F122A5" w:rsidP="00097369">
            <w:pPr>
              <w:rPr>
                <w:b/>
                <w:sz w:val="22"/>
                <w:szCs w:val="22"/>
              </w:rPr>
            </w:pPr>
            <w:r w:rsidRPr="005D60CB">
              <w:rPr>
                <w:b/>
                <w:sz w:val="22"/>
                <w:szCs w:val="22"/>
              </w:rPr>
              <w:t>Clarification or Amendment</w:t>
            </w:r>
          </w:p>
        </w:tc>
      </w:tr>
      <w:tr w:rsidR="004F574A" w:rsidRPr="005B056B" w14:paraId="7BB49FB9" w14:textId="77777777" w:rsidTr="0038094E">
        <w:trPr>
          <w:trHeight w:val="530"/>
        </w:trPr>
        <w:tc>
          <w:tcPr>
            <w:tcW w:w="810" w:type="dxa"/>
            <w:tcBorders>
              <w:top w:val="single" w:sz="4" w:space="0" w:color="auto"/>
              <w:bottom w:val="single" w:sz="4" w:space="0" w:color="auto"/>
            </w:tcBorders>
          </w:tcPr>
          <w:p w14:paraId="75581E5E" w14:textId="77777777" w:rsidR="004F574A" w:rsidRDefault="00AB35CD" w:rsidP="00AB35CD">
            <w:pPr>
              <w:jc w:val="center"/>
            </w:pPr>
            <w:r>
              <w:t>1</w:t>
            </w:r>
          </w:p>
        </w:tc>
        <w:tc>
          <w:tcPr>
            <w:tcW w:w="4435" w:type="dxa"/>
            <w:tcBorders>
              <w:top w:val="single" w:sz="4" w:space="0" w:color="auto"/>
              <w:bottom w:val="single" w:sz="4" w:space="0" w:color="auto"/>
            </w:tcBorders>
          </w:tcPr>
          <w:p w14:paraId="5091DF94" w14:textId="77777777" w:rsidR="004F574A" w:rsidRPr="005D60CB" w:rsidRDefault="004F574A" w:rsidP="004F574A">
            <w:pPr>
              <w:jc w:val="both"/>
              <w:rPr>
                <w:b/>
                <w:sz w:val="22"/>
                <w:szCs w:val="22"/>
              </w:rPr>
            </w:pPr>
            <w:r w:rsidRPr="005D60CB">
              <w:rPr>
                <w:b/>
                <w:sz w:val="22"/>
                <w:szCs w:val="22"/>
              </w:rPr>
              <w:t>Q:</w:t>
            </w:r>
          </w:p>
          <w:p w14:paraId="073B0C1B" w14:textId="77777777" w:rsidR="004F574A" w:rsidRPr="005D60CB" w:rsidRDefault="00961939" w:rsidP="00153DC4">
            <w:pPr>
              <w:jc w:val="both"/>
              <w:rPr>
                <w:bCs/>
                <w:sz w:val="22"/>
                <w:szCs w:val="22"/>
              </w:rPr>
            </w:pPr>
            <w:r w:rsidRPr="005D60CB">
              <w:rPr>
                <w:bCs/>
                <w:sz w:val="22"/>
                <w:szCs w:val="22"/>
              </w:rPr>
              <w:t xml:space="preserve">In Price schedule-1 Item No:13, it is mentioned a time sync solution which means </w:t>
            </w:r>
            <w:proofErr w:type="gramStart"/>
            <w:r w:rsidRPr="005D60CB">
              <w:rPr>
                <w:bCs/>
                <w:sz w:val="22"/>
                <w:szCs w:val="22"/>
              </w:rPr>
              <w:t>to add</w:t>
            </w:r>
            <w:proofErr w:type="gramEnd"/>
            <w:r w:rsidRPr="005D60CB">
              <w:rPr>
                <w:bCs/>
                <w:sz w:val="22"/>
                <w:szCs w:val="22"/>
              </w:rPr>
              <w:t xml:space="preserve"> all Local Traffic </w:t>
            </w:r>
            <w:proofErr w:type="gramStart"/>
            <w:r w:rsidRPr="005D60CB">
              <w:rPr>
                <w:bCs/>
                <w:sz w:val="22"/>
                <w:szCs w:val="22"/>
              </w:rPr>
              <w:t>stations</w:t>
            </w:r>
            <w:proofErr w:type="gramEnd"/>
            <w:r w:rsidRPr="005D60CB">
              <w:rPr>
                <w:bCs/>
                <w:sz w:val="22"/>
                <w:szCs w:val="22"/>
              </w:rPr>
              <w:t xml:space="preserve"> a GPS disciplined PTP Grandmaster or NTP server. </w:t>
            </w:r>
            <w:proofErr w:type="gramStart"/>
            <w:r w:rsidRPr="005D60CB">
              <w:rPr>
                <w:bCs/>
                <w:sz w:val="22"/>
                <w:szCs w:val="22"/>
              </w:rPr>
              <w:t>Generally</w:t>
            </w:r>
            <w:proofErr w:type="gramEnd"/>
            <w:r w:rsidRPr="005D60CB">
              <w:rPr>
                <w:bCs/>
                <w:sz w:val="22"/>
                <w:szCs w:val="22"/>
              </w:rPr>
              <w:t xml:space="preserve"> in ITS applications, distributing time information to end devices via central NTP server will be sufficient. We think this requirement is </w:t>
            </w:r>
            <w:r w:rsidR="00E8380A" w:rsidRPr="005D60CB">
              <w:rPr>
                <w:bCs/>
                <w:sz w:val="22"/>
                <w:szCs w:val="22"/>
              </w:rPr>
              <w:t>overqualified</w:t>
            </w:r>
            <w:r w:rsidRPr="005D60CB">
              <w:rPr>
                <w:bCs/>
                <w:sz w:val="22"/>
                <w:szCs w:val="22"/>
              </w:rPr>
              <w:t xml:space="preserve"> for an ITS solution. Could you please clarify the requirement.</w:t>
            </w:r>
          </w:p>
        </w:tc>
        <w:tc>
          <w:tcPr>
            <w:tcW w:w="1415" w:type="dxa"/>
            <w:tcBorders>
              <w:top w:val="single" w:sz="4" w:space="0" w:color="auto"/>
              <w:bottom w:val="single" w:sz="4" w:space="0" w:color="auto"/>
            </w:tcBorders>
          </w:tcPr>
          <w:p w14:paraId="7F4C2B64" w14:textId="77777777" w:rsidR="004F574A" w:rsidRPr="0038094E" w:rsidRDefault="0038094E" w:rsidP="004F574A">
            <w:pPr>
              <w:rPr>
                <w:bCs/>
                <w:sz w:val="20"/>
                <w:szCs w:val="20"/>
              </w:rPr>
            </w:pPr>
            <w:r w:rsidRPr="0038094E">
              <w:rPr>
                <w:bCs/>
                <w:sz w:val="20"/>
                <w:szCs w:val="20"/>
              </w:rPr>
              <w:t xml:space="preserve">RFB – </w:t>
            </w:r>
            <w:r w:rsidR="00961939">
              <w:rPr>
                <w:bCs/>
                <w:sz w:val="20"/>
                <w:szCs w:val="20"/>
              </w:rPr>
              <w:t xml:space="preserve">Price </w:t>
            </w:r>
            <w:r w:rsidR="00593D99">
              <w:rPr>
                <w:bCs/>
                <w:sz w:val="20"/>
                <w:szCs w:val="20"/>
              </w:rPr>
              <w:t>S</w:t>
            </w:r>
            <w:r w:rsidR="00961939">
              <w:rPr>
                <w:bCs/>
                <w:sz w:val="20"/>
                <w:szCs w:val="20"/>
              </w:rPr>
              <w:t>chedule 1, Item no. 13</w:t>
            </w:r>
          </w:p>
        </w:tc>
        <w:tc>
          <w:tcPr>
            <w:tcW w:w="810" w:type="dxa"/>
            <w:tcBorders>
              <w:top w:val="single" w:sz="4" w:space="0" w:color="auto"/>
              <w:bottom w:val="single" w:sz="4" w:space="0" w:color="auto"/>
            </w:tcBorders>
          </w:tcPr>
          <w:p w14:paraId="28299563" w14:textId="77777777" w:rsidR="004F574A" w:rsidRDefault="00AB35CD" w:rsidP="00D73FEA">
            <w:pPr>
              <w:jc w:val="center"/>
            </w:pPr>
            <w:r>
              <w:t>1</w:t>
            </w:r>
          </w:p>
        </w:tc>
        <w:tc>
          <w:tcPr>
            <w:tcW w:w="4721" w:type="dxa"/>
            <w:tcBorders>
              <w:top w:val="single" w:sz="4" w:space="0" w:color="auto"/>
              <w:bottom w:val="single" w:sz="4" w:space="0" w:color="auto"/>
            </w:tcBorders>
          </w:tcPr>
          <w:p w14:paraId="015EDF9C" w14:textId="77777777" w:rsidR="00D41E52" w:rsidRPr="005D60CB" w:rsidRDefault="004F574A" w:rsidP="00316995">
            <w:pPr>
              <w:jc w:val="both"/>
              <w:rPr>
                <w:b/>
                <w:sz w:val="22"/>
                <w:szCs w:val="22"/>
              </w:rPr>
            </w:pPr>
            <w:r w:rsidRPr="005D60CB">
              <w:rPr>
                <w:b/>
                <w:sz w:val="22"/>
                <w:szCs w:val="22"/>
              </w:rPr>
              <w:t>A:</w:t>
            </w:r>
            <w:r w:rsidR="00316995" w:rsidRPr="005D60CB">
              <w:rPr>
                <w:b/>
                <w:sz w:val="22"/>
                <w:szCs w:val="22"/>
              </w:rPr>
              <w:t xml:space="preserve"> </w:t>
            </w:r>
          </w:p>
          <w:p w14:paraId="5E54CCC2" w14:textId="2E9E1380" w:rsidR="00316995" w:rsidRPr="005D60CB" w:rsidRDefault="00316995" w:rsidP="00316995">
            <w:pPr>
              <w:jc w:val="both"/>
              <w:rPr>
                <w:bCs/>
                <w:sz w:val="22"/>
                <w:szCs w:val="22"/>
              </w:rPr>
            </w:pPr>
            <w:r w:rsidRPr="005D60CB">
              <w:rPr>
                <w:bCs/>
                <w:sz w:val="22"/>
                <w:szCs w:val="22"/>
              </w:rPr>
              <w:t>The recommendation to install GPS-disciplined PTP Grandmasters or local NTP servers at each traffic station is based on the need for robust, scalable, and future-proof time synchronization. While a central NTP server may suffice for basic logging, distributed synchronization ensures:</w:t>
            </w:r>
          </w:p>
          <w:p w14:paraId="7640077D" w14:textId="77777777" w:rsidR="00316995" w:rsidRPr="005D60CB" w:rsidRDefault="00316995" w:rsidP="00316995">
            <w:pPr>
              <w:numPr>
                <w:ilvl w:val="0"/>
                <w:numId w:val="3"/>
              </w:numPr>
              <w:jc w:val="both"/>
              <w:rPr>
                <w:bCs/>
                <w:sz w:val="22"/>
                <w:szCs w:val="22"/>
              </w:rPr>
            </w:pPr>
            <w:r w:rsidRPr="005D60CB">
              <w:rPr>
                <w:bCs/>
                <w:sz w:val="22"/>
                <w:szCs w:val="22"/>
              </w:rPr>
              <w:t>Sub-millisecond accuracy for advanced ITS functions like V2I communication and real-time analytics</w:t>
            </w:r>
          </w:p>
          <w:p w14:paraId="116C3E86" w14:textId="77777777" w:rsidR="00316995" w:rsidRPr="005D60CB" w:rsidRDefault="00316995" w:rsidP="00316995">
            <w:pPr>
              <w:numPr>
                <w:ilvl w:val="0"/>
                <w:numId w:val="3"/>
              </w:numPr>
              <w:jc w:val="both"/>
              <w:rPr>
                <w:bCs/>
                <w:sz w:val="22"/>
                <w:szCs w:val="22"/>
              </w:rPr>
            </w:pPr>
            <w:r w:rsidRPr="005D60CB">
              <w:rPr>
                <w:bCs/>
                <w:sz w:val="22"/>
                <w:szCs w:val="22"/>
              </w:rPr>
              <w:t>Resilience against network latency, outages, or single-point failures</w:t>
            </w:r>
          </w:p>
          <w:p w14:paraId="00A754C1" w14:textId="77777777" w:rsidR="00316995" w:rsidRPr="005D60CB" w:rsidRDefault="00316995" w:rsidP="00316995">
            <w:pPr>
              <w:numPr>
                <w:ilvl w:val="0"/>
                <w:numId w:val="3"/>
              </w:numPr>
              <w:jc w:val="both"/>
              <w:rPr>
                <w:bCs/>
                <w:sz w:val="22"/>
                <w:szCs w:val="22"/>
              </w:rPr>
            </w:pPr>
            <w:r w:rsidRPr="005D60CB">
              <w:rPr>
                <w:bCs/>
                <w:sz w:val="22"/>
                <w:szCs w:val="22"/>
              </w:rPr>
              <w:lastRenderedPageBreak/>
              <w:t>Local autonomy, enabling precise timestamping even in isolated or degraded network conditions</w:t>
            </w:r>
          </w:p>
          <w:p w14:paraId="2E6B1AD3" w14:textId="77777777" w:rsidR="00A042F8" w:rsidRPr="005D60CB" w:rsidRDefault="00316995" w:rsidP="00A042F8">
            <w:pPr>
              <w:jc w:val="both"/>
              <w:rPr>
                <w:b/>
                <w:sz w:val="22"/>
                <w:szCs w:val="22"/>
              </w:rPr>
            </w:pPr>
            <w:r w:rsidRPr="005D60CB">
              <w:rPr>
                <w:bCs/>
                <w:sz w:val="22"/>
                <w:szCs w:val="22"/>
              </w:rPr>
              <w:t>This architecture supports both current operational reliability and anticipated high-precision demands, ensuring long-term system integrity and performance.</w:t>
            </w:r>
          </w:p>
        </w:tc>
        <w:tc>
          <w:tcPr>
            <w:tcW w:w="1669" w:type="dxa"/>
            <w:tcBorders>
              <w:top w:val="single" w:sz="4" w:space="0" w:color="auto"/>
              <w:bottom w:val="single" w:sz="4" w:space="0" w:color="auto"/>
            </w:tcBorders>
          </w:tcPr>
          <w:p w14:paraId="5DF0D8A8" w14:textId="77777777" w:rsidR="004F574A" w:rsidRPr="005B056B" w:rsidRDefault="004F574A" w:rsidP="004F574A">
            <w:r w:rsidRPr="005B056B">
              <w:lastRenderedPageBreak/>
              <w:t>Clarification</w:t>
            </w:r>
          </w:p>
        </w:tc>
      </w:tr>
      <w:tr w:rsidR="004F574A" w:rsidRPr="005B056B" w14:paraId="3EF92C7F" w14:textId="77777777" w:rsidTr="0038094E">
        <w:trPr>
          <w:trHeight w:val="1408"/>
        </w:trPr>
        <w:tc>
          <w:tcPr>
            <w:tcW w:w="810" w:type="dxa"/>
            <w:tcBorders>
              <w:top w:val="single" w:sz="4" w:space="0" w:color="auto"/>
              <w:bottom w:val="single" w:sz="4" w:space="0" w:color="auto"/>
            </w:tcBorders>
          </w:tcPr>
          <w:p w14:paraId="5B6079EF" w14:textId="77777777" w:rsidR="004F574A" w:rsidRDefault="00AB35CD" w:rsidP="00AB35CD">
            <w:pPr>
              <w:jc w:val="center"/>
            </w:pPr>
            <w:r>
              <w:t>2</w:t>
            </w:r>
          </w:p>
        </w:tc>
        <w:tc>
          <w:tcPr>
            <w:tcW w:w="4435" w:type="dxa"/>
            <w:tcBorders>
              <w:top w:val="single" w:sz="4" w:space="0" w:color="auto"/>
              <w:bottom w:val="single" w:sz="4" w:space="0" w:color="auto"/>
            </w:tcBorders>
          </w:tcPr>
          <w:p w14:paraId="1F32BE3C" w14:textId="77777777" w:rsidR="004F574A" w:rsidRPr="005D60CB" w:rsidRDefault="00F53A09" w:rsidP="00C25353">
            <w:pPr>
              <w:jc w:val="both"/>
              <w:rPr>
                <w:b/>
                <w:sz w:val="22"/>
                <w:szCs w:val="22"/>
              </w:rPr>
            </w:pPr>
            <w:r w:rsidRPr="005D60CB">
              <w:rPr>
                <w:b/>
                <w:sz w:val="22"/>
                <w:szCs w:val="22"/>
              </w:rPr>
              <w:t>Q:</w:t>
            </w:r>
          </w:p>
          <w:p w14:paraId="78B8D9A9" w14:textId="77777777" w:rsidR="00F53A09" w:rsidRPr="005D60CB" w:rsidRDefault="00AA0C18" w:rsidP="00C25353">
            <w:pPr>
              <w:jc w:val="both"/>
              <w:rPr>
                <w:bCs/>
                <w:sz w:val="22"/>
                <w:szCs w:val="22"/>
              </w:rPr>
            </w:pPr>
            <w:r w:rsidRPr="005D60CB">
              <w:rPr>
                <w:bCs/>
                <w:sz w:val="22"/>
                <w:szCs w:val="22"/>
              </w:rPr>
              <w:t xml:space="preserve">Please </w:t>
            </w:r>
            <w:r w:rsidR="00A0612D" w:rsidRPr="005D60CB">
              <w:rPr>
                <w:bCs/>
                <w:sz w:val="22"/>
                <w:szCs w:val="22"/>
              </w:rPr>
              <w:t>clarify</w:t>
            </w:r>
            <w:r w:rsidRPr="005D60CB">
              <w:rPr>
                <w:bCs/>
                <w:sz w:val="22"/>
                <w:szCs w:val="22"/>
              </w:rPr>
              <w:t xml:space="preserve"> </w:t>
            </w:r>
            <w:r w:rsidR="00E8380A" w:rsidRPr="005D60CB">
              <w:rPr>
                <w:bCs/>
                <w:sz w:val="22"/>
                <w:szCs w:val="22"/>
              </w:rPr>
              <w:t>who</w:t>
            </w:r>
            <w:r w:rsidRPr="005D60CB">
              <w:rPr>
                <w:bCs/>
                <w:sz w:val="22"/>
                <w:szCs w:val="22"/>
              </w:rPr>
              <w:t xml:space="preserve"> will provide the subscription for the GSM (4G,3G,2G) connection which is required for LTSs?</w:t>
            </w:r>
          </w:p>
        </w:tc>
        <w:tc>
          <w:tcPr>
            <w:tcW w:w="1415" w:type="dxa"/>
            <w:tcBorders>
              <w:top w:val="single" w:sz="4" w:space="0" w:color="auto"/>
              <w:bottom w:val="single" w:sz="4" w:space="0" w:color="auto"/>
            </w:tcBorders>
          </w:tcPr>
          <w:p w14:paraId="66832EBD" w14:textId="77777777" w:rsidR="004F574A" w:rsidRPr="0038094E" w:rsidRDefault="004F574A" w:rsidP="00C25353">
            <w:pPr>
              <w:jc w:val="both"/>
              <w:rPr>
                <w:bCs/>
                <w:sz w:val="20"/>
                <w:szCs w:val="20"/>
              </w:rPr>
            </w:pPr>
          </w:p>
        </w:tc>
        <w:tc>
          <w:tcPr>
            <w:tcW w:w="810" w:type="dxa"/>
            <w:tcBorders>
              <w:top w:val="single" w:sz="4" w:space="0" w:color="auto"/>
              <w:bottom w:val="single" w:sz="4" w:space="0" w:color="auto"/>
            </w:tcBorders>
          </w:tcPr>
          <w:p w14:paraId="51A4FCB9" w14:textId="77777777" w:rsidR="004F574A" w:rsidRDefault="00AB35CD" w:rsidP="00D73FEA">
            <w:pPr>
              <w:jc w:val="center"/>
            </w:pPr>
            <w:r>
              <w:t>2</w:t>
            </w:r>
          </w:p>
        </w:tc>
        <w:tc>
          <w:tcPr>
            <w:tcW w:w="4721" w:type="dxa"/>
            <w:tcBorders>
              <w:top w:val="single" w:sz="4" w:space="0" w:color="auto"/>
              <w:bottom w:val="single" w:sz="4" w:space="0" w:color="auto"/>
            </w:tcBorders>
          </w:tcPr>
          <w:p w14:paraId="42BAF00A" w14:textId="77777777" w:rsidR="00D41E52" w:rsidRPr="005D60CB" w:rsidRDefault="004F574A" w:rsidP="004F574A">
            <w:pPr>
              <w:jc w:val="both"/>
              <w:rPr>
                <w:b/>
                <w:bCs/>
                <w:sz w:val="22"/>
                <w:szCs w:val="22"/>
              </w:rPr>
            </w:pPr>
            <w:r w:rsidRPr="005D60CB">
              <w:rPr>
                <w:b/>
                <w:bCs/>
                <w:sz w:val="22"/>
                <w:szCs w:val="22"/>
              </w:rPr>
              <w:t>A:</w:t>
            </w:r>
            <w:r w:rsidR="0033388F" w:rsidRPr="005D60CB">
              <w:rPr>
                <w:b/>
                <w:bCs/>
                <w:sz w:val="22"/>
                <w:szCs w:val="22"/>
              </w:rPr>
              <w:t xml:space="preserve"> </w:t>
            </w:r>
          </w:p>
          <w:p w14:paraId="6D47A91A" w14:textId="5205C41E" w:rsidR="00C22F71" w:rsidRPr="005D60CB" w:rsidRDefault="00BA11B6" w:rsidP="00097369">
            <w:pPr>
              <w:jc w:val="both"/>
              <w:rPr>
                <w:sz w:val="22"/>
                <w:szCs w:val="22"/>
              </w:rPr>
            </w:pPr>
            <w:r w:rsidRPr="005D60CB">
              <w:rPr>
                <w:sz w:val="22"/>
                <w:szCs w:val="22"/>
              </w:rPr>
              <w:t xml:space="preserve">The subscription for GSM (4G, 3G, 2G) connection required for LTS will be provided by the </w:t>
            </w:r>
            <w:r w:rsidR="00976DB9" w:rsidRPr="00D32FA1">
              <w:rPr>
                <w:sz w:val="22"/>
                <w:szCs w:val="22"/>
              </w:rPr>
              <w:t>Beneficiary (PESR)</w:t>
            </w:r>
            <w:r w:rsidRPr="00D32FA1">
              <w:rPr>
                <w:sz w:val="22"/>
                <w:szCs w:val="22"/>
              </w:rPr>
              <w:t>, who</w:t>
            </w:r>
            <w:r w:rsidRPr="005D60CB">
              <w:rPr>
                <w:sz w:val="22"/>
                <w:szCs w:val="22"/>
              </w:rPr>
              <w:t xml:space="preserve"> upon completion of the complete works under the Contract will perform handovers of the same to the end user.</w:t>
            </w:r>
          </w:p>
        </w:tc>
        <w:tc>
          <w:tcPr>
            <w:tcW w:w="1669" w:type="dxa"/>
            <w:tcBorders>
              <w:top w:val="single" w:sz="4" w:space="0" w:color="auto"/>
              <w:bottom w:val="single" w:sz="4" w:space="0" w:color="auto"/>
            </w:tcBorders>
          </w:tcPr>
          <w:p w14:paraId="712F4F11" w14:textId="77777777" w:rsidR="004F574A" w:rsidRPr="005B056B" w:rsidRDefault="004F574A" w:rsidP="004F574A">
            <w:r w:rsidRPr="005B056B">
              <w:t>Clarification</w:t>
            </w:r>
          </w:p>
        </w:tc>
      </w:tr>
      <w:tr w:rsidR="004F574A" w:rsidRPr="005B056B" w14:paraId="50EE4040" w14:textId="77777777" w:rsidTr="0038094E">
        <w:trPr>
          <w:trHeight w:val="791"/>
        </w:trPr>
        <w:tc>
          <w:tcPr>
            <w:tcW w:w="810" w:type="dxa"/>
            <w:tcBorders>
              <w:top w:val="single" w:sz="4" w:space="0" w:color="auto"/>
              <w:bottom w:val="single" w:sz="4" w:space="0" w:color="auto"/>
            </w:tcBorders>
          </w:tcPr>
          <w:p w14:paraId="782CDE92" w14:textId="77777777" w:rsidR="004F574A" w:rsidRDefault="00AB35CD" w:rsidP="00AB35CD">
            <w:pPr>
              <w:jc w:val="center"/>
            </w:pPr>
            <w:r>
              <w:t>3</w:t>
            </w:r>
          </w:p>
        </w:tc>
        <w:tc>
          <w:tcPr>
            <w:tcW w:w="4435" w:type="dxa"/>
            <w:tcBorders>
              <w:top w:val="single" w:sz="4" w:space="0" w:color="auto"/>
              <w:bottom w:val="single" w:sz="4" w:space="0" w:color="auto"/>
            </w:tcBorders>
          </w:tcPr>
          <w:p w14:paraId="6C639075" w14:textId="77777777" w:rsidR="004F574A" w:rsidRPr="005D60CB" w:rsidRDefault="004F574A" w:rsidP="004F574A">
            <w:pPr>
              <w:jc w:val="both"/>
              <w:rPr>
                <w:b/>
                <w:sz w:val="22"/>
                <w:szCs w:val="22"/>
              </w:rPr>
            </w:pPr>
            <w:r w:rsidRPr="005D60CB">
              <w:rPr>
                <w:b/>
                <w:sz w:val="22"/>
                <w:szCs w:val="22"/>
              </w:rPr>
              <w:t>Q:</w:t>
            </w:r>
          </w:p>
          <w:p w14:paraId="42A9B770" w14:textId="77777777" w:rsidR="004F574A" w:rsidRPr="005D60CB" w:rsidRDefault="00AA0C18" w:rsidP="004F574A">
            <w:pPr>
              <w:jc w:val="both"/>
              <w:rPr>
                <w:bCs/>
                <w:sz w:val="22"/>
                <w:szCs w:val="22"/>
              </w:rPr>
            </w:pPr>
            <w:r w:rsidRPr="005D60CB">
              <w:rPr>
                <w:bCs/>
                <w:sz w:val="22"/>
                <w:szCs w:val="22"/>
              </w:rPr>
              <w:t>Security requirements for LTSs (PS-1 Item No:13) means a firewall solution for every LTS. Please confirm this requirement.</w:t>
            </w:r>
          </w:p>
        </w:tc>
        <w:tc>
          <w:tcPr>
            <w:tcW w:w="1415" w:type="dxa"/>
            <w:tcBorders>
              <w:top w:val="single" w:sz="4" w:space="0" w:color="auto"/>
              <w:bottom w:val="single" w:sz="4" w:space="0" w:color="auto"/>
            </w:tcBorders>
          </w:tcPr>
          <w:p w14:paraId="03EF22ED" w14:textId="77777777" w:rsidR="004F574A" w:rsidRPr="0038094E" w:rsidRDefault="00593D99" w:rsidP="004F574A">
            <w:pPr>
              <w:rPr>
                <w:bCs/>
                <w:sz w:val="20"/>
                <w:szCs w:val="20"/>
              </w:rPr>
            </w:pPr>
            <w:r w:rsidRPr="0038094E">
              <w:rPr>
                <w:bCs/>
                <w:sz w:val="20"/>
                <w:szCs w:val="20"/>
              </w:rPr>
              <w:t xml:space="preserve">RFB – </w:t>
            </w:r>
            <w:r>
              <w:rPr>
                <w:bCs/>
                <w:sz w:val="20"/>
                <w:szCs w:val="20"/>
              </w:rPr>
              <w:t>Price Schedule 1, Item no. 13</w:t>
            </w:r>
          </w:p>
        </w:tc>
        <w:tc>
          <w:tcPr>
            <w:tcW w:w="810" w:type="dxa"/>
            <w:tcBorders>
              <w:top w:val="single" w:sz="4" w:space="0" w:color="auto"/>
              <w:bottom w:val="single" w:sz="4" w:space="0" w:color="auto"/>
            </w:tcBorders>
          </w:tcPr>
          <w:p w14:paraId="081B8C68" w14:textId="77777777" w:rsidR="004F574A" w:rsidRDefault="00AB35CD" w:rsidP="00D73FEA">
            <w:pPr>
              <w:jc w:val="center"/>
            </w:pPr>
            <w:r>
              <w:t>3</w:t>
            </w:r>
          </w:p>
        </w:tc>
        <w:tc>
          <w:tcPr>
            <w:tcW w:w="4721" w:type="dxa"/>
            <w:tcBorders>
              <w:top w:val="single" w:sz="4" w:space="0" w:color="auto"/>
              <w:bottom w:val="single" w:sz="4" w:space="0" w:color="auto"/>
            </w:tcBorders>
          </w:tcPr>
          <w:p w14:paraId="0A87215B" w14:textId="77777777" w:rsidR="00D41E52" w:rsidRPr="005D60CB" w:rsidRDefault="004F574A" w:rsidP="004F574A">
            <w:pPr>
              <w:jc w:val="both"/>
              <w:rPr>
                <w:b/>
                <w:sz w:val="22"/>
                <w:szCs w:val="22"/>
              </w:rPr>
            </w:pPr>
            <w:r w:rsidRPr="005D60CB">
              <w:rPr>
                <w:b/>
                <w:sz w:val="22"/>
                <w:szCs w:val="22"/>
              </w:rPr>
              <w:t>A:</w:t>
            </w:r>
            <w:r w:rsidR="002B7DD0" w:rsidRPr="005D60CB">
              <w:rPr>
                <w:b/>
                <w:sz w:val="22"/>
                <w:szCs w:val="22"/>
              </w:rPr>
              <w:t xml:space="preserve"> </w:t>
            </w:r>
          </w:p>
          <w:p w14:paraId="50A5D5D6" w14:textId="7D104016" w:rsidR="009907B3" w:rsidRPr="005D60CB" w:rsidRDefault="002B7DD0" w:rsidP="004F574A">
            <w:pPr>
              <w:jc w:val="both"/>
              <w:rPr>
                <w:b/>
                <w:sz w:val="22"/>
                <w:szCs w:val="22"/>
              </w:rPr>
            </w:pPr>
            <w:r w:rsidRPr="005D60CB">
              <w:rPr>
                <w:bCs/>
                <w:sz w:val="22"/>
                <w:szCs w:val="22"/>
              </w:rPr>
              <w:t xml:space="preserve">The security requirement does not specify design and/or implementation of security measures, i.e. whether contractor will offer centralized solution or a distributed one, </w:t>
            </w:r>
            <w:proofErr w:type="gramStart"/>
            <w:r w:rsidRPr="005D60CB">
              <w:rPr>
                <w:bCs/>
                <w:sz w:val="22"/>
                <w:szCs w:val="22"/>
              </w:rPr>
              <w:t>taking into account</w:t>
            </w:r>
            <w:proofErr w:type="gramEnd"/>
            <w:r w:rsidRPr="005D60CB">
              <w:rPr>
                <w:bCs/>
                <w:sz w:val="22"/>
                <w:szCs w:val="22"/>
              </w:rPr>
              <w:t xml:space="preserve"> all technical prerequisites and assumptions (e.g. secure network).</w:t>
            </w:r>
          </w:p>
        </w:tc>
        <w:tc>
          <w:tcPr>
            <w:tcW w:w="1669" w:type="dxa"/>
            <w:tcBorders>
              <w:top w:val="single" w:sz="4" w:space="0" w:color="auto"/>
              <w:bottom w:val="single" w:sz="4" w:space="0" w:color="auto"/>
            </w:tcBorders>
          </w:tcPr>
          <w:p w14:paraId="05094D7C" w14:textId="77777777" w:rsidR="004F574A" w:rsidRPr="005B056B" w:rsidRDefault="004F574A" w:rsidP="004F574A">
            <w:r w:rsidRPr="005B056B">
              <w:t>Clarification</w:t>
            </w:r>
          </w:p>
        </w:tc>
      </w:tr>
      <w:tr w:rsidR="004F574A" w:rsidRPr="005B056B" w14:paraId="5EDE0A3A" w14:textId="77777777" w:rsidTr="0038094E">
        <w:trPr>
          <w:trHeight w:val="694"/>
        </w:trPr>
        <w:tc>
          <w:tcPr>
            <w:tcW w:w="810" w:type="dxa"/>
            <w:tcBorders>
              <w:top w:val="single" w:sz="4" w:space="0" w:color="auto"/>
              <w:bottom w:val="single" w:sz="4" w:space="0" w:color="auto"/>
            </w:tcBorders>
          </w:tcPr>
          <w:p w14:paraId="5F23A58C" w14:textId="77777777" w:rsidR="004F574A" w:rsidRDefault="00AB35CD" w:rsidP="00AB35CD">
            <w:pPr>
              <w:jc w:val="center"/>
            </w:pPr>
            <w:r>
              <w:t>4</w:t>
            </w:r>
          </w:p>
        </w:tc>
        <w:tc>
          <w:tcPr>
            <w:tcW w:w="4435" w:type="dxa"/>
            <w:tcBorders>
              <w:top w:val="single" w:sz="4" w:space="0" w:color="auto"/>
              <w:bottom w:val="single" w:sz="4" w:space="0" w:color="auto"/>
            </w:tcBorders>
          </w:tcPr>
          <w:p w14:paraId="7592E4F1" w14:textId="77777777" w:rsidR="004F574A" w:rsidRPr="005D60CB" w:rsidRDefault="004F574A" w:rsidP="004F574A">
            <w:pPr>
              <w:jc w:val="both"/>
              <w:rPr>
                <w:b/>
                <w:sz w:val="22"/>
                <w:szCs w:val="22"/>
              </w:rPr>
            </w:pPr>
            <w:r w:rsidRPr="005D60CB">
              <w:rPr>
                <w:b/>
                <w:sz w:val="22"/>
                <w:szCs w:val="22"/>
              </w:rPr>
              <w:t>Q:</w:t>
            </w:r>
          </w:p>
          <w:p w14:paraId="1F65DFC6" w14:textId="77777777" w:rsidR="004F574A" w:rsidRPr="005D60CB" w:rsidRDefault="00AA0C18" w:rsidP="00C25353">
            <w:pPr>
              <w:jc w:val="both"/>
              <w:rPr>
                <w:sz w:val="22"/>
                <w:szCs w:val="22"/>
              </w:rPr>
            </w:pPr>
            <w:r w:rsidRPr="005D60CB">
              <w:rPr>
                <w:sz w:val="22"/>
                <w:szCs w:val="22"/>
              </w:rPr>
              <w:t xml:space="preserve">Is it expected that incident detection analysis will be performed at the center, at the camera or in a </w:t>
            </w:r>
            <w:r w:rsidR="00593D99" w:rsidRPr="005D60CB">
              <w:rPr>
                <w:sz w:val="22"/>
                <w:szCs w:val="22"/>
              </w:rPr>
              <w:t>separate</w:t>
            </w:r>
            <w:r w:rsidRPr="005D60CB">
              <w:rPr>
                <w:sz w:val="22"/>
                <w:szCs w:val="22"/>
              </w:rPr>
              <w:t xml:space="preserve"> unit </w:t>
            </w:r>
            <w:r w:rsidR="00593D99" w:rsidRPr="005D60CB">
              <w:rPr>
                <w:sz w:val="22"/>
                <w:szCs w:val="22"/>
              </w:rPr>
              <w:t>within</w:t>
            </w:r>
            <w:r w:rsidRPr="005D60CB">
              <w:rPr>
                <w:sz w:val="22"/>
                <w:szCs w:val="22"/>
              </w:rPr>
              <w:t xml:space="preserve"> the video box? It's unclear to us that the </w:t>
            </w:r>
            <w:r w:rsidR="00593D99" w:rsidRPr="005D60CB">
              <w:rPr>
                <w:sz w:val="22"/>
                <w:szCs w:val="22"/>
              </w:rPr>
              <w:t>specifications</w:t>
            </w:r>
            <w:r w:rsidRPr="005D60CB">
              <w:rPr>
                <w:sz w:val="22"/>
                <w:szCs w:val="22"/>
              </w:rPr>
              <w:t xml:space="preserve"> </w:t>
            </w:r>
            <w:r w:rsidR="00593D99" w:rsidRPr="005D60CB">
              <w:rPr>
                <w:sz w:val="22"/>
                <w:szCs w:val="22"/>
              </w:rPr>
              <w:t>refer</w:t>
            </w:r>
            <w:r w:rsidRPr="005D60CB">
              <w:rPr>
                <w:sz w:val="22"/>
                <w:szCs w:val="22"/>
              </w:rPr>
              <w:t xml:space="preserve"> to all three solutions.</w:t>
            </w:r>
          </w:p>
        </w:tc>
        <w:tc>
          <w:tcPr>
            <w:tcW w:w="1415" w:type="dxa"/>
            <w:tcBorders>
              <w:top w:val="single" w:sz="4" w:space="0" w:color="auto"/>
              <w:bottom w:val="single" w:sz="4" w:space="0" w:color="auto"/>
            </w:tcBorders>
          </w:tcPr>
          <w:p w14:paraId="224669E7" w14:textId="77777777" w:rsidR="004F574A" w:rsidRPr="0038094E" w:rsidRDefault="004F574A" w:rsidP="004F574A">
            <w:pPr>
              <w:rPr>
                <w:bCs/>
                <w:sz w:val="20"/>
                <w:szCs w:val="20"/>
              </w:rPr>
            </w:pPr>
          </w:p>
        </w:tc>
        <w:tc>
          <w:tcPr>
            <w:tcW w:w="810" w:type="dxa"/>
            <w:tcBorders>
              <w:top w:val="single" w:sz="4" w:space="0" w:color="auto"/>
              <w:bottom w:val="single" w:sz="4" w:space="0" w:color="auto"/>
            </w:tcBorders>
          </w:tcPr>
          <w:p w14:paraId="02597486" w14:textId="77777777" w:rsidR="004F574A" w:rsidRDefault="00AB35CD" w:rsidP="00D73FEA">
            <w:pPr>
              <w:jc w:val="center"/>
            </w:pPr>
            <w:r>
              <w:t>4</w:t>
            </w:r>
          </w:p>
        </w:tc>
        <w:tc>
          <w:tcPr>
            <w:tcW w:w="4721" w:type="dxa"/>
            <w:tcBorders>
              <w:top w:val="single" w:sz="4" w:space="0" w:color="auto"/>
              <w:bottom w:val="single" w:sz="4" w:space="0" w:color="auto"/>
            </w:tcBorders>
          </w:tcPr>
          <w:p w14:paraId="00ECD777" w14:textId="77777777" w:rsidR="00D41E52" w:rsidRPr="005D60CB" w:rsidRDefault="004F574A" w:rsidP="007E380B">
            <w:pPr>
              <w:jc w:val="both"/>
              <w:rPr>
                <w:b/>
                <w:sz w:val="22"/>
                <w:szCs w:val="22"/>
              </w:rPr>
            </w:pPr>
            <w:r w:rsidRPr="005D60CB">
              <w:rPr>
                <w:b/>
                <w:sz w:val="22"/>
                <w:szCs w:val="22"/>
              </w:rPr>
              <w:t>A:</w:t>
            </w:r>
            <w:r w:rsidR="0033388F" w:rsidRPr="005D60CB">
              <w:rPr>
                <w:b/>
                <w:sz w:val="22"/>
                <w:szCs w:val="22"/>
              </w:rPr>
              <w:t xml:space="preserve"> </w:t>
            </w:r>
          </w:p>
          <w:p w14:paraId="43F5BBE9" w14:textId="7D174632" w:rsidR="006B5C2D" w:rsidRPr="005D60CB" w:rsidRDefault="002B7DD0" w:rsidP="007E380B">
            <w:pPr>
              <w:jc w:val="both"/>
              <w:rPr>
                <w:b/>
                <w:sz w:val="22"/>
                <w:szCs w:val="22"/>
                <w:lang w:val="mk-MK"/>
              </w:rPr>
            </w:pPr>
            <w:r w:rsidRPr="005D60CB">
              <w:rPr>
                <w:sz w:val="22"/>
                <w:szCs w:val="22"/>
              </w:rPr>
              <w:t xml:space="preserve">As clearly indicated in the technical specification, all analytics results must be integrated into the central ITS platform, regardless of whether the processing </w:t>
            </w:r>
            <w:r w:rsidR="007E380B" w:rsidRPr="005D60CB">
              <w:rPr>
                <w:sz w:val="22"/>
                <w:szCs w:val="22"/>
              </w:rPr>
              <w:t xml:space="preserve">will </w:t>
            </w:r>
            <w:r w:rsidR="00FC4A9C" w:rsidRPr="005D60CB">
              <w:rPr>
                <w:sz w:val="22"/>
                <w:szCs w:val="22"/>
              </w:rPr>
              <w:t>be performed</w:t>
            </w:r>
            <w:r w:rsidRPr="005D60CB">
              <w:rPr>
                <w:sz w:val="22"/>
                <w:szCs w:val="22"/>
              </w:rPr>
              <w:t xml:space="preserve"> on-camera/on-board, on edge devices, or in central location.</w:t>
            </w:r>
          </w:p>
        </w:tc>
        <w:tc>
          <w:tcPr>
            <w:tcW w:w="1669" w:type="dxa"/>
            <w:tcBorders>
              <w:top w:val="single" w:sz="4" w:space="0" w:color="auto"/>
              <w:bottom w:val="single" w:sz="4" w:space="0" w:color="auto"/>
            </w:tcBorders>
          </w:tcPr>
          <w:p w14:paraId="4536B582" w14:textId="77777777" w:rsidR="004F574A" w:rsidRPr="005B056B" w:rsidRDefault="004F574A" w:rsidP="004F574A">
            <w:r w:rsidRPr="005B056B">
              <w:t>Clarification</w:t>
            </w:r>
          </w:p>
        </w:tc>
      </w:tr>
      <w:tr w:rsidR="0038094E" w:rsidRPr="005B056B" w14:paraId="2CC5460B" w14:textId="77777777" w:rsidTr="0038094E">
        <w:trPr>
          <w:trHeight w:val="791"/>
        </w:trPr>
        <w:tc>
          <w:tcPr>
            <w:tcW w:w="810" w:type="dxa"/>
            <w:tcBorders>
              <w:top w:val="single" w:sz="4" w:space="0" w:color="auto"/>
              <w:bottom w:val="single" w:sz="4" w:space="0" w:color="auto"/>
            </w:tcBorders>
          </w:tcPr>
          <w:p w14:paraId="073B3049" w14:textId="77777777" w:rsidR="0038094E" w:rsidRDefault="0038094E" w:rsidP="0038094E">
            <w:pPr>
              <w:jc w:val="center"/>
            </w:pPr>
            <w:r>
              <w:t>5</w:t>
            </w:r>
          </w:p>
        </w:tc>
        <w:tc>
          <w:tcPr>
            <w:tcW w:w="4435" w:type="dxa"/>
            <w:tcBorders>
              <w:top w:val="single" w:sz="4" w:space="0" w:color="auto"/>
              <w:bottom w:val="single" w:sz="4" w:space="0" w:color="auto"/>
            </w:tcBorders>
          </w:tcPr>
          <w:p w14:paraId="04B81280" w14:textId="77777777" w:rsidR="0038094E" w:rsidRPr="005D60CB" w:rsidRDefault="0038094E" w:rsidP="0038094E">
            <w:pPr>
              <w:jc w:val="both"/>
              <w:rPr>
                <w:b/>
                <w:sz w:val="22"/>
                <w:szCs w:val="22"/>
              </w:rPr>
            </w:pPr>
            <w:r w:rsidRPr="005D60CB">
              <w:rPr>
                <w:b/>
                <w:sz w:val="22"/>
                <w:szCs w:val="22"/>
              </w:rPr>
              <w:t>Q:</w:t>
            </w:r>
          </w:p>
          <w:p w14:paraId="24AA71E6" w14:textId="77777777" w:rsidR="0038094E" w:rsidRPr="005D60CB" w:rsidRDefault="00AA0C18" w:rsidP="0038094E">
            <w:pPr>
              <w:jc w:val="both"/>
              <w:rPr>
                <w:bCs/>
                <w:sz w:val="22"/>
                <w:szCs w:val="22"/>
              </w:rPr>
            </w:pPr>
            <w:r w:rsidRPr="005D60CB">
              <w:rPr>
                <w:bCs/>
                <w:sz w:val="22"/>
                <w:szCs w:val="22"/>
              </w:rPr>
              <w:t xml:space="preserve">According to the Book-3 Explanatory Note, only fixed AID cameras need to be AID functionality. But in the </w:t>
            </w:r>
            <w:proofErr w:type="gramStart"/>
            <w:r w:rsidRPr="005D60CB">
              <w:rPr>
                <w:bCs/>
                <w:sz w:val="22"/>
                <w:szCs w:val="22"/>
              </w:rPr>
              <w:t>price-schedule</w:t>
            </w:r>
            <w:proofErr w:type="gramEnd"/>
            <w:r w:rsidRPr="005D60CB">
              <w:rPr>
                <w:bCs/>
                <w:sz w:val="22"/>
                <w:szCs w:val="22"/>
              </w:rPr>
              <w:t xml:space="preserve"> it seems AI PTZ cameras also should have this feature. Please clarify which cameras (PTZ, fixed, </w:t>
            </w:r>
            <w:proofErr w:type="spellStart"/>
            <w:r w:rsidRPr="005D60CB">
              <w:rPr>
                <w:bCs/>
                <w:sz w:val="22"/>
                <w:szCs w:val="22"/>
              </w:rPr>
              <w:t>thermo</w:t>
            </w:r>
            <w:proofErr w:type="spellEnd"/>
            <w:r w:rsidRPr="005D60CB">
              <w:rPr>
                <w:bCs/>
                <w:sz w:val="22"/>
                <w:szCs w:val="22"/>
              </w:rPr>
              <w:t>)</w:t>
            </w:r>
            <w:r w:rsidR="00593D99" w:rsidRPr="005D60CB">
              <w:rPr>
                <w:bCs/>
                <w:sz w:val="22"/>
                <w:szCs w:val="22"/>
              </w:rPr>
              <w:t xml:space="preserve"> </w:t>
            </w:r>
            <w:r w:rsidRPr="005D60CB">
              <w:rPr>
                <w:bCs/>
                <w:sz w:val="22"/>
                <w:szCs w:val="22"/>
              </w:rPr>
              <w:t>should have AID functionality?</w:t>
            </w:r>
          </w:p>
        </w:tc>
        <w:tc>
          <w:tcPr>
            <w:tcW w:w="1415" w:type="dxa"/>
            <w:tcBorders>
              <w:top w:val="single" w:sz="4" w:space="0" w:color="auto"/>
              <w:bottom w:val="single" w:sz="4" w:space="0" w:color="auto"/>
            </w:tcBorders>
          </w:tcPr>
          <w:p w14:paraId="39E03D47" w14:textId="77777777" w:rsidR="0038094E" w:rsidRPr="005D60CB" w:rsidRDefault="00593D99" w:rsidP="0038094E">
            <w:pPr>
              <w:rPr>
                <w:bCs/>
                <w:sz w:val="20"/>
                <w:szCs w:val="20"/>
              </w:rPr>
            </w:pPr>
            <w:r w:rsidRPr="005D60CB">
              <w:rPr>
                <w:bCs/>
                <w:sz w:val="20"/>
                <w:szCs w:val="20"/>
              </w:rPr>
              <w:t>Book-3 Explanatory Note</w:t>
            </w:r>
          </w:p>
        </w:tc>
        <w:tc>
          <w:tcPr>
            <w:tcW w:w="810" w:type="dxa"/>
            <w:tcBorders>
              <w:top w:val="single" w:sz="4" w:space="0" w:color="auto"/>
              <w:bottom w:val="single" w:sz="4" w:space="0" w:color="auto"/>
            </w:tcBorders>
          </w:tcPr>
          <w:p w14:paraId="6A9B9386" w14:textId="77777777" w:rsidR="0038094E" w:rsidRDefault="0038094E" w:rsidP="0038094E">
            <w:pPr>
              <w:jc w:val="center"/>
            </w:pPr>
            <w:r>
              <w:t>5</w:t>
            </w:r>
          </w:p>
        </w:tc>
        <w:tc>
          <w:tcPr>
            <w:tcW w:w="4721" w:type="dxa"/>
            <w:tcBorders>
              <w:top w:val="single" w:sz="4" w:space="0" w:color="auto"/>
              <w:bottom w:val="single" w:sz="4" w:space="0" w:color="auto"/>
            </w:tcBorders>
          </w:tcPr>
          <w:p w14:paraId="7BC0212E" w14:textId="77777777" w:rsidR="00D41E52" w:rsidRPr="005D60CB" w:rsidRDefault="0038094E" w:rsidP="0038094E">
            <w:pPr>
              <w:jc w:val="both"/>
              <w:rPr>
                <w:b/>
                <w:bCs/>
                <w:sz w:val="22"/>
                <w:szCs w:val="22"/>
              </w:rPr>
            </w:pPr>
            <w:r w:rsidRPr="005D60CB">
              <w:rPr>
                <w:b/>
                <w:bCs/>
                <w:sz w:val="22"/>
                <w:szCs w:val="22"/>
              </w:rPr>
              <w:t>A:</w:t>
            </w:r>
            <w:r w:rsidR="00D92DF2" w:rsidRPr="005D60CB">
              <w:rPr>
                <w:b/>
                <w:bCs/>
                <w:sz w:val="22"/>
                <w:szCs w:val="22"/>
                <w:lang w:val="mk-MK"/>
              </w:rPr>
              <w:t xml:space="preserve"> </w:t>
            </w:r>
          </w:p>
          <w:p w14:paraId="6D776780" w14:textId="1912A7E8" w:rsidR="0038094E" w:rsidRPr="005D60CB" w:rsidRDefault="00D92DF2" w:rsidP="0038094E">
            <w:pPr>
              <w:jc w:val="both"/>
              <w:rPr>
                <w:sz w:val="22"/>
                <w:szCs w:val="22"/>
              </w:rPr>
            </w:pPr>
            <w:r w:rsidRPr="005D60CB">
              <w:rPr>
                <w:sz w:val="22"/>
                <w:szCs w:val="22"/>
              </w:rPr>
              <w:t xml:space="preserve">All three camera types foreseen in the price-schedule must have built-in analytics capabilities according to the required specifications. </w:t>
            </w:r>
          </w:p>
          <w:p w14:paraId="18CA81F4" w14:textId="77777777" w:rsidR="0033388F" w:rsidRPr="005D60CB" w:rsidRDefault="0033388F" w:rsidP="0033388F">
            <w:pPr>
              <w:jc w:val="both"/>
              <w:rPr>
                <w:sz w:val="22"/>
                <w:szCs w:val="22"/>
              </w:rPr>
            </w:pPr>
          </w:p>
          <w:p w14:paraId="2BE82936" w14:textId="77777777" w:rsidR="0033388F" w:rsidRPr="005D60CB" w:rsidRDefault="0033388F" w:rsidP="0033388F">
            <w:pPr>
              <w:jc w:val="both"/>
              <w:rPr>
                <w:sz w:val="22"/>
                <w:szCs w:val="22"/>
              </w:rPr>
            </w:pPr>
            <w:r w:rsidRPr="005D60CB">
              <w:rPr>
                <w:sz w:val="22"/>
                <w:szCs w:val="22"/>
              </w:rPr>
              <w:t>Please follow and respond to the requirements stated in the issued Price schedules.</w:t>
            </w:r>
          </w:p>
          <w:p w14:paraId="0481BF9B" w14:textId="77777777" w:rsidR="0033388F" w:rsidRPr="005D60CB" w:rsidRDefault="0033388F" w:rsidP="0033388F">
            <w:pPr>
              <w:jc w:val="both"/>
              <w:rPr>
                <w:bCs/>
                <w:sz w:val="22"/>
                <w:szCs w:val="22"/>
              </w:rPr>
            </w:pPr>
          </w:p>
          <w:p w14:paraId="00A05FA0" w14:textId="77777777" w:rsidR="0038094E" w:rsidRPr="005D60CB" w:rsidRDefault="0033388F" w:rsidP="0033388F">
            <w:pPr>
              <w:jc w:val="both"/>
              <w:rPr>
                <w:sz w:val="22"/>
                <w:szCs w:val="22"/>
              </w:rPr>
            </w:pPr>
            <w:r w:rsidRPr="005D60CB">
              <w:rPr>
                <w:bCs/>
                <w:sz w:val="22"/>
                <w:szCs w:val="22"/>
              </w:rPr>
              <w:t>Take into consideration that those stated requirements are minimum requirements and the required functionality should be fulfilled with the proposed product.</w:t>
            </w:r>
          </w:p>
        </w:tc>
        <w:tc>
          <w:tcPr>
            <w:tcW w:w="1669" w:type="dxa"/>
            <w:tcBorders>
              <w:top w:val="single" w:sz="4" w:space="0" w:color="auto"/>
              <w:bottom w:val="single" w:sz="4" w:space="0" w:color="auto"/>
            </w:tcBorders>
          </w:tcPr>
          <w:p w14:paraId="23812716" w14:textId="77777777" w:rsidR="0038094E" w:rsidRPr="005B056B" w:rsidRDefault="0038094E" w:rsidP="0038094E">
            <w:r w:rsidRPr="005B056B">
              <w:t>Clarification</w:t>
            </w:r>
          </w:p>
        </w:tc>
      </w:tr>
      <w:tr w:rsidR="0038094E" w:rsidRPr="005B056B" w14:paraId="1A03DFC4" w14:textId="77777777" w:rsidTr="0038094E">
        <w:trPr>
          <w:trHeight w:val="791"/>
        </w:trPr>
        <w:tc>
          <w:tcPr>
            <w:tcW w:w="810" w:type="dxa"/>
            <w:tcBorders>
              <w:top w:val="single" w:sz="4" w:space="0" w:color="auto"/>
              <w:bottom w:val="single" w:sz="4" w:space="0" w:color="auto"/>
            </w:tcBorders>
          </w:tcPr>
          <w:p w14:paraId="271CEB2D" w14:textId="77777777" w:rsidR="0038094E" w:rsidRDefault="0038094E" w:rsidP="0038094E">
            <w:pPr>
              <w:jc w:val="center"/>
            </w:pPr>
            <w:r>
              <w:lastRenderedPageBreak/>
              <w:t>6</w:t>
            </w:r>
          </w:p>
        </w:tc>
        <w:tc>
          <w:tcPr>
            <w:tcW w:w="4435" w:type="dxa"/>
            <w:tcBorders>
              <w:top w:val="single" w:sz="4" w:space="0" w:color="auto"/>
              <w:bottom w:val="single" w:sz="4" w:space="0" w:color="auto"/>
            </w:tcBorders>
          </w:tcPr>
          <w:p w14:paraId="1B76F102" w14:textId="77777777" w:rsidR="0038094E" w:rsidRPr="005D60CB" w:rsidRDefault="0038094E" w:rsidP="0038094E">
            <w:pPr>
              <w:jc w:val="both"/>
              <w:rPr>
                <w:b/>
                <w:bCs/>
                <w:sz w:val="22"/>
                <w:szCs w:val="22"/>
              </w:rPr>
            </w:pPr>
            <w:r w:rsidRPr="005D60CB">
              <w:rPr>
                <w:b/>
                <w:bCs/>
                <w:sz w:val="22"/>
                <w:szCs w:val="22"/>
              </w:rPr>
              <w:t>Q:</w:t>
            </w:r>
          </w:p>
          <w:p w14:paraId="3D0898C7" w14:textId="3ECFD081" w:rsidR="0038094E" w:rsidRPr="005D60CB" w:rsidRDefault="00D41E52" w:rsidP="0038094E">
            <w:pPr>
              <w:jc w:val="both"/>
              <w:rPr>
                <w:bCs/>
                <w:sz w:val="22"/>
                <w:szCs w:val="22"/>
              </w:rPr>
            </w:pPr>
            <w:r w:rsidRPr="005D60CB">
              <w:rPr>
                <w:bCs/>
                <w:sz w:val="22"/>
                <w:szCs w:val="22"/>
              </w:rPr>
              <w:t>In the technical evaluation section of the RFP (</w:t>
            </w:r>
            <w:proofErr w:type="spellStart"/>
            <w:r w:rsidRPr="005D60CB">
              <w:rPr>
                <w:bCs/>
                <w:sz w:val="22"/>
                <w:szCs w:val="22"/>
              </w:rPr>
              <w:t>pg</w:t>
            </w:r>
            <w:proofErr w:type="spellEnd"/>
            <w:r w:rsidRPr="005D60CB">
              <w:rPr>
                <w:bCs/>
                <w:sz w:val="22"/>
                <w:szCs w:val="22"/>
              </w:rPr>
              <w:t xml:space="preserve"> 49), regarding the Incident Detection Accuracy and Incident Response Time parameters, does "Incident" refer to events detected by the incident detection (AID) cameras, or all events detected in the entire ITS system (traffic jam, weather &amp; road condition anomalies)?</w:t>
            </w:r>
          </w:p>
        </w:tc>
        <w:tc>
          <w:tcPr>
            <w:tcW w:w="1415" w:type="dxa"/>
            <w:tcBorders>
              <w:top w:val="single" w:sz="4" w:space="0" w:color="auto"/>
              <w:bottom w:val="single" w:sz="4" w:space="0" w:color="auto"/>
            </w:tcBorders>
          </w:tcPr>
          <w:p w14:paraId="0DD9F196" w14:textId="37E5C22A" w:rsidR="0038094E" w:rsidRPr="005D60CB" w:rsidRDefault="00D41E52" w:rsidP="0038094E">
            <w:pPr>
              <w:rPr>
                <w:bCs/>
                <w:sz w:val="20"/>
                <w:szCs w:val="20"/>
              </w:rPr>
            </w:pPr>
            <w:r w:rsidRPr="005D60CB">
              <w:rPr>
                <w:bCs/>
                <w:sz w:val="20"/>
                <w:szCs w:val="20"/>
              </w:rPr>
              <w:t>RF</w:t>
            </w:r>
            <w:r w:rsidR="00981154" w:rsidRPr="005D60CB">
              <w:rPr>
                <w:bCs/>
                <w:sz w:val="20"/>
                <w:szCs w:val="20"/>
              </w:rPr>
              <w:t>B</w:t>
            </w:r>
            <w:r w:rsidR="0016029A" w:rsidRPr="005D60CB">
              <w:rPr>
                <w:bCs/>
                <w:sz w:val="20"/>
                <w:szCs w:val="20"/>
              </w:rPr>
              <w:t xml:space="preserve"> - Section II -ITB 32.2</w:t>
            </w:r>
          </w:p>
        </w:tc>
        <w:tc>
          <w:tcPr>
            <w:tcW w:w="810" w:type="dxa"/>
            <w:tcBorders>
              <w:top w:val="single" w:sz="4" w:space="0" w:color="auto"/>
              <w:bottom w:val="single" w:sz="4" w:space="0" w:color="auto"/>
            </w:tcBorders>
          </w:tcPr>
          <w:p w14:paraId="7D15B6D8" w14:textId="77777777" w:rsidR="0038094E" w:rsidRDefault="0038094E" w:rsidP="0038094E">
            <w:pPr>
              <w:jc w:val="center"/>
            </w:pPr>
            <w:r>
              <w:t>6</w:t>
            </w:r>
          </w:p>
        </w:tc>
        <w:tc>
          <w:tcPr>
            <w:tcW w:w="4721" w:type="dxa"/>
            <w:tcBorders>
              <w:top w:val="single" w:sz="4" w:space="0" w:color="auto"/>
              <w:bottom w:val="single" w:sz="4" w:space="0" w:color="auto"/>
            </w:tcBorders>
          </w:tcPr>
          <w:p w14:paraId="451474E1" w14:textId="77777777" w:rsidR="0038094E" w:rsidRPr="005D60CB" w:rsidRDefault="0038094E" w:rsidP="0038094E">
            <w:pPr>
              <w:jc w:val="both"/>
              <w:rPr>
                <w:b/>
                <w:sz w:val="22"/>
                <w:szCs w:val="22"/>
              </w:rPr>
            </w:pPr>
            <w:r w:rsidRPr="005D60CB">
              <w:rPr>
                <w:b/>
                <w:sz w:val="22"/>
                <w:szCs w:val="22"/>
              </w:rPr>
              <w:t>A:</w:t>
            </w:r>
          </w:p>
          <w:p w14:paraId="3CD4B1AE" w14:textId="59906AAA" w:rsidR="0038094E" w:rsidRPr="005D60CB" w:rsidRDefault="00D41E52" w:rsidP="0038094E">
            <w:pPr>
              <w:jc w:val="both"/>
              <w:rPr>
                <w:bCs/>
                <w:sz w:val="22"/>
                <w:szCs w:val="22"/>
              </w:rPr>
            </w:pPr>
            <w:r w:rsidRPr="005D60CB">
              <w:rPr>
                <w:bCs/>
                <w:sz w:val="22"/>
                <w:szCs w:val="22"/>
              </w:rPr>
              <w:t>The</w:t>
            </w:r>
            <w:r w:rsidR="00B57DC5" w:rsidRPr="005D60CB">
              <w:rPr>
                <w:bCs/>
                <w:sz w:val="22"/>
                <w:szCs w:val="22"/>
              </w:rPr>
              <w:t xml:space="preserve"> "Incident" refers</w:t>
            </w:r>
            <w:r w:rsidRPr="005D60CB">
              <w:rPr>
                <w:bCs/>
                <w:sz w:val="22"/>
                <w:szCs w:val="22"/>
              </w:rPr>
              <w:t xml:space="preserve"> </w:t>
            </w:r>
            <w:r w:rsidR="0016029A" w:rsidRPr="005D60CB">
              <w:rPr>
                <w:bCs/>
                <w:sz w:val="22"/>
                <w:szCs w:val="22"/>
              </w:rPr>
              <w:t>to</w:t>
            </w:r>
            <w:r w:rsidRPr="005D60CB">
              <w:rPr>
                <w:bCs/>
                <w:sz w:val="22"/>
                <w:szCs w:val="22"/>
              </w:rPr>
              <w:t xml:space="preserve"> incidents detected by the AID system.</w:t>
            </w:r>
          </w:p>
        </w:tc>
        <w:tc>
          <w:tcPr>
            <w:tcW w:w="1669" w:type="dxa"/>
            <w:tcBorders>
              <w:top w:val="single" w:sz="4" w:space="0" w:color="auto"/>
              <w:bottom w:val="single" w:sz="4" w:space="0" w:color="auto"/>
            </w:tcBorders>
          </w:tcPr>
          <w:p w14:paraId="46B1472A" w14:textId="77777777" w:rsidR="0038094E" w:rsidRPr="005B056B" w:rsidRDefault="0038094E" w:rsidP="0038094E">
            <w:r w:rsidRPr="005B056B">
              <w:t>Clarification</w:t>
            </w:r>
          </w:p>
        </w:tc>
      </w:tr>
      <w:tr w:rsidR="0038094E" w:rsidRPr="005B056B" w14:paraId="2440493F" w14:textId="77777777" w:rsidTr="0038094E">
        <w:trPr>
          <w:trHeight w:val="557"/>
        </w:trPr>
        <w:tc>
          <w:tcPr>
            <w:tcW w:w="810" w:type="dxa"/>
            <w:tcBorders>
              <w:top w:val="single" w:sz="4" w:space="0" w:color="auto"/>
              <w:bottom w:val="single" w:sz="4" w:space="0" w:color="auto"/>
            </w:tcBorders>
          </w:tcPr>
          <w:p w14:paraId="21AC1CF3" w14:textId="77777777" w:rsidR="0038094E" w:rsidRDefault="0038094E" w:rsidP="0038094E">
            <w:pPr>
              <w:jc w:val="center"/>
            </w:pPr>
            <w:r>
              <w:t>7</w:t>
            </w:r>
          </w:p>
        </w:tc>
        <w:tc>
          <w:tcPr>
            <w:tcW w:w="4435" w:type="dxa"/>
            <w:tcBorders>
              <w:top w:val="single" w:sz="4" w:space="0" w:color="auto"/>
              <w:bottom w:val="single" w:sz="4" w:space="0" w:color="auto"/>
            </w:tcBorders>
          </w:tcPr>
          <w:p w14:paraId="62DF5956" w14:textId="77777777" w:rsidR="0038094E" w:rsidRPr="005D60CB" w:rsidRDefault="0038094E" w:rsidP="0038094E">
            <w:pPr>
              <w:jc w:val="both"/>
              <w:rPr>
                <w:b/>
                <w:bCs/>
                <w:sz w:val="22"/>
                <w:szCs w:val="22"/>
              </w:rPr>
            </w:pPr>
            <w:r w:rsidRPr="005D60CB">
              <w:rPr>
                <w:b/>
                <w:bCs/>
                <w:sz w:val="22"/>
                <w:szCs w:val="22"/>
              </w:rPr>
              <w:t>Q:</w:t>
            </w:r>
          </w:p>
          <w:p w14:paraId="2D7327E3" w14:textId="71A0C81D" w:rsidR="0038094E" w:rsidRPr="005D60CB" w:rsidRDefault="00D41E52" w:rsidP="0038094E">
            <w:pPr>
              <w:jc w:val="both"/>
              <w:rPr>
                <w:bCs/>
                <w:sz w:val="22"/>
                <w:szCs w:val="22"/>
              </w:rPr>
            </w:pPr>
            <w:r w:rsidRPr="005D60CB">
              <w:rPr>
                <w:bCs/>
                <w:sz w:val="22"/>
                <w:szCs w:val="22"/>
              </w:rPr>
              <w:t>According to Clause ITB 21.3, it specifies “…(ii) nominating a Representative person who shall have the authority…”. Is it permissible to nominate more than one individual, with the additional nominees designated as backups?</w:t>
            </w:r>
          </w:p>
        </w:tc>
        <w:tc>
          <w:tcPr>
            <w:tcW w:w="1415" w:type="dxa"/>
            <w:tcBorders>
              <w:top w:val="single" w:sz="4" w:space="0" w:color="auto"/>
              <w:bottom w:val="single" w:sz="4" w:space="0" w:color="auto"/>
            </w:tcBorders>
          </w:tcPr>
          <w:p w14:paraId="35CDFBAB" w14:textId="43D022E7" w:rsidR="0038094E" w:rsidRPr="005D60CB" w:rsidRDefault="00D41E52" w:rsidP="0038094E">
            <w:pPr>
              <w:rPr>
                <w:bCs/>
                <w:sz w:val="20"/>
                <w:szCs w:val="20"/>
              </w:rPr>
            </w:pPr>
            <w:r w:rsidRPr="005D60CB">
              <w:rPr>
                <w:bCs/>
                <w:sz w:val="20"/>
                <w:szCs w:val="20"/>
              </w:rPr>
              <w:t>RF</w:t>
            </w:r>
            <w:r w:rsidR="00981154" w:rsidRPr="005D60CB">
              <w:rPr>
                <w:bCs/>
                <w:sz w:val="20"/>
                <w:szCs w:val="20"/>
              </w:rPr>
              <w:t>B</w:t>
            </w:r>
            <w:r w:rsidRPr="005D60CB">
              <w:rPr>
                <w:bCs/>
                <w:sz w:val="20"/>
                <w:szCs w:val="20"/>
              </w:rPr>
              <w:t xml:space="preserve"> - </w:t>
            </w:r>
            <w:r w:rsidR="0016029A" w:rsidRPr="005D60CB">
              <w:rPr>
                <w:bCs/>
                <w:sz w:val="20"/>
                <w:szCs w:val="20"/>
              </w:rPr>
              <w:t>Section II -</w:t>
            </w:r>
            <w:r w:rsidRPr="005D60CB">
              <w:rPr>
                <w:bCs/>
                <w:sz w:val="20"/>
                <w:szCs w:val="20"/>
              </w:rPr>
              <w:t>ITB 21.</w:t>
            </w:r>
            <w:r w:rsidR="005D60CB">
              <w:rPr>
                <w:bCs/>
                <w:sz w:val="20"/>
                <w:szCs w:val="20"/>
              </w:rPr>
              <w:t xml:space="preserve">4 and </w:t>
            </w:r>
            <w:r w:rsidR="00323635" w:rsidRPr="00323635">
              <w:rPr>
                <w:bCs/>
                <w:sz w:val="20"/>
                <w:szCs w:val="20"/>
              </w:rPr>
              <w:t>BDS-ITB 21.3</w:t>
            </w:r>
          </w:p>
        </w:tc>
        <w:tc>
          <w:tcPr>
            <w:tcW w:w="810" w:type="dxa"/>
            <w:tcBorders>
              <w:top w:val="single" w:sz="4" w:space="0" w:color="auto"/>
              <w:bottom w:val="single" w:sz="4" w:space="0" w:color="auto"/>
            </w:tcBorders>
          </w:tcPr>
          <w:p w14:paraId="3A3C9E8C" w14:textId="77777777" w:rsidR="0038094E" w:rsidRDefault="0038094E" w:rsidP="0038094E">
            <w:pPr>
              <w:jc w:val="center"/>
            </w:pPr>
            <w:r>
              <w:t>7</w:t>
            </w:r>
          </w:p>
        </w:tc>
        <w:tc>
          <w:tcPr>
            <w:tcW w:w="4721" w:type="dxa"/>
            <w:tcBorders>
              <w:top w:val="single" w:sz="4" w:space="0" w:color="auto"/>
              <w:bottom w:val="single" w:sz="4" w:space="0" w:color="auto"/>
            </w:tcBorders>
          </w:tcPr>
          <w:p w14:paraId="429B2904" w14:textId="77777777" w:rsidR="0038094E" w:rsidRPr="005D60CB" w:rsidRDefault="0038094E" w:rsidP="0038094E">
            <w:pPr>
              <w:jc w:val="both"/>
              <w:rPr>
                <w:b/>
                <w:sz w:val="22"/>
                <w:szCs w:val="22"/>
              </w:rPr>
            </w:pPr>
            <w:r w:rsidRPr="005D60CB">
              <w:rPr>
                <w:b/>
                <w:sz w:val="22"/>
                <w:szCs w:val="22"/>
              </w:rPr>
              <w:t>A:</w:t>
            </w:r>
          </w:p>
          <w:p w14:paraId="55815538" w14:textId="7DABA523" w:rsidR="0038094E" w:rsidRPr="005D60CB" w:rsidRDefault="00372D31" w:rsidP="0038094E">
            <w:pPr>
              <w:jc w:val="both"/>
              <w:rPr>
                <w:bCs/>
                <w:sz w:val="22"/>
                <w:szCs w:val="22"/>
              </w:rPr>
            </w:pPr>
            <w:r w:rsidRPr="005D60CB">
              <w:rPr>
                <w:bCs/>
                <w:sz w:val="22"/>
                <w:szCs w:val="22"/>
              </w:rPr>
              <w:t xml:space="preserve">Please refer to ITB 21.4 and BDS-ITB 21.3. In both clauses </w:t>
            </w:r>
            <w:r w:rsidR="00A06352" w:rsidRPr="005D60CB">
              <w:rPr>
                <w:bCs/>
                <w:sz w:val="22"/>
                <w:szCs w:val="22"/>
              </w:rPr>
              <w:t>one person is stated. More than one individual is not acceptable.</w:t>
            </w:r>
          </w:p>
        </w:tc>
        <w:tc>
          <w:tcPr>
            <w:tcW w:w="1669" w:type="dxa"/>
            <w:tcBorders>
              <w:top w:val="single" w:sz="4" w:space="0" w:color="auto"/>
              <w:bottom w:val="single" w:sz="4" w:space="0" w:color="auto"/>
            </w:tcBorders>
          </w:tcPr>
          <w:p w14:paraId="5DAF2C38" w14:textId="77777777" w:rsidR="0038094E" w:rsidRPr="005B056B" w:rsidRDefault="0038094E" w:rsidP="0038094E">
            <w:r w:rsidRPr="005B056B">
              <w:t>Clarification</w:t>
            </w:r>
          </w:p>
        </w:tc>
      </w:tr>
    </w:tbl>
    <w:p w14:paraId="5146B4C0" w14:textId="77777777" w:rsidR="004443BD" w:rsidRDefault="004443BD"/>
    <w:p w14:paraId="209112CD" w14:textId="77777777" w:rsidR="003B3C58" w:rsidRDefault="003B3C58"/>
    <w:p w14:paraId="788B0F45" w14:textId="4139E3C7" w:rsidR="003E7D71" w:rsidRPr="00E83202" w:rsidRDefault="003E7D71" w:rsidP="003E7D71">
      <w:pPr>
        <w:spacing w:before="60"/>
        <w:jc w:val="both"/>
        <w:rPr>
          <w:b/>
          <w:bCs/>
          <w:sz w:val="22"/>
          <w:szCs w:val="22"/>
        </w:rPr>
      </w:pPr>
      <w:r w:rsidRPr="00E83202">
        <w:rPr>
          <w:b/>
          <w:bCs/>
          <w:sz w:val="22"/>
          <w:szCs w:val="22"/>
        </w:rPr>
        <w:t xml:space="preserve">Please note that confirmation by e-mail of </w:t>
      </w:r>
      <w:r w:rsidR="00372D31" w:rsidRPr="00E83202">
        <w:rPr>
          <w:b/>
          <w:bCs/>
          <w:sz w:val="22"/>
          <w:szCs w:val="22"/>
        </w:rPr>
        <w:t>receipt</w:t>
      </w:r>
      <w:r w:rsidRPr="00E83202">
        <w:rPr>
          <w:b/>
          <w:bCs/>
          <w:sz w:val="22"/>
          <w:szCs w:val="22"/>
        </w:rPr>
        <w:t xml:space="preserve"> of this Clarification</w:t>
      </w:r>
      <w:r w:rsidR="007B7996">
        <w:rPr>
          <w:b/>
          <w:bCs/>
          <w:sz w:val="22"/>
          <w:szCs w:val="22"/>
        </w:rPr>
        <w:t xml:space="preserve"> no. </w:t>
      </w:r>
      <w:r w:rsidR="004C295D">
        <w:rPr>
          <w:b/>
          <w:bCs/>
          <w:sz w:val="22"/>
          <w:szCs w:val="22"/>
        </w:rPr>
        <w:t>1</w:t>
      </w:r>
      <w:r w:rsidRPr="00E83202">
        <w:rPr>
          <w:b/>
          <w:bCs/>
          <w:sz w:val="22"/>
          <w:szCs w:val="22"/>
        </w:rPr>
        <w:t xml:space="preserve"> is compulsory!</w:t>
      </w:r>
    </w:p>
    <w:p w14:paraId="09D5D13E" w14:textId="77777777" w:rsidR="003E7D71" w:rsidRPr="00F86BD3" w:rsidRDefault="003E7D71" w:rsidP="003E7D71">
      <w:pPr>
        <w:jc w:val="both"/>
        <w:rPr>
          <w:b/>
          <w:bCs/>
          <w:sz w:val="16"/>
          <w:szCs w:val="16"/>
        </w:rPr>
      </w:pPr>
    </w:p>
    <w:p w14:paraId="6AC8DEB5" w14:textId="77777777" w:rsidR="003E7D71" w:rsidRPr="00E83202" w:rsidRDefault="003E7D71" w:rsidP="003E7D71">
      <w:pPr>
        <w:jc w:val="both"/>
        <w:rPr>
          <w:sz w:val="22"/>
          <w:szCs w:val="22"/>
        </w:rPr>
      </w:pPr>
      <w:r w:rsidRPr="00E83202">
        <w:rPr>
          <w:sz w:val="22"/>
          <w:szCs w:val="22"/>
        </w:rPr>
        <w:t>Yours sincerely,</w:t>
      </w:r>
    </w:p>
    <w:p w14:paraId="3714C5E2" w14:textId="77777777" w:rsidR="003E7D71" w:rsidRPr="001C0D5E" w:rsidRDefault="003E7D71" w:rsidP="003E7D71">
      <w:pPr>
        <w:jc w:val="both"/>
        <w:rPr>
          <w:sz w:val="16"/>
          <w:szCs w:val="16"/>
        </w:rPr>
      </w:pPr>
    </w:p>
    <w:p w14:paraId="32F839F5" w14:textId="77777777" w:rsidR="003E7D71" w:rsidRPr="00F86BD3" w:rsidRDefault="003E7D71" w:rsidP="003E7D71">
      <w:pPr>
        <w:rPr>
          <w:rFonts w:ascii="Arial" w:hAnsi="Arial" w:cs="Arial"/>
          <w:b/>
          <w:bCs/>
          <w:color w:val="203864"/>
          <w:sz w:val="20"/>
          <w:szCs w:val="20"/>
          <w:lang w:eastAsia="en-US"/>
        </w:rPr>
      </w:pPr>
      <w:r w:rsidRPr="00F86BD3">
        <w:rPr>
          <w:rFonts w:ascii="Arial" w:hAnsi="Arial" w:cs="Arial"/>
          <w:b/>
          <w:bCs/>
          <w:color w:val="203864"/>
          <w:sz w:val="20"/>
          <w:szCs w:val="20"/>
        </w:rPr>
        <w:t>Slavko Micevski</w:t>
      </w:r>
    </w:p>
    <w:p w14:paraId="77D43116" w14:textId="77777777" w:rsidR="003E7D71" w:rsidRPr="00E83202" w:rsidRDefault="003E7D71" w:rsidP="003E7D71">
      <w:pPr>
        <w:rPr>
          <w:rFonts w:ascii="Arial" w:hAnsi="Arial" w:cs="Arial"/>
          <w:color w:val="203864"/>
          <w:sz w:val="18"/>
          <w:szCs w:val="18"/>
        </w:rPr>
      </w:pPr>
      <w:r w:rsidRPr="00E83202">
        <w:rPr>
          <w:rFonts w:ascii="Arial" w:hAnsi="Arial" w:cs="Arial"/>
          <w:color w:val="203864"/>
          <w:sz w:val="18"/>
          <w:szCs w:val="18"/>
        </w:rPr>
        <w:t xml:space="preserve">Procurement officer </w:t>
      </w:r>
    </w:p>
    <w:p w14:paraId="226C04F7" w14:textId="77777777" w:rsidR="003E7D71" w:rsidRPr="001C0D5E" w:rsidRDefault="003E7D71" w:rsidP="003E7D71">
      <w:pPr>
        <w:rPr>
          <w:rFonts w:ascii="Arial" w:hAnsi="Arial" w:cs="Arial"/>
          <w:color w:val="203864"/>
          <w:sz w:val="16"/>
          <w:szCs w:val="16"/>
        </w:rPr>
      </w:pPr>
    </w:p>
    <w:p w14:paraId="250747D5" w14:textId="77777777" w:rsidR="003E7D71" w:rsidRPr="00F86BD3" w:rsidRDefault="003E7D71" w:rsidP="003E7D71">
      <w:pPr>
        <w:rPr>
          <w:rFonts w:ascii="Arial" w:hAnsi="Arial" w:cs="Arial"/>
          <w:i/>
          <w:iCs/>
          <w:color w:val="7F6000"/>
          <w:sz w:val="16"/>
          <w:szCs w:val="16"/>
        </w:rPr>
      </w:pPr>
      <w:r w:rsidRPr="00F86BD3">
        <w:rPr>
          <w:rFonts w:ascii="Arial" w:hAnsi="Arial" w:cs="Arial"/>
          <w:i/>
          <w:iCs/>
          <w:color w:val="7F6000"/>
          <w:sz w:val="16"/>
          <w:szCs w:val="16"/>
        </w:rPr>
        <w:t>Western Balkans Trade and Transport Facilitation Project</w:t>
      </w:r>
    </w:p>
    <w:p w14:paraId="235B7086"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T: +38975494977</w:t>
      </w:r>
    </w:p>
    <w:p w14:paraId="05F89CB9" w14:textId="77777777" w:rsidR="003E7D71" w:rsidRPr="00795728" w:rsidRDefault="003E7D71" w:rsidP="003E7D71">
      <w:pPr>
        <w:rPr>
          <w:rFonts w:ascii="Arial" w:hAnsi="Arial" w:cs="Arial"/>
          <w:i/>
          <w:iCs/>
          <w:color w:val="203864"/>
          <w:sz w:val="16"/>
          <w:szCs w:val="16"/>
          <w:lang w:val="pt-BR"/>
        </w:rPr>
      </w:pPr>
      <w:r w:rsidRPr="00795728">
        <w:rPr>
          <w:rFonts w:ascii="Arial" w:hAnsi="Arial" w:cs="Arial"/>
          <w:i/>
          <w:iCs/>
          <w:color w:val="203864"/>
          <w:sz w:val="16"/>
          <w:szCs w:val="16"/>
          <w:lang w:val="pt-BR"/>
        </w:rPr>
        <w:t xml:space="preserve">E: </w:t>
      </w:r>
      <w:hyperlink r:id="rId8" w:history="1">
        <w:r w:rsidR="001717E7" w:rsidRPr="008753D8">
          <w:rPr>
            <w:rStyle w:val="Hyperlink"/>
            <w:rFonts w:ascii="Arial" w:hAnsi="Arial" w:cs="Arial"/>
            <w:i/>
            <w:iCs/>
            <w:sz w:val="16"/>
            <w:szCs w:val="16"/>
            <w:lang w:val="pt-BR"/>
          </w:rPr>
          <w:t>slavko.micevski@piu.mtc.gov.mk</w:t>
        </w:r>
      </w:hyperlink>
      <w:r w:rsidRPr="00795728">
        <w:rPr>
          <w:rFonts w:ascii="Arial" w:hAnsi="Arial" w:cs="Arial"/>
          <w:i/>
          <w:iCs/>
          <w:color w:val="203864"/>
          <w:sz w:val="16"/>
          <w:szCs w:val="16"/>
          <w:lang w:val="pt-BR"/>
        </w:rPr>
        <w:t xml:space="preserve"> </w:t>
      </w:r>
    </w:p>
    <w:p w14:paraId="2DA12918" w14:textId="77777777" w:rsidR="003E7D71" w:rsidRPr="00F86BD3" w:rsidRDefault="003E7D71" w:rsidP="003E7D71">
      <w:pPr>
        <w:rPr>
          <w:rFonts w:ascii="Arial" w:hAnsi="Arial" w:cs="Arial"/>
          <w:i/>
          <w:iCs/>
          <w:color w:val="203864"/>
          <w:sz w:val="16"/>
          <w:szCs w:val="16"/>
        </w:rPr>
      </w:pPr>
      <w:r w:rsidRPr="00F86BD3">
        <w:rPr>
          <w:rFonts w:ascii="Arial" w:hAnsi="Arial" w:cs="Arial"/>
          <w:i/>
          <w:iCs/>
          <w:color w:val="203864"/>
          <w:sz w:val="16"/>
          <w:szCs w:val="16"/>
        </w:rPr>
        <w:t>Ministry of Transport</w:t>
      </w:r>
    </w:p>
    <w:p w14:paraId="1AB246ED" w14:textId="77777777" w:rsidR="003E7D71" w:rsidRPr="00F86BD3" w:rsidRDefault="003E7D71" w:rsidP="003E7D71">
      <w:pPr>
        <w:rPr>
          <w:rFonts w:ascii="Arial" w:hAnsi="Arial" w:cs="Arial"/>
          <w:i/>
          <w:iCs/>
          <w:color w:val="203864"/>
          <w:sz w:val="16"/>
          <w:szCs w:val="16"/>
        </w:rPr>
      </w:pPr>
      <w:proofErr w:type="spellStart"/>
      <w:r w:rsidRPr="00F86BD3">
        <w:rPr>
          <w:rFonts w:ascii="Arial" w:hAnsi="Arial" w:cs="Arial"/>
          <w:i/>
          <w:iCs/>
          <w:color w:val="203864"/>
          <w:sz w:val="16"/>
          <w:szCs w:val="16"/>
        </w:rPr>
        <w:t>Crvena</w:t>
      </w:r>
      <w:proofErr w:type="spellEnd"/>
      <w:r w:rsidRPr="00F86BD3">
        <w:rPr>
          <w:rFonts w:ascii="Arial" w:hAnsi="Arial" w:cs="Arial"/>
          <w:i/>
          <w:iCs/>
          <w:color w:val="203864"/>
          <w:sz w:val="16"/>
          <w:szCs w:val="16"/>
        </w:rPr>
        <w:t xml:space="preserve"> Skopska </w:t>
      </w:r>
      <w:proofErr w:type="spellStart"/>
      <w:r w:rsidRPr="00F86BD3">
        <w:rPr>
          <w:rFonts w:ascii="Arial" w:hAnsi="Arial" w:cs="Arial"/>
          <w:i/>
          <w:iCs/>
          <w:color w:val="203864"/>
          <w:sz w:val="16"/>
          <w:szCs w:val="16"/>
        </w:rPr>
        <w:t>Opstina</w:t>
      </w:r>
      <w:proofErr w:type="spellEnd"/>
      <w:r w:rsidRPr="00F86BD3">
        <w:rPr>
          <w:rFonts w:ascii="Arial" w:hAnsi="Arial" w:cs="Arial"/>
          <w:i/>
          <w:iCs/>
          <w:color w:val="203864"/>
          <w:sz w:val="16"/>
          <w:szCs w:val="16"/>
        </w:rPr>
        <w:t xml:space="preserve"> 4, 1000 Skopje</w:t>
      </w:r>
      <w:r w:rsidRPr="00F86BD3">
        <w:rPr>
          <w:rFonts w:ascii="Arial" w:hAnsi="Arial" w:cs="Arial"/>
          <w:i/>
          <w:iCs/>
          <w:color w:val="203864"/>
          <w:sz w:val="16"/>
          <w:szCs w:val="16"/>
        </w:rPr>
        <w:br/>
        <w:t>Republic of North Macedonia</w:t>
      </w:r>
    </w:p>
    <w:p w14:paraId="4457B755" w14:textId="77777777" w:rsidR="003E7D71" w:rsidRPr="00F86BD3" w:rsidRDefault="00961939" w:rsidP="003E7D71">
      <w:pPr>
        <w:rPr>
          <w:rFonts w:ascii="Arial" w:hAnsi="Arial" w:cs="Arial"/>
          <w:i/>
          <w:iCs/>
          <w:color w:val="203864"/>
          <w:sz w:val="16"/>
          <w:szCs w:val="16"/>
        </w:rPr>
      </w:pPr>
      <w:hyperlink r:id="rId9" w:history="1">
        <w:r w:rsidRPr="008753D8">
          <w:rPr>
            <w:rStyle w:val="Hyperlink"/>
            <w:rFonts w:ascii="Arial" w:hAnsi="Arial" w:cs="Arial"/>
            <w:i/>
            <w:iCs/>
            <w:sz w:val="16"/>
            <w:szCs w:val="16"/>
          </w:rPr>
          <w:t>www.mt.gov.mk</w:t>
        </w:r>
      </w:hyperlink>
    </w:p>
    <w:p w14:paraId="74210B6C" w14:textId="77777777" w:rsidR="000055A1" w:rsidRDefault="000055A1"/>
    <w:sectPr w:rsidR="000055A1" w:rsidSect="00785FA3">
      <w:pgSz w:w="15840" w:h="12240" w:orient="landscape"/>
      <w:pgMar w:top="900" w:right="90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1F9A4" w14:textId="77777777" w:rsidR="003B682B" w:rsidRDefault="003B682B" w:rsidP="00993C81">
      <w:r>
        <w:separator/>
      </w:r>
    </w:p>
  </w:endnote>
  <w:endnote w:type="continuationSeparator" w:id="0">
    <w:p w14:paraId="2123FBCA" w14:textId="77777777" w:rsidR="003B682B" w:rsidRDefault="003B682B" w:rsidP="0099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84F17" w14:textId="77777777" w:rsidR="003B682B" w:rsidRDefault="003B682B" w:rsidP="00993C81">
      <w:r>
        <w:separator/>
      </w:r>
    </w:p>
  </w:footnote>
  <w:footnote w:type="continuationSeparator" w:id="0">
    <w:p w14:paraId="3CA4CD5D" w14:textId="77777777" w:rsidR="003B682B" w:rsidRDefault="003B682B" w:rsidP="00993C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433"/>
    <w:multiLevelType w:val="hybridMultilevel"/>
    <w:tmpl w:val="A4FE4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E83837"/>
    <w:multiLevelType w:val="hybridMultilevel"/>
    <w:tmpl w:val="D9124274"/>
    <w:lvl w:ilvl="0" w:tplc="088AFF54">
      <w:start w:val="20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5602A46"/>
    <w:multiLevelType w:val="multilevel"/>
    <w:tmpl w:val="E3B8A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5485750">
    <w:abstractNumId w:val="0"/>
  </w:num>
  <w:num w:numId="2" w16cid:durableId="907880208">
    <w:abstractNumId w:val="1"/>
  </w:num>
  <w:num w:numId="3" w16cid:durableId="451548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3BD"/>
    <w:rsid w:val="000032E2"/>
    <w:rsid w:val="00004722"/>
    <w:rsid w:val="000055A1"/>
    <w:rsid w:val="000064F7"/>
    <w:rsid w:val="00006F79"/>
    <w:rsid w:val="00007039"/>
    <w:rsid w:val="00011142"/>
    <w:rsid w:val="00011ED5"/>
    <w:rsid w:val="00015721"/>
    <w:rsid w:val="000172C0"/>
    <w:rsid w:val="00034A51"/>
    <w:rsid w:val="00035166"/>
    <w:rsid w:val="00044BA9"/>
    <w:rsid w:val="00051B6D"/>
    <w:rsid w:val="00051EEE"/>
    <w:rsid w:val="00053B3B"/>
    <w:rsid w:val="000552DF"/>
    <w:rsid w:val="00064EAC"/>
    <w:rsid w:val="0007387F"/>
    <w:rsid w:val="00073AB6"/>
    <w:rsid w:val="00074F0A"/>
    <w:rsid w:val="0008142B"/>
    <w:rsid w:val="00094752"/>
    <w:rsid w:val="00094C97"/>
    <w:rsid w:val="00097369"/>
    <w:rsid w:val="000A0530"/>
    <w:rsid w:val="000A53CE"/>
    <w:rsid w:val="000A5486"/>
    <w:rsid w:val="000A5F38"/>
    <w:rsid w:val="000A76AF"/>
    <w:rsid w:val="000B067D"/>
    <w:rsid w:val="000B3E61"/>
    <w:rsid w:val="000B4FDA"/>
    <w:rsid w:val="000B7DBA"/>
    <w:rsid w:val="000C6597"/>
    <w:rsid w:val="000D7D10"/>
    <w:rsid w:val="000E7137"/>
    <w:rsid w:val="000F1336"/>
    <w:rsid w:val="000F2F9A"/>
    <w:rsid w:val="000F2FCB"/>
    <w:rsid w:val="000F57A8"/>
    <w:rsid w:val="000F6E13"/>
    <w:rsid w:val="00101A74"/>
    <w:rsid w:val="0010248A"/>
    <w:rsid w:val="001046D7"/>
    <w:rsid w:val="0011585C"/>
    <w:rsid w:val="00123A44"/>
    <w:rsid w:val="0013478C"/>
    <w:rsid w:val="00136170"/>
    <w:rsid w:val="001369EC"/>
    <w:rsid w:val="0014388C"/>
    <w:rsid w:val="00150213"/>
    <w:rsid w:val="00151435"/>
    <w:rsid w:val="0015307A"/>
    <w:rsid w:val="00153DC4"/>
    <w:rsid w:val="0016029A"/>
    <w:rsid w:val="001648E5"/>
    <w:rsid w:val="001662AA"/>
    <w:rsid w:val="001717E7"/>
    <w:rsid w:val="00175AE4"/>
    <w:rsid w:val="00176EF2"/>
    <w:rsid w:val="00190164"/>
    <w:rsid w:val="00191392"/>
    <w:rsid w:val="001943D4"/>
    <w:rsid w:val="001945FA"/>
    <w:rsid w:val="00194667"/>
    <w:rsid w:val="0019762E"/>
    <w:rsid w:val="001A06BB"/>
    <w:rsid w:val="001A73C0"/>
    <w:rsid w:val="001C2F17"/>
    <w:rsid w:val="001C3C4C"/>
    <w:rsid w:val="001C4196"/>
    <w:rsid w:val="001C7D6C"/>
    <w:rsid w:val="001D0FD6"/>
    <w:rsid w:val="001D1A99"/>
    <w:rsid w:val="001D20E1"/>
    <w:rsid w:val="001D4390"/>
    <w:rsid w:val="001D527A"/>
    <w:rsid w:val="001D70D8"/>
    <w:rsid w:val="001E0BDC"/>
    <w:rsid w:val="001E4674"/>
    <w:rsid w:val="001E6CB7"/>
    <w:rsid w:val="001F0E3B"/>
    <w:rsid w:val="001F48C6"/>
    <w:rsid w:val="001F69CA"/>
    <w:rsid w:val="00204BA7"/>
    <w:rsid w:val="00210647"/>
    <w:rsid w:val="00212952"/>
    <w:rsid w:val="00213F95"/>
    <w:rsid w:val="00225744"/>
    <w:rsid w:val="00236713"/>
    <w:rsid w:val="002449FD"/>
    <w:rsid w:val="00256458"/>
    <w:rsid w:val="002615B8"/>
    <w:rsid w:val="00263FC3"/>
    <w:rsid w:val="00271EE3"/>
    <w:rsid w:val="00271FE3"/>
    <w:rsid w:val="00281E5A"/>
    <w:rsid w:val="00290509"/>
    <w:rsid w:val="00290EA9"/>
    <w:rsid w:val="0029173A"/>
    <w:rsid w:val="00294D63"/>
    <w:rsid w:val="00295600"/>
    <w:rsid w:val="0029633A"/>
    <w:rsid w:val="0029728A"/>
    <w:rsid w:val="002A34FA"/>
    <w:rsid w:val="002A359D"/>
    <w:rsid w:val="002A3708"/>
    <w:rsid w:val="002A4848"/>
    <w:rsid w:val="002A51C6"/>
    <w:rsid w:val="002A6B34"/>
    <w:rsid w:val="002A6DAB"/>
    <w:rsid w:val="002A70F4"/>
    <w:rsid w:val="002B3687"/>
    <w:rsid w:val="002B7DD0"/>
    <w:rsid w:val="002B7F1F"/>
    <w:rsid w:val="002C7942"/>
    <w:rsid w:val="002D3AD3"/>
    <w:rsid w:val="002D7710"/>
    <w:rsid w:val="002E4BA9"/>
    <w:rsid w:val="002E736C"/>
    <w:rsid w:val="002F0F9C"/>
    <w:rsid w:val="002F7637"/>
    <w:rsid w:val="002F7CB8"/>
    <w:rsid w:val="00301392"/>
    <w:rsid w:val="00310046"/>
    <w:rsid w:val="003114C0"/>
    <w:rsid w:val="0031313A"/>
    <w:rsid w:val="00316995"/>
    <w:rsid w:val="00316C85"/>
    <w:rsid w:val="00316E66"/>
    <w:rsid w:val="00322CF3"/>
    <w:rsid w:val="0032304A"/>
    <w:rsid w:val="00323635"/>
    <w:rsid w:val="00323928"/>
    <w:rsid w:val="003242F1"/>
    <w:rsid w:val="00324F2B"/>
    <w:rsid w:val="00326163"/>
    <w:rsid w:val="00326A88"/>
    <w:rsid w:val="00331828"/>
    <w:rsid w:val="0033388F"/>
    <w:rsid w:val="00337A6F"/>
    <w:rsid w:val="00341371"/>
    <w:rsid w:val="00342A25"/>
    <w:rsid w:val="00342F8A"/>
    <w:rsid w:val="00347F71"/>
    <w:rsid w:val="00365876"/>
    <w:rsid w:val="003671D6"/>
    <w:rsid w:val="003727C8"/>
    <w:rsid w:val="00372D31"/>
    <w:rsid w:val="00372F37"/>
    <w:rsid w:val="003751BD"/>
    <w:rsid w:val="00376DC0"/>
    <w:rsid w:val="00376F20"/>
    <w:rsid w:val="0038094E"/>
    <w:rsid w:val="00380D48"/>
    <w:rsid w:val="003A3D42"/>
    <w:rsid w:val="003A5098"/>
    <w:rsid w:val="003B1783"/>
    <w:rsid w:val="003B3C58"/>
    <w:rsid w:val="003B682B"/>
    <w:rsid w:val="003B799E"/>
    <w:rsid w:val="003C04D1"/>
    <w:rsid w:val="003C1E44"/>
    <w:rsid w:val="003C5497"/>
    <w:rsid w:val="003C7D78"/>
    <w:rsid w:val="003D27B8"/>
    <w:rsid w:val="003D50D9"/>
    <w:rsid w:val="003D673B"/>
    <w:rsid w:val="003D68AD"/>
    <w:rsid w:val="003D7FF4"/>
    <w:rsid w:val="003E5042"/>
    <w:rsid w:val="003E5CA9"/>
    <w:rsid w:val="003E7CE1"/>
    <w:rsid w:val="003E7D71"/>
    <w:rsid w:val="003F2520"/>
    <w:rsid w:val="003F393D"/>
    <w:rsid w:val="003F7CDC"/>
    <w:rsid w:val="0040594D"/>
    <w:rsid w:val="00407330"/>
    <w:rsid w:val="00411902"/>
    <w:rsid w:val="00414C22"/>
    <w:rsid w:val="00415BA0"/>
    <w:rsid w:val="00416528"/>
    <w:rsid w:val="004257A8"/>
    <w:rsid w:val="004333AC"/>
    <w:rsid w:val="00443813"/>
    <w:rsid w:val="004443BD"/>
    <w:rsid w:val="00451811"/>
    <w:rsid w:val="004606AF"/>
    <w:rsid w:val="004648E6"/>
    <w:rsid w:val="0046633C"/>
    <w:rsid w:val="004701E4"/>
    <w:rsid w:val="00471AD0"/>
    <w:rsid w:val="00472AB9"/>
    <w:rsid w:val="00476E9F"/>
    <w:rsid w:val="004832E7"/>
    <w:rsid w:val="004866D6"/>
    <w:rsid w:val="0048678A"/>
    <w:rsid w:val="004875B7"/>
    <w:rsid w:val="00491C3A"/>
    <w:rsid w:val="00492FFA"/>
    <w:rsid w:val="00493DC2"/>
    <w:rsid w:val="004A31C9"/>
    <w:rsid w:val="004A4F0E"/>
    <w:rsid w:val="004A672F"/>
    <w:rsid w:val="004A78D9"/>
    <w:rsid w:val="004B4A6B"/>
    <w:rsid w:val="004B6B8C"/>
    <w:rsid w:val="004B7A6C"/>
    <w:rsid w:val="004C054E"/>
    <w:rsid w:val="004C06DE"/>
    <w:rsid w:val="004C295D"/>
    <w:rsid w:val="004C4B1B"/>
    <w:rsid w:val="004C639A"/>
    <w:rsid w:val="004D12EC"/>
    <w:rsid w:val="004E1496"/>
    <w:rsid w:val="004E72A8"/>
    <w:rsid w:val="004F574A"/>
    <w:rsid w:val="0050218B"/>
    <w:rsid w:val="0050549E"/>
    <w:rsid w:val="005067BD"/>
    <w:rsid w:val="00510D22"/>
    <w:rsid w:val="00514352"/>
    <w:rsid w:val="00517724"/>
    <w:rsid w:val="0052346C"/>
    <w:rsid w:val="00525250"/>
    <w:rsid w:val="00526690"/>
    <w:rsid w:val="00527906"/>
    <w:rsid w:val="00541BC8"/>
    <w:rsid w:val="0054368F"/>
    <w:rsid w:val="00546431"/>
    <w:rsid w:val="00547BC8"/>
    <w:rsid w:val="0055069F"/>
    <w:rsid w:val="00551315"/>
    <w:rsid w:val="00554E2F"/>
    <w:rsid w:val="00556EB6"/>
    <w:rsid w:val="00562640"/>
    <w:rsid w:val="00565639"/>
    <w:rsid w:val="00580CB2"/>
    <w:rsid w:val="005827EE"/>
    <w:rsid w:val="0059276C"/>
    <w:rsid w:val="00593D99"/>
    <w:rsid w:val="005972B0"/>
    <w:rsid w:val="005A1941"/>
    <w:rsid w:val="005A7A01"/>
    <w:rsid w:val="005B1815"/>
    <w:rsid w:val="005B6DAD"/>
    <w:rsid w:val="005C5356"/>
    <w:rsid w:val="005D1702"/>
    <w:rsid w:val="005D207F"/>
    <w:rsid w:val="005D2A38"/>
    <w:rsid w:val="005D34D2"/>
    <w:rsid w:val="005D450F"/>
    <w:rsid w:val="005D60CB"/>
    <w:rsid w:val="005E648E"/>
    <w:rsid w:val="005E6BDA"/>
    <w:rsid w:val="005E785A"/>
    <w:rsid w:val="005F0F92"/>
    <w:rsid w:val="005F564A"/>
    <w:rsid w:val="006008E7"/>
    <w:rsid w:val="00601A4D"/>
    <w:rsid w:val="0060591A"/>
    <w:rsid w:val="00605B46"/>
    <w:rsid w:val="00606492"/>
    <w:rsid w:val="00607C06"/>
    <w:rsid w:val="00611547"/>
    <w:rsid w:val="006115C5"/>
    <w:rsid w:val="006125A7"/>
    <w:rsid w:val="006128F3"/>
    <w:rsid w:val="00613823"/>
    <w:rsid w:val="00621EF7"/>
    <w:rsid w:val="006239FF"/>
    <w:rsid w:val="00630EE7"/>
    <w:rsid w:val="00635465"/>
    <w:rsid w:val="00643313"/>
    <w:rsid w:val="00645465"/>
    <w:rsid w:val="006500D8"/>
    <w:rsid w:val="006505C2"/>
    <w:rsid w:val="006513A9"/>
    <w:rsid w:val="006537B9"/>
    <w:rsid w:val="00655F31"/>
    <w:rsid w:val="00657710"/>
    <w:rsid w:val="00657ABE"/>
    <w:rsid w:val="00660A95"/>
    <w:rsid w:val="006627C7"/>
    <w:rsid w:val="00690720"/>
    <w:rsid w:val="00693767"/>
    <w:rsid w:val="006A15FA"/>
    <w:rsid w:val="006A50E7"/>
    <w:rsid w:val="006A6FB3"/>
    <w:rsid w:val="006A7809"/>
    <w:rsid w:val="006B5C2D"/>
    <w:rsid w:val="006C27AF"/>
    <w:rsid w:val="006C4D29"/>
    <w:rsid w:val="006D2665"/>
    <w:rsid w:val="006D54F7"/>
    <w:rsid w:val="006E0D60"/>
    <w:rsid w:val="006E0E18"/>
    <w:rsid w:val="006F2002"/>
    <w:rsid w:val="006F289B"/>
    <w:rsid w:val="006F72F5"/>
    <w:rsid w:val="00702476"/>
    <w:rsid w:val="00702F53"/>
    <w:rsid w:val="0070323A"/>
    <w:rsid w:val="007043FC"/>
    <w:rsid w:val="0070623E"/>
    <w:rsid w:val="0070685B"/>
    <w:rsid w:val="00710C48"/>
    <w:rsid w:val="00716692"/>
    <w:rsid w:val="007245A4"/>
    <w:rsid w:val="00731C2E"/>
    <w:rsid w:val="007338B2"/>
    <w:rsid w:val="007356FA"/>
    <w:rsid w:val="00735BA1"/>
    <w:rsid w:val="00736F67"/>
    <w:rsid w:val="007456D5"/>
    <w:rsid w:val="00745DD7"/>
    <w:rsid w:val="0074779A"/>
    <w:rsid w:val="00754140"/>
    <w:rsid w:val="007638B9"/>
    <w:rsid w:val="0076659B"/>
    <w:rsid w:val="00770A63"/>
    <w:rsid w:val="00771371"/>
    <w:rsid w:val="00773821"/>
    <w:rsid w:val="00782955"/>
    <w:rsid w:val="00785FA3"/>
    <w:rsid w:val="00793DE3"/>
    <w:rsid w:val="00794F75"/>
    <w:rsid w:val="00795728"/>
    <w:rsid w:val="00797161"/>
    <w:rsid w:val="007A0AB7"/>
    <w:rsid w:val="007A19FB"/>
    <w:rsid w:val="007A479B"/>
    <w:rsid w:val="007B128A"/>
    <w:rsid w:val="007B1551"/>
    <w:rsid w:val="007B42F9"/>
    <w:rsid w:val="007B488C"/>
    <w:rsid w:val="007B7996"/>
    <w:rsid w:val="007C0B5A"/>
    <w:rsid w:val="007C2BAC"/>
    <w:rsid w:val="007C4C0B"/>
    <w:rsid w:val="007D09C2"/>
    <w:rsid w:val="007D3856"/>
    <w:rsid w:val="007D507A"/>
    <w:rsid w:val="007D6A46"/>
    <w:rsid w:val="007E059B"/>
    <w:rsid w:val="007E380B"/>
    <w:rsid w:val="007E6CCB"/>
    <w:rsid w:val="007E7A18"/>
    <w:rsid w:val="007F0491"/>
    <w:rsid w:val="007F069F"/>
    <w:rsid w:val="007F4B9C"/>
    <w:rsid w:val="007F5A9D"/>
    <w:rsid w:val="008001E8"/>
    <w:rsid w:val="00800FB4"/>
    <w:rsid w:val="00806DC8"/>
    <w:rsid w:val="00812C4E"/>
    <w:rsid w:val="00821FAF"/>
    <w:rsid w:val="008229D9"/>
    <w:rsid w:val="00823714"/>
    <w:rsid w:val="00823848"/>
    <w:rsid w:val="0083402A"/>
    <w:rsid w:val="0083499E"/>
    <w:rsid w:val="0083540B"/>
    <w:rsid w:val="00835FBC"/>
    <w:rsid w:val="0084155F"/>
    <w:rsid w:val="008500E5"/>
    <w:rsid w:val="00853CD0"/>
    <w:rsid w:val="0085750F"/>
    <w:rsid w:val="00874247"/>
    <w:rsid w:val="008766ED"/>
    <w:rsid w:val="008767FF"/>
    <w:rsid w:val="00876FD3"/>
    <w:rsid w:val="00891361"/>
    <w:rsid w:val="00894296"/>
    <w:rsid w:val="00895ECA"/>
    <w:rsid w:val="008A443F"/>
    <w:rsid w:val="008B00A1"/>
    <w:rsid w:val="008B258D"/>
    <w:rsid w:val="008B2F4C"/>
    <w:rsid w:val="008C1322"/>
    <w:rsid w:val="008C2543"/>
    <w:rsid w:val="008C3E89"/>
    <w:rsid w:val="008C5F47"/>
    <w:rsid w:val="008C652C"/>
    <w:rsid w:val="008C7B3A"/>
    <w:rsid w:val="008D021C"/>
    <w:rsid w:val="008D1072"/>
    <w:rsid w:val="008D2E3A"/>
    <w:rsid w:val="008D63D9"/>
    <w:rsid w:val="008E58B9"/>
    <w:rsid w:val="008F7CA7"/>
    <w:rsid w:val="00907468"/>
    <w:rsid w:val="00910D45"/>
    <w:rsid w:val="00917053"/>
    <w:rsid w:val="0092416D"/>
    <w:rsid w:val="009247B4"/>
    <w:rsid w:val="00925FE5"/>
    <w:rsid w:val="00933597"/>
    <w:rsid w:val="009345E2"/>
    <w:rsid w:val="00936297"/>
    <w:rsid w:val="00940DE0"/>
    <w:rsid w:val="009412D9"/>
    <w:rsid w:val="00941DF6"/>
    <w:rsid w:val="00945EED"/>
    <w:rsid w:val="00946156"/>
    <w:rsid w:val="00946A09"/>
    <w:rsid w:val="00946B10"/>
    <w:rsid w:val="009471DB"/>
    <w:rsid w:val="00952210"/>
    <w:rsid w:val="00955A71"/>
    <w:rsid w:val="00956C63"/>
    <w:rsid w:val="009572DC"/>
    <w:rsid w:val="009574EA"/>
    <w:rsid w:val="00961939"/>
    <w:rsid w:val="0096210A"/>
    <w:rsid w:val="0096692B"/>
    <w:rsid w:val="00972114"/>
    <w:rsid w:val="00976DB9"/>
    <w:rsid w:val="00981154"/>
    <w:rsid w:val="00984CFA"/>
    <w:rsid w:val="00986F6A"/>
    <w:rsid w:val="009907B3"/>
    <w:rsid w:val="00990E38"/>
    <w:rsid w:val="00993C81"/>
    <w:rsid w:val="009944BD"/>
    <w:rsid w:val="009972E4"/>
    <w:rsid w:val="00997C39"/>
    <w:rsid w:val="009B4DEC"/>
    <w:rsid w:val="009B67F4"/>
    <w:rsid w:val="009C1F79"/>
    <w:rsid w:val="009C5303"/>
    <w:rsid w:val="009D3700"/>
    <w:rsid w:val="009D4CF3"/>
    <w:rsid w:val="009D77A6"/>
    <w:rsid w:val="009E7BD7"/>
    <w:rsid w:val="009F4EDA"/>
    <w:rsid w:val="009F60F5"/>
    <w:rsid w:val="009F6DA8"/>
    <w:rsid w:val="00A0096A"/>
    <w:rsid w:val="00A03501"/>
    <w:rsid w:val="00A042F8"/>
    <w:rsid w:val="00A0612D"/>
    <w:rsid w:val="00A06352"/>
    <w:rsid w:val="00A203E2"/>
    <w:rsid w:val="00A2560A"/>
    <w:rsid w:val="00A268E4"/>
    <w:rsid w:val="00A3172F"/>
    <w:rsid w:val="00A348C3"/>
    <w:rsid w:val="00A364F2"/>
    <w:rsid w:val="00A37DCF"/>
    <w:rsid w:val="00A37F1D"/>
    <w:rsid w:val="00A40C75"/>
    <w:rsid w:val="00A437E1"/>
    <w:rsid w:val="00A43D34"/>
    <w:rsid w:val="00A46CD8"/>
    <w:rsid w:val="00A5081D"/>
    <w:rsid w:val="00A630BB"/>
    <w:rsid w:val="00A64522"/>
    <w:rsid w:val="00A75090"/>
    <w:rsid w:val="00A823D4"/>
    <w:rsid w:val="00A84989"/>
    <w:rsid w:val="00A97521"/>
    <w:rsid w:val="00AA0C18"/>
    <w:rsid w:val="00AA21CC"/>
    <w:rsid w:val="00AA23EB"/>
    <w:rsid w:val="00AB35CD"/>
    <w:rsid w:val="00AB6AB9"/>
    <w:rsid w:val="00AB6C11"/>
    <w:rsid w:val="00AB7938"/>
    <w:rsid w:val="00AC0F11"/>
    <w:rsid w:val="00AC2396"/>
    <w:rsid w:val="00AC5CB2"/>
    <w:rsid w:val="00AC5FD4"/>
    <w:rsid w:val="00AC69F7"/>
    <w:rsid w:val="00AD3FE2"/>
    <w:rsid w:val="00AD71C1"/>
    <w:rsid w:val="00AE68D8"/>
    <w:rsid w:val="00AE73EC"/>
    <w:rsid w:val="00AF1614"/>
    <w:rsid w:val="00AF40B4"/>
    <w:rsid w:val="00AF66AC"/>
    <w:rsid w:val="00B0150F"/>
    <w:rsid w:val="00B028D7"/>
    <w:rsid w:val="00B036B2"/>
    <w:rsid w:val="00B06DA0"/>
    <w:rsid w:val="00B1430D"/>
    <w:rsid w:val="00B15B25"/>
    <w:rsid w:val="00B16740"/>
    <w:rsid w:val="00B24503"/>
    <w:rsid w:val="00B24CF5"/>
    <w:rsid w:val="00B25234"/>
    <w:rsid w:val="00B26D38"/>
    <w:rsid w:val="00B27351"/>
    <w:rsid w:val="00B30045"/>
    <w:rsid w:val="00B33BBD"/>
    <w:rsid w:val="00B5140C"/>
    <w:rsid w:val="00B519D6"/>
    <w:rsid w:val="00B5211D"/>
    <w:rsid w:val="00B563B4"/>
    <w:rsid w:val="00B570B7"/>
    <w:rsid w:val="00B572B3"/>
    <w:rsid w:val="00B57DC5"/>
    <w:rsid w:val="00B627AD"/>
    <w:rsid w:val="00B744EF"/>
    <w:rsid w:val="00B82903"/>
    <w:rsid w:val="00B83258"/>
    <w:rsid w:val="00B8737E"/>
    <w:rsid w:val="00B90866"/>
    <w:rsid w:val="00B9145B"/>
    <w:rsid w:val="00B92F77"/>
    <w:rsid w:val="00B93380"/>
    <w:rsid w:val="00B9567F"/>
    <w:rsid w:val="00B97FD1"/>
    <w:rsid w:val="00BA0093"/>
    <w:rsid w:val="00BA11B6"/>
    <w:rsid w:val="00BA2BD4"/>
    <w:rsid w:val="00BA6B34"/>
    <w:rsid w:val="00BB094E"/>
    <w:rsid w:val="00BB2970"/>
    <w:rsid w:val="00BB3009"/>
    <w:rsid w:val="00BB375F"/>
    <w:rsid w:val="00BB63BD"/>
    <w:rsid w:val="00BB69D8"/>
    <w:rsid w:val="00BD000F"/>
    <w:rsid w:val="00BD061A"/>
    <w:rsid w:val="00BD18CD"/>
    <w:rsid w:val="00BD1C31"/>
    <w:rsid w:val="00BD1F88"/>
    <w:rsid w:val="00BD34DC"/>
    <w:rsid w:val="00BD50FA"/>
    <w:rsid w:val="00BD5485"/>
    <w:rsid w:val="00BD63BC"/>
    <w:rsid w:val="00BE1737"/>
    <w:rsid w:val="00BE2B02"/>
    <w:rsid w:val="00BE4320"/>
    <w:rsid w:val="00BE4D4A"/>
    <w:rsid w:val="00BE50AA"/>
    <w:rsid w:val="00BF0BA2"/>
    <w:rsid w:val="00BF11D4"/>
    <w:rsid w:val="00BF1E3B"/>
    <w:rsid w:val="00BF27A8"/>
    <w:rsid w:val="00BF362B"/>
    <w:rsid w:val="00BF395C"/>
    <w:rsid w:val="00BF5BD1"/>
    <w:rsid w:val="00C075AC"/>
    <w:rsid w:val="00C07BB8"/>
    <w:rsid w:val="00C100E2"/>
    <w:rsid w:val="00C12FED"/>
    <w:rsid w:val="00C22F71"/>
    <w:rsid w:val="00C25353"/>
    <w:rsid w:val="00C43105"/>
    <w:rsid w:val="00C43AC8"/>
    <w:rsid w:val="00C518F3"/>
    <w:rsid w:val="00C52997"/>
    <w:rsid w:val="00C53F93"/>
    <w:rsid w:val="00C5478B"/>
    <w:rsid w:val="00C57707"/>
    <w:rsid w:val="00C57D57"/>
    <w:rsid w:val="00C73A95"/>
    <w:rsid w:val="00C7612D"/>
    <w:rsid w:val="00C871DB"/>
    <w:rsid w:val="00C926B9"/>
    <w:rsid w:val="00C92B00"/>
    <w:rsid w:val="00CA2ADD"/>
    <w:rsid w:val="00CA2C41"/>
    <w:rsid w:val="00CA5F63"/>
    <w:rsid w:val="00CA620D"/>
    <w:rsid w:val="00CB1329"/>
    <w:rsid w:val="00CB21E9"/>
    <w:rsid w:val="00CB7095"/>
    <w:rsid w:val="00CC56E0"/>
    <w:rsid w:val="00CD0044"/>
    <w:rsid w:val="00CD2207"/>
    <w:rsid w:val="00CD56D9"/>
    <w:rsid w:val="00CD65B4"/>
    <w:rsid w:val="00CE008F"/>
    <w:rsid w:val="00CE0B1B"/>
    <w:rsid w:val="00CE2210"/>
    <w:rsid w:val="00CE2EBE"/>
    <w:rsid w:val="00CE722C"/>
    <w:rsid w:val="00CE73A4"/>
    <w:rsid w:val="00CF0609"/>
    <w:rsid w:val="00CF0827"/>
    <w:rsid w:val="00CF4ECE"/>
    <w:rsid w:val="00CF5B71"/>
    <w:rsid w:val="00D133F8"/>
    <w:rsid w:val="00D245A0"/>
    <w:rsid w:val="00D312E7"/>
    <w:rsid w:val="00D32F3A"/>
    <w:rsid w:val="00D32FA1"/>
    <w:rsid w:val="00D35604"/>
    <w:rsid w:val="00D37743"/>
    <w:rsid w:val="00D40564"/>
    <w:rsid w:val="00D41E52"/>
    <w:rsid w:val="00D42643"/>
    <w:rsid w:val="00D45B72"/>
    <w:rsid w:val="00D5289C"/>
    <w:rsid w:val="00D54E26"/>
    <w:rsid w:val="00D54E91"/>
    <w:rsid w:val="00D604EE"/>
    <w:rsid w:val="00D610B7"/>
    <w:rsid w:val="00D62164"/>
    <w:rsid w:val="00D63C88"/>
    <w:rsid w:val="00D655D9"/>
    <w:rsid w:val="00D71233"/>
    <w:rsid w:val="00D72CE8"/>
    <w:rsid w:val="00D733AE"/>
    <w:rsid w:val="00D737BD"/>
    <w:rsid w:val="00D73FEA"/>
    <w:rsid w:val="00D75313"/>
    <w:rsid w:val="00D7705C"/>
    <w:rsid w:val="00D820FF"/>
    <w:rsid w:val="00D8540E"/>
    <w:rsid w:val="00D91793"/>
    <w:rsid w:val="00D92DF2"/>
    <w:rsid w:val="00D95A11"/>
    <w:rsid w:val="00D963B1"/>
    <w:rsid w:val="00DA09C6"/>
    <w:rsid w:val="00DA3F20"/>
    <w:rsid w:val="00DA6376"/>
    <w:rsid w:val="00DB7A19"/>
    <w:rsid w:val="00DC24C5"/>
    <w:rsid w:val="00DC2B9E"/>
    <w:rsid w:val="00DC618F"/>
    <w:rsid w:val="00DC69F9"/>
    <w:rsid w:val="00DD1321"/>
    <w:rsid w:val="00DD3618"/>
    <w:rsid w:val="00DD3877"/>
    <w:rsid w:val="00DD51DC"/>
    <w:rsid w:val="00DD64BB"/>
    <w:rsid w:val="00DE09D3"/>
    <w:rsid w:val="00DE0C94"/>
    <w:rsid w:val="00DE2C36"/>
    <w:rsid w:val="00DF21B9"/>
    <w:rsid w:val="00DF2A49"/>
    <w:rsid w:val="00DF2C3C"/>
    <w:rsid w:val="00DF74D0"/>
    <w:rsid w:val="00E04C5D"/>
    <w:rsid w:val="00E0764A"/>
    <w:rsid w:val="00E1183A"/>
    <w:rsid w:val="00E15F76"/>
    <w:rsid w:val="00E26494"/>
    <w:rsid w:val="00E2759D"/>
    <w:rsid w:val="00E32C7D"/>
    <w:rsid w:val="00E41067"/>
    <w:rsid w:val="00E41B42"/>
    <w:rsid w:val="00E44BD1"/>
    <w:rsid w:val="00E44CCC"/>
    <w:rsid w:val="00E46351"/>
    <w:rsid w:val="00E47FC8"/>
    <w:rsid w:val="00E55C67"/>
    <w:rsid w:val="00E61A7F"/>
    <w:rsid w:val="00E663F8"/>
    <w:rsid w:val="00E71B1B"/>
    <w:rsid w:val="00E74792"/>
    <w:rsid w:val="00E8142B"/>
    <w:rsid w:val="00E81660"/>
    <w:rsid w:val="00E82151"/>
    <w:rsid w:val="00E8380A"/>
    <w:rsid w:val="00E86C40"/>
    <w:rsid w:val="00E9254E"/>
    <w:rsid w:val="00E92C13"/>
    <w:rsid w:val="00E92CB7"/>
    <w:rsid w:val="00E93884"/>
    <w:rsid w:val="00E93E49"/>
    <w:rsid w:val="00EA09A0"/>
    <w:rsid w:val="00EA140C"/>
    <w:rsid w:val="00EA1A47"/>
    <w:rsid w:val="00EA73F6"/>
    <w:rsid w:val="00EB38A1"/>
    <w:rsid w:val="00EB58A6"/>
    <w:rsid w:val="00EB68CE"/>
    <w:rsid w:val="00EC56B8"/>
    <w:rsid w:val="00ED6998"/>
    <w:rsid w:val="00ED7C3B"/>
    <w:rsid w:val="00EE1975"/>
    <w:rsid w:val="00EE3647"/>
    <w:rsid w:val="00EE5704"/>
    <w:rsid w:val="00EE5F2D"/>
    <w:rsid w:val="00EE69C6"/>
    <w:rsid w:val="00EE7BE1"/>
    <w:rsid w:val="00EF017E"/>
    <w:rsid w:val="00EF0AB5"/>
    <w:rsid w:val="00F05BF7"/>
    <w:rsid w:val="00F07036"/>
    <w:rsid w:val="00F076B5"/>
    <w:rsid w:val="00F122A5"/>
    <w:rsid w:val="00F14014"/>
    <w:rsid w:val="00F15C5D"/>
    <w:rsid w:val="00F15C6D"/>
    <w:rsid w:val="00F162CF"/>
    <w:rsid w:val="00F167E8"/>
    <w:rsid w:val="00F24317"/>
    <w:rsid w:val="00F27D3C"/>
    <w:rsid w:val="00F30B88"/>
    <w:rsid w:val="00F30CA8"/>
    <w:rsid w:val="00F317FE"/>
    <w:rsid w:val="00F32B0C"/>
    <w:rsid w:val="00F357A4"/>
    <w:rsid w:val="00F44F8F"/>
    <w:rsid w:val="00F45EED"/>
    <w:rsid w:val="00F47CDD"/>
    <w:rsid w:val="00F52B60"/>
    <w:rsid w:val="00F53A09"/>
    <w:rsid w:val="00F61263"/>
    <w:rsid w:val="00F67BEE"/>
    <w:rsid w:val="00F7039A"/>
    <w:rsid w:val="00F94F4E"/>
    <w:rsid w:val="00F973EC"/>
    <w:rsid w:val="00FA1236"/>
    <w:rsid w:val="00FA1E75"/>
    <w:rsid w:val="00FC4A9C"/>
    <w:rsid w:val="00FC6B79"/>
    <w:rsid w:val="00FE3F81"/>
    <w:rsid w:val="00FE3F97"/>
    <w:rsid w:val="00FE455D"/>
    <w:rsid w:val="00FF0F1E"/>
    <w:rsid w:val="00FF2A54"/>
    <w:rsid w:val="00FF3559"/>
    <w:rsid w:val="00FF5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2C5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3BD"/>
    <w:rPr>
      <w:rFonts w:ascii="Times New Roman" w:eastAsia="Times New Roman" w:hAnsi="Times New Roman" w:cs="Times New Roman"/>
      <w:sz w:val="24"/>
      <w:szCs w:val="24"/>
      <w:lang w:eastAsia="hr-HR"/>
    </w:rPr>
  </w:style>
  <w:style w:type="paragraph" w:styleId="Heading2">
    <w:name w:val="heading 2"/>
    <w:basedOn w:val="Normal"/>
    <w:next w:val="Normal"/>
    <w:link w:val="Heading2Char"/>
    <w:qFormat/>
    <w:rsid w:val="003E7D71"/>
    <w:pPr>
      <w:keepNext/>
      <w:tabs>
        <w:tab w:val="left" w:pos="1320"/>
        <w:tab w:val="left" w:pos="2760"/>
        <w:tab w:val="left" w:pos="4200"/>
      </w:tabs>
      <w:suppressAutoHyphens/>
      <w:jc w:val="center"/>
      <w:outlineLvl w:val="1"/>
    </w:pPr>
    <w:rPr>
      <w:rFonts w:ascii="CG Times" w:hAnsi="CG Times"/>
      <w:b/>
      <w:spacing w:val="-6"/>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443B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E7D71"/>
    <w:rPr>
      <w:color w:val="0563C1" w:themeColor="hyperlink"/>
      <w:u w:val="single"/>
    </w:rPr>
  </w:style>
  <w:style w:type="character" w:customStyle="1" w:styleId="Heading2Char">
    <w:name w:val="Heading 2 Char"/>
    <w:basedOn w:val="DefaultParagraphFont"/>
    <w:link w:val="Heading2"/>
    <w:rsid w:val="003E7D71"/>
    <w:rPr>
      <w:rFonts w:ascii="CG Times" w:eastAsia="Times New Roman" w:hAnsi="CG Times" w:cs="Times New Roman"/>
      <w:b/>
      <w:spacing w:val="-6"/>
      <w:sz w:val="32"/>
      <w:szCs w:val="20"/>
    </w:rPr>
  </w:style>
  <w:style w:type="character" w:styleId="FootnoteReference">
    <w:name w:val="footnote reference"/>
    <w:uiPriority w:val="99"/>
    <w:rsid w:val="00BE4320"/>
    <w:rPr>
      <w:vertAlign w:val="superscript"/>
    </w:rPr>
  </w:style>
  <w:style w:type="paragraph" w:styleId="ListParagraph">
    <w:name w:val="List Paragraph"/>
    <w:aliases w:val="Citation List,본문(내용),List Paragraph (numbered (a)),Akapit z listą BS,Bullet1,Bullets,Ha,List Paragraph1,List_Paragraph,Liste 1,Main numbered paragraph,Multilevel para_II,NUMBERED PARAGRAPH,Numbered List Paragraph"/>
    <w:basedOn w:val="Normal"/>
    <w:link w:val="ListParagraphChar"/>
    <w:uiPriority w:val="34"/>
    <w:qFormat/>
    <w:rsid w:val="00DC69F9"/>
    <w:pPr>
      <w:spacing w:after="160" w:line="259" w:lineRule="auto"/>
      <w:ind w:left="720"/>
      <w:contextualSpacing/>
    </w:pPr>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EC56B8"/>
    <w:pPr>
      <w:spacing w:before="100" w:beforeAutospacing="1" w:after="100" w:afterAutospacing="1"/>
    </w:pPr>
    <w:rPr>
      <w:lang w:eastAsia="en-US"/>
    </w:rPr>
  </w:style>
  <w:style w:type="character" w:customStyle="1" w:styleId="ListParagraphChar">
    <w:name w:val="List Paragraph Char"/>
    <w:aliases w:val="Citation List Char,본문(내용) Char,List Paragraph (numbered (a)) Char,Akapit z listą BS Char,Bullet1 Char,Bullets Char,Ha Char,List Paragraph1 Char,List_Paragraph Char,Liste 1 Char,Main numbered paragraph Char,Multilevel para_II Char"/>
    <w:link w:val="ListParagraph"/>
    <w:uiPriority w:val="34"/>
    <w:qFormat/>
    <w:locked/>
    <w:rsid w:val="0029633A"/>
  </w:style>
  <w:style w:type="character" w:styleId="CommentReference">
    <w:name w:val="annotation reference"/>
    <w:basedOn w:val="DefaultParagraphFont"/>
    <w:uiPriority w:val="99"/>
    <w:semiHidden/>
    <w:unhideWhenUsed/>
    <w:rsid w:val="00795728"/>
    <w:rPr>
      <w:sz w:val="16"/>
      <w:szCs w:val="16"/>
    </w:rPr>
  </w:style>
  <w:style w:type="paragraph" w:styleId="CommentText">
    <w:name w:val="annotation text"/>
    <w:basedOn w:val="Normal"/>
    <w:link w:val="CommentTextChar"/>
    <w:uiPriority w:val="99"/>
    <w:unhideWhenUsed/>
    <w:rsid w:val="007043FC"/>
    <w:rPr>
      <w:sz w:val="20"/>
      <w:szCs w:val="20"/>
    </w:rPr>
  </w:style>
  <w:style w:type="character" w:customStyle="1" w:styleId="CommentTextChar">
    <w:name w:val="Comment Text Char"/>
    <w:basedOn w:val="DefaultParagraphFont"/>
    <w:link w:val="CommentText"/>
    <w:uiPriority w:val="99"/>
    <w:rsid w:val="007043FC"/>
    <w:rPr>
      <w:rFonts w:ascii="Times New Roman" w:eastAsia="Times New Roman" w:hAnsi="Times New Roman" w:cs="Times New Roman"/>
      <w:sz w:val="20"/>
      <w:szCs w:val="20"/>
      <w:lang w:eastAsia="hr-HR"/>
    </w:rPr>
  </w:style>
  <w:style w:type="paragraph" w:styleId="CommentSubject">
    <w:name w:val="annotation subject"/>
    <w:basedOn w:val="CommentText"/>
    <w:next w:val="CommentText"/>
    <w:link w:val="CommentSubjectChar"/>
    <w:uiPriority w:val="99"/>
    <w:semiHidden/>
    <w:unhideWhenUsed/>
    <w:rsid w:val="00795728"/>
    <w:rPr>
      <w:b/>
      <w:bCs/>
    </w:rPr>
  </w:style>
  <w:style w:type="character" w:customStyle="1" w:styleId="CommentSubjectChar">
    <w:name w:val="Comment Subject Char"/>
    <w:basedOn w:val="CommentTextChar"/>
    <w:link w:val="CommentSubject"/>
    <w:uiPriority w:val="99"/>
    <w:semiHidden/>
    <w:rsid w:val="00795728"/>
    <w:rPr>
      <w:rFonts w:ascii="Times New Roman" w:eastAsia="Times New Roman" w:hAnsi="Times New Roman" w:cs="Times New Roman"/>
      <w:b/>
      <w:bCs/>
      <w:sz w:val="20"/>
      <w:szCs w:val="20"/>
      <w:lang w:eastAsia="hr-HR"/>
    </w:rPr>
  </w:style>
  <w:style w:type="paragraph" w:styleId="Header">
    <w:name w:val="header"/>
    <w:basedOn w:val="Normal"/>
    <w:link w:val="HeaderChar"/>
    <w:uiPriority w:val="99"/>
    <w:unhideWhenUsed/>
    <w:rsid w:val="00993C81"/>
    <w:pPr>
      <w:tabs>
        <w:tab w:val="center" w:pos="4680"/>
        <w:tab w:val="right" w:pos="9360"/>
      </w:tabs>
    </w:pPr>
  </w:style>
  <w:style w:type="character" w:customStyle="1" w:styleId="HeaderChar">
    <w:name w:val="Header Char"/>
    <w:basedOn w:val="DefaultParagraphFont"/>
    <w:link w:val="Header"/>
    <w:uiPriority w:val="99"/>
    <w:rsid w:val="00993C81"/>
    <w:rPr>
      <w:rFonts w:ascii="Times New Roman" w:eastAsia="Times New Roman" w:hAnsi="Times New Roman" w:cs="Times New Roman"/>
      <w:sz w:val="24"/>
      <w:szCs w:val="24"/>
      <w:lang w:eastAsia="hr-HR"/>
    </w:rPr>
  </w:style>
  <w:style w:type="paragraph" w:styleId="Footer">
    <w:name w:val="footer"/>
    <w:basedOn w:val="Normal"/>
    <w:link w:val="FooterChar"/>
    <w:uiPriority w:val="99"/>
    <w:unhideWhenUsed/>
    <w:rsid w:val="00993C81"/>
    <w:pPr>
      <w:tabs>
        <w:tab w:val="center" w:pos="4680"/>
        <w:tab w:val="right" w:pos="9360"/>
      </w:tabs>
    </w:pPr>
  </w:style>
  <w:style w:type="character" w:customStyle="1" w:styleId="FooterChar">
    <w:name w:val="Footer Char"/>
    <w:basedOn w:val="DefaultParagraphFont"/>
    <w:link w:val="Footer"/>
    <w:uiPriority w:val="99"/>
    <w:rsid w:val="00993C81"/>
    <w:rPr>
      <w:rFonts w:ascii="Times New Roman" w:eastAsia="Times New Roman" w:hAnsi="Times New Roman" w:cs="Times New Roman"/>
      <w:sz w:val="24"/>
      <w:szCs w:val="24"/>
      <w:lang w:eastAsia="hr-HR"/>
    </w:rPr>
  </w:style>
  <w:style w:type="paragraph" w:styleId="BalloonText">
    <w:name w:val="Balloon Text"/>
    <w:basedOn w:val="Normal"/>
    <w:link w:val="BalloonTextChar"/>
    <w:uiPriority w:val="99"/>
    <w:semiHidden/>
    <w:unhideWhenUsed/>
    <w:rsid w:val="00E1183A"/>
    <w:rPr>
      <w:rFonts w:ascii="Tahoma" w:hAnsi="Tahoma" w:cs="Tahoma"/>
      <w:sz w:val="16"/>
      <w:szCs w:val="16"/>
    </w:rPr>
  </w:style>
  <w:style w:type="character" w:customStyle="1" w:styleId="BalloonTextChar">
    <w:name w:val="Balloon Text Char"/>
    <w:basedOn w:val="DefaultParagraphFont"/>
    <w:link w:val="BalloonText"/>
    <w:uiPriority w:val="99"/>
    <w:semiHidden/>
    <w:rsid w:val="00E1183A"/>
    <w:rPr>
      <w:rFonts w:ascii="Tahoma" w:eastAsia="Times New Roman" w:hAnsi="Tahoma" w:cs="Tahoma"/>
      <w:sz w:val="16"/>
      <w:szCs w:val="16"/>
      <w:lang w:eastAsia="hr-HR"/>
    </w:rPr>
  </w:style>
  <w:style w:type="character" w:customStyle="1" w:styleId="UnresolvedMention1">
    <w:name w:val="Unresolved Mention1"/>
    <w:basedOn w:val="DefaultParagraphFont"/>
    <w:uiPriority w:val="99"/>
    <w:semiHidden/>
    <w:unhideWhenUsed/>
    <w:rsid w:val="001717E7"/>
    <w:rPr>
      <w:color w:val="605E5C"/>
      <w:shd w:val="clear" w:color="auto" w:fill="E1DFDD"/>
    </w:rPr>
  </w:style>
  <w:style w:type="paragraph" w:styleId="Revision">
    <w:name w:val="Revision"/>
    <w:hidden/>
    <w:uiPriority w:val="99"/>
    <w:semiHidden/>
    <w:rsid w:val="002B7DD0"/>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429">
      <w:bodyDiv w:val="1"/>
      <w:marLeft w:val="0"/>
      <w:marRight w:val="0"/>
      <w:marTop w:val="0"/>
      <w:marBottom w:val="0"/>
      <w:divBdr>
        <w:top w:val="none" w:sz="0" w:space="0" w:color="auto"/>
        <w:left w:val="none" w:sz="0" w:space="0" w:color="auto"/>
        <w:bottom w:val="none" w:sz="0" w:space="0" w:color="auto"/>
        <w:right w:val="none" w:sz="0" w:space="0" w:color="auto"/>
      </w:divBdr>
      <w:divsChild>
        <w:div w:id="1455099328">
          <w:marLeft w:val="0"/>
          <w:marRight w:val="0"/>
          <w:marTop w:val="0"/>
          <w:marBottom w:val="0"/>
          <w:divBdr>
            <w:top w:val="none" w:sz="0" w:space="0" w:color="auto"/>
            <w:left w:val="none" w:sz="0" w:space="0" w:color="auto"/>
            <w:bottom w:val="none" w:sz="0" w:space="0" w:color="auto"/>
            <w:right w:val="none" w:sz="0" w:space="0" w:color="auto"/>
          </w:divBdr>
        </w:div>
        <w:div w:id="135997564">
          <w:marLeft w:val="0"/>
          <w:marRight w:val="0"/>
          <w:marTop w:val="0"/>
          <w:marBottom w:val="0"/>
          <w:divBdr>
            <w:top w:val="none" w:sz="0" w:space="0" w:color="auto"/>
            <w:left w:val="none" w:sz="0" w:space="0" w:color="auto"/>
            <w:bottom w:val="none" w:sz="0" w:space="0" w:color="auto"/>
            <w:right w:val="none" w:sz="0" w:space="0" w:color="auto"/>
          </w:divBdr>
        </w:div>
        <w:div w:id="1081877290">
          <w:marLeft w:val="0"/>
          <w:marRight w:val="0"/>
          <w:marTop w:val="0"/>
          <w:marBottom w:val="0"/>
          <w:divBdr>
            <w:top w:val="none" w:sz="0" w:space="0" w:color="auto"/>
            <w:left w:val="none" w:sz="0" w:space="0" w:color="auto"/>
            <w:bottom w:val="none" w:sz="0" w:space="0" w:color="auto"/>
            <w:right w:val="none" w:sz="0" w:space="0" w:color="auto"/>
          </w:divBdr>
        </w:div>
        <w:div w:id="75632815">
          <w:marLeft w:val="0"/>
          <w:marRight w:val="0"/>
          <w:marTop w:val="0"/>
          <w:marBottom w:val="0"/>
          <w:divBdr>
            <w:top w:val="none" w:sz="0" w:space="0" w:color="auto"/>
            <w:left w:val="none" w:sz="0" w:space="0" w:color="auto"/>
            <w:bottom w:val="none" w:sz="0" w:space="0" w:color="auto"/>
            <w:right w:val="none" w:sz="0" w:space="0" w:color="auto"/>
          </w:divBdr>
        </w:div>
      </w:divsChild>
    </w:div>
    <w:div w:id="918519775">
      <w:bodyDiv w:val="1"/>
      <w:marLeft w:val="0"/>
      <w:marRight w:val="0"/>
      <w:marTop w:val="0"/>
      <w:marBottom w:val="0"/>
      <w:divBdr>
        <w:top w:val="none" w:sz="0" w:space="0" w:color="auto"/>
        <w:left w:val="none" w:sz="0" w:space="0" w:color="auto"/>
        <w:bottom w:val="none" w:sz="0" w:space="0" w:color="auto"/>
        <w:right w:val="none" w:sz="0" w:space="0" w:color="auto"/>
      </w:divBdr>
    </w:div>
    <w:div w:id="948194359">
      <w:bodyDiv w:val="1"/>
      <w:marLeft w:val="0"/>
      <w:marRight w:val="0"/>
      <w:marTop w:val="0"/>
      <w:marBottom w:val="0"/>
      <w:divBdr>
        <w:top w:val="none" w:sz="0" w:space="0" w:color="auto"/>
        <w:left w:val="none" w:sz="0" w:space="0" w:color="auto"/>
        <w:bottom w:val="none" w:sz="0" w:space="0" w:color="auto"/>
        <w:right w:val="none" w:sz="0" w:space="0" w:color="auto"/>
      </w:divBdr>
    </w:div>
    <w:div w:id="1064790520">
      <w:bodyDiv w:val="1"/>
      <w:marLeft w:val="0"/>
      <w:marRight w:val="0"/>
      <w:marTop w:val="0"/>
      <w:marBottom w:val="0"/>
      <w:divBdr>
        <w:top w:val="none" w:sz="0" w:space="0" w:color="auto"/>
        <w:left w:val="none" w:sz="0" w:space="0" w:color="auto"/>
        <w:bottom w:val="none" w:sz="0" w:space="0" w:color="auto"/>
        <w:right w:val="none" w:sz="0" w:space="0" w:color="auto"/>
      </w:divBdr>
    </w:div>
    <w:div w:id="1152794844">
      <w:bodyDiv w:val="1"/>
      <w:marLeft w:val="0"/>
      <w:marRight w:val="0"/>
      <w:marTop w:val="0"/>
      <w:marBottom w:val="0"/>
      <w:divBdr>
        <w:top w:val="none" w:sz="0" w:space="0" w:color="auto"/>
        <w:left w:val="none" w:sz="0" w:space="0" w:color="auto"/>
        <w:bottom w:val="none" w:sz="0" w:space="0" w:color="auto"/>
        <w:right w:val="none" w:sz="0" w:space="0" w:color="auto"/>
      </w:divBdr>
    </w:div>
    <w:div w:id="1443450156">
      <w:bodyDiv w:val="1"/>
      <w:marLeft w:val="0"/>
      <w:marRight w:val="0"/>
      <w:marTop w:val="0"/>
      <w:marBottom w:val="0"/>
      <w:divBdr>
        <w:top w:val="none" w:sz="0" w:space="0" w:color="auto"/>
        <w:left w:val="none" w:sz="0" w:space="0" w:color="auto"/>
        <w:bottom w:val="none" w:sz="0" w:space="0" w:color="auto"/>
        <w:right w:val="none" w:sz="0" w:space="0" w:color="auto"/>
      </w:divBdr>
    </w:div>
    <w:div w:id="1445227868">
      <w:bodyDiv w:val="1"/>
      <w:marLeft w:val="0"/>
      <w:marRight w:val="0"/>
      <w:marTop w:val="0"/>
      <w:marBottom w:val="0"/>
      <w:divBdr>
        <w:top w:val="none" w:sz="0" w:space="0" w:color="auto"/>
        <w:left w:val="none" w:sz="0" w:space="0" w:color="auto"/>
        <w:bottom w:val="none" w:sz="0" w:space="0" w:color="auto"/>
        <w:right w:val="none" w:sz="0" w:space="0" w:color="auto"/>
      </w:divBdr>
    </w:div>
    <w:div w:id="1626229197">
      <w:bodyDiv w:val="1"/>
      <w:marLeft w:val="0"/>
      <w:marRight w:val="0"/>
      <w:marTop w:val="0"/>
      <w:marBottom w:val="0"/>
      <w:divBdr>
        <w:top w:val="none" w:sz="0" w:space="0" w:color="auto"/>
        <w:left w:val="none" w:sz="0" w:space="0" w:color="auto"/>
        <w:bottom w:val="none" w:sz="0" w:space="0" w:color="auto"/>
        <w:right w:val="none" w:sz="0" w:space="0" w:color="auto"/>
      </w:divBdr>
    </w:div>
    <w:div w:id="1853105481">
      <w:bodyDiv w:val="1"/>
      <w:marLeft w:val="0"/>
      <w:marRight w:val="0"/>
      <w:marTop w:val="0"/>
      <w:marBottom w:val="0"/>
      <w:divBdr>
        <w:top w:val="none" w:sz="0" w:space="0" w:color="auto"/>
        <w:left w:val="none" w:sz="0" w:space="0" w:color="auto"/>
        <w:bottom w:val="none" w:sz="0" w:space="0" w:color="auto"/>
        <w:right w:val="none" w:sz="0" w:space="0" w:color="auto"/>
      </w:divBdr>
      <w:divsChild>
        <w:div w:id="1770848960">
          <w:marLeft w:val="0"/>
          <w:marRight w:val="0"/>
          <w:marTop w:val="0"/>
          <w:marBottom w:val="0"/>
          <w:divBdr>
            <w:top w:val="none" w:sz="0" w:space="0" w:color="auto"/>
            <w:left w:val="none" w:sz="0" w:space="0" w:color="auto"/>
            <w:bottom w:val="none" w:sz="0" w:space="0" w:color="auto"/>
            <w:right w:val="none" w:sz="0" w:space="0" w:color="auto"/>
          </w:divBdr>
        </w:div>
        <w:div w:id="1969505318">
          <w:marLeft w:val="0"/>
          <w:marRight w:val="0"/>
          <w:marTop w:val="0"/>
          <w:marBottom w:val="0"/>
          <w:divBdr>
            <w:top w:val="none" w:sz="0" w:space="0" w:color="auto"/>
            <w:left w:val="none" w:sz="0" w:space="0" w:color="auto"/>
            <w:bottom w:val="none" w:sz="0" w:space="0" w:color="auto"/>
            <w:right w:val="none" w:sz="0" w:space="0" w:color="auto"/>
          </w:divBdr>
        </w:div>
        <w:div w:id="175702092">
          <w:marLeft w:val="0"/>
          <w:marRight w:val="0"/>
          <w:marTop w:val="0"/>
          <w:marBottom w:val="0"/>
          <w:divBdr>
            <w:top w:val="none" w:sz="0" w:space="0" w:color="auto"/>
            <w:left w:val="none" w:sz="0" w:space="0" w:color="auto"/>
            <w:bottom w:val="none" w:sz="0" w:space="0" w:color="auto"/>
            <w:right w:val="none" w:sz="0" w:space="0" w:color="auto"/>
          </w:divBdr>
        </w:div>
        <w:div w:id="1941335334">
          <w:marLeft w:val="0"/>
          <w:marRight w:val="0"/>
          <w:marTop w:val="0"/>
          <w:marBottom w:val="0"/>
          <w:divBdr>
            <w:top w:val="none" w:sz="0" w:space="0" w:color="auto"/>
            <w:left w:val="none" w:sz="0" w:space="0" w:color="auto"/>
            <w:bottom w:val="none" w:sz="0" w:space="0" w:color="auto"/>
            <w:right w:val="none" w:sz="0" w:space="0" w:color="auto"/>
          </w:divBdr>
        </w:div>
      </w:divsChild>
    </w:div>
    <w:div w:id="2079932385">
      <w:bodyDiv w:val="1"/>
      <w:marLeft w:val="0"/>
      <w:marRight w:val="0"/>
      <w:marTop w:val="0"/>
      <w:marBottom w:val="0"/>
      <w:divBdr>
        <w:top w:val="none" w:sz="0" w:space="0" w:color="auto"/>
        <w:left w:val="none" w:sz="0" w:space="0" w:color="auto"/>
        <w:bottom w:val="none" w:sz="0" w:space="0" w:color="auto"/>
        <w:right w:val="none" w:sz="0" w:space="0" w:color="auto"/>
      </w:divBdr>
    </w:div>
    <w:div w:id="2119133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lavko.micevski@piu.mtc.gov.m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mt.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C7A42F-FCE2-48CE-85B0-CD3518CF9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786</Words>
  <Characters>4467</Characters>
  <Application>Microsoft Office Word</Application>
  <DocSecurity>0</DocSecurity>
  <Lines>203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2025-10-21T08:08:00Z</dcterms:created>
  <dcterms:modified xsi:type="dcterms:W3CDTF">2025-10-30T10:41:00Z</dcterms:modified>
</cp:coreProperties>
</file>