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5939" w14:textId="77777777" w:rsidR="003E7D71" w:rsidRPr="00E83202" w:rsidRDefault="003E7D71" w:rsidP="00CA2ADD">
      <w:pPr>
        <w:pStyle w:val="Heading2"/>
      </w:pPr>
      <w:r w:rsidRPr="00E83202">
        <w:t>Republic of North Macedonia</w:t>
      </w:r>
    </w:p>
    <w:p w14:paraId="2795D280"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39B93677"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116B5564" w14:textId="77777777" w:rsidR="003E7D71" w:rsidRPr="00E83202" w:rsidRDefault="003E7D71" w:rsidP="003E7D71">
      <w:pPr>
        <w:rPr>
          <w:lang w:eastAsia="en-US"/>
        </w:rPr>
      </w:pPr>
    </w:p>
    <w:p w14:paraId="5DB78EDB" w14:textId="54E1569C" w:rsidR="003E7D71" w:rsidRPr="00E83202" w:rsidRDefault="003E7D71" w:rsidP="003E7D71">
      <w:pPr>
        <w:pStyle w:val="Heading2"/>
        <w:rPr>
          <w:rFonts w:ascii="Times New Roman" w:hAnsi="Times New Roman"/>
          <w:sz w:val="28"/>
          <w:szCs w:val="28"/>
        </w:rPr>
      </w:pPr>
      <w:r w:rsidRPr="004B4A6B">
        <w:rPr>
          <w:rFonts w:ascii="Times New Roman" w:hAnsi="Times New Roman"/>
          <w:sz w:val="28"/>
          <w:szCs w:val="28"/>
        </w:rPr>
        <w:t xml:space="preserve">CLARIFICATION </w:t>
      </w:r>
      <w:r w:rsidR="00793DE3" w:rsidRPr="00B8737E">
        <w:rPr>
          <w:rFonts w:ascii="Times New Roman" w:hAnsi="Times New Roman"/>
          <w:sz w:val="28"/>
          <w:szCs w:val="28"/>
        </w:rPr>
        <w:t xml:space="preserve">no. </w:t>
      </w:r>
      <w:r w:rsidR="00042E9B">
        <w:rPr>
          <w:rFonts w:ascii="Times New Roman" w:hAnsi="Times New Roman"/>
          <w:sz w:val="28"/>
          <w:szCs w:val="28"/>
        </w:rPr>
        <w:t>4</w:t>
      </w:r>
    </w:p>
    <w:p w14:paraId="65F043DE"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006F79" w:rsidRPr="00E83202">
        <w:rPr>
          <w:rFonts w:ascii="Times New Roman" w:hAnsi="Times New Roman"/>
          <w:sz w:val="22"/>
          <w:szCs w:val="22"/>
        </w:rPr>
        <w:t xml:space="preserve">Request for Bids </w:t>
      </w:r>
      <w:r w:rsidRPr="00E83202">
        <w:rPr>
          <w:rFonts w:ascii="Times New Roman" w:hAnsi="Times New Roman"/>
          <w:sz w:val="22"/>
          <w:szCs w:val="22"/>
        </w:rPr>
        <w:t>for the procurement of</w:t>
      </w:r>
    </w:p>
    <w:p w14:paraId="3FEDDA5A" w14:textId="2903CA8D"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w:t>
      </w:r>
      <w:r w:rsidR="00CA2ADD" w:rsidRPr="00CA2ADD">
        <w:rPr>
          <w:rFonts w:ascii="Times New Roman" w:hAnsi="Times New Roman"/>
          <w:sz w:val="22"/>
          <w:szCs w:val="22"/>
        </w:rPr>
        <w:t xml:space="preserve">Border crossing </w:t>
      </w:r>
      <w:proofErr w:type="spellStart"/>
      <w:r w:rsidR="00CA2ADD" w:rsidRPr="00CA2ADD">
        <w:rPr>
          <w:rFonts w:ascii="Times New Roman" w:hAnsi="Times New Roman"/>
          <w:sz w:val="22"/>
          <w:szCs w:val="22"/>
        </w:rPr>
        <w:t>Tabanovce</w:t>
      </w:r>
      <w:proofErr w:type="spellEnd"/>
      <w:r w:rsidR="00CA2ADD" w:rsidRPr="00CA2ADD">
        <w:rPr>
          <w:rFonts w:ascii="Times New Roman" w:hAnsi="Times New Roman"/>
          <w:sz w:val="22"/>
          <w:szCs w:val="22"/>
        </w:rPr>
        <w:t xml:space="preserve"> - Border crossing </w:t>
      </w:r>
      <w:proofErr w:type="spellStart"/>
      <w:r w:rsidR="00CA2ADD" w:rsidRPr="00CA2ADD">
        <w:rPr>
          <w:rFonts w:ascii="Times New Roman" w:hAnsi="Times New Roman"/>
          <w:sz w:val="22"/>
          <w:szCs w:val="22"/>
        </w:rPr>
        <w:t>Bogorodica</w:t>
      </w:r>
      <w:proofErr w:type="spellEnd"/>
      <w:r w:rsidRPr="00E83202">
        <w:rPr>
          <w:rFonts w:ascii="Times New Roman" w:hAnsi="Times New Roman"/>
          <w:sz w:val="22"/>
          <w:szCs w:val="22"/>
        </w:rPr>
        <w:t xml:space="preserve"> </w:t>
      </w:r>
    </w:p>
    <w:p w14:paraId="22DE8949" w14:textId="77777777" w:rsidR="003E7D71" w:rsidRPr="005D60CB" w:rsidRDefault="003E7D71" w:rsidP="003E7D71">
      <w:pPr>
        <w:pStyle w:val="Heading2"/>
        <w:rPr>
          <w:rFonts w:ascii="Times New Roman" w:hAnsi="Times New Roman"/>
          <w:sz w:val="16"/>
          <w:szCs w:val="16"/>
        </w:rPr>
      </w:pPr>
    </w:p>
    <w:p w14:paraId="4E458026" w14:textId="77777777" w:rsidR="003E7D71" w:rsidRPr="00E83202" w:rsidRDefault="003E7D71" w:rsidP="003E7D71">
      <w:pPr>
        <w:pStyle w:val="Heading2"/>
        <w:rPr>
          <w:b w:val="0"/>
          <w:sz w:val="22"/>
          <w:szCs w:val="22"/>
        </w:rPr>
      </w:pPr>
      <w:r w:rsidRPr="00E83202">
        <w:rPr>
          <w:b w:val="0"/>
          <w:sz w:val="22"/>
          <w:szCs w:val="22"/>
        </w:rPr>
        <w:t>Ref. No.: WBTTFP-8929-MK-212-RFB</w:t>
      </w:r>
    </w:p>
    <w:p w14:paraId="5B520858" w14:textId="36FD0AB3" w:rsidR="003E7D71" w:rsidRPr="00E83202" w:rsidRDefault="003F7CDC" w:rsidP="00785FA3">
      <w:pPr>
        <w:spacing w:before="120"/>
        <w:jc w:val="center"/>
        <w:rPr>
          <w:b/>
          <w:sz w:val="22"/>
          <w:szCs w:val="22"/>
        </w:rPr>
      </w:pPr>
      <w:r>
        <w:rPr>
          <w:sz w:val="22"/>
          <w:szCs w:val="22"/>
        </w:rPr>
        <w:t>D</w:t>
      </w:r>
      <w:r w:rsidR="003E7D71" w:rsidRPr="00E83202">
        <w:rPr>
          <w:sz w:val="22"/>
          <w:szCs w:val="22"/>
        </w:rPr>
        <w:t xml:space="preserve">ate: </w:t>
      </w:r>
      <w:r w:rsidR="006E0B24">
        <w:rPr>
          <w:sz w:val="22"/>
          <w:szCs w:val="22"/>
        </w:rPr>
        <w:t>December</w:t>
      </w:r>
      <w:r w:rsidR="00042E9B">
        <w:rPr>
          <w:sz w:val="22"/>
          <w:szCs w:val="22"/>
        </w:rPr>
        <w:t xml:space="preserve"> </w:t>
      </w:r>
      <w:r w:rsidR="00835873">
        <w:rPr>
          <w:sz w:val="22"/>
          <w:szCs w:val="22"/>
        </w:rPr>
        <w:t>01</w:t>
      </w:r>
      <w:r w:rsidR="00B8737E">
        <w:rPr>
          <w:sz w:val="22"/>
          <w:szCs w:val="22"/>
        </w:rPr>
        <w:t>,</w:t>
      </w:r>
      <w:r w:rsidR="003E7D71" w:rsidRPr="00E83202">
        <w:rPr>
          <w:sz w:val="22"/>
          <w:szCs w:val="22"/>
        </w:rPr>
        <w:t xml:space="preserve"> 202</w:t>
      </w:r>
      <w:r w:rsidR="00CA2ADD">
        <w:rPr>
          <w:sz w:val="22"/>
          <w:szCs w:val="22"/>
        </w:rPr>
        <w:t>5</w:t>
      </w:r>
    </w:p>
    <w:p w14:paraId="7517104D" w14:textId="77777777" w:rsidR="003E7D71" w:rsidRPr="005D60CB" w:rsidRDefault="003E7D71" w:rsidP="003E7D71">
      <w:pPr>
        <w:rPr>
          <w:sz w:val="16"/>
          <w:szCs w:val="16"/>
          <w:lang w:eastAsia="en-US"/>
        </w:rPr>
      </w:pPr>
    </w:p>
    <w:p w14:paraId="10D94F3D" w14:textId="58FAE853" w:rsidR="003E7D71" w:rsidRPr="003F7CDC" w:rsidRDefault="003E7D71" w:rsidP="003E7D71">
      <w:pPr>
        <w:jc w:val="center"/>
        <w:rPr>
          <w:sz w:val="22"/>
          <w:szCs w:val="22"/>
          <w:lang w:eastAsia="en-US"/>
        </w:rPr>
      </w:pPr>
      <w:r w:rsidRPr="003F7CDC">
        <w:rPr>
          <w:sz w:val="22"/>
          <w:szCs w:val="22"/>
          <w:lang w:eastAsia="en-US"/>
        </w:rPr>
        <w:t xml:space="preserve">To all prospective </w:t>
      </w:r>
      <w:r w:rsidR="00281E5A">
        <w:rPr>
          <w:sz w:val="22"/>
          <w:szCs w:val="22"/>
          <w:lang w:eastAsia="en-US"/>
        </w:rPr>
        <w:t>Bidders</w:t>
      </w:r>
      <w:r w:rsidRPr="003F7CDC">
        <w:rPr>
          <w:sz w:val="22"/>
          <w:szCs w:val="22"/>
          <w:lang w:eastAsia="en-US"/>
        </w:rPr>
        <w:t xml:space="preserve"> and to all firms that have obtained the RFB documents</w:t>
      </w:r>
    </w:p>
    <w:p w14:paraId="7BC194F9" w14:textId="77777777" w:rsidR="003E7D71" w:rsidRPr="003F7CDC" w:rsidRDefault="003E7D71" w:rsidP="003E7D71">
      <w:pPr>
        <w:rPr>
          <w:sz w:val="22"/>
          <w:szCs w:val="22"/>
          <w:lang w:eastAsia="en-US"/>
        </w:rPr>
      </w:pPr>
    </w:p>
    <w:p w14:paraId="74B6D2C3" w14:textId="77777777" w:rsidR="003E7D71" w:rsidRPr="003F7CDC" w:rsidRDefault="003E7D71" w:rsidP="003E7D71">
      <w:pPr>
        <w:jc w:val="both"/>
        <w:rPr>
          <w:sz w:val="22"/>
          <w:szCs w:val="22"/>
        </w:rPr>
      </w:pPr>
      <w:r w:rsidRPr="003F7CDC">
        <w:rPr>
          <w:sz w:val="22"/>
          <w:szCs w:val="22"/>
        </w:rPr>
        <w:t>Dear All,</w:t>
      </w:r>
    </w:p>
    <w:p w14:paraId="24C084C4" w14:textId="77777777" w:rsidR="003E7D71" w:rsidRPr="003F7CDC" w:rsidRDefault="003E7D71" w:rsidP="003E7D71">
      <w:pPr>
        <w:jc w:val="both"/>
        <w:rPr>
          <w:sz w:val="22"/>
          <w:szCs w:val="22"/>
        </w:rPr>
      </w:pPr>
    </w:p>
    <w:p w14:paraId="08B22BD9" w14:textId="77777777" w:rsidR="00006F79" w:rsidRDefault="00006F79" w:rsidP="00006F79">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3648D2BD" w14:textId="77777777" w:rsidR="003E7D71" w:rsidRPr="005D60CB" w:rsidRDefault="003E7D71" w:rsidP="003E7D71">
      <w:pPr>
        <w:rPr>
          <w:b/>
          <w:color w:val="FF0000"/>
          <w:sz w:val="16"/>
          <w:szCs w:val="16"/>
        </w:rPr>
      </w:pPr>
    </w:p>
    <w:tbl>
      <w:tblPr>
        <w:tblStyle w:val="TableGrid"/>
        <w:tblW w:w="13860" w:type="dxa"/>
        <w:tblInd w:w="-5" w:type="dxa"/>
        <w:tblLayout w:type="fixed"/>
        <w:tblLook w:val="04A0" w:firstRow="1" w:lastRow="0" w:firstColumn="1" w:lastColumn="0" w:noHBand="0" w:noVBand="1"/>
      </w:tblPr>
      <w:tblGrid>
        <w:gridCol w:w="810"/>
        <w:gridCol w:w="4435"/>
        <w:gridCol w:w="1415"/>
        <w:gridCol w:w="810"/>
        <w:gridCol w:w="4721"/>
        <w:gridCol w:w="1669"/>
      </w:tblGrid>
      <w:tr w:rsidR="004443BD" w:rsidRPr="005B056B" w14:paraId="25798DB0" w14:textId="77777777" w:rsidTr="005D60CB">
        <w:trPr>
          <w:trHeight w:val="703"/>
        </w:trPr>
        <w:tc>
          <w:tcPr>
            <w:tcW w:w="13860" w:type="dxa"/>
            <w:gridSpan w:val="6"/>
            <w:tcBorders>
              <w:top w:val="single" w:sz="4" w:space="0" w:color="auto"/>
              <w:left w:val="single" w:sz="4" w:space="0" w:color="auto"/>
              <w:bottom w:val="single" w:sz="4" w:space="0" w:color="auto"/>
              <w:right w:val="single" w:sz="4" w:space="0" w:color="auto"/>
            </w:tcBorders>
          </w:tcPr>
          <w:p w14:paraId="22C96B43" w14:textId="77777777" w:rsidR="004443BD" w:rsidRPr="005D60CB" w:rsidRDefault="004443BD" w:rsidP="00097369">
            <w:pPr>
              <w:jc w:val="center"/>
              <w:rPr>
                <w:bCs/>
                <w:iCs/>
                <w:sz w:val="16"/>
                <w:szCs w:val="16"/>
              </w:rPr>
            </w:pPr>
          </w:p>
          <w:p w14:paraId="2424B193" w14:textId="77777777" w:rsidR="004443BD" w:rsidRDefault="004443BD" w:rsidP="00097369">
            <w:pPr>
              <w:jc w:val="center"/>
              <w:rPr>
                <w:b/>
                <w:i/>
              </w:rPr>
            </w:pPr>
            <w:r w:rsidRPr="005B056B">
              <w:rPr>
                <w:b/>
                <w:i/>
              </w:rPr>
              <w:t>CLARIFICATION TABLE</w:t>
            </w:r>
            <w:r>
              <w:rPr>
                <w:b/>
                <w:i/>
              </w:rPr>
              <w:t xml:space="preserve"> –</w:t>
            </w:r>
            <w:r w:rsidR="002A3708">
              <w:rPr>
                <w:b/>
                <w:i/>
              </w:rPr>
              <w:t xml:space="preserve"> </w:t>
            </w:r>
            <w:r>
              <w:rPr>
                <w:b/>
                <w:i/>
              </w:rPr>
              <w:t>Questions and Answers</w:t>
            </w:r>
          </w:p>
          <w:p w14:paraId="2EBD0BC7" w14:textId="77777777" w:rsidR="004443BD" w:rsidRPr="005D60CB" w:rsidRDefault="004443BD" w:rsidP="003F7CDC">
            <w:pPr>
              <w:jc w:val="center"/>
              <w:rPr>
                <w:bCs/>
                <w:sz w:val="16"/>
                <w:szCs w:val="16"/>
              </w:rPr>
            </w:pPr>
          </w:p>
        </w:tc>
      </w:tr>
      <w:tr w:rsidR="00785FA3" w:rsidRPr="005B056B" w14:paraId="71AC2D70" w14:textId="77777777" w:rsidTr="0038094E">
        <w:tc>
          <w:tcPr>
            <w:tcW w:w="810" w:type="dxa"/>
            <w:tcBorders>
              <w:top w:val="single" w:sz="4" w:space="0" w:color="auto"/>
              <w:bottom w:val="single" w:sz="4" w:space="0" w:color="auto"/>
            </w:tcBorders>
          </w:tcPr>
          <w:p w14:paraId="433D5BD9" w14:textId="77777777" w:rsidR="00F122A5" w:rsidRPr="005B056B" w:rsidRDefault="00F122A5" w:rsidP="00785FA3">
            <w:pPr>
              <w:ind w:left="-15" w:right="-105"/>
              <w:rPr>
                <w:b/>
                <w:sz w:val="18"/>
                <w:szCs w:val="18"/>
              </w:rPr>
            </w:pPr>
            <w:r w:rsidRPr="005B056B">
              <w:rPr>
                <w:b/>
                <w:sz w:val="18"/>
                <w:szCs w:val="18"/>
              </w:rPr>
              <w:t>No. of Question</w:t>
            </w:r>
          </w:p>
        </w:tc>
        <w:tc>
          <w:tcPr>
            <w:tcW w:w="4435" w:type="dxa"/>
            <w:tcBorders>
              <w:top w:val="single" w:sz="4" w:space="0" w:color="auto"/>
              <w:bottom w:val="single" w:sz="4" w:space="0" w:color="auto"/>
            </w:tcBorders>
          </w:tcPr>
          <w:p w14:paraId="23F9758A" w14:textId="77777777" w:rsidR="00F122A5" w:rsidRPr="005D60CB" w:rsidRDefault="00F122A5" w:rsidP="00097369">
            <w:pPr>
              <w:rPr>
                <w:b/>
                <w:sz w:val="22"/>
                <w:szCs w:val="22"/>
              </w:rPr>
            </w:pPr>
            <w:r w:rsidRPr="005D60CB">
              <w:rPr>
                <w:b/>
                <w:sz w:val="22"/>
                <w:szCs w:val="22"/>
              </w:rPr>
              <w:t>Question</w:t>
            </w:r>
          </w:p>
        </w:tc>
        <w:tc>
          <w:tcPr>
            <w:tcW w:w="1415" w:type="dxa"/>
            <w:tcBorders>
              <w:top w:val="single" w:sz="4" w:space="0" w:color="auto"/>
              <w:bottom w:val="single" w:sz="4" w:space="0" w:color="auto"/>
            </w:tcBorders>
          </w:tcPr>
          <w:p w14:paraId="341F0394" w14:textId="77777777" w:rsidR="00F122A5" w:rsidRPr="005D60CB" w:rsidRDefault="00F122A5" w:rsidP="00097369">
            <w:pPr>
              <w:rPr>
                <w:b/>
                <w:bCs/>
                <w:sz w:val="22"/>
                <w:szCs w:val="22"/>
              </w:rPr>
            </w:pPr>
            <w:r w:rsidRPr="005D60CB">
              <w:rPr>
                <w:b/>
                <w:bCs/>
                <w:sz w:val="22"/>
                <w:szCs w:val="22"/>
              </w:rPr>
              <w:t>Ref. to the BD (RFB)</w:t>
            </w:r>
          </w:p>
          <w:p w14:paraId="24D91371" w14:textId="77777777" w:rsidR="00F122A5" w:rsidRPr="005D60CB" w:rsidRDefault="00F122A5" w:rsidP="00097369">
            <w:pPr>
              <w:rPr>
                <w:b/>
                <w:sz w:val="22"/>
                <w:szCs w:val="22"/>
              </w:rPr>
            </w:pPr>
          </w:p>
        </w:tc>
        <w:tc>
          <w:tcPr>
            <w:tcW w:w="810" w:type="dxa"/>
            <w:tcBorders>
              <w:top w:val="single" w:sz="4" w:space="0" w:color="auto"/>
              <w:bottom w:val="single" w:sz="4" w:space="0" w:color="auto"/>
            </w:tcBorders>
          </w:tcPr>
          <w:p w14:paraId="36CBA540" w14:textId="77777777" w:rsidR="00F122A5" w:rsidRPr="005D60CB" w:rsidRDefault="00F122A5" w:rsidP="00097369">
            <w:pPr>
              <w:rPr>
                <w:b/>
                <w:sz w:val="22"/>
                <w:szCs w:val="22"/>
              </w:rPr>
            </w:pPr>
            <w:r w:rsidRPr="005D60CB">
              <w:rPr>
                <w:b/>
                <w:sz w:val="22"/>
                <w:szCs w:val="22"/>
              </w:rPr>
              <w:t>No. of Answer</w:t>
            </w:r>
          </w:p>
        </w:tc>
        <w:tc>
          <w:tcPr>
            <w:tcW w:w="4721" w:type="dxa"/>
            <w:tcBorders>
              <w:top w:val="single" w:sz="4" w:space="0" w:color="auto"/>
              <w:bottom w:val="single" w:sz="4" w:space="0" w:color="auto"/>
            </w:tcBorders>
          </w:tcPr>
          <w:p w14:paraId="3D8F61DD" w14:textId="77777777" w:rsidR="00F122A5" w:rsidRPr="005D60CB" w:rsidRDefault="00F122A5" w:rsidP="00097369">
            <w:pPr>
              <w:rPr>
                <w:b/>
                <w:sz w:val="22"/>
                <w:szCs w:val="22"/>
              </w:rPr>
            </w:pPr>
            <w:r w:rsidRPr="005D60CB">
              <w:rPr>
                <w:b/>
                <w:sz w:val="22"/>
                <w:szCs w:val="22"/>
              </w:rPr>
              <w:t>Answer</w:t>
            </w:r>
          </w:p>
        </w:tc>
        <w:tc>
          <w:tcPr>
            <w:tcW w:w="1669" w:type="dxa"/>
            <w:tcBorders>
              <w:top w:val="single" w:sz="4" w:space="0" w:color="auto"/>
              <w:bottom w:val="single" w:sz="4" w:space="0" w:color="auto"/>
            </w:tcBorders>
          </w:tcPr>
          <w:p w14:paraId="40AA3E6A" w14:textId="77777777" w:rsidR="00F122A5" w:rsidRPr="005D60CB" w:rsidRDefault="00F122A5" w:rsidP="00097369">
            <w:pPr>
              <w:rPr>
                <w:b/>
                <w:sz w:val="22"/>
                <w:szCs w:val="22"/>
              </w:rPr>
            </w:pPr>
            <w:r w:rsidRPr="005D60CB">
              <w:rPr>
                <w:b/>
                <w:sz w:val="22"/>
                <w:szCs w:val="22"/>
              </w:rPr>
              <w:t>Category:</w:t>
            </w:r>
          </w:p>
          <w:p w14:paraId="5E294E42" w14:textId="77777777" w:rsidR="00F122A5" w:rsidRPr="005D60CB" w:rsidRDefault="00F122A5" w:rsidP="00097369">
            <w:pPr>
              <w:rPr>
                <w:b/>
                <w:sz w:val="22"/>
                <w:szCs w:val="22"/>
              </w:rPr>
            </w:pPr>
            <w:r w:rsidRPr="005D60CB">
              <w:rPr>
                <w:b/>
                <w:sz w:val="22"/>
                <w:szCs w:val="22"/>
              </w:rPr>
              <w:t>Clarification or Amendment</w:t>
            </w:r>
          </w:p>
        </w:tc>
      </w:tr>
      <w:tr w:rsidR="004F574A" w:rsidRPr="005B056B" w14:paraId="7BB49FB9" w14:textId="77777777" w:rsidTr="0038094E">
        <w:trPr>
          <w:trHeight w:val="530"/>
        </w:trPr>
        <w:tc>
          <w:tcPr>
            <w:tcW w:w="810" w:type="dxa"/>
            <w:tcBorders>
              <w:top w:val="single" w:sz="4" w:space="0" w:color="auto"/>
              <w:bottom w:val="single" w:sz="4" w:space="0" w:color="auto"/>
            </w:tcBorders>
          </w:tcPr>
          <w:p w14:paraId="75581E5E" w14:textId="77777777" w:rsidR="004F574A" w:rsidRDefault="00AB35CD" w:rsidP="00AB35CD">
            <w:pPr>
              <w:jc w:val="center"/>
            </w:pPr>
            <w:r>
              <w:t>1</w:t>
            </w:r>
          </w:p>
        </w:tc>
        <w:tc>
          <w:tcPr>
            <w:tcW w:w="4435" w:type="dxa"/>
            <w:tcBorders>
              <w:top w:val="single" w:sz="4" w:space="0" w:color="auto"/>
              <w:bottom w:val="single" w:sz="4" w:space="0" w:color="auto"/>
            </w:tcBorders>
          </w:tcPr>
          <w:p w14:paraId="5091DF94" w14:textId="77777777" w:rsidR="004F574A" w:rsidRPr="005D60CB" w:rsidRDefault="004F574A" w:rsidP="004F574A">
            <w:pPr>
              <w:jc w:val="both"/>
              <w:rPr>
                <w:b/>
                <w:sz w:val="22"/>
                <w:szCs w:val="22"/>
              </w:rPr>
            </w:pPr>
            <w:r w:rsidRPr="005D60CB">
              <w:rPr>
                <w:b/>
                <w:sz w:val="22"/>
                <w:szCs w:val="22"/>
              </w:rPr>
              <w:t>Q:</w:t>
            </w:r>
          </w:p>
          <w:p w14:paraId="3059429F" w14:textId="77777777" w:rsidR="00291735" w:rsidRPr="00291735" w:rsidRDefault="00291735" w:rsidP="00291735">
            <w:pPr>
              <w:jc w:val="both"/>
              <w:rPr>
                <w:bCs/>
                <w:sz w:val="22"/>
                <w:szCs w:val="22"/>
              </w:rPr>
            </w:pPr>
            <w:r w:rsidRPr="00291735">
              <w:rPr>
                <w:bCs/>
                <w:sz w:val="22"/>
                <w:szCs w:val="22"/>
              </w:rPr>
              <w:t xml:space="preserve">We must formally notify you of a </w:t>
            </w:r>
            <w:r w:rsidRPr="00291735">
              <w:rPr>
                <w:b/>
                <w:bCs/>
                <w:sz w:val="22"/>
                <w:szCs w:val="22"/>
              </w:rPr>
              <w:t>critical technical inconsistency</w:t>
            </w:r>
            <w:r w:rsidRPr="00291735">
              <w:rPr>
                <w:bCs/>
                <w:sz w:val="22"/>
                <w:szCs w:val="22"/>
              </w:rPr>
              <w:t xml:space="preserve"> in the power supply specification in Price Schedule 1 Items 35 and 36. The requirement for </w:t>
            </w:r>
            <w:r w:rsidRPr="00291735">
              <w:rPr>
                <w:b/>
                <w:bCs/>
                <w:sz w:val="22"/>
                <w:szCs w:val="22"/>
              </w:rPr>
              <w:t>24 VAC output</w:t>
            </w:r>
            <w:r w:rsidRPr="00291735">
              <w:rPr>
                <w:bCs/>
                <w:sz w:val="22"/>
                <w:szCs w:val="22"/>
              </w:rPr>
              <w:t xml:space="preserve"> is </w:t>
            </w:r>
            <w:r w:rsidRPr="00291735">
              <w:rPr>
                <w:b/>
                <w:bCs/>
                <w:sz w:val="22"/>
                <w:szCs w:val="22"/>
              </w:rPr>
              <w:t>directly incompatible</w:t>
            </w:r>
            <w:r w:rsidRPr="00291735">
              <w:rPr>
                <w:bCs/>
                <w:sz w:val="22"/>
                <w:szCs w:val="22"/>
              </w:rPr>
              <w:t xml:space="preserve"> with the listed EMC standards (EN61000-4-2,3,4,5,6,8,11; EN55024; EN61204-3).</w:t>
            </w:r>
          </w:p>
          <w:p w14:paraId="6B5D9A69" w14:textId="77777777" w:rsidR="00291735" w:rsidRPr="00291735" w:rsidRDefault="00291735" w:rsidP="00291735">
            <w:pPr>
              <w:jc w:val="both"/>
              <w:rPr>
                <w:bCs/>
                <w:sz w:val="22"/>
                <w:szCs w:val="22"/>
                <w:lang w:val="de-DE"/>
              </w:rPr>
            </w:pPr>
            <w:r w:rsidRPr="00291735">
              <w:rPr>
                <w:bCs/>
                <w:sz w:val="22"/>
                <w:szCs w:val="22"/>
                <w:lang w:val="de-DE"/>
              </w:rPr>
              <w:t>To be clear:</w:t>
            </w:r>
          </w:p>
          <w:p w14:paraId="00F9A762" w14:textId="77777777" w:rsidR="00291735" w:rsidRPr="00291735" w:rsidRDefault="00291735" w:rsidP="00291735">
            <w:pPr>
              <w:numPr>
                <w:ilvl w:val="0"/>
                <w:numId w:val="4"/>
              </w:numPr>
              <w:jc w:val="both"/>
              <w:rPr>
                <w:bCs/>
                <w:sz w:val="22"/>
                <w:szCs w:val="22"/>
              </w:rPr>
            </w:pPr>
            <w:r w:rsidRPr="00291735">
              <w:rPr>
                <w:b/>
                <w:bCs/>
                <w:sz w:val="22"/>
                <w:szCs w:val="22"/>
              </w:rPr>
              <w:t>EN61204-3, EN55024 and the full EN61000-4 immunity suite apply exclusively to DC switching power supplies.</w:t>
            </w:r>
          </w:p>
          <w:p w14:paraId="04970A2F" w14:textId="77777777" w:rsidR="00291735" w:rsidRPr="00291735" w:rsidRDefault="00291735" w:rsidP="00291735">
            <w:pPr>
              <w:numPr>
                <w:ilvl w:val="0"/>
                <w:numId w:val="4"/>
              </w:numPr>
              <w:jc w:val="both"/>
              <w:rPr>
                <w:bCs/>
                <w:sz w:val="22"/>
                <w:szCs w:val="22"/>
              </w:rPr>
            </w:pPr>
            <w:r w:rsidRPr="00291735">
              <w:rPr>
                <w:b/>
                <w:bCs/>
                <w:sz w:val="22"/>
                <w:szCs w:val="22"/>
              </w:rPr>
              <w:lastRenderedPageBreak/>
              <w:t>No 24 VAC DIN-rail transformer on the market can comply with these standards</w:t>
            </w:r>
            <w:r w:rsidRPr="00291735">
              <w:rPr>
                <w:bCs/>
                <w:sz w:val="22"/>
                <w:szCs w:val="22"/>
              </w:rPr>
              <w:t>, nor provide adjustable output via internal potentiometer.</w:t>
            </w:r>
          </w:p>
          <w:p w14:paraId="316E6DAA" w14:textId="77777777" w:rsidR="00291735" w:rsidRPr="00291735" w:rsidRDefault="00291735" w:rsidP="00291735">
            <w:pPr>
              <w:numPr>
                <w:ilvl w:val="0"/>
                <w:numId w:val="4"/>
              </w:numPr>
              <w:jc w:val="both"/>
              <w:rPr>
                <w:bCs/>
                <w:sz w:val="22"/>
                <w:szCs w:val="22"/>
              </w:rPr>
            </w:pPr>
            <w:r w:rsidRPr="00291735">
              <w:rPr>
                <w:bCs/>
                <w:sz w:val="22"/>
                <w:szCs w:val="22"/>
              </w:rPr>
              <w:t xml:space="preserve">As written, the specification is </w:t>
            </w:r>
            <w:r w:rsidRPr="00291735">
              <w:rPr>
                <w:b/>
                <w:bCs/>
                <w:sz w:val="22"/>
                <w:szCs w:val="22"/>
              </w:rPr>
              <w:t>technically impossible to fulfil</w:t>
            </w:r>
            <w:r w:rsidRPr="00291735">
              <w:rPr>
                <w:bCs/>
                <w:sz w:val="22"/>
                <w:szCs w:val="22"/>
              </w:rPr>
              <w:t xml:space="preserve"> and would </w:t>
            </w:r>
            <w:r w:rsidRPr="00291735">
              <w:rPr>
                <w:b/>
                <w:bCs/>
                <w:sz w:val="22"/>
                <w:szCs w:val="22"/>
              </w:rPr>
              <w:t>eliminate all compliant manufacturers</w:t>
            </w:r>
            <w:r w:rsidRPr="00291735">
              <w:rPr>
                <w:bCs/>
                <w:sz w:val="22"/>
                <w:szCs w:val="22"/>
              </w:rPr>
              <w:t>, which contradicts the principles of fair competition.</w:t>
            </w:r>
          </w:p>
          <w:p w14:paraId="7471E7C2" w14:textId="77777777" w:rsidR="00291735" w:rsidRPr="00291735" w:rsidRDefault="00291735" w:rsidP="00291735">
            <w:pPr>
              <w:jc w:val="both"/>
              <w:rPr>
                <w:bCs/>
                <w:sz w:val="22"/>
                <w:szCs w:val="22"/>
              </w:rPr>
            </w:pPr>
            <w:r w:rsidRPr="00291735">
              <w:rPr>
                <w:bCs/>
                <w:sz w:val="22"/>
                <w:szCs w:val="22"/>
              </w:rPr>
              <w:t>For the specification to be technically achievable, one of the following corrections is required:</w:t>
            </w:r>
          </w:p>
          <w:p w14:paraId="50D4E597" w14:textId="77777777" w:rsidR="00291735" w:rsidRPr="00291735" w:rsidRDefault="00291735" w:rsidP="00291735">
            <w:pPr>
              <w:numPr>
                <w:ilvl w:val="0"/>
                <w:numId w:val="5"/>
              </w:numPr>
              <w:jc w:val="both"/>
              <w:rPr>
                <w:bCs/>
                <w:sz w:val="22"/>
                <w:szCs w:val="22"/>
              </w:rPr>
            </w:pPr>
            <w:r w:rsidRPr="00291735">
              <w:rPr>
                <w:b/>
                <w:bCs/>
                <w:sz w:val="22"/>
                <w:szCs w:val="22"/>
              </w:rPr>
              <w:t>Correct the output to 24 VDC</w:t>
            </w:r>
            <w:r w:rsidRPr="00291735">
              <w:rPr>
                <w:bCs/>
                <w:sz w:val="22"/>
                <w:szCs w:val="22"/>
              </w:rPr>
              <w:t>, which aligns perfectly with the EMC standards; or</w:t>
            </w:r>
          </w:p>
          <w:p w14:paraId="1278A780" w14:textId="77777777" w:rsidR="00291735" w:rsidRPr="00291735" w:rsidRDefault="00291735" w:rsidP="00291735">
            <w:pPr>
              <w:numPr>
                <w:ilvl w:val="0"/>
                <w:numId w:val="5"/>
              </w:numPr>
              <w:jc w:val="both"/>
              <w:rPr>
                <w:bCs/>
                <w:sz w:val="22"/>
                <w:szCs w:val="22"/>
              </w:rPr>
            </w:pPr>
            <w:r w:rsidRPr="00291735">
              <w:rPr>
                <w:b/>
                <w:bCs/>
                <w:sz w:val="22"/>
                <w:szCs w:val="22"/>
              </w:rPr>
              <w:t>If 24 VAC is intentional</w:t>
            </w:r>
            <w:r w:rsidRPr="00291735">
              <w:rPr>
                <w:bCs/>
                <w:sz w:val="22"/>
                <w:szCs w:val="22"/>
              </w:rPr>
              <w:t>, the EMC requirements must be corrected to the appropriate transformer standards (EN61558 and generic EMC), and the “adjustable output” requirement must be removed.</w:t>
            </w:r>
          </w:p>
          <w:p w14:paraId="073B0C1B" w14:textId="6593D4C6" w:rsidR="004F574A" w:rsidRPr="005D60CB" w:rsidRDefault="00291735" w:rsidP="006C54CF">
            <w:pPr>
              <w:jc w:val="both"/>
              <w:rPr>
                <w:bCs/>
                <w:sz w:val="22"/>
                <w:szCs w:val="22"/>
              </w:rPr>
            </w:pPr>
            <w:r w:rsidRPr="00291735">
              <w:rPr>
                <w:bCs/>
                <w:sz w:val="22"/>
                <w:szCs w:val="22"/>
              </w:rPr>
              <w:t>We kindly insist on an official clarification to ensure the specification is realistic and technically compliant.</w:t>
            </w:r>
          </w:p>
        </w:tc>
        <w:tc>
          <w:tcPr>
            <w:tcW w:w="1415" w:type="dxa"/>
            <w:tcBorders>
              <w:top w:val="single" w:sz="4" w:space="0" w:color="auto"/>
              <w:bottom w:val="single" w:sz="4" w:space="0" w:color="auto"/>
            </w:tcBorders>
          </w:tcPr>
          <w:p w14:paraId="7F4C2B64" w14:textId="2575E3B1" w:rsidR="004F574A" w:rsidRPr="00594CFC" w:rsidRDefault="00594CFC" w:rsidP="004F574A">
            <w:pPr>
              <w:rPr>
                <w:bCs/>
                <w:sz w:val="20"/>
                <w:szCs w:val="20"/>
              </w:rPr>
            </w:pPr>
            <w:r w:rsidRPr="00594CFC">
              <w:rPr>
                <w:bCs/>
                <w:sz w:val="20"/>
                <w:szCs w:val="20"/>
              </w:rPr>
              <w:lastRenderedPageBreak/>
              <w:t xml:space="preserve">RFB - </w:t>
            </w:r>
            <w:r w:rsidRPr="00594CFC">
              <w:rPr>
                <w:sz w:val="20"/>
                <w:szCs w:val="20"/>
              </w:rPr>
              <w:t xml:space="preserve">Section VII – Employer´s Requirements and </w:t>
            </w:r>
            <w:r w:rsidRPr="00594CFC">
              <w:rPr>
                <w:bCs/>
                <w:sz w:val="20"/>
                <w:szCs w:val="20"/>
              </w:rPr>
              <w:t>Price Schedule no. 1 - Items no. 35 and no. 36</w:t>
            </w:r>
          </w:p>
        </w:tc>
        <w:tc>
          <w:tcPr>
            <w:tcW w:w="810" w:type="dxa"/>
            <w:tcBorders>
              <w:top w:val="single" w:sz="4" w:space="0" w:color="auto"/>
              <w:bottom w:val="single" w:sz="4" w:space="0" w:color="auto"/>
            </w:tcBorders>
          </w:tcPr>
          <w:p w14:paraId="28299563" w14:textId="77777777" w:rsidR="004F574A" w:rsidRDefault="00AB35CD" w:rsidP="00D73FEA">
            <w:pPr>
              <w:jc w:val="center"/>
            </w:pPr>
            <w:r>
              <w:t>1</w:t>
            </w:r>
          </w:p>
        </w:tc>
        <w:tc>
          <w:tcPr>
            <w:tcW w:w="4721" w:type="dxa"/>
            <w:tcBorders>
              <w:top w:val="single" w:sz="4" w:space="0" w:color="auto"/>
              <w:bottom w:val="single" w:sz="4" w:space="0" w:color="auto"/>
            </w:tcBorders>
          </w:tcPr>
          <w:p w14:paraId="015EDF9C" w14:textId="77777777" w:rsidR="00D41E52" w:rsidRPr="006E0B24" w:rsidRDefault="004F574A" w:rsidP="00316995">
            <w:pPr>
              <w:jc w:val="both"/>
              <w:rPr>
                <w:b/>
                <w:sz w:val="22"/>
                <w:szCs w:val="22"/>
              </w:rPr>
            </w:pPr>
            <w:r w:rsidRPr="006E0B24">
              <w:rPr>
                <w:b/>
                <w:sz w:val="22"/>
                <w:szCs w:val="22"/>
              </w:rPr>
              <w:t>A:</w:t>
            </w:r>
            <w:r w:rsidR="00316995" w:rsidRPr="006E0B24">
              <w:rPr>
                <w:b/>
                <w:sz w:val="22"/>
                <w:szCs w:val="22"/>
              </w:rPr>
              <w:t xml:space="preserve"> </w:t>
            </w:r>
          </w:p>
          <w:p w14:paraId="41193022" w14:textId="77777777" w:rsidR="00A042F8" w:rsidRPr="006E0B24" w:rsidRDefault="00EF4FB7" w:rsidP="00291735">
            <w:pPr>
              <w:jc w:val="both"/>
              <w:rPr>
                <w:b/>
                <w:sz w:val="22"/>
                <w:szCs w:val="22"/>
              </w:rPr>
            </w:pPr>
            <w:r w:rsidRPr="006E0B24">
              <w:rPr>
                <w:bCs/>
                <w:sz w:val="22"/>
                <w:szCs w:val="22"/>
              </w:rPr>
              <w:t xml:space="preserve">As clearly indicated in the PS1 for items 35 and 36, </w:t>
            </w:r>
            <w:r w:rsidR="00AB1065" w:rsidRPr="006E0B24">
              <w:rPr>
                <w:bCs/>
                <w:sz w:val="22"/>
                <w:szCs w:val="22"/>
              </w:rPr>
              <w:t>Bidder</w:t>
            </w:r>
            <w:r w:rsidRPr="006E0B24">
              <w:rPr>
                <w:bCs/>
                <w:sz w:val="22"/>
                <w:szCs w:val="22"/>
              </w:rPr>
              <w:t xml:space="preserve"> is requested to supply, deliver, install, connect to full functionality of the entire system with all necessary work, accessories and parts. Therefore, technical solutions with multiple accessories and parts/components are allowed to meet the requirements</w:t>
            </w:r>
            <w:r w:rsidRPr="006E0B24">
              <w:rPr>
                <w:b/>
                <w:sz w:val="22"/>
                <w:szCs w:val="22"/>
              </w:rPr>
              <w:t>.</w:t>
            </w:r>
          </w:p>
          <w:p w14:paraId="1FA4C482" w14:textId="77777777" w:rsidR="006C7F17" w:rsidRPr="006E0B24" w:rsidRDefault="006C7F17" w:rsidP="00291735">
            <w:pPr>
              <w:jc w:val="both"/>
              <w:rPr>
                <w:b/>
                <w:sz w:val="22"/>
                <w:szCs w:val="22"/>
              </w:rPr>
            </w:pPr>
          </w:p>
          <w:p w14:paraId="27A8BAC4" w14:textId="10789141" w:rsidR="006C7F17" w:rsidRPr="006E0B24" w:rsidRDefault="006C7F17" w:rsidP="006C7F17">
            <w:pPr>
              <w:jc w:val="both"/>
              <w:rPr>
                <w:bCs/>
                <w:sz w:val="22"/>
                <w:szCs w:val="22"/>
              </w:rPr>
            </w:pPr>
            <w:r w:rsidRPr="006E0B24">
              <w:rPr>
                <w:bCs/>
                <w:sz w:val="22"/>
                <w:szCs w:val="22"/>
              </w:rPr>
              <w:t xml:space="preserve">24 </w:t>
            </w:r>
            <w:r w:rsidR="00AA114D" w:rsidRPr="006E0B24">
              <w:rPr>
                <w:bCs/>
                <w:sz w:val="22"/>
                <w:szCs w:val="22"/>
              </w:rPr>
              <w:t>VAC</w:t>
            </w:r>
            <w:r w:rsidRPr="006E0B24">
              <w:rPr>
                <w:bCs/>
                <w:sz w:val="22"/>
                <w:szCs w:val="22"/>
              </w:rPr>
              <w:t xml:space="preserve"> is classified as an extra</w:t>
            </w:r>
            <w:r w:rsidRPr="006E0B24">
              <w:rPr>
                <w:bCs/>
                <w:sz w:val="22"/>
                <w:szCs w:val="22"/>
              </w:rPr>
              <w:noBreakHyphen/>
              <w:t>low voltage, thereby reducing electrical hazard exposure for maintenance personnel and conforming to established safety classifications.</w:t>
            </w:r>
          </w:p>
          <w:p w14:paraId="0F11C174" w14:textId="77777777" w:rsidR="006C7F17" w:rsidRPr="006E0B24" w:rsidRDefault="006C7F17" w:rsidP="006C7F17">
            <w:pPr>
              <w:jc w:val="both"/>
              <w:rPr>
                <w:bCs/>
                <w:sz w:val="22"/>
                <w:szCs w:val="22"/>
              </w:rPr>
            </w:pPr>
            <w:r w:rsidRPr="006E0B24">
              <w:rPr>
                <w:bCs/>
                <w:sz w:val="22"/>
                <w:szCs w:val="22"/>
              </w:rPr>
              <w:lastRenderedPageBreak/>
              <w:t>The voltage level ensures broad compatibility with commercial ITS equipment and aligns with international ITS project requirements and specifications, simplifying procurement and spares management.</w:t>
            </w:r>
          </w:p>
          <w:p w14:paraId="37374739" w14:textId="68666202" w:rsidR="006C7F17" w:rsidRPr="006E0B24" w:rsidRDefault="006C7F17" w:rsidP="006C7F17">
            <w:pPr>
              <w:jc w:val="both"/>
              <w:rPr>
                <w:bCs/>
                <w:sz w:val="22"/>
                <w:szCs w:val="22"/>
              </w:rPr>
            </w:pPr>
            <w:r w:rsidRPr="006E0B24">
              <w:rPr>
                <w:bCs/>
                <w:sz w:val="22"/>
                <w:szCs w:val="22"/>
              </w:rPr>
              <w:t xml:space="preserve">From an engineering and operational perspective, a 24 </w:t>
            </w:r>
            <w:r w:rsidR="00AA114D" w:rsidRPr="006E0B24">
              <w:rPr>
                <w:bCs/>
                <w:sz w:val="22"/>
                <w:szCs w:val="22"/>
              </w:rPr>
              <w:t>VAC</w:t>
            </w:r>
            <w:r w:rsidRPr="006E0B24">
              <w:rPr>
                <w:bCs/>
                <w:sz w:val="22"/>
                <w:szCs w:val="22"/>
              </w:rPr>
              <w:t xml:space="preserve"> auxiliary supply constitutes a robust solution for feeding distributed control and signaling devices over extended cable runs. Typical achievable distances are in the order of hundreds of meters, subject to conductor size, load profile, permissible voltage drop, and site</w:t>
            </w:r>
            <w:r w:rsidRPr="006E0B24">
              <w:rPr>
                <w:bCs/>
                <w:sz w:val="22"/>
                <w:szCs w:val="22"/>
              </w:rPr>
              <w:noBreakHyphen/>
              <w:t>specific installation practices; to balance reliable power delivery with minimized energy risk and reduced arc potential in fault conditions.</w:t>
            </w:r>
          </w:p>
          <w:p w14:paraId="5EB42581" w14:textId="0E95495B" w:rsidR="006C7F17" w:rsidRPr="006E0B24" w:rsidRDefault="00AA114D" w:rsidP="006C7F17">
            <w:pPr>
              <w:jc w:val="both"/>
              <w:rPr>
                <w:bCs/>
                <w:sz w:val="22"/>
                <w:szCs w:val="22"/>
                <w:lang w:val="mk-MK"/>
              </w:rPr>
            </w:pPr>
            <w:r w:rsidRPr="006E0B24">
              <w:rPr>
                <w:bCs/>
                <w:sz w:val="22"/>
                <w:szCs w:val="22"/>
              </w:rPr>
              <w:t>T</w:t>
            </w:r>
            <w:r w:rsidR="006C7F17" w:rsidRPr="006E0B24">
              <w:rPr>
                <w:bCs/>
                <w:sz w:val="22"/>
                <w:szCs w:val="22"/>
              </w:rPr>
              <w:t>he following EMC standards shall not apply and shall not be taken into account (EN61000-4-2,3,4,5,6,8,11; EN55024; EN61204-3)</w:t>
            </w:r>
            <w:r w:rsidR="006C7F17" w:rsidRPr="006E0B24">
              <w:rPr>
                <w:bCs/>
                <w:sz w:val="22"/>
                <w:szCs w:val="22"/>
                <w:lang w:val="mk-MK"/>
              </w:rPr>
              <w:t>.</w:t>
            </w:r>
          </w:p>
          <w:p w14:paraId="6818E74F" w14:textId="77777777" w:rsidR="006C7F17" w:rsidRPr="006E0B24" w:rsidRDefault="006C7F17" w:rsidP="00291735">
            <w:pPr>
              <w:jc w:val="both"/>
              <w:rPr>
                <w:b/>
                <w:sz w:val="22"/>
                <w:szCs w:val="22"/>
              </w:rPr>
            </w:pPr>
          </w:p>
          <w:p w14:paraId="2E6B1AD3" w14:textId="73EFEDE4" w:rsidR="003860FD" w:rsidRPr="006E0B24" w:rsidRDefault="003860FD" w:rsidP="00291735">
            <w:pPr>
              <w:jc w:val="both"/>
              <w:rPr>
                <w:b/>
                <w:sz w:val="22"/>
                <w:szCs w:val="22"/>
              </w:rPr>
            </w:pPr>
            <w:r w:rsidRPr="006E0B24">
              <w:rPr>
                <w:b/>
                <w:sz w:val="22"/>
                <w:szCs w:val="22"/>
              </w:rPr>
              <w:t>Please refer to issued Amendment no. 3.</w:t>
            </w:r>
          </w:p>
        </w:tc>
        <w:tc>
          <w:tcPr>
            <w:tcW w:w="1669" w:type="dxa"/>
            <w:tcBorders>
              <w:top w:val="single" w:sz="4" w:space="0" w:color="auto"/>
              <w:bottom w:val="single" w:sz="4" w:space="0" w:color="auto"/>
            </w:tcBorders>
          </w:tcPr>
          <w:p w14:paraId="5DF0D8A8" w14:textId="05F9F25A" w:rsidR="004F574A" w:rsidRPr="006E0B24" w:rsidRDefault="003860FD" w:rsidP="004F574A">
            <w:pPr>
              <w:rPr>
                <w:b/>
                <w:bCs/>
              </w:rPr>
            </w:pPr>
            <w:r w:rsidRPr="006E0B24">
              <w:rPr>
                <w:b/>
                <w:bCs/>
              </w:rPr>
              <w:lastRenderedPageBreak/>
              <w:t>Amendment</w:t>
            </w:r>
          </w:p>
        </w:tc>
      </w:tr>
      <w:tr w:rsidR="00594CFC" w:rsidRPr="005B056B" w14:paraId="3EF92C7F" w14:textId="77777777" w:rsidTr="0038094E">
        <w:trPr>
          <w:trHeight w:val="1408"/>
        </w:trPr>
        <w:tc>
          <w:tcPr>
            <w:tcW w:w="810" w:type="dxa"/>
            <w:tcBorders>
              <w:top w:val="single" w:sz="4" w:space="0" w:color="auto"/>
              <w:bottom w:val="single" w:sz="4" w:space="0" w:color="auto"/>
            </w:tcBorders>
          </w:tcPr>
          <w:p w14:paraId="5B6079EF" w14:textId="77777777" w:rsidR="00594CFC" w:rsidRDefault="00594CFC" w:rsidP="00594CFC">
            <w:pPr>
              <w:jc w:val="center"/>
            </w:pPr>
            <w:r>
              <w:t>2</w:t>
            </w:r>
          </w:p>
        </w:tc>
        <w:tc>
          <w:tcPr>
            <w:tcW w:w="4435" w:type="dxa"/>
            <w:tcBorders>
              <w:top w:val="single" w:sz="4" w:space="0" w:color="auto"/>
              <w:bottom w:val="single" w:sz="4" w:space="0" w:color="auto"/>
            </w:tcBorders>
          </w:tcPr>
          <w:p w14:paraId="185C9AD8" w14:textId="77777777" w:rsidR="00594CFC" w:rsidRDefault="00594CFC" w:rsidP="00594CFC">
            <w:pPr>
              <w:jc w:val="both"/>
              <w:rPr>
                <w:bCs/>
                <w:sz w:val="22"/>
                <w:szCs w:val="22"/>
              </w:rPr>
            </w:pPr>
            <w:r w:rsidRPr="005D60CB">
              <w:rPr>
                <w:b/>
                <w:sz w:val="22"/>
                <w:szCs w:val="22"/>
              </w:rPr>
              <w:t>Q:</w:t>
            </w:r>
          </w:p>
          <w:p w14:paraId="74C5A11C" w14:textId="77777777" w:rsidR="00594CFC" w:rsidRPr="00291735" w:rsidRDefault="00594CFC" w:rsidP="00594CFC">
            <w:pPr>
              <w:jc w:val="both"/>
              <w:rPr>
                <w:bCs/>
                <w:sz w:val="22"/>
                <w:szCs w:val="22"/>
              </w:rPr>
            </w:pPr>
            <w:r w:rsidRPr="00291735">
              <w:rPr>
                <w:bCs/>
                <w:sz w:val="22"/>
                <w:szCs w:val="22"/>
              </w:rPr>
              <w:t xml:space="preserve">In addition to the previous clarification regarding the technical inconsistency of the 24 VAC specification for Items 35 and 36 in Price Schedule 1, we respectfully request further detail on </w:t>
            </w:r>
            <w:r w:rsidRPr="00291735">
              <w:rPr>
                <w:b/>
                <w:bCs/>
                <w:sz w:val="22"/>
                <w:szCs w:val="22"/>
              </w:rPr>
              <w:t>which exact devices in the system are intended to be powered by 24 VAC</w:t>
            </w:r>
            <w:r w:rsidRPr="00291735">
              <w:rPr>
                <w:bCs/>
                <w:sz w:val="22"/>
                <w:szCs w:val="22"/>
              </w:rPr>
              <w:t>.</w:t>
            </w:r>
          </w:p>
          <w:p w14:paraId="5CC2A0B0" w14:textId="77777777" w:rsidR="00594CFC" w:rsidRPr="00291735" w:rsidRDefault="00594CFC" w:rsidP="00594CFC">
            <w:pPr>
              <w:jc w:val="both"/>
              <w:rPr>
                <w:bCs/>
                <w:sz w:val="22"/>
                <w:szCs w:val="22"/>
              </w:rPr>
            </w:pPr>
            <w:r w:rsidRPr="00291735">
              <w:rPr>
                <w:bCs/>
                <w:sz w:val="22"/>
                <w:szCs w:val="22"/>
              </w:rPr>
              <w:t xml:space="preserve">At this moment, based on the tender documentation, </w:t>
            </w:r>
            <w:r w:rsidRPr="00291735">
              <w:rPr>
                <w:b/>
                <w:bCs/>
                <w:sz w:val="22"/>
                <w:szCs w:val="22"/>
              </w:rPr>
              <w:t>none of the listed equipment or subsystems operate on 24 VAC</w:t>
            </w:r>
            <w:r w:rsidRPr="00291735">
              <w:rPr>
                <w:bCs/>
                <w:sz w:val="22"/>
                <w:szCs w:val="22"/>
              </w:rPr>
              <w:t xml:space="preserve">, nor is there any device specified that requires an AC supply of this type. All referenced components typically operate on </w:t>
            </w:r>
            <w:r w:rsidRPr="00291735">
              <w:rPr>
                <w:b/>
                <w:bCs/>
                <w:sz w:val="22"/>
                <w:szCs w:val="22"/>
              </w:rPr>
              <w:t>230VAC or 24 VDC</w:t>
            </w:r>
            <w:r w:rsidRPr="00291735">
              <w:rPr>
                <w:bCs/>
                <w:sz w:val="22"/>
                <w:szCs w:val="22"/>
              </w:rPr>
              <w:t>, not 24 VAC.</w:t>
            </w:r>
          </w:p>
          <w:p w14:paraId="319B60F9" w14:textId="77777777" w:rsidR="00594CFC" w:rsidRPr="00291735" w:rsidRDefault="00594CFC" w:rsidP="00594CFC">
            <w:pPr>
              <w:jc w:val="both"/>
              <w:rPr>
                <w:bCs/>
                <w:sz w:val="22"/>
                <w:szCs w:val="22"/>
              </w:rPr>
            </w:pPr>
            <w:r w:rsidRPr="00291735">
              <w:rPr>
                <w:bCs/>
                <w:sz w:val="22"/>
                <w:szCs w:val="22"/>
              </w:rPr>
              <w:t>Because of this, it is unclear:</w:t>
            </w:r>
          </w:p>
          <w:p w14:paraId="30E3EC8D" w14:textId="77777777" w:rsidR="00594CFC" w:rsidRPr="00291735" w:rsidRDefault="00594CFC" w:rsidP="00594CFC">
            <w:pPr>
              <w:numPr>
                <w:ilvl w:val="0"/>
                <w:numId w:val="6"/>
              </w:numPr>
              <w:jc w:val="both"/>
              <w:rPr>
                <w:bCs/>
                <w:sz w:val="22"/>
                <w:szCs w:val="22"/>
              </w:rPr>
            </w:pPr>
            <w:r w:rsidRPr="00291735">
              <w:rPr>
                <w:b/>
                <w:bCs/>
                <w:sz w:val="22"/>
                <w:szCs w:val="22"/>
              </w:rPr>
              <w:lastRenderedPageBreak/>
              <w:t>Which device(s) require 24 VAC?</w:t>
            </w:r>
          </w:p>
          <w:p w14:paraId="32F6AAA0" w14:textId="77777777" w:rsidR="00594CFC" w:rsidRPr="00291735" w:rsidRDefault="00594CFC" w:rsidP="00594CFC">
            <w:pPr>
              <w:numPr>
                <w:ilvl w:val="0"/>
                <w:numId w:val="6"/>
              </w:numPr>
              <w:jc w:val="both"/>
              <w:rPr>
                <w:bCs/>
                <w:sz w:val="22"/>
                <w:szCs w:val="22"/>
              </w:rPr>
            </w:pPr>
            <w:r w:rsidRPr="00291735">
              <w:rPr>
                <w:b/>
                <w:bCs/>
                <w:sz w:val="22"/>
                <w:szCs w:val="22"/>
              </w:rPr>
              <w:t>What is the intended purpose of the 24 VAC supply within the system?</w:t>
            </w:r>
          </w:p>
          <w:p w14:paraId="3BFC87F4" w14:textId="77777777" w:rsidR="00594CFC" w:rsidRPr="00291735" w:rsidRDefault="00594CFC" w:rsidP="00594CFC">
            <w:pPr>
              <w:numPr>
                <w:ilvl w:val="0"/>
                <w:numId w:val="6"/>
              </w:numPr>
              <w:jc w:val="both"/>
              <w:rPr>
                <w:bCs/>
                <w:sz w:val="22"/>
                <w:szCs w:val="22"/>
              </w:rPr>
            </w:pPr>
            <w:r w:rsidRPr="00291735">
              <w:rPr>
                <w:b/>
                <w:bCs/>
                <w:sz w:val="22"/>
                <w:szCs w:val="22"/>
              </w:rPr>
              <w:t>How should the 24 VAC be connected to the rest of the system components that operate on DC?</w:t>
            </w:r>
          </w:p>
          <w:p w14:paraId="61F86E96" w14:textId="77777777" w:rsidR="00594CFC" w:rsidRPr="00291735" w:rsidRDefault="00594CFC" w:rsidP="00594CFC">
            <w:pPr>
              <w:jc w:val="both"/>
              <w:rPr>
                <w:bCs/>
                <w:sz w:val="22"/>
                <w:szCs w:val="22"/>
              </w:rPr>
            </w:pPr>
            <w:r w:rsidRPr="00291735">
              <w:rPr>
                <w:bCs/>
                <w:sz w:val="22"/>
                <w:szCs w:val="22"/>
              </w:rPr>
              <w:t>To ensure proper implementation and to avoid incorrect wiring or safety issues, we kindly request that you provide:</w:t>
            </w:r>
          </w:p>
          <w:p w14:paraId="12B74D42" w14:textId="77777777" w:rsidR="00594CFC" w:rsidRPr="00291735" w:rsidRDefault="00594CFC" w:rsidP="00594CFC">
            <w:pPr>
              <w:numPr>
                <w:ilvl w:val="0"/>
                <w:numId w:val="7"/>
              </w:numPr>
              <w:jc w:val="both"/>
              <w:rPr>
                <w:bCs/>
                <w:sz w:val="22"/>
                <w:szCs w:val="22"/>
              </w:rPr>
            </w:pPr>
            <w:r w:rsidRPr="00291735">
              <w:rPr>
                <w:b/>
                <w:bCs/>
                <w:sz w:val="22"/>
                <w:szCs w:val="22"/>
              </w:rPr>
              <w:t>The exact list of devices intended to be powered by 24 VAC</w:t>
            </w:r>
            <w:r w:rsidRPr="00291735">
              <w:rPr>
                <w:bCs/>
                <w:sz w:val="22"/>
                <w:szCs w:val="22"/>
              </w:rPr>
              <w:t>;</w:t>
            </w:r>
          </w:p>
          <w:p w14:paraId="1D1B8B82" w14:textId="77777777" w:rsidR="00594CFC" w:rsidRPr="00291735" w:rsidRDefault="00594CFC" w:rsidP="00594CFC">
            <w:pPr>
              <w:numPr>
                <w:ilvl w:val="0"/>
                <w:numId w:val="7"/>
              </w:numPr>
              <w:jc w:val="both"/>
              <w:rPr>
                <w:bCs/>
                <w:sz w:val="22"/>
                <w:szCs w:val="22"/>
              </w:rPr>
            </w:pPr>
            <w:r w:rsidRPr="00291735">
              <w:rPr>
                <w:b/>
                <w:bCs/>
                <w:sz w:val="22"/>
                <w:szCs w:val="22"/>
              </w:rPr>
              <w:t>A wiring/connection scheme</w:t>
            </w:r>
            <w:r w:rsidRPr="00291735">
              <w:rPr>
                <w:bCs/>
                <w:sz w:val="22"/>
                <w:szCs w:val="22"/>
              </w:rPr>
              <w:t xml:space="preserve"> showing how the 24 VAC source integrates with the other system elements;</w:t>
            </w:r>
          </w:p>
          <w:p w14:paraId="78B8D9A9" w14:textId="3ED41EDA" w:rsidR="00594CFC" w:rsidRPr="00291735" w:rsidRDefault="00594CFC" w:rsidP="00594CFC">
            <w:pPr>
              <w:numPr>
                <w:ilvl w:val="0"/>
                <w:numId w:val="7"/>
              </w:numPr>
              <w:jc w:val="both"/>
              <w:rPr>
                <w:bCs/>
                <w:sz w:val="22"/>
                <w:szCs w:val="22"/>
              </w:rPr>
            </w:pPr>
            <w:r w:rsidRPr="00291735">
              <w:rPr>
                <w:b/>
                <w:bCs/>
                <w:sz w:val="22"/>
                <w:szCs w:val="22"/>
              </w:rPr>
              <w:t>A drawing or diagram</w:t>
            </w:r>
            <w:r w:rsidRPr="00291735">
              <w:rPr>
                <w:bCs/>
                <w:sz w:val="22"/>
                <w:szCs w:val="22"/>
              </w:rPr>
              <w:t xml:space="preserve"> illustrating the power distribution, grounding, and interface points between AC and DC components (if any).         </w:t>
            </w:r>
          </w:p>
        </w:tc>
        <w:tc>
          <w:tcPr>
            <w:tcW w:w="1415" w:type="dxa"/>
            <w:tcBorders>
              <w:top w:val="single" w:sz="4" w:space="0" w:color="auto"/>
              <w:bottom w:val="single" w:sz="4" w:space="0" w:color="auto"/>
            </w:tcBorders>
          </w:tcPr>
          <w:p w14:paraId="66832EBD" w14:textId="38A83744" w:rsidR="00594CFC" w:rsidRPr="0038094E" w:rsidRDefault="00594CFC" w:rsidP="00594CFC">
            <w:pPr>
              <w:jc w:val="both"/>
              <w:rPr>
                <w:bCs/>
                <w:sz w:val="20"/>
                <w:szCs w:val="20"/>
              </w:rPr>
            </w:pPr>
            <w:r w:rsidRPr="00594CFC">
              <w:rPr>
                <w:bCs/>
                <w:sz w:val="20"/>
                <w:szCs w:val="20"/>
              </w:rPr>
              <w:lastRenderedPageBreak/>
              <w:t xml:space="preserve">RFB - </w:t>
            </w:r>
            <w:r w:rsidRPr="00594CFC">
              <w:rPr>
                <w:sz w:val="20"/>
                <w:szCs w:val="20"/>
              </w:rPr>
              <w:t xml:space="preserve">Section VII – Employer´s Requirements and </w:t>
            </w:r>
            <w:r w:rsidRPr="00594CFC">
              <w:rPr>
                <w:bCs/>
                <w:sz w:val="20"/>
                <w:szCs w:val="20"/>
              </w:rPr>
              <w:t>Price Schedule no. 1 - Items no. 35 and no. 36</w:t>
            </w:r>
          </w:p>
        </w:tc>
        <w:tc>
          <w:tcPr>
            <w:tcW w:w="810" w:type="dxa"/>
            <w:tcBorders>
              <w:top w:val="single" w:sz="4" w:space="0" w:color="auto"/>
              <w:bottom w:val="single" w:sz="4" w:space="0" w:color="auto"/>
            </w:tcBorders>
          </w:tcPr>
          <w:p w14:paraId="51A4FCB9" w14:textId="77777777" w:rsidR="00594CFC" w:rsidRDefault="00594CFC" w:rsidP="00594CFC">
            <w:pPr>
              <w:jc w:val="center"/>
            </w:pPr>
            <w:r>
              <w:t>2</w:t>
            </w:r>
          </w:p>
        </w:tc>
        <w:tc>
          <w:tcPr>
            <w:tcW w:w="4721" w:type="dxa"/>
            <w:tcBorders>
              <w:top w:val="single" w:sz="4" w:space="0" w:color="auto"/>
              <w:bottom w:val="single" w:sz="4" w:space="0" w:color="auto"/>
            </w:tcBorders>
          </w:tcPr>
          <w:p w14:paraId="42BAF00A" w14:textId="77777777" w:rsidR="00594CFC" w:rsidRPr="005D60CB" w:rsidRDefault="00594CFC" w:rsidP="00594CFC">
            <w:pPr>
              <w:jc w:val="both"/>
              <w:rPr>
                <w:b/>
                <w:bCs/>
                <w:sz w:val="22"/>
                <w:szCs w:val="22"/>
              </w:rPr>
            </w:pPr>
            <w:r w:rsidRPr="005D60CB">
              <w:rPr>
                <w:b/>
                <w:bCs/>
                <w:sz w:val="22"/>
                <w:szCs w:val="22"/>
              </w:rPr>
              <w:t xml:space="preserve">A: </w:t>
            </w:r>
          </w:p>
          <w:p w14:paraId="1D283CFB" w14:textId="77777777" w:rsidR="00594CFC" w:rsidRDefault="00A247C3" w:rsidP="00594CFC">
            <w:pPr>
              <w:jc w:val="both"/>
              <w:rPr>
                <w:sz w:val="22"/>
                <w:szCs w:val="22"/>
              </w:rPr>
            </w:pPr>
            <w:r w:rsidRPr="00A247C3">
              <w:rPr>
                <w:sz w:val="22"/>
                <w:szCs w:val="22"/>
              </w:rPr>
              <w:t xml:space="preserve">We acknowledge that Book 1 and Book1 Explanatory note 2025 </w:t>
            </w:r>
            <w:r w:rsidR="00AB1065" w:rsidRPr="00A247C3">
              <w:rPr>
                <w:sz w:val="22"/>
                <w:szCs w:val="22"/>
              </w:rPr>
              <w:t>provide</w:t>
            </w:r>
            <w:r w:rsidRPr="00A247C3">
              <w:rPr>
                <w:sz w:val="22"/>
                <w:szCs w:val="22"/>
              </w:rPr>
              <w:t xml:space="preserve"> a general description of the systems intended functionality. All drawings, diagrams, and wiring/connection schematics shall be developed and submitted strictly in accordance with the equipment offered and supplied by the Contractor.</w:t>
            </w:r>
          </w:p>
          <w:p w14:paraId="6D47A91A" w14:textId="7E129E6E" w:rsidR="00AB1065" w:rsidRPr="005D60CB" w:rsidRDefault="00AB1065" w:rsidP="00594CFC">
            <w:pPr>
              <w:jc w:val="both"/>
              <w:rPr>
                <w:sz w:val="22"/>
                <w:szCs w:val="22"/>
              </w:rPr>
            </w:pPr>
          </w:p>
        </w:tc>
        <w:tc>
          <w:tcPr>
            <w:tcW w:w="1669" w:type="dxa"/>
            <w:tcBorders>
              <w:top w:val="single" w:sz="4" w:space="0" w:color="auto"/>
              <w:bottom w:val="single" w:sz="4" w:space="0" w:color="auto"/>
            </w:tcBorders>
          </w:tcPr>
          <w:p w14:paraId="712F4F11" w14:textId="77777777" w:rsidR="00594CFC" w:rsidRPr="005B056B" w:rsidRDefault="00594CFC" w:rsidP="00594CFC">
            <w:r w:rsidRPr="005B056B">
              <w:t>Clarification</w:t>
            </w:r>
          </w:p>
        </w:tc>
      </w:tr>
      <w:tr w:rsidR="00594CFC" w:rsidRPr="005B056B" w14:paraId="50EE4040" w14:textId="77777777" w:rsidTr="0038094E">
        <w:trPr>
          <w:trHeight w:val="791"/>
        </w:trPr>
        <w:tc>
          <w:tcPr>
            <w:tcW w:w="810" w:type="dxa"/>
            <w:tcBorders>
              <w:top w:val="single" w:sz="4" w:space="0" w:color="auto"/>
              <w:bottom w:val="single" w:sz="4" w:space="0" w:color="auto"/>
            </w:tcBorders>
          </w:tcPr>
          <w:p w14:paraId="782CDE92" w14:textId="77777777" w:rsidR="00594CFC" w:rsidRDefault="00594CFC" w:rsidP="00594CFC">
            <w:pPr>
              <w:jc w:val="center"/>
            </w:pPr>
            <w:r>
              <w:t>3</w:t>
            </w:r>
          </w:p>
        </w:tc>
        <w:tc>
          <w:tcPr>
            <w:tcW w:w="4435" w:type="dxa"/>
            <w:tcBorders>
              <w:top w:val="single" w:sz="4" w:space="0" w:color="auto"/>
              <w:bottom w:val="single" w:sz="4" w:space="0" w:color="auto"/>
            </w:tcBorders>
          </w:tcPr>
          <w:p w14:paraId="6C639075" w14:textId="77777777" w:rsidR="00594CFC" w:rsidRPr="005D60CB" w:rsidRDefault="00594CFC" w:rsidP="00594CFC">
            <w:pPr>
              <w:jc w:val="both"/>
              <w:rPr>
                <w:b/>
                <w:sz w:val="22"/>
                <w:szCs w:val="22"/>
              </w:rPr>
            </w:pPr>
            <w:r w:rsidRPr="005D60CB">
              <w:rPr>
                <w:b/>
                <w:sz w:val="22"/>
                <w:szCs w:val="22"/>
              </w:rPr>
              <w:t>Q:</w:t>
            </w:r>
          </w:p>
          <w:p w14:paraId="4DEEC10E" w14:textId="77777777" w:rsidR="00594CFC" w:rsidRPr="00291735" w:rsidRDefault="00594CFC" w:rsidP="00594CFC">
            <w:pPr>
              <w:jc w:val="both"/>
              <w:rPr>
                <w:bCs/>
                <w:sz w:val="22"/>
                <w:szCs w:val="22"/>
              </w:rPr>
            </w:pPr>
            <w:r w:rsidRPr="00291735">
              <w:rPr>
                <w:bCs/>
                <w:sz w:val="22"/>
                <w:szCs w:val="22"/>
              </w:rPr>
              <w:t xml:space="preserve">We request clarification regarding the workstation specification, specifically the requirement for </w:t>
            </w:r>
            <w:r w:rsidRPr="00291735">
              <w:rPr>
                <w:b/>
                <w:bCs/>
                <w:sz w:val="22"/>
                <w:szCs w:val="22"/>
              </w:rPr>
              <w:t>one (1) VGA port</w:t>
            </w:r>
            <w:r w:rsidRPr="00291735">
              <w:rPr>
                <w:bCs/>
                <w:sz w:val="22"/>
                <w:szCs w:val="22"/>
              </w:rPr>
              <w:t>.</w:t>
            </w:r>
          </w:p>
          <w:p w14:paraId="5B710595" w14:textId="77777777" w:rsidR="00594CFC" w:rsidRPr="00291735" w:rsidRDefault="00594CFC" w:rsidP="00594CFC">
            <w:pPr>
              <w:jc w:val="both"/>
              <w:rPr>
                <w:bCs/>
                <w:sz w:val="22"/>
                <w:szCs w:val="22"/>
              </w:rPr>
            </w:pPr>
            <w:r w:rsidRPr="00291735">
              <w:rPr>
                <w:bCs/>
                <w:sz w:val="22"/>
                <w:szCs w:val="22"/>
              </w:rPr>
              <w:t>Based on the provided configuration:</w:t>
            </w:r>
          </w:p>
          <w:p w14:paraId="19F01A9E" w14:textId="77777777" w:rsidR="00594CFC" w:rsidRPr="00291735" w:rsidRDefault="00594CFC" w:rsidP="00594CFC">
            <w:pPr>
              <w:numPr>
                <w:ilvl w:val="0"/>
                <w:numId w:val="8"/>
              </w:numPr>
              <w:jc w:val="both"/>
              <w:rPr>
                <w:bCs/>
                <w:sz w:val="22"/>
                <w:szCs w:val="22"/>
              </w:rPr>
            </w:pPr>
            <w:r w:rsidRPr="00291735">
              <w:rPr>
                <w:bCs/>
                <w:sz w:val="22"/>
                <w:szCs w:val="22"/>
              </w:rPr>
              <w:t xml:space="preserve">The workstation is required to include an </w:t>
            </w:r>
            <w:r w:rsidRPr="00291735">
              <w:rPr>
                <w:b/>
                <w:bCs/>
                <w:sz w:val="22"/>
                <w:szCs w:val="22"/>
              </w:rPr>
              <w:t>NVIDIA T1000 graphics card</w:t>
            </w:r>
            <w:r w:rsidRPr="00291735">
              <w:rPr>
                <w:bCs/>
                <w:sz w:val="22"/>
                <w:szCs w:val="22"/>
              </w:rPr>
              <w:t>, or an equivalent model.</w:t>
            </w:r>
          </w:p>
          <w:p w14:paraId="2B39F20C" w14:textId="77777777" w:rsidR="00594CFC" w:rsidRPr="00291735" w:rsidRDefault="00594CFC" w:rsidP="00594CFC">
            <w:pPr>
              <w:numPr>
                <w:ilvl w:val="0"/>
                <w:numId w:val="8"/>
              </w:numPr>
              <w:jc w:val="both"/>
              <w:rPr>
                <w:bCs/>
                <w:sz w:val="22"/>
                <w:szCs w:val="22"/>
              </w:rPr>
            </w:pPr>
            <w:r w:rsidRPr="00291735">
              <w:rPr>
                <w:bCs/>
                <w:sz w:val="22"/>
                <w:szCs w:val="22"/>
              </w:rPr>
              <w:t xml:space="preserve">All NVIDIA T1000 models, as well as all equivalent modern professional GPUs, provide </w:t>
            </w:r>
            <w:r w:rsidRPr="00291735">
              <w:rPr>
                <w:b/>
                <w:bCs/>
                <w:sz w:val="22"/>
                <w:szCs w:val="22"/>
              </w:rPr>
              <w:t>DisplayPort outputs only</w:t>
            </w:r>
            <w:r w:rsidRPr="00291735">
              <w:rPr>
                <w:bCs/>
                <w:sz w:val="22"/>
                <w:szCs w:val="22"/>
              </w:rPr>
              <w:t xml:space="preserve"> (4×DP), and </w:t>
            </w:r>
            <w:r w:rsidRPr="00291735">
              <w:rPr>
                <w:b/>
                <w:bCs/>
                <w:sz w:val="22"/>
                <w:szCs w:val="22"/>
              </w:rPr>
              <w:t>do not include VGA outputs</w:t>
            </w:r>
            <w:r w:rsidRPr="00291735">
              <w:rPr>
                <w:bCs/>
                <w:sz w:val="22"/>
                <w:szCs w:val="22"/>
              </w:rPr>
              <w:t>.</w:t>
            </w:r>
          </w:p>
          <w:p w14:paraId="6907773F" w14:textId="77777777" w:rsidR="00594CFC" w:rsidRPr="00291735" w:rsidRDefault="00594CFC" w:rsidP="00594CFC">
            <w:pPr>
              <w:numPr>
                <w:ilvl w:val="0"/>
                <w:numId w:val="8"/>
              </w:numPr>
              <w:jc w:val="both"/>
              <w:rPr>
                <w:bCs/>
                <w:sz w:val="22"/>
                <w:szCs w:val="22"/>
              </w:rPr>
            </w:pPr>
            <w:r w:rsidRPr="00291735">
              <w:rPr>
                <w:bCs/>
                <w:sz w:val="22"/>
                <w:szCs w:val="22"/>
              </w:rPr>
              <w:t xml:space="preserve">When a dedicated GPU is installed, the </w:t>
            </w:r>
            <w:r w:rsidRPr="00291735">
              <w:rPr>
                <w:b/>
                <w:bCs/>
                <w:sz w:val="22"/>
                <w:szCs w:val="22"/>
              </w:rPr>
              <w:t>motherboard’s integrated VGA port becomes automatically disabled</w:t>
            </w:r>
            <w:r w:rsidRPr="00291735">
              <w:rPr>
                <w:bCs/>
                <w:sz w:val="22"/>
                <w:szCs w:val="22"/>
              </w:rPr>
              <w:t xml:space="preserve"> on all modern workstation architectures. Therefore, it is </w:t>
            </w:r>
            <w:r w:rsidRPr="00291735">
              <w:rPr>
                <w:b/>
                <w:bCs/>
                <w:sz w:val="22"/>
                <w:szCs w:val="22"/>
              </w:rPr>
              <w:t>non-functional</w:t>
            </w:r>
            <w:r w:rsidRPr="00291735">
              <w:rPr>
                <w:bCs/>
                <w:sz w:val="22"/>
                <w:szCs w:val="22"/>
              </w:rPr>
              <w:t xml:space="preserve"> once an external graphics card is used.</w:t>
            </w:r>
          </w:p>
          <w:p w14:paraId="5E769143" w14:textId="77777777" w:rsidR="00594CFC" w:rsidRPr="00291735" w:rsidRDefault="00594CFC" w:rsidP="00594CFC">
            <w:pPr>
              <w:jc w:val="both"/>
              <w:rPr>
                <w:bCs/>
                <w:sz w:val="22"/>
                <w:szCs w:val="22"/>
              </w:rPr>
            </w:pPr>
            <w:r w:rsidRPr="00291735">
              <w:rPr>
                <w:bCs/>
                <w:sz w:val="22"/>
                <w:szCs w:val="22"/>
              </w:rPr>
              <w:t xml:space="preserve">For this reason, </w:t>
            </w:r>
            <w:r w:rsidRPr="00291735">
              <w:rPr>
                <w:b/>
                <w:bCs/>
                <w:sz w:val="22"/>
                <w:szCs w:val="22"/>
              </w:rPr>
              <w:t xml:space="preserve">it is technically impossible to simultaneously meet both requirements: </w:t>
            </w:r>
            <w:r w:rsidRPr="00291735">
              <w:rPr>
                <w:bCs/>
                <w:sz w:val="22"/>
                <w:szCs w:val="22"/>
              </w:rPr>
              <w:lastRenderedPageBreak/>
              <w:t xml:space="preserve">install an NVIDIA T1000 / equivalent GPU (which has no VGA), </w:t>
            </w:r>
            <w:r w:rsidRPr="00291735">
              <w:rPr>
                <w:b/>
                <w:bCs/>
                <w:sz w:val="22"/>
                <w:szCs w:val="22"/>
              </w:rPr>
              <w:t xml:space="preserve">and </w:t>
            </w:r>
            <w:r w:rsidRPr="00291735">
              <w:rPr>
                <w:bCs/>
                <w:sz w:val="22"/>
                <w:szCs w:val="22"/>
              </w:rPr>
              <w:t>provide a functional VGA port.</w:t>
            </w:r>
          </w:p>
          <w:p w14:paraId="05AFAE54" w14:textId="77777777" w:rsidR="00594CFC" w:rsidRPr="00291735" w:rsidRDefault="00594CFC" w:rsidP="00594CFC">
            <w:pPr>
              <w:jc w:val="both"/>
              <w:rPr>
                <w:bCs/>
                <w:sz w:val="22"/>
                <w:szCs w:val="22"/>
              </w:rPr>
            </w:pPr>
            <w:r w:rsidRPr="00291735">
              <w:rPr>
                <w:bCs/>
                <w:sz w:val="22"/>
                <w:szCs w:val="22"/>
              </w:rPr>
              <w:t>To avoid misinterpretation during installation and commissioning, we kindly request clarification on the following:</w:t>
            </w:r>
          </w:p>
          <w:p w14:paraId="3FBF9113" w14:textId="77777777" w:rsidR="00594CFC" w:rsidRPr="00291735" w:rsidRDefault="00594CFC" w:rsidP="00594CFC">
            <w:pPr>
              <w:numPr>
                <w:ilvl w:val="0"/>
                <w:numId w:val="9"/>
              </w:numPr>
              <w:jc w:val="both"/>
              <w:rPr>
                <w:bCs/>
                <w:sz w:val="22"/>
                <w:szCs w:val="22"/>
              </w:rPr>
            </w:pPr>
            <w:r w:rsidRPr="00291735">
              <w:rPr>
                <w:b/>
                <w:bCs/>
                <w:sz w:val="22"/>
                <w:szCs w:val="22"/>
              </w:rPr>
              <w:t>Is the requirement for a functional VGA port still applicable when a dedicated GPU is installed?</w:t>
            </w:r>
          </w:p>
          <w:p w14:paraId="332D6776" w14:textId="77777777" w:rsidR="00594CFC" w:rsidRPr="00291735" w:rsidRDefault="00594CFC" w:rsidP="00594CFC">
            <w:pPr>
              <w:numPr>
                <w:ilvl w:val="0"/>
                <w:numId w:val="9"/>
              </w:numPr>
              <w:jc w:val="both"/>
              <w:rPr>
                <w:bCs/>
                <w:sz w:val="22"/>
                <w:szCs w:val="22"/>
              </w:rPr>
            </w:pPr>
            <w:r w:rsidRPr="00291735">
              <w:rPr>
                <w:b/>
                <w:bCs/>
                <w:sz w:val="22"/>
                <w:szCs w:val="22"/>
              </w:rPr>
              <w:t>Should the VGA requirement be removed</w:t>
            </w:r>
            <w:r w:rsidRPr="00291735">
              <w:rPr>
                <w:bCs/>
                <w:sz w:val="22"/>
                <w:szCs w:val="22"/>
              </w:rPr>
              <w:t>, given the GPU specification already provides 4×DisplayPort outputs?</w:t>
            </w:r>
          </w:p>
          <w:p w14:paraId="42A9B770" w14:textId="167E508B" w:rsidR="00594CFC" w:rsidRPr="005D60CB" w:rsidRDefault="00594CFC" w:rsidP="00594CFC">
            <w:pPr>
              <w:jc w:val="both"/>
              <w:rPr>
                <w:bCs/>
                <w:sz w:val="22"/>
                <w:szCs w:val="22"/>
              </w:rPr>
            </w:pPr>
            <w:r w:rsidRPr="00291735">
              <w:rPr>
                <w:bCs/>
                <w:sz w:val="22"/>
                <w:szCs w:val="22"/>
              </w:rPr>
              <w:t>Your confirmation is essential, as no modern workstation that includes an NVIDIA T1000 or an equivalent GPU can offer a functional onboard VGA output.</w:t>
            </w:r>
          </w:p>
        </w:tc>
        <w:tc>
          <w:tcPr>
            <w:tcW w:w="1415" w:type="dxa"/>
            <w:tcBorders>
              <w:top w:val="single" w:sz="4" w:space="0" w:color="auto"/>
              <w:bottom w:val="single" w:sz="4" w:space="0" w:color="auto"/>
            </w:tcBorders>
          </w:tcPr>
          <w:p w14:paraId="03EF22ED" w14:textId="24718CC9" w:rsidR="00594CFC" w:rsidRPr="0038094E" w:rsidRDefault="00AB1065" w:rsidP="00594CFC">
            <w:pPr>
              <w:rPr>
                <w:bCs/>
                <w:sz w:val="20"/>
                <w:szCs w:val="20"/>
              </w:rPr>
            </w:pPr>
            <w:r w:rsidRPr="00594CFC">
              <w:rPr>
                <w:bCs/>
                <w:sz w:val="20"/>
                <w:szCs w:val="20"/>
              </w:rPr>
              <w:lastRenderedPageBreak/>
              <w:t xml:space="preserve">RFB - </w:t>
            </w:r>
            <w:r w:rsidRPr="00594CFC">
              <w:rPr>
                <w:sz w:val="20"/>
                <w:szCs w:val="20"/>
              </w:rPr>
              <w:t xml:space="preserve">Section VII – Employer´s Requirements and </w:t>
            </w:r>
            <w:r w:rsidRPr="00594CFC">
              <w:rPr>
                <w:bCs/>
                <w:sz w:val="20"/>
                <w:szCs w:val="20"/>
              </w:rPr>
              <w:t>Price Schedule no. 1</w:t>
            </w:r>
          </w:p>
        </w:tc>
        <w:tc>
          <w:tcPr>
            <w:tcW w:w="810" w:type="dxa"/>
            <w:tcBorders>
              <w:top w:val="single" w:sz="4" w:space="0" w:color="auto"/>
              <w:bottom w:val="single" w:sz="4" w:space="0" w:color="auto"/>
            </w:tcBorders>
          </w:tcPr>
          <w:p w14:paraId="081B8C68" w14:textId="77777777" w:rsidR="00594CFC" w:rsidRDefault="00594CFC" w:rsidP="00594CFC">
            <w:pPr>
              <w:jc w:val="center"/>
            </w:pPr>
            <w:r>
              <w:t>3</w:t>
            </w:r>
          </w:p>
        </w:tc>
        <w:tc>
          <w:tcPr>
            <w:tcW w:w="4721" w:type="dxa"/>
            <w:tcBorders>
              <w:top w:val="single" w:sz="4" w:space="0" w:color="auto"/>
              <w:bottom w:val="single" w:sz="4" w:space="0" w:color="auto"/>
            </w:tcBorders>
          </w:tcPr>
          <w:p w14:paraId="0A87215B" w14:textId="77777777" w:rsidR="00594CFC" w:rsidRPr="006E0B24" w:rsidRDefault="00594CFC" w:rsidP="00594CFC">
            <w:pPr>
              <w:jc w:val="both"/>
              <w:rPr>
                <w:b/>
                <w:sz w:val="22"/>
                <w:szCs w:val="22"/>
              </w:rPr>
            </w:pPr>
            <w:r w:rsidRPr="006E0B24">
              <w:rPr>
                <w:b/>
                <w:sz w:val="22"/>
                <w:szCs w:val="22"/>
              </w:rPr>
              <w:t xml:space="preserve">A: </w:t>
            </w:r>
          </w:p>
          <w:p w14:paraId="1DD2FF02" w14:textId="77777777" w:rsidR="00594CFC" w:rsidRPr="006E0B24" w:rsidRDefault="009D6FF4" w:rsidP="00594CFC">
            <w:pPr>
              <w:jc w:val="both"/>
              <w:rPr>
                <w:bCs/>
                <w:sz w:val="22"/>
                <w:szCs w:val="22"/>
              </w:rPr>
            </w:pPr>
            <w:r w:rsidRPr="006E0B24">
              <w:rPr>
                <w:bCs/>
                <w:sz w:val="22"/>
                <w:szCs w:val="22"/>
              </w:rPr>
              <w:t>The corresponding part of the required technical specification refers to the availability of both requested 1 x VGA output video port and dedicated GPU (NVIDIA T1000 graphic card or equivalent graphic cards and/or brands).</w:t>
            </w:r>
          </w:p>
          <w:p w14:paraId="50D73B40" w14:textId="77777777" w:rsidR="006C7F17" w:rsidRPr="006E0B24" w:rsidRDefault="006C7F17" w:rsidP="00594CFC">
            <w:pPr>
              <w:jc w:val="both"/>
              <w:rPr>
                <w:bCs/>
                <w:sz w:val="22"/>
                <w:szCs w:val="22"/>
              </w:rPr>
            </w:pPr>
          </w:p>
          <w:p w14:paraId="6D14B613" w14:textId="77777777" w:rsidR="006C7F17" w:rsidRPr="006E0B24" w:rsidRDefault="006C7F17" w:rsidP="006C7F17">
            <w:pPr>
              <w:jc w:val="both"/>
              <w:rPr>
                <w:bCs/>
                <w:sz w:val="22"/>
                <w:szCs w:val="22"/>
                <w:lang w:val="mk-MK"/>
              </w:rPr>
            </w:pPr>
            <w:r w:rsidRPr="006E0B24">
              <w:rPr>
                <w:bCs/>
                <w:sz w:val="22"/>
                <w:szCs w:val="22"/>
                <w:lang w:val="mk-MK"/>
              </w:rPr>
              <w:t xml:space="preserve">We confirm that the requirements for a dedicated GPU and 1xVGA port are valid. It is not requested that the dedicated GPU and VGA port are active and can be used simultaneously. As multiple monitors are foreseen for each workstation, the additional GPU is a foreseen solution for this purpose as well as image processing for client applications. The purpose of the VGA port is to serve as backup option in case of malfunctioning of the dedicated GPU. It is, therefore, intended to enable high availability and redundancy display option for each workstation. </w:t>
            </w:r>
          </w:p>
          <w:p w14:paraId="50A5D5D6" w14:textId="71CF1DED" w:rsidR="006C7F17" w:rsidRPr="006E0B24" w:rsidRDefault="006C7F17" w:rsidP="00594CFC">
            <w:pPr>
              <w:jc w:val="both"/>
              <w:rPr>
                <w:bCs/>
                <w:sz w:val="22"/>
                <w:szCs w:val="22"/>
              </w:rPr>
            </w:pPr>
          </w:p>
        </w:tc>
        <w:tc>
          <w:tcPr>
            <w:tcW w:w="1669" w:type="dxa"/>
            <w:tcBorders>
              <w:top w:val="single" w:sz="4" w:space="0" w:color="auto"/>
              <w:bottom w:val="single" w:sz="4" w:space="0" w:color="auto"/>
            </w:tcBorders>
          </w:tcPr>
          <w:p w14:paraId="05094D7C" w14:textId="77777777" w:rsidR="00594CFC" w:rsidRPr="005B056B" w:rsidRDefault="00594CFC" w:rsidP="00594CFC">
            <w:r w:rsidRPr="005B056B">
              <w:t>Clarification</w:t>
            </w:r>
          </w:p>
        </w:tc>
      </w:tr>
      <w:tr w:rsidR="00594CFC" w:rsidRPr="005B056B" w14:paraId="5EDE0A3A" w14:textId="77777777" w:rsidTr="0038094E">
        <w:trPr>
          <w:trHeight w:val="694"/>
        </w:trPr>
        <w:tc>
          <w:tcPr>
            <w:tcW w:w="810" w:type="dxa"/>
            <w:tcBorders>
              <w:top w:val="single" w:sz="4" w:space="0" w:color="auto"/>
              <w:bottom w:val="single" w:sz="4" w:space="0" w:color="auto"/>
            </w:tcBorders>
          </w:tcPr>
          <w:p w14:paraId="5F23A58C" w14:textId="77777777" w:rsidR="00594CFC" w:rsidRDefault="00594CFC" w:rsidP="00594CFC">
            <w:pPr>
              <w:jc w:val="center"/>
            </w:pPr>
            <w:r>
              <w:t>4</w:t>
            </w:r>
          </w:p>
        </w:tc>
        <w:tc>
          <w:tcPr>
            <w:tcW w:w="4435" w:type="dxa"/>
            <w:tcBorders>
              <w:top w:val="single" w:sz="4" w:space="0" w:color="auto"/>
              <w:bottom w:val="single" w:sz="4" w:space="0" w:color="auto"/>
            </w:tcBorders>
          </w:tcPr>
          <w:p w14:paraId="7592E4F1" w14:textId="77777777" w:rsidR="00594CFC" w:rsidRPr="005D60CB" w:rsidRDefault="00594CFC" w:rsidP="00594CFC">
            <w:pPr>
              <w:jc w:val="both"/>
              <w:rPr>
                <w:b/>
                <w:sz w:val="22"/>
                <w:szCs w:val="22"/>
              </w:rPr>
            </w:pPr>
            <w:r w:rsidRPr="005D60CB">
              <w:rPr>
                <w:b/>
                <w:sz w:val="22"/>
                <w:szCs w:val="22"/>
              </w:rPr>
              <w:t>Q:</w:t>
            </w:r>
          </w:p>
          <w:p w14:paraId="6019072B" w14:textId="77777777" w:rsidR="00594CFC" w:rsidRPr="00291735" w:rsidRDefault="00594CFC" w:rsidP="00594CFC">
            <w:pPr>
              <w:jc w:val="both"/>
              <w:rPr>
                <w:sz w:val="22"/>
                <w:szCs w:val="22"/>
              </w:rPr>
            </w:pPr>
            <w:r w:rsidRPr="00291735">
              <w:rPr>
                <w:b/>
                <w:bCs/>
                <w:sz w:val="22"/>
                <w:szCs w:val="22"/>
              </w:rPr>
              <w:t>Referring to Book3, 5.11.1 Video wall management.</w:t>
            </w:r>
          </w:p>
          <w:p w14:paraId="3B34E0F3" w14:textId="77777777" w:rsidR="00594CFC" w:rsidRPr="00291735" w:rsidRDefault="00594CFC" w:rsidP="00594CFC">
            <w:pPr>
              <w:jc w:val="both"/>
              <w:rPr>
                <w:sz w:val="22"/>
                <w:szCs w:val="22"/>
              </w:rPr>
            </w:pPr>
          </w:p>
          <w:p w14:paraId="76A6AC6E" w14:textId="77777777" w:rsidR="00594CFC" w:rsidRPr="00291735" w:rsidRDefault="00594CFC" w:rsidP="00594CFC">
            <w:pPr>
              <w:jc w:val="both"/>
              <w:rPr>
                <w:sz w:val="22"/>
                <w:szCs w:val="22"/>
              </w:rPr>
            </w:pPr>
            <w:r w:rsidRPr="00291735">
              <w:rPr>
                <w:sz w:val="22"/>
                <w:szCs w:val="22"/>
              </w:rPr>
              <w:t>The chapter 5.11.1. Video wall management in Book 3 stipulates:</w:t>
            </w:r>
          </w:p>
          <w:p w14:paraId="7331F636" w14:textId="77777777" w:rsidR="00594CFC" w:rsidRPr="00291735" w:rsidRDefault="00594CFC" w:rsidP="00594CFC">
            <w:pPr>
              <w:jc w:val="both"/>
              <w:rPr>
                <w:sz w:val="22"/>
                <w:szCs w:val="22"/>
              </w:rPr>
            </w:pPr>
            <w:r w:rsidRPr="00291735">
              <w:rPr>
                <w:i/>
                <w:iCs/>
                <w:sz w:val="22"/>
                <w:szCs w:val="22"/>
              </w:rPr>
              <w:t>“The video wall computer equipment and the corresponding software enable simultaneous display of 64 digitized video signals due to usage of multi-displays from Video Player and the graphic user interface of the integrated traffic system</w:t>
            </w:r>
            <w:r w:rsidRPr="00291735">
              <w:rPr>
                <w:sz w:val="22"/>
                <w:szCs w:val="22"/>
              </w:rPr>
              <w:t>.”</w:t>
            </w:r>
          </w:p>
          <w:p w14:paraId="5EBF785E" w14:textId="77777777" w:rsidR="00594CFC" w:rsidRPr="00291735" w:rsidRDefault="00594CFC" w:rsidP="00594CFC">
            <w:pPr>
              <w:jc w:val="both"/>
              <w:rPr>
                <w:sz w:val="22"/>
                <w:szCs w:val="22"/>
              </w:rPr>
            </w:pPr>
          </w:p>
          <w:p w14:paraId="727986A3" w14:textId="77777777" w:rsidR="00594CFC" w:rsidRPr="00291735" w:rsidRDefault="00594CFC" w:rsidP="00594CFC">
            <w:pPr>
              <w:jc w:val="both"/>
              <w:rPr>
                <w:sz w:val="22"/>
                <w:szCs w:val="22"/>
              </w:rPr>
            </w:pPr>
            <w:r w:rsidRPr="00291735">
              <w:rPr>
                <w:sz w:val="22"/>
                <w:szCs w:val="22"/>
              </w:rPr>
              <w:t>The Major Item 9 Video wall controller and the price position PS3-10 Supply and delivery and installation of Server for video wall controller system does not stipulate any requirement about number of digitized video signals.</w:t>
            </w:r>
          </w:p>
          <w:p w14:paraId="3B2F08E9" w14:textId="77777777" w:rsidR="00594CFC" w:rsidRPr="00291735" w:rsidRDefault="00594CFC" w:rsidP="00594CFC">
            <w:pPr>
              <w:jc w:val="both"/>
              <w:rPr>
                <w:sz w:val="22"/>
                <w:szCs w:val="22"/>
              </w:rPr>
            </w:pPr>
          </w:p>
          <w:p w14:paraId="1F65DFC6" w14:textId="1675A97D" w:rsidR="00594CFC" w:rsidRPr="005D60CB" w:rsidRDefault="00594CFC" w:rsidP="00594CFC">
            <w:pPr>
              <w:jc w:val="both"/>
              <w:rPr>
                <w:sz w:val="22"/>
                <w:szCs w:val="22"/>
              </w:rPr>
            </w:pPr>
            <w:r w:rsidRPr="00291735">
              <w:rPr>
                <w:sz w:val="22"/>
                <w:szCs w:val="22"/>
              </w:rPr>
              <w:t>We request clarification regarding how many digitized video signal should be simultaneous displayed on the video wall?.</w:t>
            </w:r>
          </w:p>
        </w:tc>
        <w:tc>
          <w:tcPr>
            <w:tcW w:w="1415" w:type="dxa"/>
            <w:tcBorders>
              <w:top w:val="single" w:sz="4" w:space="0" w:color="auto"/>
              <w:bottom w:val="single" w:sz="4" w:space="0" w:color="auto"/>
            </w:tcBorders>
          </w:tcPr>
          <w:p w14:paraId="224669E7" w14:textId="69875B1E" w:rsidR="00594CFC" w:rsidRPr="0038094E" w:rsidRDefault="00594CFC" w:rsidP="00594CFC">
            <w:pPr>
              <w:rPr>
                <w:bCs/>
                <w:sz w:val="20"/>
                <w:szCs w:val="20"/>
              </w:rPr>
            </w:pPr>
            <w:r w:rsidRPr="00594CFC">
              <w:rPr>
                <w:bCs/>
                <w:sz w:val="20"/>
                <w:szCs w:val="20"/>
              </w:rPr>
              <w:t xml:space="preserve">RFB - </w:t>
            </w:r>
            <w:r w:rsidRPr="00594CFC">
              <w:rPr>
                <w:sz w:val="20"/>
                <w:szCs w:val="20"/>
              </w:rPr>
              <w:t xml:space="preserve">Section VII – Employer´s Requirements and </w:t>
            </w:r>
            <w:r w:rsidRPr="00594CFC">
              <w:rPr>
                <w:bCs/>
                <w:sz w:val="20"/>
                <w:szCs w:val="20"/>
              </w:rPr>
              <w:t xml:space="preserve">Price Schedule no. </w:t>
            </w:r>
            <w:r>
              <w:rPr>
                <w:bCs/>
                <w:sz w:val="20"/>
                <w:szCs w:val="20"/>
              </w:rPr>
              <w:t>3</w:t>
            </w:r>
            <w:r w:rsidRPr="00594CFC">
              <w:rPr>
                <w:bCs/>
                <w:sz w:val="20"/>
                <w:szCs w:val="20"/>
              </w:rPr>
              <w:t xml:space="preserve"> - Items no. </w:t>
            </w:r>
            <w:r>
              <w:rPr>
                <w:bCs/>
                <w:sz w:val="20"/>
                <w:szCs w:val="20"/>
              </w:rPr>
              <w:t>10</w:t>
            </w:r>
          </w:p>
        </w:tc>
        <w:tc>
          <w:tcPr>
            <w:tcW w:w="810" w:type="dxa"/>
            <w:tcBorders>
              <w:top w:val="single" w:sz="4" w:space="0" w:color="auto"/>
              <w:bottom w:val="single" w:sz="4" w:space="0" w:color="auto"/>
            </w:tcBorders>
          </w:tcPr>
          <w:p w14:paraId="02597486" w14:textId="77777777" w:rsidR="00594CFC" w:rsidRDefault="00594CFC" w:rsidP="00594CFC">
            <w:pPr>
              <w:jc w:val="center"/>
            </w:pPr>
            <w:r>
              <w:t>4</w:t>
            </w:r>
          </w:p>
        </w:tc>
        <w:tc>
          <w:tcPr>
            <w:tcW w:w="4721" w:type="dxa"/>
            <w:tcBorders>
              <w:top w:val="single" w:sz="4" w:space="0" w:color="auto"/>
              <w:bottom w:val="single" w:sz="4" w:space="0" w:color="auto"/>
            </w:tcBorders>
          </w:tcPr>
          <w:p w14:paraId="00ECD777" w14:textId="77777777" w:rsidR="00594CFC" w:rsidRPr="005D60CB" w:rsidRDefault="00594CFC" w:rsidP="00594CFC">
            <w:pPr>
              <w:jc w:val="both"/>
              <w:rPr>
                <w:b/>
                <w:sz w:val="22"/>
                <w:szCs w:val="22"/>
              </w:rPr>
            </w:pPr>
            <w:r w:rsidRPr="005D60CB">
              <w:rPr>
                <w:b/>
                <w:sz w:val="22"/>
                <w:szCs w:val="22"/>
              </w:rPr>
              <w:t xml:space="preserve">A: </w:t>
            </w:r>
          </w:p>
          <w:p w14:paraId="43E2B1AC" w14:textId="77777777" w:rsidR="00E12AB0" w:rsidRDefault="00E12AB0" w:rsidP="00594CFC">
            <w:pPr>
              <w:jc w:val="both"/>
              <w:rPr>
                <w:bCs/>
                <w:sz w:val="22"/>
                <w:szCs w:val="22"/>
              </w:rPr>
            </w:pPr>
            <w:r w:rsidRPr="00E12AB0">
              <w:rPr>
                <w:bCs/>
                <w:sz w:val="22"/>
                <w:szCs w:val="22"/>
                <w:lang w:val="mk-MK"/>
              </w:rPr>
              <w:t xml:space="preserve">We acknowledge that Book 3 and Book3 Explanatory note 2025 provides a general description of the systems intended functionality. </w:t>
            </w:r>
          </w:p>
          <w:p w14:paraId="6E5D05DF" w14:textId="77777777" w:rsidR="00E12AB0" w:rsidRDefault="00E12AB0" w:rsidP="00594CFC">
            <w:pPr>
              <w:jc w:val="both"/>
              <w:rPr>
                <w:bCs/>
                <w:sz w:val="22"/>
                <w:szCs w:val="22"/>
              </w:rPr>
            </w:pPr>
          </w:p>
          <w:p w14:paraId="43F5BBE9" w14:textId="6AC6F976" w:rsidR="00594CFC" w:rsidRPr="00E12AB0" w:rsidRDefault="00E12AB0" w:rsidP="00594CFC">
            <w:pPr>
              <w:jc w:val="both"/>
              <w:rPr>
                <w:bCs/>
                <w:sz w:val="22"/>
                <w:szCs w:val="22"/>
                <w:lang w:val="mk-MK"/>
              </w:rPr>
            </w:pPr>
            <w:r w:rsidRPr="00E12AB0">
              <w:rPr>
                <w:bCs/>
                <w:sz w:val="22"/>
                <w:szCs w:val="22"/>
                <w:lang w:val="mk-MK"/>
              </w:rPr>
              <w:t>Please refer to the PS3 item 10 in which it is required to provide a minimum of 8 outputs (8x DisplayPort 1.4 or 8x HDMI (full-size)). The detailed functional, technical, and performance requirements for each system component are defined in the Price Schedules, which shall take precedence in case of any ambiguity or discrepancy.</w:t>
            </w:r>
          </w:p>
        </w:tc>
        <w:tc>
          <w:tcPr>
            <w:tcW w:w="1669" w:type="dxa"/>
            <w:tcBorders>
              <w:top w:val="single" w:sz="4" w:space="0" w:color="auto"/>
              <w:bottom w:val="single" w:sz="4" w:space="0" w:color="auto"/>
            </w:tcBorders>
          </w:tcPr>
          <w:p w14:paraId="4536B582" w14:textId="23ACB1CA" w:rsidR="00594CFC" w:rsidRPr="005B056B" w:rsidRDefault="00594CFC" w:rsidP="00594CFC">
            <w:r>
              <w:t>Clarification</w:t>
            </w:r>
          </w:p>
        </w:tc>
      </w:tr>
      <w:tr w:rsidR="00594CFC" w:rsidRPr="005B056B" w14:paraId="2CC5460B" w14:textId="77777777" w:rsidTr="0038094E">
        <w:trPr>
          <w:trHeight w:val="791"/>
        </w:trPr>
        <w:tc>
          <w:tcPr>
            <w:tcW w:w="810" w:type="dxa"/>
            <w:tcBorders>
              <w:top w:val="single" w:sz="4" w:space="0" w:color="auto"/>
              <w:bottom w:val="single" w:sz="4" w:space="0" w:color="auto"/>
            </w:tcBorders>
          </w:tcPr>
          <w:p w14:paraId="073B3049" w14:textId="77777777" w:rsidR="00594CFC" w:rsidRDefault="00594CFC" w:rsidP="00594CFC">
            <w:pPr>
              <w:jc w:val="center"/>
            </w:pPr>
            <w:r>
              <w:lastRenderedPageBreak/>
              <w:t>5</w:t>
            </w:r>
          </w:p>
        </w:tc>
        <w:tc>
          <w:tcPr>
            <w:tcW w:w="4435" w:type="dxa"/>
            <w:tcBorders>
              <w:top w:val="single" w:sz="4" w:space="0" w:color="auto"/>
              <w:bottom w:val="single" w:sz="4" w:space="0" w:color="auto"/>
            </w:tcBorders>
          </w:tcPr>
          <w:p w14:paraId="04B81280" w14:textId="77777777" w:rsidR="00594CFC" w:rsidRPr="005D60CB" w:rsidRDefault="00594CFC" w:rsidP="00594CFC">
            <w:pPr>
              <w:jc w:val="both"/>
              <w:rPr>
                <w:b/>
                <w:sz w:val="22"/>
                <w:szCs w:val="22"/>
              </w:rPr>
            </w:pPr>
            <w:r w:rsidRPr="005D60CB">
              <w:rPr>
                <w:b/>
                <w:sz w:val="22"/>
                <w:szCs w:val="22"/>
              </w:rPr>
              <w:t>Q:</w:t>
            </w:r>
          </w:p>
          <w:p w14:paraId="1A6A9186" w14:textId="77777777" w:rsidR="00594CFC" w:rsidRPr="00291735" w:rsidRDefault="00594CFC" w:rsidP="00594CFC">
            <w:pPr>
              <w:jc w:val="both"/>
              <w:rPr>
                <w:bCs/>
                <w:sz w:val="22"/>
                <w:szCs w:val="22"/>
              </w:rPr>
            </w:pPr>
            <w:r w:rsidRPr="00291735">
              <w:rPr>
                <w:bCs/>
                <w:sz w:val="22"/>
                <w:szCs w:val="22"/>
              </w:rPr>
              <w:t>We understand the RFB does not include any maintenance (preventive or corrective), there is just 1-year defect liability period.</w:t>
            </w:r>
          </w:p>
          <w:p w14:paraId="055D7708" w14:textId="77777777" w:rsidR="00594CFC" w:rsidRPr="00291735" w:rsidRDefault="00594CFC" w:rsidP="00594CFC">
            <w:pPr>
              <w:jc w:val="both"/>
              <w:rPr>
                <w:bCs/>
                <w:sz w:val="22"/>
                <w:szCs w:val="22"/>
              </w:rPr>
            </w:pPr>
            <w:r w:rsidRPr="00291735">
              <w:rPr>
                <w:bCs/>
                <w:sz w:val="22"/>
                <w:szCs w:val="22"/>
              </w:rPr>
              <w:t>The document “as issued RFB - Deployment of ITS on A1 Highway - Corridor X - WBTTFP-8929-MK-212-RFB.dox”, chapter Construction Schedule - Implementation plan details stipulates:</w:t>
            </w:r>
          </w:p>
          <w:p w14:paraId="6DAC2DF8" w14:textId="77777777" w:rsidR="00594CFC" w:rsidRPr="00291735" w:rsidRDefault="00594CFC" w:rsidP="00594CFC">
            <w:pPr>
              <w:jc w:val="both"/>
              <w:rPr>
                <w:bCs/>
                <w:i/>
                <w:iCs/>
                <w:sz w:val="22"/>
                <w:szCs w:val="22"/>
              </w:rPr>
            </w:pPr>
          </w:p>
          <w:p w14:paraId="016C688D" w14:textId="77777777" w:rsidR="00594CFC" w:rsidRPr="00291735" w:rsidRDefault="00594CFC" w:rsidP="00594CFC">
            <w:pPr>
              <w:jc w:val="both"/>
              <w:rPr>
                <w:bCs/>
                <w:i/>
                <w:iCs/>
                <w:sz w:val="22"/>
                <w:szCs w:val="22"/>
              </w:rPr>
            </w:pPr>
            <w:r w:rsidRPr="00291735">
              <w:rPr>
                <w:bCs/>
                <w:i/>
                <w:iCs/>
                <w:sz w:val="22"/>
                <w:szCs w:val="22"/>
              </w:rPr>
              <w:t>“The Bidders should submit the Implementation plan (work plan), presenting the main groups of activities and milestones, as minimum requirements:</w:t>
            </w:r>
          </w:p>
          <w:p w14:paraId="36F39A9A" w14:textId="77777777" w:rsidR="00594CFC" w:rsidRPr="00291735" w:rsidRDefault="00594CFC" w:rsidP="00594CFC">
            <w:pPr>
              <w:numPr>
                <w:ilvl w:val="0"/>
                <w:numId w:val="8"/>
              </w:numPr>
              <w:jc w:val="both"/>
              <w:rPr>
                <w:bCs/>
                <w:sz w:val="22"/>
                <w:szCs w:val="22"/>
              </w:rPr>
            </w:pPr>
            <w:r w:rsidRPr="00291735">
              <w:rPr>
                <w:bCs/>
                <w:sz w:val="22"/>
                <w:szCs w:val="22"/>
              </w:rPr>
              <w:t>preconstruction preparations,</w:t>
            </w:r>
          </w:p>
          <w:p w14:paraId="3A7ED452" w14:textId="77777777" w:rsidR="00594CFC" w:rsidRPr="00291735" w:rsidRDefault="00594CFC" w:rsidP="00594CFC">
            <w:pPr>
              <w:numPr>
                <w:ilvl w:val="0"/>
                <w:numId w:val="8"/>
              </w:numPr>
              <w:jc w:val="both"/>
              <w:rPr>
                <w:bCs/>
                <w:sz w:val="22"/>
                <w:szCs w:val="22"/>
              </w:rPr>
            </w:pPr>
            <w:r w:rsidRPr="00291735">
              <w:rPr>
                <w:bCs/>
                <w:sz w:val="22"/>
                <w:szCs w:val="22"/>
              </w:rPr>
              <w:t xml:space="preserve">supply, installation, construction, development, system integration, test stages, commissioning, training, </w:t>
            </w:r>
          </w:p>
          <w:p w14:paraId="2EA432F2" w14:textId="77777777" w:rsidR="00594CFC" w:rsidRPr="00291735" w:rsidRDefault="00594CFC" w:rsidP="00594CFC">
            <w:pPr>
              <w:numPr>
                <w:ilvl w:val="0"/>
                <w:numId w:val="8"/>
              </w:numPr>
              <w:jc w:val="both"/>
              <w:rPr>
                <w:bCs/>
                <w:sz w:val="22"/>
                <w:szCs w:val="22"/>
              </w:rPr>
            </w:pPr>
            <w:r w:rsidRPr="00291735">
              <w:rPr>
                <w:bCs/>
                <w:sz w:val="22"/>
                <w:szCs w:val="22"/>
              </w:rPr>
              <w:t xml:space="preserve">maintenance, monitoring and evaluation during DLP, </w:t>
            </w:r>
          </w:p>
          <w:p w14:paraId="6C4329A1" w14:textId="77777777" w:rsidR="00594CFC" w:rsidRPr="00291735" w:rsidRDefault="00594CFC" w:rsidP="00594CFC">
            <w:pPr>
              <w:jc w:val="both"/>
              <w:rPr>
                <w:bCs/>
                <w:sz w:val="22"/>
                <w:szCs w:val="22"/>
              </w:rPr>
            </w:pPr>
            <w:r w:rsidRPr="00291735">
              <w:rPr>
                <w:bCs/>
                <w:sz w:val="22"/>
                <w:szCs w:val="22"/>
              </w:rPr>
              <w:t xml:space="preserve">Book 3, chapter </w:t>
            </w:r>
            <w:r w:rsidRPr="00291735">
              <w:rPr>
                <w:b/>
                <w:bCs/>
                <w:sz w:val="22"/>
                <w:szCs w:val="22"/>
              </w:rPr>
              <w:t>CONTROL AND QUALITY ASSURANCE PROGRAM</w:t>
            </w:r>
            <w:r w:rsidRPr="00291735">
              <w:rPr>
                <w:bCs/>
                <w:sz w:val="22"/>
                <w:szCs w:val="22"/>
              </w:rPr>
              <w:t>, stipulates in subchapter 6.3 MECHANICAL RESISTANCE AND STABILITY:</w:t>
            </w:r>
          </w:p>
          <w:p w14:paraId="67A0FCC6" w14:textId="77777777" w:rsidR="00594CFC" w:rsidRPr="00291735" w:rsidRDefault="00594CFC" w:rsidP="00594CFC">
            <w:pPr>
              <w:jc w:val="both"/>
              <w:rPr>
                <w:bCs/>
                <w:i/>
                <w:iCs/>
                <w:sz w:val="22"/>
                <w:szCs w:val="22"/>
              </w:rPr>
            </w:pPr>
          </w:p>
          <w:p w14:paraId="260E185D" w14:textId="77777777" w:rsidR="00594CFC" w:rsidRPr="00291735" w:rsidRDefault="00594CFC" w:rsidP="00594CFC">
            <w:pPr>
              <w:jc w:val="both"/>
              <w:rPr>
                <w:bCs/>
                <w:i/>
                <w:iCs/>
                <w:sz w:val="22"/>
                <w:szCs w:val="22"/>
              </w:rPr>
            </w:pPr>
            <w:r w:rsidRPr="00291735">
              <w:rPr>
                <w:bCs/>
                <w:i/>
                <w:iCs/>
                <w:sz w:val="22"/>
                <w:szCs w:val="22"/>
              </w:rPr>
              <w:t xml:space="preserve">During the </w:t>
            </w:r>
            <w:r w:rsidRPr="00291735">
              <w:rPr>
                <w:b/>
                <w:bCs/>
                <w:i/>
                <w:iCs/>
                <w:sz w:val="22"/>
                <w:szCs w:val="22"/>
              </w:rPr>
              <w:t>two-year period of plant regular maintenance</w:t>
            </w:r>
            <w:r w:rsidRPr="00291735">
              <w:rPr>
                <w:bCs/>
                <w:i/>
                <w:iCs/>
                <w:sz w:val="22"/>
                <w:szCs w:val="22"/>
              </w:rPr>
              <w:t xml:space="preserve"> mechanical resistance of the built-in equipment is controlled as follows:</w:t>
            </w:r>
          </w:p>
          <w:p w14:paraId="05C978DD" w14:textId="77777777" w:rsidR="00594CFC" w:rsidRPr="00291735" w:rsidRDefault="00594CFC" w:rsidP="00594CFC">
            <w:pPr>
              <w:numPr>
                <w:ilvl w:val="0"/>
                <w:numId w:val="8"/>
              </w:numPr>
              <w:jc w:val="both"/>
              <w:rPr>
                <w:bCs/>
                <w:sz w:val="22"/>
                <w:szCs w:val="22"/>
              </w:rPr>
            </w:pPr>
            <w:r w:rsidRPr="00291735">
              <w:rPr>
                <w:bCs/>
                <w:sz w:val="22"/>
                <w:szCs w:val="22"/>
              </w:rPr>
              <w:t>supporting elements control;</w:t>
            </w:r>
          </w:p>
          <w:p w14:paraId="1D2E57EE" w14:textId="77777777" w:rsidR="00594CFC" w:rsidRPr="00291735" w:rsidRDefault="00594CFC" w:rsidP="00594CFC">
            <w:pPr>
              <w:numPr>
                <w:ilvl w:val="0"/>
                <w:numId w:val="8"/>
              </w:numPr>
              <w:jc w:val="both"/>
              <w:rPr>
                <w:bCs/>
                <w:sz w:val="22"/>
                <w:szCs w:val="22"/>
              </w:rPr>
            </w:pPr>
            <w:r w:rsidRPr="00291735">
              <w:rPr>
                <w:bCs/>
                <w:sz w:val="22"/>
                <w:szCs w:val="22"/>
              </w:rPr>
              <w:t>rotating elements control;</w:t>
            </w:r>
          </w:p>
          <w:p w14:paraId="15F00E4B" w14:textId="77777777" w:rsidR="00594CFC" w:rsidRPr="00291735" w:rsidRDefault="00594CFC" w:rsidP="00594CFC">
            <w:pPr>
              <w:numPr>
                <w:ilvl w:val="0"/>
                <w:numId w:val="8"/>
              </w:numPr>
              <w:jc w:val="both"/>
              <w:rPr>
                <w:bCs/>
                <w:sz w:val="22"/>
                <w:szCs w:val="22"/>
              </w:rPr>
            </w:pPr>
            <w:r w:rsidRPr="00291735">
              <w:rPr>
                <w:bCs/>
                <w:sz w:val="22"/>
                <w:szCs w:val="22"/>
              </w:rPr>
              <w:t>seal elements control;</w:t>
            </w:r>
          </w:p>
          <w:p w14:paraId="35611C01" w14:textId="77777777" w:rsidR="00594CFC" w:rsidRPr="00291735" w:rsidRDefault="00594CFC" w:rsidP="00594CFC">
            <w:pPr>
              <w:numPr>
                <w:ilvl w:val="0"/>
                <w:numId w:val="8"/>
              </w:numPr>
              <w:jc w:val="both"/>
              <w:rPr>
                <w:bCs/>
                <w:sz w:val="22"/>
                <w:szCs w:val="22"/>
              </w:rPr>
            </w:pPr>
            <w:r w:rsidRPr="00291735">
              <w:rPr>
                <w:bCs/>
                <w:sz w:val="22"/>
                <w:szCs w:val="22"/>
              </w:rPr>
              <w:t>etc.</w:t>
            </w:r>
          </w:p>
          <w:p w14:paraId="697C1426" w14:textId="77777777" w:rsidR="00594CFC" w:rsidRPr="00291735" w:rsidRDefault="00594CFC" w:rsidP="00594CFC">
            <w:pPr>
              <w:jc w:val="both"/>
              <w:rPr>
                <w:bCs/>
                <w:sz w:val="22"/>
                <w:szCs w:val="22"/>
              </w:rPr>
            </w:pPr>
            <w:r w:rsidRPr="00291735">
              <w:rPr>
                <w:bCs/>
                <w:sz w:val="22"/>
                <w:szCs w:val="22"/>
              </w:rPr>
              <w:t>Furthermore, the document Book 8 ESMP stipulates:</w:t>
            </w:r>
          </w:p>
          <w:p w14:paraId="581DE213" w14:textId="77777777" w:rsidR="00594CFC" w:rsidRPr="00291735" w:rsidRDefault="00594CFC" w:rsidP="00594CFC">
            <w:pPr>
              <w:jc w:val="both"/>
              <w:rPr>
                <w:bCs/>
                <w:i/>
                <w:iCs/>
                <w:sz w:val="22"/>
                <w:szCs w:val="22"/>
              </w:rPr>
            </w:pPr>
            <w:r w:rsidRPr="00291735">
              <w:rPr>
                <w:bCs/>
                <w:i/>
                <w:iCs/>
                <w:sz w:val="22"/>
                <w:szCs w:val="22"/>
              </w:rPr>
              <w:t>“Operation and maintenance of the Corridor X, as per the Law on public roads, is under competences of the Public Enterprise for state roads (PESR).”</w:t>
            </w:r>
          </w:p>
          <w:p w14:paraId="0D76DECD" w14:textId="77777777" w:rsidR="00594CFC" w:rsidRPr="00291735" w:rsidRDefault="00594CFC" w:rsidP="00594CFC">
            <w:pPr>
              <w:jc w:val="both"/>
              <w:rPr>
                <w:bCs/>
                <w:sz w:val="22"/>
                <w:szCs w:val="22"/>
              </w:rPr>
            </w:pPr>
          </w:p>
          <w:p w14:paraId="24AA71E6" w14:textId="3498922C" w:rsidR="00594CFC" w:rsidRPr="005D60CB" w:rsidRDefault="00594CFC" w:rsidP="00594CFC">
            <w:pPr>
              <w:jc w:val="both"/>
              <w:rPr>
                <w:bCs/>
                <w:sz w:val="22"/>
                <w:szCs w:val="22"/>
              </w:rPr>
            </w:pPr>
            <w:r w:rsidRPr="00291735">
              <w:rPr>
                <w:bCs/>
                <w:sz w:val="22"/>
                <w:szCs w:val="22"/>
              </w:rPr>
              <w:lastRenderedPageBreak/>
              <w:t>We kindly ask for your confirmation that the project does not include any maintenance (preventive or corrective) but only a defect liability period (DLP) Defect Liability Period, which starts from the date of Operational Acceptance and lasts for 12 months?</w:t>
            </w:r>
          </w:p>
        </w:tc>
        <w:tc>
          <w:tcPr>
            <w:tcW w:w="1415" w:type="dxa"/>
            <w:tcBorders>
              <w:top w:val="single" w:sz="4" w:space="0" w:color="auto"/>
              <w:bottom w:val="single" w:sz="4" w:space="0" w:color="auto"/>
            </w:tcBorders>
          </w:tcPr>
          <w:p w14:paraId="39E03D47" w14:textId="6D3D6FC9" w:rsidR="00594CFC" w:rsidRPr="00AB1065" w:rsidRDefault="00AB1065" w:rsidP="00AB1065">
            <w:pPr>
              <w:jc w:val="both"/>
              <w:rPr>
                <w:sz w:val="20"/>
                <w:szCs w:val="20"/>
              </w:rPr>
            </w:pPr>
            <w:r w:rsidRPr="00AB1065">
              <w:rPr>
                <w:bCs/>
                <w:sz w:val="20"/>
                <w:szCs w:val="20"/>
              </w:rPr>
              <w:lastRenderedPageBreak/>
              <w:t xml:space="preserve">RFB - </w:t>
            </w:r>
            <w:r w:rsidRPr="00AB1065">
              <w:rPr>
                <w:sz w:val="20"/>
                <w:szCs w:val="20"/>
              </w:rPr>
              <w:t>Section VII – Employer´s Requirements</w:t>
            </w:r>
          </w:p>
        </w:tc>
        <w:tc>
          <w:tcPr>
            <w:tcW w:w="810" w:type="dxa"/>
            <w:tcBorders>
              <w:top w:val="single" w:sz="4" w:space="0" w:color="auto"/>
              <w:bottom w:val="single" w:sz="4" w:space="0" w:color="auto"/>
            </w:tcBorders>
          </w:tcPr>
          <w:p w14:paraId="6A9B9386" w14:textId="77777777" w:rsidR="00594CFC" w:rsidRDefault="00594CFC" w:rsidP="00594CFC">
            <w:pPr>
              <w:jc w:val="center"/>
            </w:pPr>
            <w:r>
              <w:t>5</w:t>
            </w:r>
          </w:p>
        </w:tc>
        <w:tc>
          <w:tcPr>
            <w:tcW w:w="4721" w:type="dxa"/>
            <w:tcBorders>
              <w:top w:val="single" w:sz="4" w:space="0" w:color="auto"/>
              <w:bottom w:val="single" w:sz="4" w:space="0" w:color="auto"/>
            </w:tcBorders>
          </w:tcPr>
          <w:p w14:paraId="7BC0212E" w14:textId="77777777" w:rsidR="00594CFC" w:rsidRPr="00A11E37" w:rsidRDefault="00594CFC" w:rsidP="00594CFC">
            <w:pPr>
              <w:jc w:val="both"/>
              <w:rPr>
                <w:b/>
                <w:bCs/>
                <w:sz w:val="22"/>
                <w:szCs w:val="22"/>
              </w:rPr>
            </w:pPr>
            <w:r w:rsidRPr="00A11E37">
              <w:rPr>
                <w:b/>
                <w:bCs/>
                <w:sz w:val="22"/>
                <w:szCs w:val="22"/>
              </w:rPr>
              <w:t>A:</w:t>
            </w:r>
            <w:r w:rsidRPr="00A11E37">
              <w:rPr>
                <w:b/>
                <w:bCs/>
                <w:sz w:val="22"/>
                <w:szCs w:val="22"/>
                <w:lang w:val="mk-MK"/>
              </w:rPr>
              <w:t xml:space="preserve"> </w:t>
            </w:r>
          </w:p>
          <w:p w14:paraId="23C866DD" w14:textId="77777777" w:rsidR="00594CFC" w:rsidRPr="00291735" w:rsidRDefault="00594CFC" w:rsidP="00594CFC">
            <w:pPr>
              <w:jc w:val="both"/>
              <w:rPr>
                <w:sz w:val="22"/>
                <w:szCs w:val="22"/>
              </w:rPr>
            </w:pPr>
            <w:r w:rsidRPr="00291735">
              <w:rPr>
                <w:sz w:val="22"/>
                <w:szCs w:val="22"/>
              </w:rPr>
              <w:t>As per stated in Section VII – Employer´s Requirements:</w:t>
            </w:r>
          </w:p>
          <w:p w14:paraId="0845C7D5" w14:textId="77777777" w:rsidR="00594CFC" w:rsidRPr="00287F66" w:rsidRDefault="00594CFC" w:rsidP="00594CFC">
            <w:pPr>
              <w:jc w:val="both"/>
              <w:rPr>
                <w:sz w:val="22"/>
                <w:szCs w:val="22"/>
              </w:rPr>
            </w:pPr>
            <w:r w:rsidRPr="00291735">
              <w:rPr>
                <w:sz w:val="22"/>
                <w:szCs w:val="22"/>
              </w:rPr>
              <w:t xml:space="preserve">During the Defect Liability Period (DLP) which start from the date of Operational Acceptance and last for 12 months, the Contractor is fully responsible for ensuring availability of the supplied equipment during this period, replace the equipment if/where required and ensuring performance requirements of whole ITS systems </w:t>
            </w:r>
            <w:r w:rsidRPr="00287F66">
              <w:rPr>
                <w:sz w:val="22"/>
                <w:szCs w:val="22"/>
              </w:rPr>
              <w:t>(hardware and software).</w:t>
            </w:r>
          </w:p>
          <w:p w14:paraId="00A05FA0" w14:textId="780FEF3F" w:rsidR="00594CFC" w:rsidRPr="00287F66" w:rsidRDefault="00594CFC" w:rsidP="00594CFC">
            <w:pPr>
              <w:jc w:val="both"/>
              <w:rPr>
                <w:bCs/>
                <w:sz w:val="22"/>
                <w:szCs w:val="22"/>
              </w:rPr>
            </w:pPr>
            <w:r w:rsidRPr="00287F66">
              <w:rPr>
                <w:bCs/>
                <w:sz w:val="22"/>
                <w:szCs w:val="22"/>
              </w:rPr>
              <w:t xml:space="preserve">The Contractor is responsible for the operation and maintenance of the whole ITS systems in accordance to the prepared manuals, </w:t>
            </w:r>
            <w:r w:rsidRPr="00287F66">
              <w:rPr>
                <w:b/>
                <w:sz w:val="22"/>
                <w:szCs w:val="22"/>
              </w:rPr>
              <w:t>during the Defect Liability Period.</w:t>
            </w:r>
          </w:p>
        </w:tc>
        <w:tc>
          <w:tcPr>
            <w:tcW w:w="1669" w:type="dxa"/>
            <w:tcBorders>
              <w:top w:val="single" w:sz="4" w:space="0" w:color="auto"/>
              <w:bottom w:val="single" w:sz="4" w:space="0" w:color="auto"/>
            </w:tcBorders>
          </w:tcPr>
          <w:p w14:paraId="23812716" w14:textId="30CBA25B" w:rsidR="00594CFC" w:rsidRPr="005B056B" w:rsidRDefault="00594CFC" w:rsidP="00594CFC">
            <w:r>
              <w:t>Clarification</w:t>
            </w:r>
          </w:p>
        </w:tc>
      </w:tr>
      <w:tr w:rsidR="00835873" w:rsidRPr="005B056B" w14:paraId="67B61AFF" w14:textId="77777777" w:rsidTr="0038094E">
        <w:trPr>
          <w:trHeight w:val="791"/>
        </w:trPr>
        <w:tc>
          <w:tcPr>
            <w:tcW w:w="810" w:type="dxa"/>
            <w:tcBorders>
              <w:top w:val="single" w:sz="4" w:space="0" w:color="auto"/>
              <w:bottom w:val="single" w:sz="4" w:space="0" w:color="auto"/>
            </w:tcBorders>
          </w:tcPr>
          <w:p w14:paraId="33F01E6E" w14:textId="5036A850" w:rsidR="00835873" w:rsidRDefault="00835873" w:rsidP="00594CFC">
            <w:pPr>
              <w:jc w:val="center"/>
            </w:pPr>
            <w:r>
              <w:t>6</w:t>
            </w:r>
          </w:p>
        </w:tc>
        <w:tc>
          <w:tcPr>
            <w:tcW w:w="4435" w:type="dxa"/>
            <w:tcBorders>
              <w:top w:val="single" w:sz="4" w:space="0" w:color="auto"/>
              <w:bottom w:val="single" w:sz="4" w:space="0" w:color="auto"/>
            </w:tcBorders>
          </w:tcPr>
          <w:p w14:paraId="5E967324" w14:textId="4ADDB09A" w:rsidR="00835873" w:rsidRPr="00835873" w:rsidRDefault="00835873" w:rsidP="00594CFC">
            <w:pPr>
              <w:jc w:val="both"/>
              <w:rPr>
                <w:b/>
                <w:sz w:val="22"/>
                <w:szCs w:val="22"/>
              </w:rPr>
            </w:pPr>
            <w:r w:rsidRPr="005D60CB">
              <w:rPr>
                <w:b/>
                <w:sz w:val="22"/>
                <w:szCs w:val="22"/>
              </w:rPr>
              <w:t>Q:</w:t>
            </w:r>
          </w:p>
          <w:p w14:paraId="1DCC386E" w14:textId="1F857998" w:rsidR="00835873" w:rsidRPr="00835873" w:rsidRDefault="00835873" w:rsidP="00594CFC">
            <w:pPr>
              <w:jc w:val="both"/>
              <w:rPr>
                <w:bCs/>
                <w:sz w:val="22"/>
                <w:szCs w:val="22"/>
              </w:rPr>
            </w:pPr>
            <w:r w:rsidRPr="00835873">
              <w:rPr>
                <w:bCs/>
                <w:sz w:val="22"/>
                <w:szCs w:val="22"/>
              </w:rPr>
              <w:t>Is the switch required in Revised Sheet 3 of Price Schedule 1-7 – Deployment of ITS – WBTTFP-8929-MK-212-RFB, item No. 9, an industrial switch or a standard Fast Ethernet switch, considering that the operating temperature is specified as 0–45°C, and the installation location is not intended for industrial conditions (such as highway environments with dust and humidity), but rather in the control center?</w:t>
            </w:r>
          </w:p>
        </w:tc>
        <w:tc>
          <w:tcPr>
            <w:tcW w:w="1415" w:type="dxa"/>
            <w:tcBorders>
              <w:top w:val="single" w:sz="4" w:space="0" w:color="auto"/>
              <w:bottom w:val="single" w:sz="4" w:space="0" w:color="auto"/>
            </w:tcBorders>
          </w:tcPr>
          <w:p w14:paraId="3E9D9EF7" w14:textId="55894C75" w:rsidR="00835873" w:rsidRPr="00AB1065" w:rsidRDefault="00835873" w:rsidP="00AB1065">
            <w:pPr>
              <w:jc w:val="both"/>
              <w:rPr>
                <w:bCs/>
                <w:sz w:val="20"/>
                <w:szCs w:val="20"/>
              </w:rPr>
            </w:pPr>
            <w:r w:rsidRPr="00594CFC">
              <w:rPr>
                <w:bCs/>
                <w:sz w:val="20"/>
                <w:szCs w:val="20"/>
              </w:rPr>
              <w:t xml:space="preserve">RFB - </w:t>
            </w:r>
            <w:r w:rsidRPr="00594CFC">
              <w:rPr>
                <w:sz w:val="20"/>
                <w:szCs w:val="20"/>
              </w:rPr>
              <w:t xml:space="preserve">Section VII – Employer´s Requirements and </w:t>
            </w:r>
            <w:r w:rsidRPr="00594CFC">
              <w:rPr>
                <w:bCs/>
                <w:sz w:val="20"/>
                <w:szCs w:val="20"/>
              </w:rPr>
              <w:t xml:space="preserve">Price Schedule no. </w:t>
            </w:r>
            <w:r>
              <w:rPr>
                <w:bCs/>
                <w:sz w:val="20"/>
                <w:szCs w:val="20"/>
              </w:rPr>
              <w:t>3</w:t>
            </w:r>
            <w:r w:rsidRPr="00594CFC">
              <w:rPr>
                <w:bCs/>
                <w:sz w:val="20"/>
                <w:szCs w:val="20"/>
              </w:rPr>
              <w:t xml:space="preserve"> - Items no. </w:t>
            </w:r>
            <w:r>
              <w:rPr>
                <w:bCs/>
                <w:sz w:val="20"/>
                <w:szCs w:val="20"/>
              </w:rPr>
              <w:t>9</w:t>
            </w:r>
          </w:p>
        </w:tc>
        <w:tc>
          <w:tcPr>
            <w:tcW w:w="810" w:type="dxa"/>
            <w:tcBorders>
              <w:top w:val="single" w:sz="4" w:space="0" w:color="auto"/>
              <w:bottom w:val="single" w:sz="4" w:space="0" w:color="auto"/>
            </w:tcBorders>
          </w:tcPr>
          <w:p w14:paraId="3FE83CC0" w14:textId="5BE3F2AE" w:rsidR="00835873" w:rsidRDefault="00835873" w:rsidP="00594CFC">
            <w:pPr>
              <w:jc w:val="center"/>
            </w:pPr>
            <w:r>
              <w:t>6</w:t>
            </w:r>
          </w:p>
        </w:tc>
        <w:tc>
          <w:tcPr>
            <w:tcW w:w="4721" w:type="dxa"/>
            <w:tcBorders>
              <w:top w:val="single" w:sz="4" w:space="0" w:color="auto"/>
              <w:bottom w:val="single" w:sz="4" w:space="0" w:color="auto"/>
            </w:tcBorders>
          </w:tcPr>
          <w:p w14:paraId="103CCFFF" w14:textId="207917BC" w:rsidR="00835873" w:rsidRDefault="00835873" w:rsidP="00594CFC">
            <w:pPr>
              <w:jc w:val="both"/>
              <w:rPr>
                <w:b/>
                <w:bCs/>
                <w:sz w:val="22"/>
                <w:szCs w:val="22"/>
              </w:rPr>
            </w:pPr>
            <w:r>
              <w:rPr>
                <w:b/>
                <w:bCs/>
                <w:sz w:val="22"/>
                <w:szCs w:val="22"/>
              </w:rPr>
              <w:t>A:</w:t>
            </w:r>
          </w:p>
          <w:p w14:paraId="4B6F757B" w14:textId="6CF39B70" w:rsidR="00835873" w:rsidRPr="00835873" w:rsidRDefault="00835873" w:rsidP="00594CFC">
            <w:pPr>
              <w:jc w:val="both"/>
              <w:rPr>
                <w:sz w:val="22"/>
                <w:szCs w:val="22"/>
              </w:rPr>
            </w:pPr>
            <w:r w:rsidRPr="00835873">
              <w:rPr>
                <w:sz w:val="22"/>
                <w:szCs w:val="22"/>
              </w:rPr>
              <w:t>Intended Installation location of the specified item 9 from PS3 is in Control Center.</w:t>
            </w:r>
          </w:p>
        </w:tc>
        <w:tc>
          <w:tcPr>
            <w:tcW w:w="1669" w:type="dxa"/>
            <w:tcBorders>
              <w:top w:val="single" w:sz="4" w:space="0" w:color="auto"/>
              <w:bottom w:val="single" w:sz="4" w:space="0" w:color="auto"/>
            </w:tcBorders>
          </w:tcPr>
          <w:p w14:paraId="0DFAC076" w14:textId="1879F42A" w:rsidR="00835873" w:rsidRDefault="00835873" w:rsidP="00594CFC">
            <w:r>
              <w:t>Clarification</w:t>
            </w:r>
          </w:p>
        </w:tc>
      </w:tr>
    </w:tbl>
    <w:p w14:paraId="5146B4C0" w14:textId="77777777" w:rsidR="004443BD" w:rsidRDefault="004443BD"/>
    <w:p w14:paraId="209112CD" w14:textId="77777777" w:rsidR="003B3C58" w:rsidRDefault="003B3C58"/>
    <w:p w14:paraId="788B0F45" w14:textId="5575D8F0" w:rsidR="003E7D71" w:rsidRPr="00E83202" w:rsidRDefault="003E7D71" w:rsidP="003E7D71">
      <w:pPr>
        <w:spacing w:before="60"/>
        <w:jc w:val="both"/>
        <w:rPr>
          <w:b/>
          <w:bCs/>
          <w:sz w:val="22"/>
          <w:szCs w:val="22"/>
        </w:rPr>
      </w:pPr>
      <w:r w:rsidRPr="00E83202">
        <w:rPr>
          <w:b/>
          <w:bCs/>
          <w:sz w:val="22"/>
          <w:szCs w:val="22"/>
        </w:rPr>
        <w:t xml:space="preserve">Please note that confirmation by e-mail of </w:t>
      </w:r>
      <w:r w:rsidR="00372D31" w:rsidRPr="00E83202">
        <w:rPr>
          <w:b/>
          <w:bCs/>
          <w:sz w:val="22"/>
          <w:szCs w:val="22"/>
        </w:rPr>
        <w:t>receipt</w:t>
      </w:r>
      <w:r w:rsidRPr="00E83202">
        <w:rPr>
          <w:b/>
          <w:bCs/>
          <w:sz w:val="22"/>
          <w:szCs w:val="22"/>
        </w:rPr>
        <w:t xml:space="preserve"> of this Clarification</w:t>
      </w:r>
      <w:r w:rsidR="007B7996">
        <w:rPr>
          <w:b/>
          <w:bCs/>
          <w:sz w:val="22"/>
          <w:szCs w:val="22"/>
        </w:rPr>
        <w:t xml:space="preserve"> no. </w:t>
      </w:r>
      <w:r w:rsidR="00042E9B">
        <w:rPr>
          <w:b/>
          <w:bCs/>
          <w:sz w:val="22"/>
          <w:szCs w:val="22"/>
        </w:rPr>
        <w:t>4</w:t>
      </w:r>
      <w:r w:rsidRPr="00E83202">
        <w:rPr>
          <w:b/>
          <w:bCs/>
          <w:sz w:val="22"/>
          <w:szCs w:val="22"/>
        </w:rPr>
        <w:t xml:space="preserve"> is compulsory!</w:t>
      </w:r>
    </w:p>
    <w:p w14:paraId="09D5D13E" w14:textId="77777777" w:rsidR="003E7D71" w:rsidRPr="00F86BD3" w:rsidRDefault="003E7D71" w:rsidP="003E7D71">
      <w:pPr>
        <w:jc w:val="both"/>
        <w:rPr>
          <w:b/>
          <w:bCs/>
          <w:sz w:val="16"/>
          <w:szCs w:val="16"/>
        </w:rPr>
      </w:pPr>
    </w:p>
    <w:p w14:paraId="6AC8DEB5" w14:textId="77777777" w:rsidR="003E7D71" w:rsidRPr="00E83202" w:rsidRDefault="003E7D71" w:rsidP="003E7D71">
      <w:pPr>
        <w:jc w:val="both"/>
        <w:rPr>
          <w:sz w:val="22"/>
          <w:szCs w:val="22"/>
        </w:rPr>
      </w:pPr>
      <w:r w:rsidRPr="00E83202">
        <w:rPr>
          <w:sz w:val="22"/>
          <w:szCs w:val="22"/>
        </w:rPr>
        <w:t>Yours sincerely,</w:t>
      </w:r>
    </w:p>
    <w:p w14:paraId="3714C5E2" w14:textId="77777777" w:rsidR="003E7D71" w:rsidRPr="001C0D5E" w:rsidRDefault="003E7D71" w:rsidP="003E7D71">
      <w:pPr>
        <w:jc w:val="both"/>
        <w:rPr>
          <w:sz w:val="16"/>
          <w:szCs w:val="16"/>
        </w:rPr>
      </w:pPr>
    </w:p>
    <w:p w14:paraId="32F839F5"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77D43116"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226C04F7" w14:textId="77777777" w:rsidR="003E7D71" w:rsidRPr="001C0D5E" w:rsidRDefault="003E7D71" w:rsidP="003E7D71">
      <w:pPr>
        <w:rPr>
          <w:rFonts w:ascii="Arial" w:hAnsi="Arial" w:cs="Arial"/>
          <w:color w:val="203864"/>
          <w:sz w:val="16"/>
          <w:szCs w:val="16"/>
        </w:rPr>
      </w:pPr>
    </w:p>
    <w:p w14:paraId="250747D5"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235B7086"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05F89CB9" w14:textId="77777777" w:rsidR="003E7D71" w:rsidRPr="00795728" w:rsidRDefault="003E7D71" w:rsidP="003E7D71">
      <w:pPr>
        <w:rPr>
          <w:rFonts w:ascii="Arial" w:hAnsi="Arial" w:cs="Arial"/>
          <w:i/>
          <w:iCs/>
          <w:color w:val="203864"/>
          <w:sz w:val="16"/>
          <w:szCs w:val="16"/>
          <w:lang w:val="pt-BR"/>
        </w:rPr>
      </w:pPr>
      <w:r w:rsidRPr="00795728">
        <w:rPr>
          <w:rFonts w:ascii="Arial" w:hAnsi="Arial" w:cs="Arial"/>
          <w:i/>
          <w:iCs/>
          <w:color w:val="203864"/>
          <w:sz w:val="16"/>
          <w:szCs w:val="16"/>
          <w:lang w:val="pt-BR"/>
        </w:rPr>
        <w:t xml:space="preserve">E: </w:t>
      </w:r>
      <w:hyperlink r:id="rId8" w:history="1">
        <w:r w:rsidR="001717E7" w:rsidRPr="008753D8">
          <w:rPr>
            <w:rStyle w:val="Hyperlink"/>
            <w:rFonts w:ascii="Arial" w:hAnsi="Arial" w:cs="Arial"/>
            <w:i/>
            <w:iCs/>
            <w:sz w:val="16"/>
            <w:szCs w:val="16"/>
            <w:lang w:val="pt-BR"/>
          </w:rPr>
          <w:t>slavko.micevski@piu.mtc.gov.mk</w:t>
        </w:r>
      </w:hyperlink>
      <w:r w:rsidRPr="00795728">
        <w:rPr>
          <w:rFonts w:ascii="Arial" w:hAnsi="Arial" w:cs="Arial"/>
          <w:i/>
          <w:iCs/>
          <w:color w:val="203864"/>
          <w:sz w:val="16"/>
          <w:szCs w:val="16"/>
          <w:lang w:val="pt-BR"/>
        </w:rPr>
        <w:t xml:space="preserve"> </w:t>
      </w:r>
    </w:p>
    <w:p w14:paraId="2DA12918"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1AB246ED"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4457B755" w14:textId="77777777" w:rsidR="003E7D71" w:rsidRPr="00F86BD3" w:rsidRDefault="00961939" w:rsidP="003E7D71">
      <w:pPr>
        <w:rPr>
          <w:rFonts w:ascii="Arial" w:hAnsi="Arial" w:cs="Arial"/>
          <w:i/>
          <w:iCs/>
          <w:color w:val="203864"/>
          <w:sz w:val="16"/>
          <w:szCs w:val="16"/>
        </w:rPr>
      </w:pPr>
      <w:hyperlink r:id="rId9" w:history="1">
        <w:r w:rsidRPr="008753D8">
          <w:rPr>
            <w:rStyle w:val="Hyperlink"/>
            <w:rFonts w:ascii="Arial" w:hAnsi="Arial" w:cs="Arial"/>
            <w:i/>
            <w:iCs/>
            <w:sz w:val="16"/>
            <w:szCs w:val="16"/>
          </w:rPr>
          <w:t>www.mt.gov.mk</w:t>
        </w:r>
      </w:hyperlink>
    </w:p>
    <w:p w14:paraId="74210B6C" w14:textId="77777777" w:rsidR="000055A1" w:rsidRDefault="000055A1"/>
    <w:sectPr w:rsidR="000055A1" w:rsidSect="00785FA3">
      <w:pgSz w:w="15840" w:h="12240" w:orient="landscape"/>
      <w:pgMar w:top="90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D727" w14:textId="77777777" w:rsidR="00014979" w:rsidRDefault="00014979" w:rsidP="00993C81">
      <w:r>
        <w:separator/>
      </w:r>
    </w:p>
  </w:endnote>
  <w:endnote w:type="continuationSeparator" w:id="0">
    <w:p w14:paraId="1E0EF916" w14:textId="77777777" w:rsidR="00014979" w:rsidRDefault="00014979" w:rsidP="009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3532" w14:textId="77777777" w:rsidR="00014979" w:rsidRDefault="00014979" w:rsidP="00993C81">
      <w:r>
        <w:separator/>
      </w:r>
    </w:p>
  </w:footnote>
  <w:footnote w:type="continuationSeparator" w:id="0">
    <w:p w14:paraId="3AC41C3A" w14:textId="77777777" w:rsidR="00014979" w:rsidRDefault="00014979" w:rsidP="009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0F2E"/>
    <w:multiLevelType w:val="multilevel"/>
    <w:tmpl w:val="F6FCB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2B1433"/>
    <w:multiLevelType w:val="hybridMultilevel"/>
    <w:tmpl w:val="A4FE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83837"/>
    <w:multiLevelType w:val="hybridMultilevel"/>
    <w:tmpl w:val="D9124274"/>
    <w:lvl w:ilvl="0" w:tplc="088AFF5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929D6"/>
    <w:multiLevelType w:val="multilevel"/>
    <w:tmpl w:val="422E4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A14BA4"/>
    <w:multiLevelType w:val="multilevel"/>
    <w:tmpl w:val="1AA0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E4FAB"/>
    <w:multiLevelType w:val="multilevel"/>
    <w:tmpl w:val="4E98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E5333"/>
    <w:multiLevelType w:val="multilevel"/>
    <w:tmpl w:val="409E4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D46620"/>
    <w:multiLevelType w:val="multilevel"/>
    <w:tmpl w:val="6F92A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02A46"/>
    <w:multiLevelType w:val="multilevel"/>
    <w:tmpl w:val="E3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485750">
    <w:abstractNumId w:val="1"/>
  </w:num>
  <w:num w:numId="2" w16cid:durableId="907880208">
    <w:abstractNumId w:val="2"/>
  </w:num>
  <w:num w:numId="3" w16cid:durableId="45154812">
    <w:abstractNumId w:val="8"/>
  </w:num>
  <w:num w:numId="4" w16cid:durableId="883643488">
    <w:abstractNumId w:val="7"/>
  </w:num>
  <w:num w:numId="5" w16cid:durableId="607588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660658">
    <w:abstractNumId w:val="4"/>
  </w:num>
  <w:num w:numId="7" w16cid:durableId="638194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647302">
    <w:abstractNumId w:val="5"/>
  </w:num>
  <w:num w:numId="9" w16cid:durableId="1795051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BD"/>
    <w:rsid w:val="000032E2"/>
    <w:rsid w:val="00004722"/>
    <w:rsid w:val="000055A1"/>
    <w:rsid w:val="000064F7"/>
    <w:rsid w:val="00006F79"/>
    <w:rsid w:val="00007039"/>
    <w:rsid w:val="00011142"/>
    <w:rsid w:val="00011ED5"/>
    <w:rsid w:val="00014979"/>
    <w:rsid w:val="00015721"/>
    <w:rsid w:val="000172C0"/>
    <w:rsid w:val="000323CB"/>
    <w:rsid w:val="00034A51"/>
    <w:rsid w:val="00035166"/>
    <w:rsid w:val="00042E9B"/>
    <w:rsid w:val="00044BA9"/>
    <w:rsid w:val="00051B6D"/>
    <w:rsid w:val="00051EEE"/>
    <w:rsid w:val="00053B3B"/>
    <w:rsid w:val="000552DF"/>
    <w:rsid w:val="0006417F"/>
    <w:rsid w:val="00064EAC"/>
    <w:rsid w:val="0007387F"/>
    <w:rsid w:val="00073AB6"/>
    <w:rsid w:val="00074F0A"/>
    <w:rsid w:val="0008142B"/>
    <w:rsid w:val="00094752"/>
    <w:rsid w:val="00094C97"/>
    <w:rsid w:val="00097369"/>
    <w:rsid w:val="000A0530"/>
    <w:rsid w:val="000A53CE"/>
    <w:rsid w:val="000A5486"/>
    <w:rsid w:val="000A5F38"/>
    <w:rsid w:val="000A76AF"/>
    <w:rsid w:val="000B067D"/>
    <w:rsid w:val="000B3E61"/>
    <w:rsid w:val="000B4FDA"/>
    <w:rsid w:val="000B7DBA"/>
    <w:rsid w:val="000C6597"/>
    <w:rsid w:val="000D7D10"/>
    <w:rsid w:val="000E7137"/>
    <w:rsid w:val="000F1336"/>
    <w:rsid w:val="000F2F9A"/>
    <w:rsid w:val="000F2FCB"/>
    <w:rsid w:val="000F57A8"/>
    <w:rsid w:val="000F6E13"/>
    <w:rsid w:val="00101A74"/>
    <w:rsid w:val="0010248A"/>
    <w:rsid w:val="001046D7"/>
    <w:rsid w:val="0011585C"/>
    <w:rsid w:val="00123A44"/>
    <w:rsid w:val="0013478C"/>
    <w:rsid w:val="00136031"/>
    <w:rsid w:val="00136170"/>
    <w:rsid w:val="001369EC"/>
    <w:rsid w:val="0014388C"/>
    <w:rsid w:val="00150213"/>
    <w:rsid w:val="00151435"/>
    <w:rsid w:val="0015307A"/>
    <w:rsid w:val="00153DC4"/>
    <w:rsid w:val="0016029A"/>
    <w:rsid w:val="001648E5"/>
    <w:rsid w:val="001662AA"/>
    <w:rsid w:val="001717E7"/>
    <w:rsid w:val="00175AE4"/>
    <w:rsid w:val="00176EF2"/>
    <w:rsid w:val="00190164"/>
    <w:rsid w:val="00191392"/>
    <w:rsid w:val="001943D4"/>
    <w:rsid w:val="001945FA"/>
    <w:rsid w:val="00194667"/>
    <w:rsid w:val="00195E81"/>
    <w:rsid w:val="0019762E"/>
    <w:rsid w:val="001A06BB"/>
    <w:rsid w:val="001A73C0"/>
    <w:rsid w:val="001C2F17"/>
    <w:rsid w:val="001C3C4C"/>
    <w:rsid w:val="001C4196"/>
    <w:rsid w:val="001C7D6C"/>
    <w:rsid w:val="001D0FD6"/>
    <w:rsid w:val="001D1A99"/>
    <w:rsid w:val="001D20E1"/>
    <w:rsid w:val="001D4390"/>
    <w:rsid w:val="001D527A"/>
    <w:rsid w:val="001D70D8"/>
    <w:rsid w:val="001E02BD"/>
    <w:rsid w:val="001E0BDC"/>
    <w:rsid w:val="001E4674"/>
    <w:rsid w:val="001E6CB7"/>
    <w:rsid w:val="001F0E3B"/>
    <w:rsid w:val="001F48C6"/>
    <w:rsid w:val="001F69CA"/>
    <w:rsid w:val="00204BA7"/>
    <w:rsid w:val="00210647"/>
    <w:rsid w:val="00212952"/>
    <w:rsid w:val="00213F95"/>
    <w:rsid w:val="00225744"/>
    <w:rsid w:val="00236713"/>
    <w:rsid w:val="002449FD"/>
    <w:rsid w:val="00256458"/>
    <w:rsid w:val="002615B8"/>
    <w:rsid w:val="00263FC3"/>
    <w:rsid w:val="00271EE3"/>
    <w:rsid w:val="00271FE3"/>
    <w:rsid w:val="00281E5A"/>
    <w:rsid w:val="00287F66"/>
    <w:rsid w:val="00290509"/>
    <w:rsid w:val="00290EA9"/>
    <w:rsid w:val="00291735"/>
    <w:rsid w:val="0029173A"/>
    <w:rsid w:val="00294D63"/>
    <w:rsid w:val="00295600"/>
    <w:rsid w:val="0029633A"/>
    <w:rsid w:val="0029728A"/>
    <w:rsid w:val="002A34FA"/>
    <w:rsid w:val="002A359D"/>
    <w:rsid w:val="002A3708"/>
    <w:rsid w:val="002A4848"/>
    <w:rsid w:val="002A51C6"/>
    <w:rsid w:val="002A6B34"/>
    <w:rsid w:val="002A6DAB"/>
    <w:rsid w:val="002A70F4"/>
    <w:rsid w:val="002B3687"/>
    <w:rsid w:val="002B7DD0"/>
    <w:rsid w:val="002B7F1F"/>
    <w:rsid w:val="002C1F7C"/>
    <w:rsid w:val="002C38E3"/>
    <w:rsid w:val="002C7942"/>
    <w:rsid w:val="002D3AD3"/>
    <w:rsid w:val="002D7710"/>
    <w:rsid w:val="002E4BA9"/>
    <w:rsid w:val="002E736C"/>
    <w:rsid w:val="002F0F9C"/>
    <w:rsid w:val="002F7637"/>
    <w:rsid w:val="002F7CB8"/>
    <w:rsid w:val="00301392"/>
    <w:rsid w:val="00310046"/>
    <w:rsid w:val="003114C0"/>
    <w:rsid w:val="0031313A"/>
    <w:rsid w:val="00316995"/>
    <w:rsid w:val="00316C85"/>
    <w:rsid w:val="00316E66"/>
    <w:rsid w:val="00322CF3"/>
    <w:rsid w:val="0032304A"/>
    <w:rsid w:val="00323635"/>
    <w:rsid w:val="00323928"/>
    <w:rsid w:val="003242F1"/>
    <w:rsid w:val="00324F2B"/>
    <w:rsid w:val="00326163"/>
    <w:rsid w:val="0032649C"/>
    <w:rsid w:val="00326A88"/>
    <w:rsid w:val="00331828"/>
    <w:rsid w:val="0033388F"/>
    <w:rsid w:val="00337A6F"/>
    <w:rsid w:val="00341371"/>
    <w:rsid w:val="00342A25"/>
    <w:rsid w:val="00342F8A"/>
    <w:rsid w:val="00347F71"/>
    <w:rsid w:val="0035638E"/>
    <w:rsid w:val="00365876"/>
    <w:rsid w:val="003671D6"/>
    <w:rsid w:val="003727C8"/>
    <w:rsid w:val="00372D31"/>
    <w:rsid w:val="00372F37"/>
    <w:rsid w:val="003751BD"/>
    <w:rsid w:val="00376DC0"/>
    <w:rsid w:val="00376F20"/>
    <w:rsid w:val="0038094E"/>
    <w:rsid w:val="00380D48"/>
    <w:rsid w:val="003860FD"/>
    <w:rsid w:val="003A3D42"/>
    <w:rsid w:val="003A5098"/>
    <w:rsid w:val="003B1783"/>
    <w:rsid w:val="003B3C58"/>
    <w:rsid w:val="003B682B"/>
    <w:rsid w:val="003B799E"/>
    <w:rsid w:val="003C04D1"/>
    <w:rsid w:val="003C1E44"/>
    <w:rsid w:val="003C5497"/>
    <w:rsid w:val="003C7D78"/>
    <w:rsid w:val="003D27B8"/>
    <w:rsid w:val="003D50D9"/>
    <w:rsid w:val="003D673B"/>
    <w:rsid w:val="003D68AD"/>
    <w:rsid w:val="003D7FF4"/>
    <w:rsid w:val="003E5042"/>
    <w:rsid w:val="003E5CA9"/>
    <w:rsid w:val="003E7CE1"/>
    <w:rsid w:val="003E7D71"/>
    <w:rsid w:val="003F224F"/>
    <w:rsid w:val="003F2520"/>
    <w:rsid w:val="003F393D"/>
    <w:rsid w:val="003F7CDC"/>
    <w:rsid w:val="0040594D"/>
    <w:rsid w:val="00407330"/>
    <w:rsid w:val="00411902"/>
    <w:rsid w:val="00414C22"/>
    <w:rsid w:val="00415BA0"/>
    <w:rsid w:val="00416528"/>
    <w:rsid w:val="004257A8"/>
    <w:rsid w:val="004333AC"/>
    <w:rsid w:val="00443813"/>
    <w:rsid w:val="004443BD"/>
    <w:rsid w:val="00451811"/>
    <w:rsid w:val="004606AF"/>
    <w:rsid w:val="004648E6"/>
    <w:rsid w:val="0046633C"/>
    <w:rsid w:val="004701E4"/>
    <w:rsid w:val="00471AD0"/>
    <w:rsid w:val="00472AB9"/>
    <w:rsid w:val="00476E9F"/>
    <w:rsid w:val="004832E7"/>
    <w:rsid w:val="004866D6"/>
    <w:rsid w:val="0048678A"/>
    <w:rsid w:val="004875B7"/>
    <w:rsid w:val="00491C3A"/>
    <w:rsid w:val="00492FFA"/>
    <w:rsid w:val="00493DC2"/>
    <w:rsid w:val="004A31C9"/>
    <w:rsid w:val="004A4F0E"/>
    <w:rsid w:val="004A672F"/>
    <w:rsid w:val="004A78D9"/>
    <w:rsid w:val="004B4A6B"/>
    <w:rsid w:val="004B6B8C"/>
    <w:rsid w:val="004B7A6C"/>
    <w:rsid w:val="004C054E"/>
    <w:rsid w:val="004C06DE"/>
    <w:rsid w:val="004C295D"/>
    <w:rsid w:val="004C4B1B"/>
    <w:rsid w:val="004C639A"/>
    <w:rsid w:val="004D12EC"/>
    <w:rsid w:val="004E1496"/>
    <w:rsid w:val="004E72A8"/>
    <w:rsid w:val="004F574A"/>
    <w:rsid w:val="0050218B"/>
    <w:rsid w:val="0050549E"/>
    <w:rsid w:val="005067BD"/>
    <w:rsid w:val="00510D22"/>
    <w:rsid w:val="00514352"/>
    <w:rsid w:val="00517724"/>
    <w:rsid w:val="0052346C"/>
    <w:rsid w:val="00525250"/>
    <w:rsid w:val="00526690"/>
    <w:rsid w:val="00527906"/>
    <w:rsid w:val="00541BC8"/>
    <w:rsid w:val="0054368F"/>
    <w:rsid w:val="00546431"/>
    <w:rsid w:val="00547BC8"/>
    <w:rsid w:val="0055069F"/>
    <w:rsid w:val="00550CA8"/>
    <w:rsid w:val="00551315"/>
    <w:rsid w:val="00554E2F"/>
    <w:rsid w:val="00556EB6"/>
    <w:rsid w:val="00562640"/>
    <w:rsid w:val="00565639"/>
    <w:rsid w:val="00580CB2"/>
    <w:rsid w:val="005827EE"/>
    <w:rsid w:val="0059276C"/>
    <w:rsid w:val="00593D99"/>
    <w:rsid w:val="00594CFC"/>
    <w:rsid w:val="005972B0"/>
    <w:rsid w:val="005A1941"/>
    <w:rsid w:val="005A7A01"/>
    <w:rsid w:val="005B1815"/>
    <w:rsid w:val="005B6DAD"/>
    <w:rsid w:val="005C5356"/>
    <w:rsid w:val="005D1702"/>
    <w:rsid w:val="005D207F"/>
    <w:rsid w:val="005D2A38"/>
    <w:rsid w:val="005D34D2"/>
    <w:rsid w:val="005D450F"/>
    <w:rsid w:val="005D60CB"/>
    <w:rsid w:val="005E648E"/>
    <w:rsid w:val="005E6BDA"/>
    <w:rsid w:val="005E785A"/>
    <w:rsid w:val="005F0F92"/>
    <w:rsid w:val="005F564A"/>
    <w:rsid w:val="006008E7"/>
    <w:rsid w:val="00601A4D"/>
    <w:rsid w:val="0060591A"/>
    <w:rsid w:val="00605B46"/>
    <w:rsid w:val="00606492"/>
    <w:rsid w:val="00607C06"/>
    <w:rsid w:val="00611547"/>
    <w:rsid w:val="006115C5"/>
    <w:rsid w:val="006125A7"/>
    <w:rsid w:val="006128F3"/>
    <w:rsid w:val="00613823"/>
    <w:rsid w:val="00621EF7"/>
    <w:rsid w:val="006239FF"/>
    <w:rsid w:val="00630EE7"/>
    <w:rsid w:val="00635465"/>
    <w:rsid w:val="00643313"/>
    <w:rsid w:val="00645465"/>
    <w:rsid w:val="006500D8"/>
    <w:rsid w:val="006505C2"/>
    <w:rsid w:val="006513A9"/>
    <w:rsid w:val="006537B9"/>
    <w:rsid w:val="00653FA8"/>
    <w:rsid w:val="00655F31"/>
    <w:rsid w:val="00657710"/>
    <w:rsid w:val="00657ABE"/>
    <w:rsid w:val="00660A95"/>
    <w:rsid w:val="006627C7"/>
    <w:rsid w:val="00690720"/>
    <w:rsid w:val="00693767"/>
    <w:rsid w:val="006A15FA"/>
    <w:rsid w:val="006A41D3"/>
    <w:rsid w:val="006A50E7"/>
    <w:rsid w:val="006A6FB3"/>
    <w:rsid w:val="006A7809"/>
    <w:rsid w:val="006B5C2D"/>
    <w:rsid w:val="006C27AF"/>
    <w:rsid w:val="006C4D29"/>
    <w:rsid w:val="006C54CF"/>
    <w:rsid w:val="006C7F17"/>
    <w:rsid w:val="006D2665"/>
    <w:rsid w:val="006D54F7"/>
    <w:rsid w:val="006E0B24"/>
    <w:rsid w:val="006E0D60"/>
    <w:rsid w:val="006E0E18"/>
    <w:rsid w:val="006F2002"/>
    <w:rsid w:val="006F289B"/>
    <w:rsid w:val="006F72F5"/>
    <w:rsid w:val="00702476"/>
    <w:rsid w:val="00702F53"/>
    <w:rsid w:val="0070323A"/>
    <w:rsid w:val="007043FC"/>
    <w:rsid w:val="0070623E"/>
    <w:rsid w:val="0070685B"/>
    <w:rsid w:val="00710C48"/>
    <w:rsid w:val="00716692"/>
    <w:rsid w:val="007245A4"/>
    <w:rsid w:val="00731C2E"/>
    <w:rsid w:val="007338B2"/>
    <w:rsid w:val="007356FA"/>
    <w:rsid w:val="00735BA1"/>
    <w:rsid w:val="00736F67"/>
    <w:rsid w:val="007456D5"/>
    <w:rsid w:val="00745DD7"/>
    <w:rsid w:val="0074779A"/>
    <w:rsid w:val="00754140"/>
    <w:rsid w:val="007638B9"/>
    <w:rsid w:val="0076659B"/>
    <w:rsid w:val="00770A63"/>
    <w:rsid w:val="00771371"/>
    <w:rsid w:val="00773821"/>
    <w:rsid w:val="00773E93"/>
    <w:rsid w:val="00782955"/>
    <w:rsid w:val="00785FA3"/>
    <w:rsid w:val="00793DE3"/>
    <w:rsid w:val="00794F75"/>
    <w:rsid w:val="00795728"/>
    <w:rsid w:val="00797161"/>
    <w:rsid w:val="007A0AB7"/>
    <w:rsid w:val="007A19FB"/>
    <w:rsid w:val="007A479B"/>
    <w:rsid w:val="007B128A"/>
    <w:rsid w:val="007B1551"/>
    <w:rsid w:val="007B3CDC"/>
    <w:rsid w:val="007B42F9"/>
    <w:rsid w:val="007B488C"/>
    <w:rsid w:val="007B7775"/>
    <w:rsid w:val="007B7996"/>
    <w:rsid w:val="007C0B5A"/>
    <w:rsid w:val="007C2BAC"/>
    <w:rsid w:val="007C4C0B"/>
    <w:rsid w:val="007D09C2"/>
    <w:rsid w:val="007D3856"/>
    <w:rsid w:val="007D507A"/>
    <w:rsid w:val="007D6A46"/>
    <w:rsid w:val="007E059B"/>
    <w:rsid w:val="007E380B"/>
    <w:rsid w:val="007E6CCB"/>
    <w:rsid w:val="007E7A18"/>
    <w:rsid w:val="007F0491"/>
    <w:rsid w:val="007F069F"/>
    <w:rsid w:val="007F4B9C"/>
    <w:rsid w:val="007F5A9D"/>
    <w:rsid w:val="008001E8"/>
    <w:rsid w:val="00800FB4"/>
    <w:rsid w:val="00806DC8"/>
    <w:rsid w:val="00812C4E"/>
    <w:rsid w:val="00821FAF"/>
    <w:rsid w:val="008229D9"/>
    <w:rsid w:val="00823714"/>
    <w:rsid w:val="00823848"/>
    <w:rsid w:val="0083402A"/>
    <w:rsid w:val="0083499E"/>
    <w:rsid w:val="0083540B"/>
    <w:rsid w:val="00835873"/>
    <w:rsid w:val="00835FBC"/>
    <w:rsid w:val="0084155F"/>
    <w:rsid w:val="008500E5"/>
    <w:rsid w:val="00853CD0"/>
    <w:rsid w:val="0085750F"/>
    <w:rsid w:val="00874247"/>
    <w:rsid w:val="008766ED"/>
    <w:rsid w:val="008767FF"/>
    <w:rsid w:val="00876FD3"/>
    <w:rsid w:val="00891361"/>
    <w:rsid w:val="00894296"/>
    <w:rsid w:val="00895ECA"/>
    <w:rsid w:val="008A443F"/>
    <w:rsid w:val="008B00A1"/>
    <w:rsid w:val="008B258D"/>
    <w:rsid w:val="008B2F4C"/>
    <w:rsid w:val="008B6951"/>
    <w:rsid w:val="008C1322"/>
    <w:rsid w:val="008C2543"/>
    <w:rsid w:val="008C3E89"/>
    <w:rsid w:val="008C5F47"/>
    <w:rsid w:val="008C652C"/>
    <w:rsid w:val="008C7B3A"/>
    <w:rsid w:val="008D021C"/>
    <w:rsid w:val="008D1072"/>
    <w:rsid w:val="008D2E3A"/>
    <w:rsid w:val="008D63D9"/>
    <w:rsid w:val="008E4FBD"/>
    <w:rsid w:val="008E58B9"/>
    <w:rsid w:val="008F7CA7"/>
    <w:rsid w:val="00907468"/>
    <w:rsid w:val="00910D45"/>
    <w:rsid w:val="00917053"/>
    <w:rsid w:val="0092416D"/>
    <w:rsid w:val="009247B4"/>
    <w:rsid w:val="00925FE5"/>
    <w:rsid w:val="00933597"/>
    <w:rsid w:val="009345E2"/>
    <w:rsid w:val="00936297"/>
    <w:rsid w:val="00940DE0"/>
    <w:rsid w:val="009412D9"/>
    <w:rsid w:val="00941DF6"/>
    <w:rsid w:val="00945EED"/>
    <w:rsid w:val="00946156"/>
    <w:rsid w:val="00946A09"/>
    <w:rsid w:val="00946B10"/>
    <w:rsid w:val="009471DB"/>
    <w:rsid w:val="00951BD6"/>
    <w:rsid w:val="00952210"/>
    <w:rsid w:val="00955A71"/>
    <w:rsid w:val="00956C63"/>
    <w:rsid w:val="009572DC"/>
    <w:rsid w:val="009574EA"/>
    <w:rsid w:val="00961939"/>
    <w:rsid w:val="0096210A"/>
    <w:rsid w:val="0096692B"/>
    <w:rsid w:val="00972114"/>
    <w:rsid w:val="00976DB9"/>
    <w:rsid w:val="00981154"/>
    <w:rsid w:val="00984CFA"/>
    <w:rsid w:val="00986F6A"/>
    <w:rsid w:val="009907B3"/>
    <w:rsid w:val="00990E38"/>
    <w:rsid w:val="00993C81"/>
    <w:rsid w:val="009944BD"/>
    <w:rsid w:val="009972E4"/>
    <w:rsid w:val="00997C39"/>
    <w:rsid w:val="009B4DEC"/>
    <w:rsid w:val="009B67F4"/>
    <w:rsid w:val="009C04C5"/>
    <w:rsid w:val="009C1F79"/>
    <w:rsid w:val="009C5303"/>
    <w:rsid w:val="009D3700"/>
    <w:rsid w:val="009D4CF3"/>
    <w:rsid w:val="009D6FF4"/>
    <w:rsid w:val="009D77A6"/>
    <w:rsid w:val="009E7BD7"/>
    <w:rsid w:val="009F4EDA"/>
    <w:rsid w:val="009F60F5"/>
    <w:rsid w:val="009F6DA8"/>
    <w:rsid w:val="00A0096A"/>
    <w:rsid w:val="00A03501"/>
    <w:rsid w:val="00A042F8"/>
    <w:rsid w:val="00A0612D"/>
    <w:rsid w:val="00A06352"/>
    <w:rsid w:val="00A11E37"/>
    <w:rsid w:val="00A203E2"/>
    <w:rsid w:val="00A247C3"/>
    <w:rsid w:val="00A2560A"/>
    <w:rsid w:val="00A256B5"/>
    <w:rsid w:val="00A268E4"/>
    <w:rsid w:val="00A3172F"/>
    <w:rsid w:val="00A348C3"/>
    <w:rsid w:val="00A364F2"/>
    <w:rsid w:val="00A37DCF"/>
    <w:rsid w:val="00A37F1D"/>
    <w:rsid w:val="00A40C75"/>
    <w:rsid w:val="00A437E1"/>
    <w:rsid w:val="00A43D34"/>
    <w:rsid w:val="00A46CD8"/>
    <w:rsid w:val="00A5081D"/>
    <w:rsid w:val="00A628B6"/>
    <w:rsid w:val="00A630BB"/>
    <w:rsid w:val="00A64522"/>
    <w:rsid w:val="00A75090"/>
    <w:rsid w:val="00A823D4"/>
    <w:rsid w:val="00A84989"/>
    <w:rsid w:val="00A97521"/>
    <w:rsid w:val="00AA0C18"/>
    <w:rsid w:val="00AA114D"/>
    <w:rsid w:val="00AA21CC"/>
    <w:rsid w:val="00AA23EB"/>
    <w:rsid w:val="00AB1065"/>
    <w:rsid w:val="00AB35CD"/>
    <w:rsid w:val="00AB6AB9"/>
    <w:rsid w:val="00AB6C11"/>
    <w:rsid w:val="00AB7938"/>
    <w:rsid w:val="00AC0F11"/>
    <w:rsid w:val="00AC2396"/>
    <w:rsid w:val="00AC5CB2"/>
    <w:rsid w:val="00AC5FD4"/>
    <w:rsid w:val="00AC69F7"/>
    <w:rsid w:val="00AD3FE2"/>
    <w:rsid w:val="00AD71C1"/>
    <w:rsid w:val="00AE68D8"/>
    <w:rsid w:val="00AE73EC"/>
    <w:rsid w:val="00AF1614"/>
    <w:rsid w:val="00AF40B4"/>
    <w:rsid w:val="00AF66AC"/>
    <w:rsid w:val="00B0150F"/>
    <w:rsid w:val="00B028D7"/>
    <w:rsid w:val="00B036B2"/>
    <w:rsid w:val="00B06DA0"/>
    <w:rsid w:val="00B1430D"/>
    <w:rsid w:val="00B15B25"/>
    <w:rsid w:val="00B16740"/>
    <w:rsid w:val="00B24503"/>
    <w:rsid w:val="00B24CF5"/>
    <w:rsid w:val="00B25234"/>
    <w:rsid w:val="00B26D38"/>
    <w:rsid w:val="00B27351"/>
    <w:rsid w:val="00B30045"/>
    <w:rsid w:val="00B33BBD"/>
    <w:rsid w:val="00B5140C"/>
    <w:rsid w:val="00B519D6"/>
    <w:rsid w:val="00B5211D"/>
    <w:rsid w:val="00B563B4"/>
    <w:rsid w:val="00B570B7"/>
    <w:rsid w:val="00B572B3"/>
    <w:rsid w:val="00B57DC5"/>
    <w:rsid w:val="00B627AD"/>
    <w:rsid w:val="00B744EF"/>
    <w:rsid w:val="00B82903"/>
    <w:rsid w:val="00B83258"/>
    <w:rsid w:val="00B8737E"/>
    <w:rsid w:val="00B90866"/>
    <w:rsid w:val="00B9145B"/>
    <w:rsid w:val="00B92F77"/>
    <w:rsid w:val="00B93380"/>
    <w:rsid w:val="00B9567F"/>
    <w:rsid w:val="00B97FD1"/>
    <w:rsid w:val="00BA0093"/>
    <w:rsid w:val="00BA11B6"/>
    <w:rsid w:val="00BA2BD4"/>
    <w:rsid w:val="00BA6B34"/>
    <w:rsid w:val="00BB094E"/>
    <w:rsid w:val="00BB2970"/>
    <w:rsid w:val="00BB3009"/>
    <w:rsid w:val="00BB375F"/>
    <w:rsid w:val="00BB5847"/>
    <w:rsid w:val="00BB60FC"/>
    <w:rsid w:val="00BB63BD"/>
    <w:rsid w:val="00BB69D8"/>
    <w:rsid w:val="00BD000F"/>
    <w:rsid w:val="00BD061A"/>
    <w:rsid w:val="00BD1769"/>
    <w:rsid w:val="00BD18CD"/>
    <w:rsid w:val="00BD1C31"/>
    <w:rsid w:val="00BD1F88"/>
    <w:rsid w:val="00BD34DC"/>
    <w:rsid w:val="00BD50FA"/>
    <w:rsid w:val="00BD5485"/>
    <w:rsid w:val="00BD63BC"/>
    <w:rsid w:val="00BE1737"/>
    <w:rsid w:val="00BE2B02"/>
    <w:rsid w:val="00BE4320"/>
    <w:rsid w:val="00BE4D4A"/>
    <w:rsid w:val="00BE50AA"/>
    <w:rsid w:val="00BF0BA2"/>
    <w:rsid w:val="00BF11D4"/>
    <w:rsid w:val="00BF1E3B"/>
    <w:rsid w:val="00BF27A8"/>
    <w:rsid w:val="00BF362B"/>
    <w:rsid w:val="00BF395C"/>
    <w:rsid w:val="00BF5BD1"/>
    <w:rsid w:val="00C075AC"/>
    <w:rsid w:val="00C07BB8"/>
    <w:rsid w:val="00C100E2"/>
    <w:rsid w:val="00C12FED"/>
    <w:rsid w:val="00C16BEA"/>
    <w:rsid w:val="00C22F71"/>
    <w:rsid w:val="00C25353"/>
    <w:rsid w:val="00C43105"/>
    <w:rsid w:val="00C432EF"/>
    <w:rsid w:val="00C43AC8"/>
    <w:rsid w:val="00C518F3"/>
    <w:rsid w:val="00C52997"/>
    <w:rsid w:val="00C53F93"/>
    <w:rsid w:val="00C5478B"/>
    <w:rsid w:val="00C57707"/>
    <w:rsid w:val="00C57D57"/>
    <w:rsid w:val="00C66204"/>
    <w:rsid w:val="00C73A95"/>
    <w:rsid w:val="00C7612D"/>
    <w:rsid w:val="00C871DB"/>
    <w:rsid w:val="00C926B9"/>
    <w:rsid w:val="00C92B00"/>
    <w:rsid w:val="00CA2ADD"/>
    <w:rsid w:val="00CA2C41"/>
    <w:rsid w:val="00CA5F63"/>
    <w:rsid w:val="00CA620D"/>
    <w:rsid w:val="00CB1329"/>
    <w:rsid w:val="00CB21E9"/>
    <w:rsid w:val="00CB7095"/>
    <w:rsid w:val="00CC56E0"/>
    <w:rsid w:val="00CD0044"/>
    <w:rsid w:val="00CD2207"/>
    <w:rsid w:val="00CD56D9"/>
    <w:rsid w:val="00CD65B4"/>
    <w:rsid w:val="00CE008F"/>
    <w:rsid w:val="00CE0B1B"/>
    <w:rsid w:val="00CE2210"/>
    <w:rsid w:val="00CE2EBE"/>
    <w:rsid w:val="00CE722C"/>
    <w:rsid w:val="00CE73A4"/>
    <w:rsid w:val="00CF0609"/>
    <w:rsid w:val="00CF0827"/>
    <w:rsid w:val="00CF4ECE"/>
    <w:rsid w:val="00CF5B71"/>
    <w:rsid w:val="00D133F8"/>
    <w:rsid w:val="00D245A0"/>
    <w:rsid w:val="00D312E7"/>
    <w:rsid w:val="00D32F3A"/>
    <w:rsid w:val="00D32FA1"/>
    <w:rsid w:val="00D35604"/>
    <w:rsid w:val="00D37743"/>
    <w:rsid w:val="00D40564"/>
    <w:rsid w:val="00D41E52"/>
    <w:rsid w:val="00D42643"/>
    <w:rsid w:val="00D45B72"/>
    <w:rsid w:val="00D5289C"/>
    <w:rsid w:val="00D53D63"/>
    <w:rsid w:val="00D54E26"/>
    <w:rsid w:val="00D54E91"/>
    <w:rsid w:val="00D604EE"/>
    <w:rsid w:val="00D610B7"/>
    <w:rsid w:val="00D62164"/>
    <w:rsid w:val="00D63C88"/>
    <w:rsid w:val="00D64DF5"/>
    <w:rsid w:val="00D65180"/>
    <w:rsid w:val="00D655D9"/>
    <w:rsid w:val="00D71233"/>
    <w:rsid w:val="00D72CE8"/>
    <w:rsid w:val="00D733AE"/>
    <w:rsid w:val="00D737BD"/>
    <w:rsid w:val="00D73FEA"/>
    <w:rsid w:val="00D75313"/>
    <w:rsid w:val="00D7705C"/>
    <w:rsid w:val="00D820FF"/>
    <w:rsid w:val="00D8540E"/>
    <w:rsid w:val="00D91793"/>
    <w:rsid w:val="00D92DF2"/>
    <w:rsid w:val="00D95A11"/>
    <w:rsid w:val="00D963B1"/>
    <w:rsid w:val="00DA09C6"/>
    <w:rsid w:val="00DA3F20"/>
    <w:rsid w:val="00DA6376"/>
    <w:rsid w:val="00DB7A19"/>
    <w:rsid w:val="00DC24C5"/>
    <w:rsid w:val="00DC2B9E"/>
    <w:rsid w:val="00DC618F"/>
    <w:rsid w:val="00DC69F9"/>
    <w:rsid w:val="00DD1321"/>
    <w:rsid w:val="00DD3618"/>
    <w:rsid w:val="00DD3877"/>
    <w:rsid w:val="00DD51DC"/>
    <w:rsid w:val="00DD64BB"/>
    <w:rsid w:val="00DE09D3"/>
    <w:rsid w:val="00DE0C94"/>
    <w:rsid w:val="00DE2C36"/>
    <w:rsid w:val="00DF21B9"/>
    <w:rsid w:val="00DF2A49"/>
    <w:rsid w:val="00DF2C3C"/>
    <w:rsid w:val="00DF74D0"/>
    <w:rsid w:val="00E04C5D"/>
    <w:rsid w:val="00E0764A"/>
    <w:rsid w:val="00E1183A"/>
    <w:rsid w:val="00E12AB0"/>
    <w:rsid w:val="00E15F76"/>
    <w:rsid w:val="00E26494"/>
    <w:rsid w:val="00E2759D"/>
    <w:rsid w:val="00E32C7D"/>
    <w:rsid w:val="00E41067"/>
    <w:rsid w:val="00E41B42"/>
    <w:rsid w:val="00E44BD1"/>
    <w:rsid w:val="00E44CCC"/>
    <w:rsid w:val="00E46351"/>
    <w:rsid w:val="00E47FC8"/>
    <w:rsid w:val="00E55C67"/>
    <w:rsid w:val="00E61A7F"/>
    <w:rsid w:val="00E663F8"/>
    <w:rsid w:val="00E71B1B"/>
    <w:rsid w:val="00E71F4F"/>
    <w:rsid w:val="00E74792"/>
    <w:rsid w:val="00E8142B"/>
    <w:rsid w:val="00E81660"/>
    <w:rsid w:val="00E82151"/>
    <w:rsid w:val="00E8380A"/>
    <w:rsid w:val="00E86C40"/>
    <w:rsid w:val="00E9254E"/>
    <w:rsid w:val="00E92C13"/>
    <w:rsid w:val="00E92CB7"/>
    <w:rsid w:val="00E93884"/>
    <w:rsid w:val="00E93E49"/>
    <w:rsid w:val="00EA09A0"/>
    <w:rsid w:val="00EA140C"/>
    <w:rsid w:val="00EA1A47"/>
    <w:rsid w:val="00EA73F6"/>
    <w:rsid w:val="00EB38A1"/>
    <w:rsid w:val="00EB58A6"/>
    <w:rsid w:val="00EB6550"/>
    <w:rsid w:val="00EB68CE"/>
    <w:rsid w:val="00EC56B8"/>
    <w:rsid w:val="00ED6998"/>
    <w:rsid w:val="00ED7C3B"/>
    <w:rsid w:val="00EE1975"/>
    <w:rsid w:val="00EE3647"/>
    <w:rsid w:val="00EE5704"/>
    <w:rsid w:val="00EE5F2D"/>
    <w:rsid w:val="00EE69C6"/>
    <w:rsid w:val="00EE7BE1"/>
    <w:rsid w:val="00EF017E"/>
    <w:rsid w:val="00EF0AB5"/>
    <w:rsid w:val="00EF4FB7"/>
    <w:rsid w:val="00F05BF7"/>
    <w:rsid w:val="00F07036"/>
    <w:rsid w:val="00F076B5"/>
    <w:rsid w:val="00F122A5"/>
    <w:rsid w:val="00F14014"/>
    <w:rsid w:val="00F15C5D"/>
    <w:rsid w:val="00F15C6D"/>
    <w:rsid w:val="00F162CF"/>
    <w:rsid w:val="00F167E8"/>
    <w:rsid w:val="00F24317"/>
    <w:rsid w:val="00F27D3C"/>
    <w:rsid w:val="00F30B88"/>
    <w:rsid w:val="00F30CA8"/>
    <w:rsid w:val="00F317FE"/>
    <w:rsid w:val="00F31EB8"/>
    <w:rsid w:val="00F32B0C"/>
    <w:rsid w:val="00F357A4"/>
    <w:rsid w:val="00F44F8F"/>
    <w:rsid w:val="00F45EED"/>
    <w:rsid w:val="00F47CDD"/>
    <w:rsid w:val="00F52B60"/>
    <w:rsid w:val="00F53A09"/>
    <w:rsid w:val="00F61263"/>
    <w:rsid w:val="00F67BEE"/>
    <w:rsid w:val="00F7039A"/>
    <w:rsid w:val="00F84CC7"/>
    <w:rsid w:val="00F94F4E"/>
    <w:rsid w:val="00F973EC"/>
    <w:rsid w:val="00FA1236"/>
    <w:rsid w:val="00FA1E75"/>
    <w:rsid w:val="00FA2D0B"/>
    <w:rsid w:val="00FA4A20"/>
    <w:rsid w:val="00FC4A9C"/>
    <w:rsid w:val="00FC6B79"/>
    <w:rsid w:val="00FE3F81"/>
    <w:rsid w:val="00FE3F97"/>
    <w:rsid w:val="00FE455D"/>
    <w:rsid w:val="00FF0F1E"/>
    <w:rsid w:val="00FF2A54"/>
    <w:rsid w:val="00FF3559"/>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character" w:styleId="FootnoteReference">
    <w:name w:val="footnote reference"/>
    <w:uiPriority w:val="99"/>
    <w:rsid w:val="00BE4320"/>
    <w:rPr>
      <w:vertAlign w:val="superscript"/>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
    <w:basedOn w:val="Normal"/>
    <w:link w:val="ListParagraphChar"/>
    <w:uiPriority w:val="34"/>
    <w:qFormat/>
    <w:rsid w:val="00DC69F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C56B8"/>
    <w:pPr>
      <w:spacing w:before="100" w:beforeAutospacing="1" w:after="100" w:afterAutospacing="1"/>
    </w:pPr>
    <w:rPr>
      <w:lang w:eastAsia="en-US"/>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link w:val="ListParagraph"/>
    <w:uiPriority w:val="34"/>
    <w:qFormat/>
    <w:locked/>
    <w:rsid w:val="0029633A"/>
  </w:style>
  <w:style w:type="character" w:styleId="CommentReference">
    <w:name w:val="annotation reference"/>
    <w:basedOn w:val="DefaultParagraphFont"/>
    <w:uiPriority w:val="99"/>
    <w:semiHidden/>
    <w:unhideWhenUsed/>
    <w:rsid w:val="00795728"/>
    <w:rPr>
      <w:sz w:val="16"/>
      <w:szCs w:val="16"/>
    </w:rPr>
  </w:style>
  <w:style w:type="paragraph" w:styleId="CommentText">
    <w:name w:val="annotation text"/>
    <w:basedOn w:val="Normal"/>
    <w:link w:val="CommentTextChar"/>
    <w:uiPriority w:val="99"/>
    <w:unhideWhenUsed/>
    <w:rsid w:val="007043FC"/>
    <w:rPr>
      <w:sz w:val="20"/>
      <w:szCs w:val="20"/>
    </w:rPr>
  </w:style>
  <w:style w:type="character" w:customStyle="1" w:styleId="CommentTextChar">
    <w:name w:val="Comment Text Char"/>
    <w:basedOn w:val="DefaultParagraphFont"/>
    <w:link w:val="CommentText"/>
    <w:uiPriority w:val="99"/>
    <w:rsid w:val="007043F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5728"/>
    <w:rPr>
      <w:b/>
      <w:bCs/>
    </w:rPr>
  </w:style>
  <w:style w:type="character" w:customStyle="1" w:styleId="CommentSubjectChar">
    <w:name w:val="Comment Subject Char"/>
    <w:basedOn w:val="CommentTextChar"/>
    <w:link w:val="CommentSubject"/>
    <w:uiPriority w:val="99"/>
    <w:semiHidden/>
    <w:rsid w:val="00795728"/>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993C81"/>
    <w:pPr>
      <w:tabs>
        <w:tab w:val="center" w:pos="4680"/>
        <w:tab w:val="right" w:pos="9360"/>
      </w:tabs>
    </w:pPr>
  </w:style>
  <w:style w:type="character" w:customStyle="1" w:styleId="HeaderChar">
    <w:name w:val="Header Char"/>
    <w:basedOn w:val="DefaultParagraphFont"/>
    <w:link w:val="Header"/>
    <w:uiPriority w:val="99"/>
    <w:rsid w:val="00993C81"/>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93C81"/>
    <w:pPr>
      <w:tabs>
        <w:tab w:val="center" w:pos="4680"/>
        <w:tab w:val="right" w:pos="9360"/>
      </w:tabs>
    </w:pPr>
  </w:style>
  <w:style w:type="character" w:customStyle="1" w:styleId="FooterChar">
    <w:name w:val="Footer Char"/>
    <w:basedOn w:val="DefaultParagraphFont"/>
    <w:link w:val="Footer"/>
    <w:uiPriority w:val="99"/>
    <w:rsid w:val="00993C8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1183A"/>
    <w:rPr>
      <w:rFonts w:ascii="Tahoma" w:hAnsi="Tahoma" w:cs="Tahoma"/>
      <w:sz w:val="16"/>
      <w:szCs w:val="16"/>
    </w:rPr>
  </w:style>
  <w:style w:type="character" w:customStyle="1" w:styleId="BalloonTextChar">
    <w:name w:val="Balloon Text Char"/>
    <w:basedOn w:val="DefaultParagraphFont"/>
    <w:link w:val="BalloonText"/>
    <w:uiPriority w:val="99"/>
    <w:semiHidden/>
    <w:rsid w:val="00E1183A"/>
    <w:rPr>
      <w:rFonts w:ascii="Tahoma" w:eastAsia="Times New Roman" w:hAnsi="Tahoma" w:cs="Tahoma"/>
      <w:sz w:val="16"/>
      <w:szCs w:val="16"/>
      <w:lang w:eastAsia="hr-HR"/>
    </w:rPr>
  </w:style>
  <w:style w:type="character" w:customStyle="1" w:styleId="UnresolvedMention1">
    <w:name w:val="Unresolved Mention1"/>
    <w:basedOn w:val="DefaultParagraphFont"/>
    <w:uiPriority w:val="99"/>
    <w:semiHidden/>
    <w:unhideWhenUsed/>
    <w:rsid w:val="001717E7"/>
    <w:rPr>
      <w:color w:val="605E5C"/>
      <w:shd w:val="clear" w:color="auto" w:fill="E1DFDD"/>
    </w:rPr>
  </w:style>
  <w:style w:type="paragraph" w:styleId="Revision">
    <w:name w:val="Revision"/>
    <w:hidden/>
    <w:uiPriority w:val="99"/>
    <w:semiHidden/>
    <w:rsid w:val="002B7DD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429">
      <w:bodyDiv w:val="1"/>
      <w:marLeft w:val="0"/>
      <w:marRight w:val="0"/>
      <w:marTop w:val="0"/>
      <w:marBottom w:val="0"/>
      <w:divBdr>
        <w:top w:val="none" w:sz="0" w:space="0" w:color="auto"/>
        <w:left w:val="none" w:sz="0" w:space="0" w:color="auto"/>
        <w:bottom w:val="none" w:sz="0" w:space="0" w:color="auto"/>
        <w:right w:val="none" w:sz="0" w:space="0" w:color="auto"/>
      </w:divBdr>
      <w:divsChild>
        <w:div w:id="1455099328">
          <w:marLeft w:val="0"/>
          <w:marRight w:val="0"/>
          <w:marTop w:val="0"/>
          <w:marBottom w:val="0"/>
          <w:divBdr>
            <w:top w:val="none" w:sz="0" w:space="0" w:color="auto"/>
            <w:left w:val="none" w:sz="0" w:space="0" w:color="auto"/>
            <w:bottom w:val="none" w:sz="0" w:space="0" w:color="auto"/>
            <w:right w:val="none" w:sz="0" w:space="0" w:color="auto"/>
          </w:divBdr>
        </w:div>
        <w:div w:id="135997564">
          <w:marLeft w:val="0"/>
          <w:marRight w:val="0"/>
          <w:marTop w:val="0"/>
          <w:marBottom w:val="0"/>
          <w:divBdr>
            <w:top w:val="none" w:sz="0" w:space="0" w:color="auto"/>
            <w:left w:val="none" w:sz="0" w:space="0" w:color="auto"/>
            <w:bottom w:val="none" w:sz="0" w:space="0" w:color="auto"/>
            <w:right w:val="none" w:sz="0" w:space="0" w:color="auto"/>
          </w:divBdr>
        </w:div>
        <w:div w:id="1081877290">
          <w:marLeft w:val="0"/>
          <w:marRight w:val="0"/>
          <w:marTop w:val="0"/>
          <w:marBottom w:val="0"/>
          <w:divBdr>
            <w:top w:val="none" w:sz="0" w:space="0" w:color="auto"/>
            <w:left w:val="none" w:sz="0" w:space="0" w:color="auto"/>
            <w:bottom w:val="none" w:sz="0" w:space="0" w:color="auto"/>
            <w:right w:val="none" w:sz="0" w:space="0" w:color="auto"/>
          </w:divBdr>
        </w:div>
        <w:div w:id="75632815">
          <w:marLeft w:val="0"/>
          <w:marRight w:val="0"/>
          <w:marTop w:val="0"/>
          <w:marBottom w:val="0"/>
          <w:divBdr>
            <w:top w:val="none" w:sz="0" w:space="0" w:color="auto"/>
            <w:left w:val="none" w:sz="0" w:space="0" w:color="auto"/>
            <w:bottom w:val="none" w:sz="0" w:space="0" w:color="auto"/>
            <w:right w:val="none" w:sz="0" w:space="0" w:color="auto"/>
          </w:divBdr>
        </w:div>
      </w:divsChild>
    </w:div>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948194359">
      <w:bodyDiv w:val="1"/>
      <w:marLeft w:val="0"/>
      <w:marRight w:val="0"/>
      <w:marTop w:val="0"/>
      <w:marBottom w:val="0"/>
      <w:divBdr>
        <w:top w:val="none" w:sz="0" w:space="0" w:color="auto"/>
        <w:left w:val="none" w:sz="0" w:space="0" w:color="auto"/>
        <w:bottom w:val="none" w:sz="0" w:space="0" w:color="auto"/>
        <w:right w:val="none" w:sz="0" w:space="0" w:color="auto"/>
      </w:divBdr>
    </w:div>
    <w:div w:id="1064790520">
      <w:bodyDiv w:val="1"/>
      <w:marLeft w:val="0"/>
      <w:marRight w:val="0"/>
      <w:marTop w:val="0"/>
      <w:marBottom w:val="0"/>
      <w:divBdr>
        <w:top w:val="none" w:sz="0" w:space="0" w:color="auto"/>
        <w:left w:val="none" w:sz="0" w:space="0" w:color="auto"/>
        <w:bottom w:val="none" w:sz="0" w:space="0" w:color="auto"/>
        <w:right w:val="none" w:sz="0" w:space="0" w:color="auto"/>
      </w:divBdr>
    </w:div>
    <w:div w:id="1152794844">
      <w:bodyDiv w:val="1"/>
      <w:marLeft w:val="0"/>
      <w:marRight w:val="0"/>
      <w:marTop w:val="0"/>
      <w:marBottom w:val="0"/>
      <w:divBdr>
        <w:top w:val="none" w:sz="0" w:space="0" w:color="auto"/>
        <w:left w:val="none" w:sz="0" w:space="0" w:color="auto"/>
        <w:bottom w:val="none" w:sz="0" w:space="0" w:color="auto"/>
        <w:right w:val="none" w:sz="0" w:space="0" w:color="auto"/>
      </w:divBdr>
    </w:div>
    <w:div w:id="1443450156">
      <w:bodyDiv w:val="1"/>
      <w:marLeft w:val="0"/>
      <w:marRight w:val="0"/>
      <w:marTop w:val="0"/>
      <w:marBottom w:val="0"/>
      <w:divBdr>
        <w:top w:val="none" w:sz="0" w:space="0" w:color="auto"/>
        <w:left w:val="none" w:sz="0" w:space="0" w:color="auto"/>
        <w:bottom w:val="none" w:sz="0" w:space="0" w:color="auto"/>
        <w:right w:val="none" w:sz="0" w:space="0" w:color="auto"/>
      </w:divBdr>
    </w:div>
    <w:div w:id="1445227868">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5310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48960">
          <w:marLeft w:val="0"/>
          <w:marRight w:val="0"/>
          <w:marTop w:val="0"/>
          <w:marBottom w:val="0"/>
          <w:divBdr>
            <w:top w:val="none" w:sz="0" w:space="0" w:color="auto"/>
            <w:left w:val="none" w:sz="0" w:space="0" w:color="auto"/>
            <w:bottom w:val="none" w:sz="0" w:space="0" w:color="auto"/>
            <w:right w:val="none" w:sz="0" w:space="0" w:color="auto"/>
          </w:divBdr>
        </w:div>
        <w:div w:id="1969505318">
          <w:marLeft w:val="0"/>
          <w:marRight w:val="0"/>
          <w:marTop w:val="0"/>
          <w:marBottom w:val="0"/>
          <w:divBdr>
            <w:top w:val="none" w:sz="0" w:space="0" w:color="auto"/>
            <w:left w:val="none" w:sz="0" w:space="0" w:color="auto"/>
            <w:bottom w:val="none" w:sz="0" w:space="0" w:color="auto"/>
            <w:right w:val="none" w:sz="0" w:space="0" w:color="auto"/>
          </w:divBdr>
        </w:div>
        <w:div w:id="175702092">
          <w:marLeft w:val="0"/>
          <w:marRight w:val="0"/>
          <w:marTop w:val="0"/>
          <w:marBottom w:val="0"/>
          <w:divBdr>
            <w:top w:val="none" w:sz="0" w:space="0" w:color="auto"/>
            <w:left w:val="none" w:sz="0" w:space="0" w:color="auto"/>
            <w:bottom w:val="none" w:sz="0" w:space="0" w:color="auto"/>
            <w:right w:val="none" w:sz="0" w:space="0" w:color="auto"/>
          </w:divBdr>
        </w:div>
        <w:div w:id="1941335334">
          <w:marLeft w:val="0"/>
          <w:marRight w:val="0"/>
          <w:marTop w:val="0"/>
          <w:marBottom w:val="0"/>
          <w:divBdr>
            <w:top w:val="none" w:sz="0" w:space="0" w:color="auto"/>
            <w:left w:val="none" w:sz="0" w:space="0" w:color="auto"/>
            <w:bottom w:val="none" w:sz="0" w:space="0" w:color="auto"/>
            <w:right w:val="none" w:sz="0" w:space="0" w:color="auto"/>
          </w:divBdr>
        </w:div>
      </w:divsChild>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t.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A42F-FCE2-48CE-85B0-CD3518CF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9846</Characters>
  <Application>Microsoft Office Word</Application>
  <DocSecurity>0</DocSecurity>
  <Lines>393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2025-11-28T15:20:00Z</dcterms:created>
  <dcterms:modified xsi:type="dcterms:W3CDTF">2025-12-01T20:33:00Z</dcterms:modified>
</cp:coreProperties>
</file>