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14"/>
        <w:gridCol w:w="2399"/>
        <w:gridCol w:w="2399"/>
        <w:gridCol w:w="2399"/>
        <w:gridCol w:w="2399"/>
        <w:gridCol w:w="2405"/>
      </w:tblGrid>
      <w:tr w:rsidR="00DD38AD" w:rsidRPr="0047739C" w14:paraId="62832E31" w14:textId="77777777" w:rsidTr="0047739C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266096BA" w14:textId="77777777" w:rsidR="00DD38AD" w:rsidRPr="0047739C" w:rsidRDefault="0050007F" w:rsidP="009A7B4C">
            <w:pPr>
              <w:pStyle w:val="Heading1"/>
              <w:spacing w:before="0" w:line="240" w:lineRule="auto"/>
              <w:jc w:val="center"/>
              <w:rPr>
                <w:lang w:val="mk-MK"/>
              </w:rPr>
            </w:pPr>
            <w:r w:rsidRPr="0050007F">
              <w:rPr>
                <w:lang w:val="mk-MK"/>
              </w:rPr>
              <w:t xml:space="preserve">Ortam </w:t>
            </w:r>
            <w:r w:rsidR="009A7B4C">
              <w:rPr>
                <w:lang w:val="tr-TR"/>
              </w:rPr>
              <w:t>H</w:t>
            </w:r>
            <w:r w:rsidR="009A7B4C">
              <w:rPr>
                <w:lang w:val="mk-MK"/>
              </w:rPr>
              <w:t xml:space="preserve">ava </w:t>
            </w:r>
            <w:r w:rsidR="009A7B4C">
              <w:rPr>
                <w:lang w:val="tr-TR"/>
              </w:rPr>
              <w:t>K</w:t>
            </w:r>
            <w:r w:rsidR="009A7B4C">
              <w:rPr>
                <w:lang w:val="mk-MK"/>
              </w:rPr>
              <w:t xml:space="preserve">irliliğiyle </w:t>
            </w:r>
            <w:r w:rsidR="009A7B4C">
              <w:rPr>
                <w:lang w:val="tr-TR"/>
              </w:rPr>
              <w:t>B</w:t>
            </w:r>
            <w:r w:rsidR="009A7B4C">
              <w:rPr>
                <w:lang w:val="mk-MK"/>
              </w:rPr>
              <w:t xml:space="preserve">aşa </w:t>
            </w:r>
            <w:r w:rsidR="009A7B4C">
              <w:rPr>
                <w:lang w:val="tr-TR"/>
              </w:rPr>
              <w:t>Ç</w:t>
            </w:r>
            <w:r w:rsidR="009A7B4C">
              <w:rPr>
                <w:lang w:val="mk-MK"/>
              </w:rPr>
              <w:t xml:space="preserve">ıkmaya </w:t>
            </w:r>
            <w:r w:rsidR="009A7B4C">
              <w:rPr>
                <w:lang w:val="tr-TR"/>
              </w:rPr>
              <w:t>Y</w:t>
            </w:r>
            <w:r w:rsidR="009A7B4C">
              <w:rPr>
                <w:lang w:val="mk-MK"/>
              </w:rPr>
              <w:t xml:space="preserve">önelik </w:t>
            </w:r>
            <w:r w:rsidR="009A7B4C">
              <w:rPr>
                <w:lang w:val="tr-TR"/>
              </w:rPr>
              <w:t>Ö</w:t>
            </w:r>
            <w:r w:rsidRPr="0050007F">
              <w:rPr>
                <w:lang w:val="mk-MK"/>
              </w:rPr>
              <w:t>neriler</w:t>
            </w:r>
          </w:p>
        </w:tc>
      </w:tr>
      <w:tr w:rsidR="00DD38AD" w:rsidRPr="0047739C" w14:paraId="47E7CFB6" w14:textId="77777777" w:rsidTr="0047739C">
        <w:trPr>
          <w:trHeight w:val="718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F7FC"/>
            <w:vAlign w:val="center"/>
          </w:tcPr>
          <w:p w14:paraId="5D8FF8B9" w14:textId="77777777" w:rsidR="00DD38AD" w:rsidRPr="0047739C" w:rsidRDefault="0050007F" w:rsidP="0047739C">
            <w:pPr>
              <w:spacing w:after="0" w:line="240" w:lineRule="auto"/>
              <w:rPr>
                <w:b/>
                <w:bCs/>
                <w:sz w:val="20"/>
                <w:szCs w:val="20"/>
                <w:lang w:val="mk-MK"/>
              </w:rPr>
            </w:pPr>
            <w:r w:rsidRPr="0050007F">
              <w:rPr>
                <w:b/>
                <w:bCs/>
                <w:sz w:val="20"/>
                <w:szCs w:val="20"/>
                <w:lang w:val="mk-MK"/>
              </w:rPr>
              <w:t>Hava kirliliği nedir ve neden zararlıdır?</w:t>
            </w:r>
          </w:p>
        </w:tc>
        <w:tc>
          <w:tcPr>
            <w:tcW w:w="4172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745B2C3" w14:textId="000D8BFB" w:rsidR="00DD38AD" w:rsidRPr="00AD281B" w:rsidRDefault="00AD281B" w:rsidP="005000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Soluduğumuz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hava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bazen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çıplak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gözle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görülemeyecek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kadar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küçük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partiküllerin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yüksek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konsantrasyonu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nedeniyle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kirlenebilir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. Bu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partiküller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solunduğunda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akciğerlerin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derinliklerine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kadar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ulaşabilir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kan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dolaşımına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girerek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vücudun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tüm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doku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organlarına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taşınabilir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. Bu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tür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hava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kirliliği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ülkemizdeki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çocuklar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için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büyük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çevresel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sağlık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risklerinden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81B">
              <w:rPr>
                <w:rFonts w:ascii="Arial" w:hAnsi="Arial" w:cs="Arial"/>
                <w:sz w:val="20"/>
                <w:szCs w:val="20"/>
              </w:rPr>
              <w:t>biridir</w:t>
            </w:r>
            <w:proofErr w:type="spellEnd"/>
            <w:r w:rsidRPr="00AD28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D38AD" w:rsidRPr="0047739C" w14:paraId="2883D865" w14:textId="77777777" w:rsidTr="0047739C">
        <w:trPr>
          <w:trHeight w:val="1142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</w:tcPr>
          <w:p w14:paraId="2318501C" w14:textId="77777777" w:rsidR="00DD38AD" w:rsidRPr="0047739C" w:rsidRDefault="0050007F" w:rsidP="0047739C">
            <w:pPr>
              <w:pStyle w:val="Heading2"/>
              <w:spacing w:before="0" w:line="240" w:lineRule="auto"/>
              <w:jc w:val="center"/>
              <w:rPr>
                <w:lang w:val="mk-MK"/>
              </w:rPr>
            </w:pPr>
            <w:r w:rsidRPr="0050007F">
              <w:rPr>
                <w:sz w:val="28"/>
                <w:szCs w:val="28"/>
                <w:lang w:val="mk-MK"/>
              </w:rPr>
              <w:t>Hava kalitesini nasıl ölçüyoruz?</w:t>
            </w:r>
          </w:p>
          <w:p w14:paraId="76C61796" w14:textId="637A8053" w:rsidR="00DD38AD" w:rsidRPr="0047739C" w:rsidRDefault="00D3031B" w:rsidP="0047739C">
            <w:pPr>
              <w:spacing w:after="0" w:line="240" w:lineRule="auto"/>
              <w:jc w:val="both"/>
              <w:rPr>
                <w:lang w:val="mk-MK"/>
              </w:rPr>
            </w:pPr>
            <w:proofErr w:type="spellStart"/>
            <w:r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Çevre</w:t>
            </w:r>
            <w:proofErr w:type="spellEnd"/>
            <w:r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031B">
              <w:rPr>
                <w:rFonts w:ascii="Arial" w:hAnsi="Arial" w:cs="Arial"/>
                <w:sz w:val="20"/>
                <w:szCs w:val="20"/>
              </w:rPr>
              <w:t>Mekânsal</w:t>
            </w:r>
            <w:proofErr w:type="spellEnd"/>
            <w:r w:rsidR="00467E87" w:rsidRPr="00D3031B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Planlama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Bakanlığı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ülke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genelinde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hava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kalitesini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izlemek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amacıyla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22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adet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ölçüm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ista</w:t>
            </w:r>
            <w:r w:rsidR="00903959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syonu</w:t>
            </w:r>
            <w:proofErr w:type="spellEnd"/>
            <w:r w:rsidR="00903959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903959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kurmuştur</w:t>
            </w:r>
            <w:proofErr w:type="spellEnd"/>
            <w:r w:rsidR="00903959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. Bu </w:t>
            </w:r>
            <w:proofErr w:type="spellStart"/>
            <w:r w:rsidR="00903959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istasyonlar</w:t>
            </w:r>
            <w:proofErr w:type="spellEnd"/>
            <w:r w:rsidR="00903959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,</w:t>
            </w:r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konum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doğruluk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bakım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açısından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sıkı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standartlara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uygun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olarak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çalışmakta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düzenli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bakım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kalibrasyon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ile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veri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güvenilirliği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sağlanmaktadır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Ölçüm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v</w:t>
            </w:r>
            <w:r w:rsid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erilerine</w:t>
            </w:r>
            <w:proofErr w:type="spellEnd"/>
            <w:r w:rsid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Bakanlığın</w:t>
            </w:r>
            <w:proofErr w:type="spellEnd"/>
            <w:r w:rsid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web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sitesi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üzerinden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erişilebilmektedir</w:t>
            </w:r>
            <w:proofErr w:type="spellEnd"/>
            <w:r w:rsidR="00467E87" w:rsidRPr="00467E87">
              <w:rPr>
                <w:rFonts w:ascii="Arial" w:hAnsi="Arial" w:cs="Arial"/>
                <w:color w:val="0F1115"/>
                <w:sz w:val="20"/>
                <w:szCs w:val="20"/>
                <w:shd w:val="clear" w:color="auto" w:fill="FFFFFF"/>
              </w:rPr>
              <w:t>:</w:t>
            </w:r>
            <w:r w:rsidR="00467E87"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hyperlink r:id="rId10" w:history="1">
              <w:r w:rsidR="00D91082" w:rsidRPr="00D91082">
                <w:rPr>
                  <w:rStyle w:val="Hyperlink"/>
                  <w:sz w:val="20"/>
                  <w:szCs w:val="20"/>
                </w:rPr>
                <w:t>https://air.moepp.gov.mk/</w:t>
              </w:r>
            </w:hyperlink>
            <w:r w:rsidR="00D91082" w:rsidRPr="00D91082">
              <w:rPr>
                <w:sz w:val="20"/>
                <w:szCs w:val="20"/>
              </w:rPr>
              <w:t xml:space="preserve"> </w:t>
            </w:r>
          </w:p>
        </w:tc>
      </w:tr>
      <w:tr w:rsidR="00DD048A" w:rsidRPr="0047739C" w14:paraId="65D38390" w14:textId="77777777" w:rsidTr="0047739C">
        <w:trPr>
          <w:trHeight w:val="839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65115AC1" w14:textId="6930D544" w:rsidR="00DD048A" w:rsidRPr="00467E87" w:rsidRDefault="00467E87" w:rsidP="001D5BC2">
            <w:pPr>
              <w:pStyle w:val="ds-markdown-paragraph"/>
              <w:shd w:val="clear" w:color="auto" w:fill="FFFFFF"/>
              <w:spacing w:before="0" w:beforeAutospacing="0" w:after="240" w:afterAutospacing="0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Bu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öneriler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,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okulların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F1115"/>
                <w:sz w:val="20"/>
                <w:szCs w:val="20"/>
              </w:rPr>
              <w:t>(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özellikle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hassas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grup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olan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çocukları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ve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yetişkinleri</w:t>
            </w:r>
            <w:proofErr w:type="spellEnd"/>
            <w:r>
              <w:rPr>
                <w:rFonts w:ascii="Arial" w:hAnsi="Arial" w:cs="Arial"/>
                <w:color w:val="0F1115"/>
                <w:sz w:val="20"/>
                <w:szCs w:val="20"/>
              </w:rPr>
              <w:t>)</w:t>
            </w:r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kirli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havanın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olumsuz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etkilerinden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korumak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için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prosedürler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geliştirmesine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yardımcı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olmayı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amaçlamaktadır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.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Ancak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okullar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,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ihtiyaç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duyulan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durumlarda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ek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önlemler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almalı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ve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belirsizlik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hâllerinde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kendi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değerlendirmelerini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yapmalıdır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Hava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kirliliğ</w:t>
            </w:r>
            <w:r>
              <w:rPr>
                <w:rFonts w:ascii="Arial" w:hAnsi="Arial" w:cs="Arial"/>
                <w:color w:val="0F1115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  <w:sz w:val="20"/>
                <w:szCs w:val="20"/>
              </w:rPr>
              <w:t>bazen</w:t>
            </w:r>
            <w:proofErr w:type="spellEnd"/>
            <w:r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  <w:sz w:val="20"/>
                <w:szCs w:val="20"/>
              </w:rPr>
              <w:t>aniden</w:t>
            </w:r>
            <w:proofErr w:type="spellEnd"/>
            <w:r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  <w:sz w:val="20"/>
                <w:szCs w:val="20"/>
              </w:rPr>
              <w:t>ortaya</w:t>
            </w:r>
            <w:proofErr w:type="spellEnd"/>
            <w:r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  <w:sz w:val="20"/>
                <w:szCs w:val="20"/>
              </w:rPr>
              <w:t>çıkabilir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F1115"/>
                <w:sz w:val="20"/>
                <w:szCs w:val="20"/>
              </w:rPr>
              <w:t>(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örneğin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yakın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çevredeki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bir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yangın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veya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yoğun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inşaat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faaliyetleri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gibi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durumlarda</w:t>
            </w:r>
            <w:proofErr w:type="spellEnd"/>
            <w:r>
              <w:rPr>
                <w:rFonts w:ascii="Arial" w:hAnsi="Arial" w:cs="Arial"/>
                <w:color w:val="0F1115"/>
                <w:sz w:val="20"/>
                <w:szCs w:val="20"/>
              </w:rPr>
              <w:t>)</w:t>
            </w:r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,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ölçüm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istasyonu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verileri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gecikebilir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veya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anlık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olarak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elde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edilemeyebilir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. Bu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gibi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durumlarda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okullar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 </w:t>
            </w:r>
            <w:proofErr w:type="spellStart"/>
            <w:r w:rsidRPr="00467E87">
              <w:rPr>
                <w:rStyle w:val="Strong"/>
                <w:rFonts w:ascii="Arial" w:hAnsi="Arial" w:cs="Arial"/>
                <w:b w:val="0"/>
                <w:color w:val="0F1115"/>
                <w:sz w:val="20"/>
                <w:szCs w:val="20"/>
              </w:rPr>
              <w:t>proaktif</w:t>
            </w:r>
            <w:proofErr w:type="spellEnd"/>
            <w:r w:rsidRPr="00467E87">
              <w:rPr>
                <w:rStyle w:val="Strong"/>
                <w:rFonts w:ascii="Arial" w:hAnsi="Arial" w:cs="Arial"/>
                <w:b w:val="0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Style w:val="Strong"/>
                <w:rFonts w:ascii="Arial" w:hAnsi="Arial" w:cs="Arial"/>
                <w:b w:val="0"/>
                <w:color w:val="0F1115"/>
                <w:sz w:val="20"/>
                <w:szCs w:val="20"/>
              </w:rPr>
              <w:t>davranarak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 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kirliliğe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maruz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kalmayı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önlemesi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,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azaltması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ve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gerekli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koruyucu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tedbirleri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zamanında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alması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F1115"/>
                <w:sz w:val="20"/>
                <w:szCs w:val="20"/>
              </w:rPr>
              <w:t>bakımından</w:t>
            </w:r>
            <w:proofErr w:type="spellEnd"/>
            <w:r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büyük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önem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 xml:space="preserve"> </w:t>
            </w:r>
            <w:proofErr w:type="spellStart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taşımaktadır</w:t>
            </w:r>
            <w:proofErr w:type="spellEnd"/>
            <w:r w:rsidRPr="00467E87">
              <w:rPr>
                <w:rFonts w:ascii="Arial" w:hAnsi="Arial" w:cs="Arial"/>
                <w:color w:val="0F1115"/>
                <w:sz w:val="20"/>
                <w:szCs w:val="20"/>
              </w:rPr>
              <w:t>.</w:t>
            </w:r>
          </w:p>
        </w:tc>
      </w:tr>
      <w:tr w:rsidR="0050007F" w:rsidRPr="0047739C" w14:paraId="64583B60" w14:textId="77777777" w:rsidTr="0047739C">
        <w:tc>
          <w:tcPr>
            <w:tcW w:w="833" w:type="pct"/>
            <w:gridSpan w:val="2"/>
            <w:tcBorders>
              <w:top w:val="single" w:sz="4" w:space="0" w:color="auto"/>
            </w:tcBorders>
            <w:shd w:val="clear" w:color="auto" w:fill="50F0E6"/>
          </w:tcPr>
          <w:p w14:paraId="7E6B2943" w14:textId="77777777" w:rsidR="00DD048A" w:rsidRPr="00D512AF" w:rsidRDefault="00D512AF" w:rsidP="0047739C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İyi</w:t>
            </w:r>
          </w:p>
          <w:p w14:paraId="701AFC81" w14:textId="77777777" w:rsidR="00DD048A" w:rsidRPr="0047739C" w:rsidRDefault="00DD048A" w:rsidP="0047739C">
            <w:pPr>
              <w:spacing w:after="0" w:line="240" w:lineRule="auto"/>
              <w:jc w:val="center"/>
            </w:pPr>
            <w:r w:rsidRPr="0047739C">
              <w:rPr>
                <w:sz w:val="18"/>
                <w:szCs w:val="18"/>
              </w:rPr>
              <w:t>(PM</w:t>
            </w:r>
            <w:r w:rsidRPr="0047739C">
              <w:rPr>
                <w:sz w:val="18"/>
                <w:szCs w:val="18"/>
                <w:vertAlign w:val="subscript"/>
              </w:rPr>
              <w:t>2,5</w:t>
            </w:r>
            <w:r w:rsidRPr="0047739C">
              <w:rPr>
                <w:sz w:val="18"/>
                <w:szCs w:val="18"/>
              </w:rPr>
              <w:t xml:space="preserve"> 0-5; PM</w:t>
            </w:r>
            <w:r w:rsidRPr="0047739C">
              <w:rPr>
                <w:sz w:val="18"/>
                <w:szCs w:val="18"/>
                <w:vertAlign w:val="subscript"/>
              </w:rPr>
              <w:t>10</w:t>
            </w:r>
            <w:r w:rsidRPr="0047739C">
              <w:rPr>
                <w:sz w:val="18"/>
                <w:szCs w:val="18"/>
              </w:rPr>
              <w:t xml:space="preserve"> 0-15)</w:t>
            </w:r>
          </w:p>
        </w:tc>
        <w:tc>
          <w:tcPr>
            <w:tcW w:w="833" w:type="pct"/>
            <w:shd w:val="clear" w:color="auto" w:fill="50CCAA"/>
          </w:tcPr>
          <w:p w14:paraId="5655C2CB" w14:textId="77777777" w:rsidR="00D512AF" w:rsidRDefault="00D512AF" w:rsidP="0047739C">
            <w:pPr>
              <w:spacing w:after="0" w:line="240" w:lineRule="auto"/>
              <w:jc w:val="center"/>
              <w:rPr>
                <w:szCs w:val="18"/>
                <w:lang w:val="tr-TR"/>
              </w:rPr>
            </w:pPr>
            <w:r w:rsidRPr="00D512AF">
              <w:rPr>
                <w:lang w:val="mk-MK"/>
              </w:rPr>
              <w:t>Kabul edilebilir</w:t>
            </w:r>
            <w:r w:rsidRPr="00D512AF">
              <w:rPr>
                <w:szCs w:val="18"/>
                <w:lang w:val="mk-MK"/>
              </w:rPr>
              <w:t xml:space="preserve"> </w:t>
            </w:r>
          </w:p>
          <w:p w14:paraId="331ECF2C" w14:textId="77777777" w:rsidR="00DD048A" w:rsidRPr="0047739C" w:rsidRDefault="00DD048A" w:rsidP="0047739C">
            <w:pPr>
              <w:spacing w:after="0" w:line="240" w:lineRule="auto"/>
              <w:jc w:val="center"/>
              <w:rPr>
                <w:lang w:val="mk-MK"/>
              </w:rPr>
            </w:pPr>
            <w:r w:rsidRPr="0047739C">
              <w:rPr>
                <w:sz w:val="18"/>
                <w:szCs w:val="18"/>
              </w:rPr>
              <w:t>(PM</w:t>
            </w:r>
            <w:r w:rsidRPr="0047739C">
              <w:rPr>
                <w:sz w:val="18"/>
                <w:szCs w:val="18"/>
                <w:vertAlign w:val="subscript"/>
              </w:rPr>
              <w:t>2,5</w:t>
            </w:r>
            <w:r w:rsidRPr="0047739C">
              <w:rPr>
                <w:sz w:val="18"/>
                <w:szCs w:val="18"/>
              </w:rPr>
              <w:t xml:space="preserve"> 6-15; PM</w:t>
            </w:r>
            <w:r w:rsidRPr="0047739C">
              <w:rPr>
                <w:sz w:val="18"/>
                <w:szCs w:val="18"/>
                <w:vertAlign w:val="subscript"/>
              </w:rPr>
              <w:t>10</w:t>
            </w:r>
            <w:r w:rsidRPr="0047739C">
              <w:rPr>
                <w:sz w:val="18"/>
                <w:szCs w:val="18"/>
              </w:rPr>
              <w:t xml:space="preserve"> 16-45)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F0E641"/>
          </w:tcPr>
          <w:p w14:paraId="3FFE9444" w14:textId="77777777" w:rsidR="00DD048A" w:rsidRPr="00D512AF" w:rsidRDefault="00D512AF" w:rsidP="0047739C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Orta</w:t>
            </w:r>
          </w:p>
          <w:p w14:paraId="248AC0E8" w14:textId="77777777" w:rsidR="00DD048A" w:rsidRPr="0047739C" w:rsidRDefault="00DD048A" w:rsidP="0047739C">
            <w:pPr>
              <w:spacing w:after="0" w:line="240" w:lineRule="auto"/>
              <w:jc w:val="center"/>
            </w:pPr>
            <w:r w:rsidRPr="0047739C">
              <w:rPr>
                <w:sz w:val="18"/>
                <w:szCs w:val="18"/>
              </w:rPr>
              <w:t>(PM</w:t>
            </w:r>
            <w:r w:rsidRPr="0047739C">
              <w:rPr>
                <w:sz w:val="18"/>
                <w:szCs w:val="18"/>
                <w:vertAlign w:val="subscript"/>
              </w:rPr>
              <w:t>2,5</w:t>
            </w:r>
            <w:r w:rsidRPr="0047739C">
              <w:rPr>
                <w:sz w:val="18"/>
                <w:szCs w:val="18"/>
              </w:rPr>
              <w:t xml:space="preserve"> 16-50; PM</w:t>
            </w:r>
            <w:r w:rsidRPr="0047739C">
              <w:rPr>
                <w:sz w:val="18"/>
                <w:szCs w:val="18"/>
                <w:vertAlign w:val="subscript"/>
              </w:rPr>
              <w:t>10</w:t>
            </w:r>
            <w:r w:rsidRPr="0047739C">
              <w:rPr>
                <w:sz w:val="18"/>
                <w:szCs w:val="18"/>
              </w:rPr>
              <w:t xml:space="preserve"> 46-120)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FF5050"/>
          </w:tcPr>
          <w:p w14:paraId="7A1753B4" w14:textId="77777777" w:rsidR="00DD048A" w:rsidRPr="00D512AF" w:rsidRDefault="00D512AF" w:rsidP="0047739C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Kötü</w:t>
            </w:r>
          </w:p>
          <w:p w14:paraId="6BF30EE8" w14:textId="77777777" w:rsidR="00DD048A" w:rsidRPr="0047739C" w:rsidRDefault="00DD048A" w:rsidP="0047739C">
            <w:pPr>
              <w:spacing w:after="0" w:line="240" w:lineRule="auto"/>
              <w:jc w:val="center"/>
            </w:pPr>
            <w:r w:rsidRPr="0047739C">
              <w:rPr>
                <w:sz w:val="18"/>
                <w:szCs w:val="18"/>
              </w:rPr>
              <w:t>(PM</w:t>
            </w:r>
            <w:r w:rsidRPr="0047739C">
              <w:rPr>
                <w:sz w:val="18"/>
                <w:szCs w:val="18"/>
                <w:vertAlign w:val="subscript"/>
              </w:rPr>
              <w:t>2,5</w:t>
            </w:r>
            <w:r w:rsidRPr="0047739C">
              <w:rPr>
                <w:sz w:val="18"/>
                <w:szCs w:val="18"/>
              </w:rPr>
              <w:t xml:space="preserve"> 51-90; PM</w:t>
            </w:r>
            <w:r w:rsidRPr="0047739C">
              <w:rPr>
                <w:sz w:val="18"/>
                <w:szCs w:val="18"/>
                <w:vertAlign w:val="subscript"/>
              </w:rPr>
              <w:t>10</w:t>
            </w:r>
            <w:r w:rsidRPr="0047739C">
              <w:rPr>
                <w:sz w:val="18"/>
                <w:szCs w:val="18"/>
              </w:rPr>
              <w:t xml:space="preserve"> 121-195)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960032"/>
          </w:tcPr>
          <w:p w14:paraId="668FD77C" w14:textId="77777777" w:rsidR="00DD048A" w:rsidRPr="00D512AF" w:rsidRDefault="00D512AF" w:rsidP="0047739C">
            <w:pPr>
              <w:spacing w:after="0" w:line="240" w:lineRule="auto"/>
              <w:jc w:val="center"/>
              <w:rPr>
                <w:lang w:val="tr-TR"/>
              </w:rPr>
            </w:pPr>
            <w:r>
              <w:rPr>
                <w:lang w:val="tr-TR"/>
              </w:rPr>
              <w:t>Çok kötü</w:t>
            </w:r>
          </w:p>
          <w:p w14:paraId="374A9DF8" w14:textId="77777777" w:rsidR="00DD048A" w:rsidRPr="0047739C" w:rsidRDefault="00DD048A" w:rsidP="0047739C">
            <w:pPr>
              <w:spacing w:after="0" w:line="240" w:lineRule="auto"/>
              <w:jc w:val="center"/>
            </w:pPr>
            <w:r w:rsidRPr="0047739C">
              <w:rPr>
                <w:sz w:val="18"/>
                <w:szCs w:val="18"/>
              </w:rPr>
              <w:t>(PM</w:t>
            </w:r>
            <w:r w:rsidRPr="0047739C">
              <w:rPr>
                <w:sz w:val="18"/>
                <w:szCs w:val="18"/>
                <w:vertAlign w:val="subscript"/>
              </w:rPr>
              <w:t>2,5</w:t>
            </w:r>
            <w:r w:rsidRPr="0047739C">
              <w:rPr>
                <w:sz w:val="18"/>
                <w:szCs w:val="18"/>
              </w:rPr>
              <w:t xml:space="preserve"> 91-140; PM</w:t>
            </w:r>
            <w:r w:rsidRPr="0047739C">
              <w:rPr>
                <w:sz w:val="18"/>
                <w:szCs w:val="18"/>
                <w:vertAlign w:val="subscript"/>
              </w:rPr>
              <w:t>10</w:t>
            </w:r>
            <w:r w:rsidRPr="0047739C">
              <w:rPr>
                <w:sz w:val="18"/>
                <w:szCs w:val="18"/>
              </w:rPr>
              <w:t xml:space="preserve"> 196-270)</w:t>
            </w: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7D2181"/>
          </w:tcPr>
          <w:p w14:paraId="449AF87A" w14:textId="77777777" w:rsidR="00D512AF" w:rsidRDefault="00D512AF" w:rsidP="0047739C">
            <w:pPr>
              <w:spacing w:after="0" w:line="240" w:lineRule="auto"/>
              <w:jc w:val="center"/>
              <w:rPr>
                <w:color w:val="FFFFFF"/>
                <w:szCs w:val="18"/>
                <w:lang w:val="tr-TR"/>
              </w:rPr>
            </w:pPr>
            <w:r w:rsidRPr="00D512AF">
              <w:rPr>
                <w:color w:val="FFFFFF"/>
                <w:lang w:val="mk-MK"/>
              </w:rPr>
              <w:t>Son derece kötü</w:t>
            </w:r>
            <w:r w:rsidRPr="00D512AF">
              <w:rPr>
                <w:color w:val="FFFFFF"/>
                <w:szCs w:val="18"/>
                <w:lang w:val="mk-MK"/>
              </w:rPr>
              <w:t xml:space="preserve"> </w:t>
            </w:r>
          </w:p>
          <w:p w14:paraId="083B41CE" w14:textId="77777777" w:rsidR="00DD048A" w:rsidRPr="0047739C" w:rsidRDefault="00DD048A" w:rsidP="0047739C">
            <w:pPr>
              <w:spacing w:after="0" w:line="240" w:lineRule="auto"/>
              <w:jc w:val="center"/>
              <w:rPr>
                <w:color w:val="FFFFFF"/>
              </w:rPr>
            </w:pPr>
            <w:r w:rsidRPr="0047739C">
              <w:rPr>
                <w:color w:val="FFFFFF"/>
                <w:sz w:val="18"/>
                <w:szCs w:val="18"/>
              </w:rPr>
              <w:t>(PM</w:t>
            </w:r>
            <w:r w:rsidRPr="0047739C">
              <w:rPr>
                <w:color w:val="FFFFFF"/>
                <w:sz w:val="18"/>
                <w:szCs w:val="18"/>
                <w:vertAlign w:val="subscript"/>
              </w:rPr>
              <w:t>2,5</w:t>
            </w:r>
            <w:r w:rsidRPr="0047739C">
              <w:rPr>
                <w:color w:val="FFFFFF"/>
                <w:sz w:val="18"/>
                <w:szCs w:val="18"/>
              </w:rPr>
              <w:t xml:space="preserve"> &gt;140; PM</w:t>
            </w:r>
            <w:r w:rsidRPr="0047739C">
              <w:rPr>
                <w:color w:val="FFFFFF"/>
                <w:sz w:val="18"/>
                <w:szCs w:val="18"/>
                <w:vertAlign w:val="subscript"/>
              </w:rPr>
              <w:t>10</w:t>
            </w:r>
            <w:r w:rsidRPr="0047739C">
              <w:rPr>
                <w:color w:val="FFFFFF"/>
                <w:sz w:val="18"/>
                <w:szCs w:val="18"/>
              </w:rPr>
              <w:t xml:space="preserve"> &gt;270)</w:t>
            </w:r>
          </w:p>
        </w:tc>
      </w:tr>
      <w:tr w:rsidR="0050007F" w:rsidRPr="0047739C" w14:paraId="36793DE4" w14:textId="77777777" w:rsidTr="0047739C">
        <w:trPr>
          <w:trHeight w:val="5399"/>
        </w:trPr>
        <w:tc>
          <w:tcPr>
            <w:tcW w:w="833" w:type="pct"/>
            <w:gridSpan w:val="2"/>
            <w:shd w:val="clear" w:color="auto" w:fill="B5F9F4"/>
            <w:vAlign w:val="center"/>
          </w:tcPr>
          <w:p w14:paraId="42CD5835" w14:textId="77777777" w:rsidR="00467E87" w:rsidRPr="00903959" w:rsidRDefault="00467E87" w:rsidP="00467E8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903959">
              <w:rPr>
                <w:rFonts w:ascii="Arial" w:hAnsi="Arial" w:cs="Arial"/>
                <w:sz w:val="18"/>
                <w:szCs w:val="18"/>
              </w:rPr>
              <w:t xml:space="preserve">Hava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kalitesi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iyidir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BDBB60" w14:textId="7CBF05FE" w:rsidR="00467E87" w:rsidRPr="00903959" w:rsidRDefault="00467E87" w:rsidP="00467E8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903959">
              <w:rPr>
                <w:rFonts w:ascii="Arial" w:hAnsi="Arial" w:cs="Arial"/>
                <w:sz w:val="18"/>
                <w:szCs w:val="18"/>
              </w:rPr>
              <w:t xml:space="preserve">Açık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hava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aktiviteleri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spor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oyun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dinlenme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için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uygun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gündür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  <w:r w:rsidRPr="00903959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Sınıflarda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03959">
              <w:rPr>
                <w:rFonts w:ascii="Arial" w:hAnsi="Arial" w:cs="Arial"/>
                <w:sz w:val="18"/>
                <w:szCs w:val="18"/>
              </w:rPr>
              <w:t>doğal</w:t>
            </w:r>
            <w:proofErr w:type="spellEnd"/>
            <w:r w:rsid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03959">
              <w:rPr>
                <w:rFonts w:ascii="Arial" w:hAnsi="Arial" w:cs="Arial"/>
                <w:sz w:val="18"/>
                <w:szCs w:val="18"/>
              </w:rPr>
              <w:t>havalandırma</w:t>
            </w:r>
            <w:proofErr w:type="spellEnd"/>
            <w:r w:rsid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903959">
              <w:rPr>
                <w:rFonts w:ascii="Arial" w:hAnsi="Arial" w:cs="Arial"/>
                <w:sz w:val="18"/>
                <w:szCs w:val="18"/>
              </w:rPr>
              <w:t>yapılabilir</w:t>
            </w:r>
            <w:proofErr w:type="spellEnd"/>
            <w:r w:rsid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pencerelerin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daha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sık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açılması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önerilir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7175E2" w14:textId="77777777" w:rsidR="00DD048A" w:rsidRPr="00903959" w:rsidRDefault="00DD048A" w:rsidP="00467E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B8EADC"/>
            <w:vAlign w:val="center"/>
          </w:tcPr>
          <w:p w14:paraId="6BE7BEAF" w14:textId="39EA1055" w:rsidR="00467E87" w:rsidRDefault="00467E87" w:rsidP="00467E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03959">
              <w:rPr>
                <w:rFonts w:ascii="Arial" w:hAnsi="Arial" w:cs="Arial"/>
                <w:sz w:val="18"/>
                <w:szCs w:val="18"/>
              </w:rPr>
              <w:t xml:space="preserve">Hava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kalitesi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açık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hava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aktiviteleri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için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kabul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edilebilir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düzeydedir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38172B4" w14:textId="77777777" w:rsidR="00903959" w:rsidRPr="00903959" w:rsidRDefault="00903959" w:rsidP="00467E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348B3F2E" w14:textId="781A5DD2" w:rsidR="00467E87" w:rsidRDefault="00467E87" w:rsidP="00467E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03959">
              <w:rPr>
                <w:rFonts w:ascii="Arial" w:hAnsi="Arial" w:cs="Arial"/>
                <w:sz w:val="18"/>
                <w:szCs w:val="18"/>
              </w:rPr>
              <w:t xml:space="preserve">Hava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kirliliği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nedeniyle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durumu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kötüleşebilecek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tıbbi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olarak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doğrulanmış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solunum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yolu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hastalıkları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veya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diğer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kronik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rahatsızlıkları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astım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bronşit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kalp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hastalığı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gibi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bulunan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öğrenciler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belirlenmeli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yakından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izlenmelidir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. Bu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öğrencilerin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uygun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tedaviye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örneğin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doktor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tarafından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reçete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edilmiş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inhaler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gibi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kolayca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erişebildiğinden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emin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olunmalıdır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8E39DA" w14:textId="77777777" w:rsidR="00903959" w:rsidRPr="00903959" w:rsidRDefault="00903959" w:rsidP="00467E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5D038813" w14:textId="77777777" w:rsidR="00467E87" w:rsidRPr="00903959" w:rsidRDefault="00467E87" w:rsidP="00467E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Sınıflar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düzenli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olarak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havalandırılmalı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özellikle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büyük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teneffüs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sırasında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pencerelerin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açılmasına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özen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gösterilmelidir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679A314" w14:textId="144CB98B" w:rsidR="00DD048A" w:rsidRPr="00903959" w:rsidRDefault="00DD048A" w:rsidP="00D512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833" w:type="pct"/>
            <w:shd w:val="clear" w:color="auto" w:fill="F9F6B5"/>
            <w:vAlign w:val="center"/>
          </w:tcPr>
          <w:p w14:paraId="302ABAB5" w14:textId="70C2F0B3" w:rsidR="00903959" w:rsidRPr="00903959" w:rsidRDefault="00903959" w:rsidP="009039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03959">
              <w:rPr>
                <w:rFonts w:ascii="Arial" w:hAnsi="Arial" w:cs="Arial"/>
                <w:sz w:val="18"/>
                <w:szCs w:val="18"/>
              </w:rPr>
              <w:t xml:space="preserve">Büyük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teneffüs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gibi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kısa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süreli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düşük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yoğunluklu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açık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hava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aktiviteleri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yapılabilir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198E9C2" w14:textId="77777777" w:rsidR="00903959" w:rsidRPr="00903959" w:rsidRDefault="00903959" w:rsidP="009039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72496C92" w14:textId="624C6C26" w:rsidR="00903959" w:rsidRPr="00903959" w:rsidRDefault="00903959" w:rsidP="009039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Solunum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yolu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hastalığı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veya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diğer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kronik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hastalıkları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astım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bronşit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kalp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hastalığı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gibi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bulunan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öğrenciler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için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yoğun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fiziksel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aktivitelerden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kaçınılmalı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sağlık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durumları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yakından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izlenmelidir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Belirtilerin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kötüleşmesi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durumunda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ebeveynler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bilgilendirilmelidir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DDE23F" w14:textId="77777777" w:rsidR="00903959" w:rsidRPr="00903959" w:rsidRDefault="00903959" w:rsidP="009039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05D70D6F" w14:textId="77777777" w:rsidR="00903959" w:rsidRPr="00903959" w:rsidRDefault="00903959" w:rsidP="009039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03959">
              <w:rPr>
                <w:rFonts w:ascii="Arial" w:hAnsi="Arial" w:cs="Arial"/>
                <w:sz w:val="18"/>
                <w:szCs w:val="18"/>
              </w:rPr>
              <w:t xml:space="preserve">Hava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temizleyicileri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varsa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derslerin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başlamasından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az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saat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önce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çalışır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durumda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olmalıdır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C2FA46" w14:textId="387667CD" w:rsidR="00DD048A" w:rsidRPr="00903959" w:rsidRDefault="00DD048A" w:rsidP="00D512A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833" w:type="pct"/>
            <w:shd w:val="clear" w:color="auto" w:fill="FFD5D5"/>
            <w:vAlign w:val="center"/>
          </w:tcPr>
          <w:p w14:paraId="26D9197D" w14:textId="4776DCB5" w:rsidR="00903959" w:rsidRDefault="00903959" w:rsidP="009039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03959">
              <w:rPr>
                <w:rFonts w:ascii="Arial" w:hAnsi="Arial" w:cs="Arial"/>
                <w:sz w:val="18"/>
                <w:szCs w:val="18"/>
              </w:rPr>
              <w:t xml:space="preserve">Açık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hava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aktivitelerinden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beden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eğitimi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spor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koşu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okul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bahçesinde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oyun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gibi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kaçınılmalıdır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5FDEEBC" w14:textId="77777777" w:rsidR="00903959" w:rsidRPr="00903959" w:rsidRDefault="00903959" w:rsidP="009039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71B3932B" w14:textId="7311ACBA" w:rsidR="00903959" w:rsidRDefault="00903959" w:rsidP="009039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Tüm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etki</w:t>
            </w:r>
            <w:r>
              <w:rPr>
                <w:rFonts w:ascii="Arial" w:hAnsi="Arial" w:cs="Arial"/>
                <w:sz w:val="18"/>
                <w:szCs w:val="18"/>
              </w:rPr>
              <w:t>nlikler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iç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mekânlarda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yapılmalı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uzun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süreli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veya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yoğun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fiziksel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aktiviteler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ertelenmelidir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A57FE0" w14:textId="77777777" w:rsidR="00903959" w:rsidRPr="00903959" w:rsidRDefault="00903959" w:rsidP="009039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1121D2C2" w14:textId="2E27B04F" w:rsidR="00903959" w:rsidRDefault="00903959" w:rsidP="009039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Tüm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öğrencilerde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baş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ağrısı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nefes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darlığı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öksürük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mide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bulantısı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ile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göz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burun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boğaz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tahrişi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gibi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hava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kirliliğine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bağlı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belirtiler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olup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olmadığı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gözlemlenmelidir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A38AF6" w14:textId="77777777" w:rsidR="00903959" w:rsidRPr="00903959" w:rsidRDefault="00903959" w:rsidP="009039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599F12F3" w14:textId="77777777" w:rsidR="00903959" w:rsidRPr="00903959" w:rsidRDefault="00903959" w:rsidP="0090395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03959">
              <w:rPr>
                <w:rFonts w:ascii="Arial" w:hAnsi="Arial" w:cs="Arial"/>
                <w:sz w:val="18"/>
                <w:szCs w:val="18"/>
              </w:rPr>
              <w:t xml:space="preserve">Hava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temizleyicileri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varsa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yüksek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yoğunlukta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çalıştırılmalıdır</w:t>
            </w:r>
            <w:proofErr w:type="spellEnd"/>
          </w:p>
          <w:p w14:paraId="1D39B18F" w14:textId="7FBC4EE4" w:rsidR="00DD048A" w:rsidRPr="0047739C" w:rsidRDefault="00DD048A" w:rsidP="00D512AF">
            <w:pPr>
              <w:spacing w:after="0" w:line="240" w:lineRule="auto"/>
              <w:rPr>
                <w:sz w:val="18"/>
                <w:szCs w:val="18"/>
                <w:lang w:val="mk-MK"/>
              </w:rPr>
            </w:pPr>
          </w:p>
        </w:tc>
        <w:tc>
          <w:tcPr>
            <w:tcW w:w="833" w:type="pct"/>
            <w:shd w:val="clear" w:color="auto" w:fill="FF97BA"/>
            <w:vAlign w:val="center"/>
          </w:tcPr>
          <w:p w14:paraId="20208E1F" w14:textId="77777777" w:rsidR="00903959" w:rsidRPr="00903959" w:rsidRDefault="00903959" w:rsidP="00903959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Tüm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açık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hava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etkinlikleri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kapalı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alanlara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alınmalı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veya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iptal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edilmelidir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  <w:r w:rsidRPr="00903959">
              <w:rPr>
                <w:rFonts w:ascii="Arial" w:hAnsi="Arial" w:cs="Arial"/>
                <w:sz w:val="18"/>
                <w:szCs w:val="18"/>
              </w:rPr>
              <w:br/>
              <w:t xml:space="preserve">Beden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eğitimi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dersleri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benzeri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aktiviteler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sırasında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fiziksel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efordan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kaçınılmalıdır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BF900F3" w14:textId="6879918B" w:rsidR="00903959" w:rsidRPr="00903959" w:rsidRDefault="00903959" w:rsidP="00903959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Okulun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tüm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dış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kapıl</w:t>
            </w:r>
            <w:r>
              <w:rPr>
                <w:rFonts w:ascii="Arial" w:hAnsi="Arial" w:cs="Arial"/>
                <w:sz w:val="18"/>
                <w:szCs w:val="18"/>
              </w:rPr>
              <w:t>arı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pencereleri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kapatılmalı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iç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kapılar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örneğin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koridorlara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açılan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sınıf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kapıları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açık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tutulmalıdır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AA61AE8" w14:textId="77777777" w:rsidR="00903959" w:rsidRPr="00903959" w:rsidRDefault="00903959" w:rsidP="00903959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Velilere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ders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etkinliklerin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hangi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koşullarda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yapılacağı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konusunda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bilgi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verilmelidir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  <w:r w:rsidRPr="00903959">
              <w:rPr>
                <w:rFonts w:ascii="Arial" w:hAnsi="Arial" w:cs="Arial"/>
                <w:sz w:val="18"/>
                <w:szCs w:val="18"/>
              </w:rPr>
              <w:br/>
              <w:t xml:space="preserve">Hava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temizleyicileri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varsa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maksimum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yoğunlukta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çalıştırılmalıdır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F3E46AF" w14:textId="2B3A7D0A" w:rsidR="00DD048A" w:rsidRPr="0047739C" w:rsidRDefault="00DD048A" w:rsidP="00D512AF">
            <w:pPr>
              <w:spacing w:after="0" w:line="240" w:lineRule="auto"/>
              <w:rPr>
                <w:sz w:val="18"/>
                <w:szCs w:val="18"/>
                <w:lang w:val="mk-MK"/>
              </w:rPr>
            </w:pPr>
          </w:p>
        </w:tc>
        <w:tc>
          <w:tcPr>
            <w:tcW w:w="833" w:type="pct"/>
            <w:shd w:val="clear" w:color="auto" w:fill="EBB9ED"/>
            <w:vAlign w:val="center"/>
          </w:tcPr>
          <w:p w14:paraId="768AD1D5" w14:textId="77777777" w:rsidR="00903959" w:rsidRPr="00903959" w:rsidRDefault="00903959" w:rsidP="00903959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Fiziksel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olarak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yoğun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veya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açık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havada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yapılacak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tüm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aktiviteler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iptal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edilmelidir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A0D07D" w14:textId="77777777" w:rsidR="00903959" w:rsidRPr="00903959" w:rsidRDefault="00903959" w:rsidP="00903959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Okulun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tüm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dış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kapıları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pencereleri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kapatılmalı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iç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kapılar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örneğin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koridorlara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açılan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sınıf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kapıları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açık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tutulmalıdır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26B2BD8" w14:textId="77777777" w:rsidR="00903959" w:rsidRPr="00903959" w:rsidRDefault="00903959" w:rsidP="00903959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Hükümet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Eğitim</w:t>
            </w:r>
            <w:proofErr w:type="spellEnd"/>
            <w:r w:rsidRPr="00903959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ve</w:t>
            </w:r>
            <w:proofErr w:type="spellEnd"/>
            <w:r w:rsidRPr="00903959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Bilim</w:t>
            </w:r>
            <w:proofErr w:type="spellEnd"/>
            <w:r w:rsidRPr="00903959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Bakanlığı</w:t>
            </w:r>
            <w:r w:rsidRPr="00903959">
              <w:rPr>
                <w:rFonts w:ascii="Arial" w:hAnsi="Arial" w:cs="Arial"/>
                <w:sz w:val="18"/>
                <w:szCs w:val="18"/>
              </w:rPr>
              <w:t>’nın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yönergeleri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takip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edilmeli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velilere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derslerin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etkinliklerin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hangi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koşullar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altında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yapılacağı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konusunda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bilgi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verilmelidir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47DCE8C" w14:textId="77777777" w:rsidR="00903959" w:rsidRPr="00903959" w:rsidRDefault="00903959" w:rsidP="00903959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903959">
              <w:rPr>
                <w:rFonts w:ascii="Arial" w:hAnsi="Arial" w:cs="Arial"/>
                <w:sz w:val="18"/>
                <w:szCs w:val="18"/>
              </w:rPr>
              <w:t xml:space="preserve">Hava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temizleyicileri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varsa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maksimum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yoğunlukta</w:t>
            </w:r>
            <w:proofErr w:type="spellEnd"/>
            <w:r w:rsidRPr="0090395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03959">
              <w:rPr>
                <w:rFonts w:ascii="Arial" w:hAnsi="Arial" w:cs="Arial"/>
                <w:sz w:val="18"/>
                <w:szCs w:val="18"/>
              </w:rPr>
              <w:t>çalıştırılmalıdı</w:t>
            </w:r>
            <w:proofErr w:type="spellEnd"/>
          </w:p>
          <w:p w14:paraId="52BCF7BF" w14:textId="10AD1E3F" w:rsidR="00DD048A" w:rsidRPr="0047739C" w:rsidRDefault="00DD048A" w:rsidP="00C82F6F">
            <w:pPr>
              <w:spacing w:after="0" w:line="240" w:lineRule="auto"/>
              <w:rPr>
                <w:sz w:val="18"/>
                <w:szCs w:val="18"/>
                <w:lang w:val="mk-MK"/>
              </w:rPr>
            </w:pPr>
          </w:p>
        </w:tc>
      </w:tr>
    </w:tbl>
    <w:p w14:paraId="6448360F" w14:textId="77777777" w:rsidR="00C33D1C" w:rsidRPr="00252166" w:rsidRDefault="00C33D1C" w:rsidP="002228F5">
      <w:pPr>
        <w:rPr>
          <w:lang w:val="mk-MK"/>
        </w:rPr>
      </w:pPr>
    </w:p>
    <w:sectPr w:rsidR="00C33D1C" w:rsidRPr="00252166" w:rsidSect="00CC6297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8CD5" w14:textId="77777777" w:rsidR="001070F1" w:rsidRDefault="001070F1" w:rsidP="00CC6297">
      <w:pPr>
        <w:spacing w:after="0" w:line="240" w:lineRule="auto"/>
      </w:pPr>
      <w:r>
        <w:separator/>
      </w:r>
    </w:p>
  </w:endnote>
  <w:endnote w:type="continuationSeparator" w:id="0">
    <w:p w14:paraId="2E7B6321" w14:textId="77777777" w:rsidR="001070F1" w:rsidRDefault="001070F1" w:rsidP="00CC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FF05B" w14:textId="77777777" w:rsidR="001070F1" w:rsidRDefault="001070F1" w:rsidP="00CC6297">
      <w:pPr>
        <w:spacing w:after="0" w:line="240" w:lineRule="auto"/>
      </w:pPr>
      <w:r>
        <w:separator/>
      </w:r>
    </w:p>
  </w:footnote>
  <w:footnote w:type="continuationSeparator" w:id="0">
    <w:p w14:paraId="2108ED94" w14:textId="77777777" w:rsidR="001070F1" w:rsidRDefault="001070F1" w:rsidP="00CC6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DFCD" w14:textId="4BC6369F" w:rsidR="00CC6297" w:rsidRDefault="007A2D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0926A3" wp14:editId="12C5DD44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3181985" cy="575945"/>
          <wp:effectExtent l="0" t="0" r="0" b="0"/>
          <wp:wrapNone/>
          <wp:docPr id="1" name="Picture 1" descr="A logo with text bel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text below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98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97"/>
    <w:rsid w:val="00016984"/>
    <w:rsid w:val="000321ED"/>
    <w:rsid w:val="00050975"/>
    <w:rsid w:val="00057D1D"/>
    <w:rsid w:val="00085D83"/>
    <w:rsid w:val="000B1FBF"/>
    <w:rsid w:val="000B7588"/>
    <w:rsid w:val="000C2614"/>
    <w:rsid w:val="000C4015"/>
    <w:rsid w:val="00100B72"/>
    <w:rsid w:val="00101283"/>
    <w:rsid w:val="00102BD9"/>
    <w:rsid w:val="00105F19"/>
    <w:rsid w:val="001070F1"/>
    <w:rsid w:val="0014439D"/>
    <w:rsid w:val="001515AB"/>
    <w:rsid w:val="001842CE"/>
    <w:rsid w:val="00187D4C"/>
    <w:rsid w:val="00191D7E"/>
    <w:rsid w:val="001A1FB2"/>
    <w:rsid w:val="001A5568"/>
    <w:rsid w:val="001D53F0"/>
    <w:rsid w:val="001D5BC2"/>
    <w:rsid w:val="001D65BC"/>
    <w:rsid w:val="001F13A7"/>
    <w:rsid w:val="001F5DFA"/>
    <w:rsid w:val="001F6DB8"/>
    <w:rsid w:val="002148B8"/>
    <w:rsid w:val="002228F5"/>
    <w:rsid w:val="00251AF6"/>
    <w:rsid w:val="00252166"/>
    <w:rsid w:val="00255144"/>
    <w:rsid w:val="00257374"/>
    <w:rsid w:val="00281916"/>
    <w:rsid w:val="00285DD9"/>
    <w:rsid w:val="0029662E"/>
    <w:rsid w:val="002A2CB7"/>
    <w:rsid w:val="002A3530"/>
    <w:rsid w:val="002B3DF0"/>
    <w:rsid w:val="002F337D"/>
    <w:rsid w:val="00304C16"/>
    <w:rsid w:val="00344918"/>
    <w:rsid w:val="00350E54"/>
    <w:rsid w:val="00371FFE"/>
    <w:rsid w:val="00394DE0"/>
    <w:rsid w:val="003B29F5"/>
    <w:rsid w:val="003C083C"/>
    <w:rsid w:val="003C0855"/>
    <w:rsid w:val="003C1E00"/>
    <w:rsid w:val="003E0F2D"/>
    <w:rsid w:val="003E5D89"/>
    <w:rsid w:val="00402F96"/>
    <w:rsid w:val="004050EA"/>
    <w:rsid w:val="004061B9"/>
    <w:rsid w:val="004672A8"/>
    <w:rsid w:val="00467E87"/>
    <w:rsid w:val="0047739C"/>
    <w:rsid w:val="004A0D0E"/>
    <w:rsid w:val="004B4BEF"/>
    <w:rsid w:val="004B77C6"/>
    <w:rsid w:val="004E45C6"/>
    <w:rsid w:val="0050007F"/>
    <w:rsid w:val="005367E9"/>
    <w:rsid w:val="0059052D"/>
    <w:rsid w:val="00591F30"/>
    <w:rsid w:val="005D151B"/>
    <w:rsid w:val="005D40C0"/>
    <w:rsid w:val="005E0F25"/>
    <w:rsid w:val="005E6812"/>
    <w:rsid w:val="005F51B5"/>
    <w:rsid w:val="006139B2"/>
    <w:rsid w:val="00615596"/>
    <w:rsid w:val="00642EF1"/>
    <w:rsid w:val="006442D4"/>
    <w:rsid w:val="006458CA"/>
    <w:rsid w:val="00662848"/>
    <w:rsid w:val="00670455"/>
    <w:rsid w:val="006712D6"/>
    <w:rsid w:val="006A0323"/>
    <w:rsid w:val="006C5EDD"/>
    <w:rsid w:val="006C5F0C"/>
    <w:rsid w:val="006D1BC1"/>
    <w:rsid w:val="006F061A"/>
    <w:rsid w:val="006F7AD2"/>
    <w:rsid w:val="007006E2"/>
    <w:rsid w:val="00707AF5"/>
    <w:rsid w:val="0071265D"/>
    <w:rsid w:val="00721479"/>
    <w:rsid w:val="00722E39"/>
    <w:rsid w:val="00730A31"/>
    <w:rsid w:val="00742F87"/>
    <w:rsid w:val="00745EE1"/>
    <w:rsid w:val="00756635"/>
    <w:rsid w:val="00772693"/>
    <w:rsid w:val="0077281B"/>
    <w:rsid w:val="0077342C"/>
    <w:rsid w:val="00780931"/>
    <w:rsid w:val="00781555"/>
    <w:rsid w:val="00786B29"/>
    <w:rsid w:val="007932C5"/>
    <w:rsid w:val="007A27E3"/>
    <w:rsid w:val="007A2DDA"/>
    <w:rsid w:val="007B5845"/>
    <w:rsid w:val="007B748E"/>
    <w:rsid w:val="007C1EFC"/>
    <w:rsid w:val="007C5767"/>
    <w:rsid w:val="007C64DE"/>
    <w:rsid w:val="00805232"/>
    <w:rsid w:val="0081277E"/>
    <w:rsid w:val="0081757C"/>
    <w:rsid w:val="0082309B"/>
    <w:rsid w:val="0083043D"/>
    <w:rsid w:val="00842657"/>
    <w:rsid w:val="0084301B"/>
    <w:rsid w:val="00843FB8"/>
    <w:rsid w:val="0085000D"/>
    <w:rsid w:val="0088753C"/>
    <w:rsid w:val="008B4BC9"/>
    <w:rsid w:val="008D7F02"/>
    <w:rsid w:val="00903959"/>
    <w:rsid w:val="009056E7"/>
    <w:rsid w:val="00937662"/>
    <w:rsid w:val="009562DD"/>
    <w:rsid w:val="00976B8E"/>
    <w:rsid w:val="009A6487"/>
    <w:rsid w:val="009A7B4C"/>
    <w:rsid w:val="009B6C69"/>
    <w:rsid w:val="009C25F2"/>
    <w:rsid w:val="009D391D"/>
    <w:rsid w:val="00A10A05"/>
    <w:rsid w:val="00A730E5"/>
    <w:rsid w:val="00A807E6"/>
    <w:rsid w:val="00A84955"/>
    <w:rsid w:val="00A85A5F"/>
    <w:rsid w:val="00A93C48"/>
    <w:rsid w:val="00AD281B"/>
    <w:rsid w:val="00AD5229"/>
    <w:rsid w:val="00AF447F"/>
    <w:rsid w:val="00B20ACE"/>
    <w:rsid w:val="00B31C8D"/>
    <w:rsid w:val="00B54EF8"/>
    <w:rsid w:val="00B81B1C"/>
    <w:rsid w:val="00B95DB0"/>
    <w:rsid w:val="00B9700F"/>
    <w:rsid w:val="00BB5018"/>
    <w:rsid w:val="00BC32CF"/>
    <w:rsid w:val="00BD4BB1"/>
    <w:rsid w:val="00C025E8"/>
    <w:rsid w:val="00C20C85"/>
    <w:rsid w:val="00C250C3"/>
    <w:rsid w:val="00C30C21"/>
    <w:rsid w:val="00C33D1C"/>
    <w:rsid w:val="00C57F0C"/>
    <w:rsid w:val="00C6305A"/>
    <w:rsid w:val="00C64669"/>
    <w:rsid w:val="00C64AA7"/>
    <w:rsid w:val="00C678E6"/>
    <w:rsid w:val="00C82F6F"/>
    <w:rsid w:val="00C87EFE"/>
    <w:rsid w:val="00C9009D"/>
    <w:rsid w:val="00C92AFC"/>
    <w:rsid w:val="00C96EF2"/>
    <w:rsid w:val="00CC6297"/>
    <w:rsid w:val="00CD3593"/>
    <w:rsid w:val="00CF0061"/>
    <w:rsid w:val="00CF0D22"/>
    <w:rsid w:val="00CF647E"/>
    <w:rsid w:val="00D3031B"/>
    <w:rsid w:val="00D373E8"/>
    <w:rsid w:val="00D50723"/>
    <w:rsid w:val="00D512AF"/>
    <w:rsid w:val="00D906B7"/>
    <w:rsid w:val="00D91082"/>
    <w:rsid w:val="00DA4424"/>
    <w:rsid w:val="00DA539F"/>
    <w:rsid w:val="00DA617C"/>
    <w:rsid w:val="00DC5C40"/>
    <w:rsid w:val="00DD048A"/>
    <w:rsid w:val="00DD2C8C"/>
    <w:rsid w:val="00DD38AD"/>
    <w:rsid w:val="00DF23D8"/>
    <w:rsid w:val="00E14A5B"/>
    <w:rsid w:val="00E25ADF"/>
    <w:rsid w:val="00E27754"/>
    <w:rsid w:val="00E4228D"/>
    <w:rsid w:val="00E55A5F"/>
    <w:rsid w:val="00E66B8B"/>
    <w:rsid w:val="00E6751D"/>
    <w:rsid w:val="00E745C4"/>
    <w:rsid w:val="00E906C7"/>
    <w:rsid w:val="00E93C94"/>
    <w:rsid w:val="00E95D88"/>
    <w:rsid w:val="00E979C4"/>
    <w:rsid w:val="00EA4437"/>
    <w:rsid w:val="00EC275B"/>
    <w:rsid w:val="00EC2962"/>
    <w:rsid w:val="00EE7999"/>
    <w:rsid w:val="00F0500C"/>
    <w:rsid w:val="00F05A8C"/>
    <w:rsid w:val="00F25650"/>
    <w:rsid w:val="00F421D1"/>
    <w:rsid w:val="00F57754"/>
    <w:rsid w:val="00F65B2A"/>
    <w:rsid w:val="00F665AE"/>
    <w:rsid w:val="00F70AEA"/>
    <w:rsid w:val="00F90177"/>
    <w:rsid w:val="00F9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7C457B"/>
  <w15:chartTrackingRefBased/>
  <w15:docId w15:val="{0213854B-1008-4910-8F5B-0DE6CF85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845"/>
    <w:pPr>
      <w:spacing w:after="160" w:line="259" w:lineRule="auto"/>
    </w:pPr>
    <w:rPr>
      <w:kern w:val="2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297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297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297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297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297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29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29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29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29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29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629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297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297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297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297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297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297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297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CC6297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29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29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297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297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CC6297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CC6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297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29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297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sid w:val="00CC6297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CC6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297"/>
  </w:style>
  <w:style w:type="paragraph" w:styleId="Footer">
    <w:name w:val="footer"/>
    <w:basedOn w:val="Normal"/>
    <w:link w:val="FooterChar"/>
    <w:uiPriority w:val="99"/>
    <w:unhideWhenUsed/>
    <w:rsid w:val="00CC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297"/>
  </w:style>
  <w:style w:type="character" w:styleId="Hyperlink">
    <w:name w:val="Hyperlink"/>
    <w:basedOn w:val="DefaultParagraphFont"/>
    <w:uiPriority w:val="99"/>
    <w:unhideWhenUsed/>
    <w:rsid w:val="00191D7E"/>
    <w:rPr>
      <w:color w:val="46788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683"/>
    <w:rPr>
      <w:color w:val="96607D"/>
      <w:u w:val="single"/>
    </w:rPr>
  </w:style>
  <w:style w:type="paragraph" w:styleId="NormalWeb">
    <w:name w:val="Normal (Web)"/>
    <w:basedOn w:val="Normal"/>
    <w:uiPriority w:val="99"/>
    <w:unhideWhenUsed/>
    <w:rsid w:val="00DF23D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ds-markdown-paragraph">
    <w:name w:val="ds-markdown-paragraph"/>
    <w:basedOn w:val="Normal"/>
    <w:rsid w:val="00467E8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467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ir.moepp.gov.mk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 xsi:nil="true"/>
    <lcf76f155ced4ddcb4097134ff3c332f xmlns="911f9c8c-cbe6-4f2d-8501-6c6016eea4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CB7BE3F8A9B54B85DA28799491BE66" ma:contentTypeVersion="19" ma:contentTypeDescription="Создадете нов документ." ma:contentTypeScope="" ma:versionID="20f0fd5ed14d7df36b6573a99eb49f10">
  <xsd:schema xmlns:xsd="http://www.w3.org/2001/XMLSchema" xmlns:xs="http://www.w3.org/2001/XMLSchema" xmlns:p="http://schemas.microsoft.com/office/2006/metadata/properties" xmlns:ns2="3be21822-585e-40dd-959c-3d9b4b9581f8" xmlns:ns3="911f9c8c-cbe6-4f2d-8501-6c6016eea48b" xmlns:ns4="ca283e0b-db31-4043-a2ef-b80661bf084a" targetNamespace="http://schemas.microsoft.com/office/2006/metadata/properties" ma:root="true" ma:fieldsID="575422703b4e4f5cf976f487d205be57" ns2:_="" ns3:_="" ns4:_="">
    <xsd:import namespace="3be21822-585e-40dd-959c-3d9b4b9581f8"/>
    <xsd:import namespace="911f9c8c-cbe6-4f2d-8501-6c6016eea48b"/>
    <xsd:import namespace="ca283e0b-db31-4043-a2ef-b80661bf08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21822-585e-40dd-959c-3d9b4b958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оделено со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поделено со Детал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f9c8c-cbe6-4f2d-8501-6c6016ee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Ознаки на сликата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12ed319-bfc7-48f5-9844-e938e7e9504d}" ma:internalName="TaxCatchAll" ma:showField="CatchAllData" ma:web="3be21822-585e-40dd-959c-3d9b4b958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ржин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FFE2B-E03A-48AA-BC77-4D436294E367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911f9c8c-cbe6-4f2d-8501-6c6016eea48b"/>
  </ds:schemaRefs>
</ds:datastoreItem>
</file>

<file path=customXml/itemProps2.xml><?xml version="1.0" encoding="utf-8"?>
<ds:datastoreItem xmlns:ds="http://schemas.openxmlformats.org/officeDocument/2006/customXml" ds:itemID="{9C659B39-D4AB-497A-A606-A5630EBBA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039-ABAE-4D89-A90C-B7B7B6142136}"/>
</file>

<file path=customXml/itemProps4.xml><?xml version="1.0" encoding="utf-8"?>
<ds:datastoreItem xmlns:ds="http://schemas.openxmlformats.org/officeDocument/2006/customXml" ds:itemID="{34F19023-30C9-45B1-963D-B7564AE9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3778</Characters>
  <Application>Microsoft Office Word</Application>
  <DocSecurity>0</DocSecurity>
  <Lines>151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4262</CharactersWithSpaces>
  <SharedDoc>false</SharedDoc>
  <HLinks>
    <vt:vector size="6" baseType="variant">
      <vt:variant>
        <vt:i4>2097232</vt:i4>
      </vt:variant>
      <vt:variant>
        <vt:i4>0</vt:i4>
      </vt:variant>
      <vt:variant>
        <vt:i4>0</vt:i4>
      </vt:variant>
      <vt:variant>
        <vt:i4>5</vt:i4>
      </vt:variant>
      <vt:variant>
        <vt:lpwstr>https://air.moepp.gov.mk/?page_id=1351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 Pucoski</dc:creator>
  <cp:keywords/>
  <cp:lastModifiedBy>Bore Pucoski</cp:lastModifiedBy>
  <cp:revision>2</cp:revision>
  <dcterms:created xsi:type="dcterms:W3CDTF">2025-12-16T09:57:00Z</dcterms:created>
  <dcterms:modified xsi:type="dcterms:W3CDTF">2025-12-16T09:57:00Z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0x010100D3CB7BE3F8A9B54B85DA28799491BE66</vt:lpwstr>
  </property>
  <property fmtid="{D5CDD505-2E9C-101B-9397-08002B2CF9AE}" pid="3" name="MediaServiceImageTags">
    <vt:lpwstr/>
  </property>
  <property fmtid="{D5CDD505-2E9C-101B-9397-08002B2CF9AE}" pid="4" name="docLang">
    <vt:lpwstr>tr</vt:lpwstr>
  </property>
</Properties>
</file>