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7655"/>
        <w:gridCol w:w="3333"/>
      </w:tblGrid>
      <w:tr w:rsidR="00BD6209" w:rsidRPr="00316C01" w14:paraId="6D172FAF" w14:textId="2401F667">
        <w:tc>
          <w:tcPr>
            <w:tcW w:w="14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68F94" w14:textId="613FF299" w:rsidR="00BD6209" w:rsidRPr="00316C01" w:rsidRDefault="00FB1050">
            <w:pPr>
              <w:pStyle w:val="Heading1"/>
              <w:spacing w:before="0"/>
              <w:jc w:val="center"/>
              <w:outlineLvl w:val="0"/>
              <w:rPr>
                <w:rFonts w:ascii="Arial" w:hAnsi="Arial" w:cs="Arial"/>
                <w:sz w:val="36"/>
                <w:szCs w:val="36"/>
                <w:lang w:val="sq-MK"/>
              </w:rPr>
            </w:pPr>
            <w:bookmarkStart w:id="0" w:name="_GoBack"/>
            <w:r w:rsidRPr="00316C01">
              <w:rPr>
                <w:rFonts w:ascii="Arial" w:hAnsi="Arial" w:cs="Arial"/>
                <w:sz w:val="36"/>
                <w:szCs w:val="36"/>
                <w:lang w:val="sq-AL"/>
              </w:rPr>
              <w:t>Praktika të mira për përmirësimin e ajrit brend</w:t>
            </w:r>
            <w:r w:rsidR="00087A63" w:rsidRPr="00316C01">
              <w:rPr>
                <w:rFonts w:ascii="Arial" w:hAnsi="Arial" w:cs="Arial"/>
                <w:sz w:val="36"/>
                <w:szCs w:val="36"/>
                <w:lang w:val="sq-MK"/>
              </w:rPr>
              <w:t>a në shkollë</w:t>
            </w:r>
            <w:bookmarkEnd w:id="0"/>
          </w:p>
        </w:tc>
      </w:tr>
      <w:tr w:rsidR="00BD6209" w:rsidRPr="00316C01" w14:paraId="259AC845" w14:textId="65CF0983"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  <w:vAlign w:val="center"/>
          </w:tcPr>
          <w:p w14:paraId="4B807191" w14:textId="6AE87E0D" w:rsidR="00BD6209" w:rsidRPr="00316C01" w:rsidRDefault="00FB1050">
            <w:pPr>
              <w:pStyle w:val="P68B1DB1-Normal1"/>
              <w:jc w:val="center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 xml:space="preserve">Ndotja e ajrit </w:t>
            </w:r>
            <w:r w:rsidR="00087A63" w:rsidRPr="00316C01">
              <w:rPr>
                <w:rFonts w:ascii="Arial" w:hAnsi="Arial" w:cs="Arial"/>
                <w:szCs w:val="22"/>
                <w:lang w:val="sq-MK"/>
              </w:rPr>
              <w:t xml:space="preserve">në hapsira të mbyllura 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ndonjëherë mund të jetë më e keqe se ajo e ajrit të jashtëm nëse nuk </w:t>
            </w:r>
            <w:r w:rsidR="00087A63" w:rsidRPr="00316C01">
              <w:rPr>
                <w:rFonts w:ascii="Arial" w:hAnsi="Arial" w:cs="Arial"/>
                <w:szCs w:val="22"/>
                <w:lang w:val="sq-MK"/>
              </w:rPr>
              <w:t>ndërmerren masa</w:t>
            </w:r>
            <w:r w:rsidRPr="00316C01">
              <w:rPr>
                <w:rFonts w:ascii="Arial" w:hAnsi="Arial" w:cs="Arial"/>
                <w:szCs w:val="22"/>
                <w:lang w:val="sq-AL"/>
              </w:rPr>
              <w:t>.</w:t>
            </w:r>
          </w:p>
          <w:p w14:paraId="52ACE465" w14:textId="4A502604" w:rsidR="00BD6209" w:rsidRPr="00316C01" w:rsidRDefault="00ED539F">
            <w:pPr>
              <w:jc w:val="both"/>
              <w:rPr>
                <w:rFonts w:ascii="Arial" w:hAnsi="Arial" w:cs="Arial"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Përveç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ndotjes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mund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vijë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nga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jashtë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ajri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ambientet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mbyllura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mund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ndotet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nga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burime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kimikate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avuj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papastërti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pluhur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duhanpirja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përfshirë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edhe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cigaret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elektronike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),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radoni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ndotës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biologjikë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myku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dëmtuesit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bakteret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viruset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Këta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ndotës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mund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përkeqësojnë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cilësinë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ajrit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ambientet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mbyllura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kushte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ventilimit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filtrimit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dobët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temperaturës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lagështisë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jo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përshtatshme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pasojë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kenë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pasoja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drejtpërdrejta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mbi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shëndetin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njerëzve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qëndrojnë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këto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ambiente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.</w:t>
            </w:r>
          </w:p>
        </w:tc>
      </w:tr>
      <w:tr w:rsidR="00BD6209" w:rsidRPr="00316C01" w14:paraId="554CF2E9" w14:textId="77777777"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61E81" w14:textId="77777777" w:rsidR="00BD6209" w:rsidRPr="00316C01" w:rsidRDefault="00BD6209">
            <w:p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</w:p>
        </w:tc>
      </w:tr>
      <w:tr w:rsidR="00BD6209" w:rsidRPr="00316C01" w14:paraId="244ABE0A" w14:textId="77777777">
        <w:trPr>
          <w:trHeight w:val="328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299847EF" w14:textId="1FA36803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64384" behindDoc="0" locked="0" layoutInCell="1" allowOverlap="1" wp14:anchorId="3509C174" wp14:editId="2054AEE3">
                  <wp:simplePos x="0" y="0"/>
                  <wp:positionH relativeFrom="column">
                    <wp:posOffset>6395720</wp:posOffset>
                  </wp:positionH>
                  <wp:positionV relativeFrom="paragraph">
                    <wp:posOffset>534670</wp:posOffset>
                  </wp:positionV>
                  <wp:extent cx="359410" cy="359410"/>
                  <wp:effectExtent l="0" t="0" r="2540" b="2540"/>
                  <wp:wrapNone/>
                  <wp:docPr id="3307394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63360" behindDoc="0" locked="0" layoutInCell="1" allowOverlap="1" wp14:anchorId="39828F65" wp14:editId="50222201">
                  <wp:simplePos x="0" y="0"/>
                  <wp:positionH relativeFrom="column">
                    <wp:posOffset>5870575</wp:posOffset>
                  </wp:positionH>
                  <wp:positionV relativeFrom="paragraph">
                    <wp:posOffset>521335</wp:posOffset>
                  </wp:positionV>
                  <wp:extent cx="359410" cy="359410"/>
                  <wp:effectExtent l="0" t="0" r="2540" b="2540"/>
                  <wp:wrapNone/>
                  <wp:docPr id="19473306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62336" behindDoc="0" locked="0" layoutInCell="1" allowOverlap="1" wp14:anchorId="7E26D595" wp14:editId="5976909D">
                  <wp:simplePos x="0" y="0"/>
                  <wp:positionH relativeFrom="column">
                    <wp:posOffset>5363845</wp:posOffset>
                  </wp:positionH>
                  <wp:positionV relativeFrom="paragraph">
                    <wp:posOffset>523875</wp:posOffset>
                  </wp:positionV>
                  <wp:extent cx="359410" cy="359410"/>
                  <wp:effectExtent l="0" t="0" r="2540" b="2540"/>
                  <wp:wrapNone/>
                  <wp:docPr id="20719501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Ruani në mënyrë të sigurt kimikatet, larg nga duart e fëmijëve, duke ndjekur rregullat për mbrojtje nga rrjedhjet, temperaturën e përshtatshme dhe ventilimin.</w:t>
            </w:r>
            <w:r w:rsidR="00ED539F" w:rsidRPr="00316C01">
              <w:rPr>
                <w:rFonts w:ascii="Arial" w:hAnsi="Arial" w:cs="Arial"/>
                <w:szCs w:val="22"/>
                <w:lang w:val="sq-MK"/>
              </w:rPr>
              <w:t xml:space="preserve"> Nëse keni kushte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, ruani </w:t>
            </w:r>
            <w:r w:rsidR="00ED539F" w:rsidRPr="00316C01">
              <w:rPr>
                <w:rFonts w:ascii="Arial" w:hAnsi="Arial" w:cs="Arial"/>
                <w:szCs w:val="22"/>
                <w:lang w:val="sq-MK"/>
              </w:rPr>
              <w:t>mjetet dhe pajisjet për pastrim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jashtë ose në</w:t>
            </w:r>
            <w:r w:rsidR="005129A8" w:rsidRPr="00316C01">
              <w:rPr>
                <w:rFonts w:ascii="Arial" w:hAnsi="Arial" w:cs="Arial"/>
                <w:szCs w:val="22"/>
                <w:lang w:val="sq-MK"/>
              </w:rPr>
              <w:t xml:space="preserve"> </w:t>
            </w:r>
            <w:r w:rsidR="00ED539F" w:rsidRPr="00316C01">
              <w:rPr>
                <w:rFonts w:ascii="Arial" w:hAnsi="Arial" w:cs="Arial"/>
                <w:szCs w:val="22"/>
                <w:lang w:val="sq-MK"/>
              </w:rPr>
              <w:t>hapsir</w:t>
            </w:r>
            <w:r w:rsidR="006B78CB" w:rsidRPr="00316C01">
              <w:rPr>
                <w:rFonts w:ascii="Arial" w:hAnsi="Arial" w:cs="Arial"/>
                <w:szCs w:val="22"/>
                <w:lang w:val="sq-MK"/>
              </w:rPr>
              <w:t>ë</w:t>
            </w:r>
            <w:r w:rsidR="005129A8" w:rsidRPr="00316C01">
              <w:rPr>
                <w:rFonts w:ascii="Arial" w:hAnsi="Arial" w:cs="Arial"/>
                <w:szCs w:val="22"/>
                <w:lang w:val="sq-MK"/>
              </w:rPr>
              <w:t xml:space="preserve"> të ajrosur 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mirë. </w:t>
            </w:r>
          </w:p>
          <w:p w14:paraId="4BFB1445" w14:textId="31E891D3" w:rsidR="00BD6209" w:rsidRPr="00316C01" w:rsidRDefault="00ED539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Gjatë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prokurimit të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mjeteve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zgjidhni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ato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me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toksicitet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ulët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.</w:t>
            </w:r>
            <w:r w:rsidRPr="00316C01">
              <w:rPr>
                <w:rFonts w:ascii="Arial" w:hAnsi="Arial" w:cs="Arial"/>
                <w:szCs w:val="22"/>
              </w:rPr>
              <w:br/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është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mundur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shmangni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të cilat i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kanë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këto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simbole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:</w:t>
            </w:r>
            <w:r w:rsidR="00FB1050" w:rsidRPr="00316C01">
              <w:rPr>
                <w:rFonts w:ascii="Arial" w:hAnsi="Arial" w:cs="Arial"/>
                <w:szCs w:val="22"/>
                <w:lang w:val="sq-AL"/>
              </w:rPr>
              <w:t xml:space="preserve"> </w:t>
            </w:r>
          </w:p>
          <w:p w14:paraId="44CC144F" w14:textId="25D1F1FB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 xml:space="preserve">Të gjitha kimikatet </w:t>
            </w:r>
            <w:r w:rsidR="00ED539F" w:rsidRPr="00316C01">
              <w:rPr>
                <w:rFonts w:ascii="Arial" w:hAnsi="Arial" w:cs="Arial"/>
                <w:szCs w:val="22"/>
                <w:lang w:val="sq-MK"/>
              </w:rPr>
              <w:t>të cilat i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përmbajnë simbolet e paraqitura më </w:t>
            </w:r>
            <w:r w:rsidR="00ED539F" w:rsidRPr="00316C01">
              <w:rPr>
                <w:rFonts w:ascii="Arial" w:hAnsi="Arial" w:cs="Arial"/>
                <w:szCs w:val="22"/>
                <w:lang w:val="sq-MK"/>
              </w:rPr>
              <w:t>lartë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nuk duhet të përdoren kur fëmijët janë të pranishëm, </w:t>
            </w:r>
            <w:r w:rsidR="00BB046D" w:rsidRPr="00316C01">
              <w:rPr>
                <w:rFonts w:ascii="Arial" w:hAnsi="Arial" w:cs="Arial"/>
                <w:szCs w:val="22"/>
                <w:lang w:val="sq-MK"/>
              </w:rPr>
              <w:t>ndërsa hapsira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duhet të ajroset mirë para se të hyhet sërish.</w:t>
            </w:r>
          </w:p>
          <w:p w14:paraId="45F51F2F" w14:textId="40502886" w:rsidR="009741B0" w:rsidRPr="00316C01" w:rsidRDefault="009741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</w:rPr>
              <w:t xml:space="preserve">Blini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sasi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vogla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shmangur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ruajtjen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sasive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mëdha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një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kohë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gjatë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shmangni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përdorimin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përqendrimeve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larta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mjeteve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gjatë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që të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 xml:space="preserve">ulni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ekspozimi</w:t>
            </w:r>
            <w:proofErr w:type="spellEnd"/>
            <w:r w:rsidR="00BC367A" w:rsidRPr="00316C01">
              <w:rPr>
                <w:rFonts w:ascii="Arial" w:hAnsi="Arial" w:cs="Arial"/>
                <w:szCs w:val="22"/>
                <w:lang w:val="sq-MK"/>
              </w:rPr>
              <w:t>n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ndaj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avujve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dëmshëm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Asnjëherë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mos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përzieni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kimikatet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përveç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rasteve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kur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është posaqërisht e lejuar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etiketë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.</w:t>
            </w:r>
          </w:p>
          <w:p w14:paraId="4AA8B896" w14:textId="20D58182" w:rsidR="00BD6209" w:rsidRPr="00316C01" w:rsidRDefault="009741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</w:rPr>
              <w:t xml:space="preserve">Kur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porositni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shqyrtoni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opsione</w:t>
            </w:r>
            <w:proofErr w:type="spellEnd"/>
            <w:r w:rsidR="005E26C2" w:rsidRPr="00316C01">
              <w:rPr>
                <w:rFonts w:ascii="Arial" w:hAnsi="Arial" w:cs="Arial"/>
                <w:szCs w:val="22"/>
                <w:lang w:val="sq-MK"/>
              </w:rPr>
              <w:t>t</w:t>
            </w:r>
            <w:r w:rsidRPr="00316C01">
              <w:rPr>
                <w:rFonts w:ascii="Arial" w:hAnsi="Arial" w:cs="Arial"/>
                <w:szCs w:val="22"/>
              </w:rPr>
              <w:t xml:space="preserve"> pa aroma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artificiale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mos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produkte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mund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jenë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shkaktarë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astmës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ose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irritimeve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respirative</w:t>
            </w:r>
            <w:r w:rsidRPr="00316C0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Mos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freskues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ajri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ose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qirinj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aromatikë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1CB69A50" w14:textId="48B596C9" w:rsidR="00BD6209" w:rsidRPr="00316C01" w:rsidRDefault="00FB1050">
            <w:p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58240" behindDoc="0" locked="0" layoutInCell="1" allowOverlap="1" wp14:anchorId="04871861" wp14:editId="548C31EE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14605</wp:posOffset>
                  </wp:positionV>
                  <wp:extent cx="1799590" cy="1799590"/>
                  <wp:effectExtent l="0" t="0" r="0" b="0"/>
                  <wp:wrapNone/>
                  <wp:docPr id="1059427155" name="Picture 5" descr="Thumbnail Image a minimalistic janitor storage with simplified shapes and more colorf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umbnail Image a minimalistic janitor storage with simplified shapes and more colorf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6209" w:rsidRPr="00316C01" w14:paraId="04C332B7" w14:textId="77777777"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55DB18" w14:textId="77777777" w:rsidR="00BD6209" w:rsidRPr="00316C01" w:rsidRDefault="00BD6209">
            <w:p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</w:p>
        </w:tc>
      </w:tr>
      <w:tr w:rsidR="00BD6209" w:rsidRPr="00316C01" w14:paraId="25E4EA4D" w14:textId="77777777">
        <w:trPr>
          <w:trHeight w:val="3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1408C7DB" w14:textId="3A5B099A" w:rsidR="00BD6209" w:rsidRPr="00316C01" w:rsidRDefault="00FB1050">
            <w:p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59264" behindDoc="0" locked="0" layoutInCell="1" allowOverlap="1" wp14:anchorId="715DB066" wp14:editId="04D583DD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89535</wp:posOffset>
                  </wp:positionV>
                  <wp:extent cx="1799590" cy="1799590"/>
                  <wp:effectExtent l="0" t="0" r="0" b="0"/>
                  <wp:wrapNone/>
                  <wp:docPr id="1409562947" name="Picture 6" descr="Thumbnail Image a clipart of wiping a bigger desk without a person, only a hand, in pastel color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umbnail Image a clipart of wiping a bigger desk without a person, only a hand, in pastel 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2AA63A2B" w14:textId="3D053BF8" w:rsidR="009741B0" w:rsidRPr="00316C01" w:rsidRDefault="009741B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Shmangni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thatë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dyshemeve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sipërfaqeve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zbatoni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lagësht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. Pas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lagësht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thani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ajrosni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larguar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lagështinë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lartë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hapësira</w:t>
            </w:r>
            <w:proofErr w:type="spellEnd"/>
            <w:r w:rsidR="005129A8" w:rsidRPr="00316C01">
              <w:rPr>
                <w:rFonts w:ascii="Arial" w:hAnsi="Arial" w:cs="Arial"/>
                <w:szCs w:val="22"/>
                <w:lang w:val="sq-MK"/>
              </w:rPr>
              <w:t>.</w:t>
            </w:r>
          </w:p>
          <w:p w14:paraId="5FBE4D27" w14:textId="243BAFD7" w:rsidR="009741B0" w:rsidRPr="00316C01" w:rsidRDefault="009741B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Praktikoni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lagësht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="00BC367A" w:rsidRPr="00316C01">
              <w:rPr>
                <w:rFonts w:ascii="Arial" w:hAnsi="Arial" w:cs="Arial"/>
                <w:szCs w:val="22"/>
                <w:lang w:val="sq-MK"/>
              </w:rPr>
              <w:t>tavolinave</w:t>
            </w:r>
            <w:r w:rsidRPr="00316C01">
              <w:rPr>
                <w:rFonts w:ascii="Arial" w:hAnsi="Arial" w:cs="Arial"/>
                <w:szCs w:val="22"/>
              </w:rPr>
              <w:t>/</w:t>
            </w:r>
            <w:r w:rsidR="00BC367A" w:rsidRPr="00316C01">
              <w:rPr>
                <w:rFonts w:ascii="Arial" w:hAnsi="Arial" w:cs="Arial"/>
                <w:szCs w:val="22"/>
                <w:lang w:val="sq-MK"/>
              </w:rPr>
              <w:t>bankave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mobilieve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tjera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kini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kujdes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mos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njëjtën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leckë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sfungjer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bankat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dyshemenë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shmangur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bartjen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papastërtive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kimikate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ve</w:t>
            </w:r>
            <w:proofErr w:type="spellEnd"/>
            <w:r w:rsidR="00BC367A" w:rsidRPr="00316C01">
              <w:rPr>
                <w:rFonts w:ascii="Arial" w:hAnsi="Arial" w:cs="Arial"/>
                <w:szCs w:val="22"/>
                <w:lang w:val="sq-MK"/>
              </w:rPr>
              <w:t xml:space="preserve">çanërisht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qëllimin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cilin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janë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="00BC367A" w:rsidRPr="00316C01">
              <w:rPr>
                <w:rFonts w:ascii="Arial" w:hAnsi="Arial" w:cs="Arial"/>
                <w:szCs w:val="22"/>
                <w:lang w:val="sq-MK"/>
              </w:rPr>
              <w:t>prodhuar</w:t>
            </w:r>
            <w:r w:rsidRPr="00316C01">
              <w:rPr>
                <w:rFonts w:ascii="Arial" w:hAnsi="Arial" w:cs="Arial"/>
                <w:szCs w:val="22"/>
              </w:rPr>
              <w:t xml:space="preserve"> –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asnjëherë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mos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pastrimin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dyshemesë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tavolina</w:t>
            </w:r>
            <w:proofErr w:type="spellEnd"/>
            <w:r w:rsidR="00BC367A" w:rsidRPr="00316C01">
              <w:rPr>
                <w:rFonts w:ascii="Arial" w:hAnsi="Arial" w:cs="Arial"/>
                <w:szCs w:val="22"/>
                <w:lang w:val="sq-MK"/>
              </w:rPr>
              <w:t>/banka</w:t>
            </w:r>
            <w:r w:rsidRPr="00316C01">
              <w:rPr>
                <w:rFonts w:ascii="Arial" w:hAnsi="Arial" w:cs="Arial"/>
                <w:szCs w:val="22"/>
              </w:rPr>
              <w:t>.</w:t>
            </w:r>
          </w:p>
          <w:p w14:paraId="14534743" w14:textId="79B21C73" w:rsidR="00BC367A" w:rsidRPr="00316C01" w:rsidRDefault="00BC367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Mos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tretës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siç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është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holluesi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ngjyrës</w:t>
            </w:r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ose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sp</w:t>
            </w:r>
            <w:proofErr w:type="spellEnd"/>
            <w:r w:rsidR="005E26C2" w:rsidRPr="00316C01">
              <w:rPr>
                <w:rFonts w:ascii="Arial" w:hAnsi="Arial" w:cs="Arial"/>
                <w:szCs w:val="22"/>
                <w:lang w:val="sq-MK"/>
              </w:rPr>
              <w:t>ërkatës,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ngjitës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ambientet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ku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mësojnë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fëmijët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është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nevojshme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përdorini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vetëm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nxënësit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kenë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shkuar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shtëpi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kontrolloni hapsirat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pas.</w:t>
            </w:r>
          </w:p>
          <w:p w14:paraId="143A914D" w14:textId="301B1CFC" w:rsidR="00BD6209" w:rsidRPr="00316C01" w:rsidRDefault="00BC367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Shkollat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që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përdorin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soba me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dru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ose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elemente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ngrohëse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duhet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t’u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përmbahen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rekomandimeve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lëshuara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nga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Ministria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Mjedisit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MK"/>
              </w:rPr>
              <w:t xml:space="preserve">Jetësor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Planifikimit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Hapësinor</w:t>
            </w:r>
            <w:proofErr w:type="spellEnd"/>
            <w:r w:rsidR="00AB65BF" w:rsidRPr="00316C01">
              <w:rPr>
                <w:rFonts w:ascii="Arial" w:hAnsi="Arial" w:cs="Arial"/>
                <w:szCs w:val="22"/>
              </w:rPr>
              <w:fldChar w:fldCharType="begin"/>
            </w:r>
            <w:r w:rsidR="00AB65BF" w:rsidRPr="00316C01">
              <w:rPr>
                <w:rFonts w:ascii="Arial" w:hAnsi="Arial" w:cs="Arial"/>
                <w:szCs w:val="22"/>
              </w:rPr>
              <w:instrText xml:space="preserve"> HYPERLINK "https://www.moepp.gov.mk/wp-content/</w:instrText>
            </w:r>
            <w:r w:rsidR="00AB65BF" w:rsidRPr="00316C01">
              <w:rPr>
                <w:rFonts w:ascii="Arial" w:hAnsi="Arial" w:cs="Arial"/>
                <w:szCs w:val="22"/>
              </w:rPr>
              <w:instrText xml:space="preserve">uploads/2015/01/Good-practices-for-residential-wood-burning-%D0%9C%D0%9A.pdf" </w:instrText>
            </w:r>
            <w:r w:rsidR="00AB65BF" w:rsidRPr="00316C01">
              <w:rPr>
                <w:rFonts w:ascii="Arial" w:hAnsi="Arial" w:cs="Arial"/>
                <w:szCs w:val="22"/>
              </w:rPr>
              <w:fldChar w:fldCharType="separate"/>
            </w:r>
            <w:r w:rsidR="00FB1050" w:rsidRPr="00316C01">
              <w:rPr>
                <w:rStyle w:val="Hyperlink"/>
                <w:rFonts w:ascii="Arial" w:hAnsi="Arial" w:cs="Arial"/>
                <w:szCs w:val="22"/>
                <w:lang w:val="sq-AL"/>
              </w:rPr>
              <w:t>: Good-practices-for-residential-wood-burning-МК.pdf</w:t>
            </w:r>
            <w:r w:rsidR="00AB65BF" w:rsidRPr="00316C01">
              <w:rPr>
                <w:rStyle w:val="Hyperlink"/>
                <w:rFonts w:ascii="Arial" w:hAnsi="Arial" w:cs="Arial"/>
                <w:szCs w:val="22"/>
                <w:lang w:val="sq-AL"/>
              </w:rPr>
              <w:fldChar w:fldCharType="end"/>
            </w:r>
          </w:p>
        </w:tc>
      </w:tr>
    </w:tbl>
    <w:p w14:paraId="491DBD02" w14:textId="77777777" w:rsidR="00BD6209" w:rsidRPr="00316C01" w:rsidRDefault="00BD6209">
      <w:pPr>
        <w:rPr>
          <w:rFonts w:ascii="Arial" w:hAnsi="Arial" w:cs="Arial"/>
          <w:szCs w:val="22"/>
          <w:lang w:val="sq-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796"/>
        <w:gridCol w:w="3333"/>
      </w:tblGrid>
      <w:tr w:rsidR="00BD6209" w:rsidRPr="00316C01" w14:paraId="7525E060" w14:textId="77777777">
        <w:trPr>
          <w:trHeight w:val="328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30B20438" w14:textId="3171F04E" w:rsidR="005E26C2" w:rsidRPr="00316C01" w:rsidRDefault="005E26C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lastRenderedPageBreak/>
              <w:t>Nëse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janë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disponuesh</w:t>
            </w:r>
            <w:proofErr w:type="spellEnd"/>
            <w:r w:rsidRPr="00316C01">
              <w:rPr>
                <w:rFonts w:ascii="Arial" w:hAnsi="Arial" w:cs="Arial"/>
                <w:szCs w:val="22"/>
                <w:lang w:val="sq-MK"/>
              </w:rPr>
              <w:t>ë</w:t>
            </w:r>
            <w:r w:rsidRPr="00316C01">
              <w:rPr>
                <w:rFonts w:ascii="Arial" w:hAnsi="Arial" w:cs="Arial"/>
                <w:szCs w:val="22"/>
              </w:rPr>
              <w:t xml:space="preserve">m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pastrues</w:t>
            </w:r>
            <w:proofErr w:type="spellEnd"/>
            <w:r w:rsidRPr="00316C01">
              <w:rPr>
                <w:rFonts w:ascii="Arial" w:hAnsi="Arial" w:cs="Arial"/>
                <w:szCs w:val="22"/>
                <w:lang w:val="sq-MK"/>
              </w:rPr>
              <w:t>it e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ajri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kontrolloni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funksionalitetin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, </w:t>
            </w:r>
            <w:r w:rsidRPr="00316C01">
              <w:rPr>
                <w:rFonts w:ascii="Arial" w:hAnsi="Arial" w:cs="Arial"/>
                <w:szCs w:val="22"/>
                <w:lang w:val="sq-MK"/>
              </w:rPr>
              <w:t>kyçni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rregullisht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zëvendësoni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filtrat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sipas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udhëzimeve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.</w:t>
            </w:r>
          </w:p>
          <w:p w14:paraId="7917C36C" w14:textId="0490DD67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 xml:space="preserve">Pas rinovimit (p.sh. 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ngjyrosj</w:t>
            </w:r>
            <w:r w:rsidR="00DD72DA" w:rsidRPr="00316C01">
              <w:rPr>
                <w:rFonts w:ascii="Arial" w:hAnsi="Arial" w:cs="Arial"/>
                <w:szCs w:val="22"/>
                <w:lang w:val="sq-MK"/>
              </w:rPr>
              <w:t>es së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mureve, riparime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ve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) ose blerjes së mobilieve të reja, </w:t>
            </w:r>
            <w:r w:rsidR="00DD72DA" w:rsidRPr="00316C01">
              <w:rPr>
                <w:rFonts w:ascii="Arial" w:hAnsi="Arial" w:cs="Arial"/>
                <w:szCs w:val="22"/>
                <w:lang w:val="sq-MK"/>
              </w:rPr>
              <w:t xml:space="preserve">shtresave të </w:t>
            </w:r>
            <w:r w:rsidRPr="00316C01">
              <w:rPr>
                <w:rFonts w:ascii="Arial" w:hAnsi="Arial" w:cs="Arial"/>
                <w:szCs w:val="22"/>
                <w:lang w:val="sq-AL"/>
              </w:rPr>
              <w:t>dysheme</w:t>
            </w:r>
            <w:r w:rsidR="00DD72DA" w:rsidRPr="00316C01">
              <w:rPr>
                <w:rFonts w:ascii="Arial" w:hAnsi="Arial" w:cs="Arial"/>
                <w:szCs w:val="22"/>
                <w:lang w:val="sq-MK"/>
              </w:rPr>
              <w:t>s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etj., ajrosni mirë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 xml:space="preserve"> hapsirat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kur nxënësit nuk janë në mësim. Nëse mundeni, a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tivitetet e këtilla planifikoni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gjatë pushim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it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veror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ose dimëror</w:t>
            </w:r>
            <w:r w:rsidR="005E26C2" w:rsidRPr="00316C01">
              <w:rPr>
                <w:rFonts w:ascii="Arial" w:hAnsi="Arial" w:cs="Arial"/>
                <w:szCs w:val="22"/>
                <w:lang w:val="sq-MK"/>
              </w:rPr>
              <w:t>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>.</w:t>
            </w:r>
          </w:p>
          <w:p w14:paraId="04574DD6" w14:textId="6B6133B5" w:rsidR="00DD72DA" w:rsidRPr="00316C01" w:rsidRDefault="005E26C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proofErr w:type="spellStart"/>
            <w:r w:rsidRPr="00316C01">
              <w:rPr>
                <w:rFonts w:ascii="Arial" w:hAnsi="Arial" w:cs="Arial"/>
                <w:szCs w:val="22"/>
              </w:rPr>
              <w:t>Vendosni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shtroje mbrojtëse (tapet)</w:t>
            </w:r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gjitha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hyrjet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ndërtesës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shkollës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Këto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tapete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kapin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grimcat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mëdha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dhe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parandalojnë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hyrjen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e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tyre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6C01">
              <w:rPr>
                <w:rFonts w:ascii="Arial" w:hAnsi="Arial" w:cs="Arial"/>
                <w:szCs w:val="22"/>
              </w:rPr>
              <w:t>ndërtesë</w:t>
            </w:r>
            <w:proofErr w:type="spellEnd"/>
            <w:r w:rsidRPr="00316C01">
              <w:rPr>
                <w:rFonts w:ascii="Arial" w:hAnsi="Arial" w:cs="Arial"/>
                <w:szCs w:val="22"/>
              </w:rPr>
              <w:t>.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 </w:t>
            </w:r>
          </w:p>
          <w:p w14:paraId="66EEB5CF" w14:textId="69F8AED0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>Nëse është e mundur, zëvendësoni dërrasat e shkumësit me dërrasa të bardha.</w:t>
            </w:r>
          </w:p>
          <w:p w14:paraId="72225737" w14:textId="341B3E45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 xml:space="preserve">Ndaloni pirjen e duhanit (përfshirë cigaret elektronike) në oborret e shkollave dhe hapësirat e tjera 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shkollore </w:t>
            </w:r>
            <w:r w:rsidRPr="00316C01">
              <w:rPr>
                <w:rFonts w:ascii="Arial" w:hAnsi="Arial" w:cs="Arial"/>
                <w:szCs w:val="22"/>
                <w:lang w:val="sq-AL"/>
              </w:rPr>
              <w:t>ku lëvizin fëmijët.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vAlign w:val="center"/>
          </w:tcPr>
          <w:p w14:paraId="2A78BE36" w14:textId="2453AE50" w:rsidR="00BD6209" w:rsidRPr="00316C01" w:rsidRDefault="00FB1050">
            <w:p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60288" behindDoc="0" locked="0" layoutInCell="1" allowOverlap="1" wp14:anchorId="781C5591" wp14:editId="3E57243A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25400</wp:posOffset>
                  </wp:positionV>
                  <wp:extent cx="1800860" cy="1800860"/>
                  <wp:effectExtent l="0" t="0" r="8890" b="8890"/>
                  <wp:wrapNone/>
                  <wp:docPr id="1161838650" name="Picture 8" descr="Thumbnail Image a clipart of air purifier wo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umbnail Image a clipart of air purifier wo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6209" w:rsidRPr="00316C01" w14:paraId="7302EFB2" w14:textId="77777777">
        <w:trPr>
          <w:trHeight w:val="105"/>
        </w:trPr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36051" w14:textId="77777777" w:rsidR="00BD6209" w:rsidRPr="00316C01" w:rsidRDefault="00BD6209">
            <w:pPr>
              <w:jc w:val="both"/>
              <w:rPr>
                <w:rFonts w:ascii="Arial" w:hAnsi="Arial" w:cs="Arial"/>
                <w:szCs w:val="22"/>
                <w:lang w:val="sq-AL"/>
              </w:rPr>
            </w:pPr>
          </w:p>
        </w:tc>
      </w:tr>
      <w:tr w:rsidR="00BD6209" w:rsidRPr="00316C01" w14:paraId="1857A666" w14:textId="77777777">
        <w:trPr>
          <w:trHeight w:val="1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269B86EB" w14:textId="7D3249E7" w:rsidR="00BD6209" w:rsidRPr="00316C01" w:rsidRDefault="00FB1050">
            <w:p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noProof/>
                <w:szCs w:val="22"/>
                <w:lang w:val="sq-AL"/>
              </w:rPr>
              <w:drawing>
                <wp:anchor distT="0" distB="0" distL="114300" distR="114300" simplePos="0" relativeHeight="251661312" behindDoc="0" locked="0" layoutInCell="1" allowOverlap="1" wp14:anchorId="452F6402" wp14:editId="11B5F8AF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33655</wp:posOffset>
                  </wp:positionV>
                  <wp:extent cx="1799590" cy="1799590"/>
                  <wp:effectExtent l="0" t="0" r="0" b="0"/>
                  <wp:wrapNone/>
                  <wp:docPr id="465214556" name="Picture 9" descr="Thumbnail Image a simple clipart of a bush barrier between street and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umbnail Image a simple clipart of a bush barrier between street and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5DB"/>
            <w:vAlign w:val="center"/>
          </w:tcPr>
          <w:p w14:paraId="5461B075" w14:textId="2D61A170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>Vendosni barrierë fizike bimore (barrierë e gjelbër) midis shkollës dhe rrugës. Barrierat e gjelbra mund të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 jenë në </w:t>
            </w:r>
            <w:r w:rsidRPr="00316C01">
              <w:rPr>
                <w:rFonts w:ascii="Arial" w:hAnsi="Arial" w:cs="Arial"/>
                <w:szCs w:val="22"/>
                <w:lang w:val="sq-AL"/>
              </w:rPr>
              <w:t>formë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 të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gardheve të gjalla, bimëve ngjitëse ose 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drunjëve</w:t>
            </w:r>
            <w:r w:rsidRPr="00316C01">
              <w:rPr>
                <w:rFonts w:ascii="Arial" w:hAnsi="Arial" w:cs="Arial"/>
                <w:szCs w:val="22"/>
                <w:lang w:val="sq-AL"/>
              </w:rPr>
              <w:t>. Barrierat e gjelbra nuk përmirësojnë cilësinë e përgjithshme të ajrit, por mund të zvogëlojnë transmetimin nga burim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i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i ndotjes së ajrit (p.sh. rrugë) në hapësirë specifike (p.sh.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AL"/>
              </w:rPr>
              <w:t>oborr shkolle).</w:t>
            </w:r>
          </w:p>
          <w:p w14:paraId="42BB50B2" w14:textId="75078D56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>Mbillni dhe rritni bimë brenda shkollës që ja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në dëshmuar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se janë pastrues të mirë të ajrit (zamia, spat</w:t>
            </w:r>
            <w:r w:rsidR="00DD72DA" w:rsidRPr="00316C01">
              <w:rPr>
                <w:rFonts w:ascii="Arial" w:hAnsi="Arial" w:cs="Arial"/>
                <w:szCs w:val="22"/>
                <w:lang w:val="sq-MK"/>
              </w:rPr>
              <w:t>ifilum</w:t>
            </w:r>
            <w:r w:rsidRPr="00316C01">
              <w:rPr>
                <w:rFonts w:ascii="Arial" w:hAnsi="Arial" w:cs="Arial"/>
                <w:szCs w:val="22"/>
                <w:lang w:val="sq-AL"/>
              </w:rPr>
              <w:t>, sansev</w:t>
            </w:r>
            <w:r w:rsidR="00DD72DA" w:rsidRPr="00316C01">
              <w:rPr>
                <w:rFonts w:ascii="Arial" w:hAnsi="Arial" w:cs="Arial"/>
                <w:szCs w:val="22"/>
                <w:lang w:val="sq-MK"/>
              </w:rPr>
              <w:t>i</w:t>
            </w:r>
            <w:r w:rsidRPr="00316C01">
              <w:rPr>
                <w:rFonts w:ascii="Arial" w:hAnsi="Arial" w:cs="Arial"/>
                <w:szCs w:val="22"/>
                <w:lang w:val="sq-AL"/>
              </w:rPr>
              <w:t>eria, fi</w:t>
            </w:r>
            <w:r w:rsidR="00DD72DA" w:rsidRPr="00316C01">
              <w:rPr>
                <w:rFonts w:ascii="Arial" w:hAnsi="Arial" w:cs="Arial"/>
                <w:szCs w:val="22"/>
                <w:lang w:val="sq-MK"/>
              </w:rPr>
              <w:t>k</w:t>
            </w:r>
            <w:r w:rsidRPr="00316C01">
              <w:rPr>
                <w:rFonts w:ascii="Arial" w:hAnsi="Arial" w:cs="Arial"/>
                <w:szCs w:val="22"/>
                <w:lang w:val="sq-AL"/>
              </w:rPr>
              <w:t>us, dracena, etj.)</w:t>
            </w:r>
          </w:p>
          <w:p w14:paraId="7802A3ED" w14:textId="6BA3C278" w:rsidR="00BD6209" w:rsidRPr="00316C01" w:rsidRDefault="00FB10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>Përdorimi i automjeteve në ose shumë afër ambienteve të shkollës duhet të mbahet në minimumin e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 domosdoshëm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. Kjo mund të bëhet duke zhvendosur pikat e lëshimit/marrjes së fëmijëve larg hyrjes së shkollës. 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Rik</w:t>
            </w:r>
            <w:r w:rsidRPr="00316C01">
              <w:rPr>
                <w:rFonts w:ascii="Arial" w:hAnsi="Arial" w:cs="Arial"/>
                <w:szCs w:val="22"/>
                <w:lang w:val="sq-AL"/>
              </w:rPr>
              <w:t>ujtojini të gjithë shoferë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t</w:t>
            </w:r>
            <w:r w:rsidRPr="00316C01">
              <w:rPr>
                <w:rFonts w:ascii="Arial" w:hAnsi="Arial" w:cs="Arial"/>
                <w:szCs w:val="22"/>
                <w:lang w:val="sq-AL"/>
              </w:rPr>
              <w:t>/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dorëzuesit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(përmes shenjave ose njoftimeve të tjera) të mos e lënë motorin </w:t>
            </w:r>
            <w:r w:rsidR="00BC3F47" w:rsidRPr="00316C01">
              <w:rPr>
                <w:rFonts w:ascii="Arial" w:hAnsi="Arial" w:cs="Arial"/>
                <w:szCs w:val="22"/>
                <w:lang w:val="sq-MK"/>
              </w:rPr>
              <w:t>në funksion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(pa lëvizur)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 xml:space="preserve"> në afërsi të hapsirave të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shkollës ose pikave të nisjes/marrjes.</w:t>
            </w:r>
          </w:p>
        </w:tc>
      </w:tr>
      <w:tr w:rsidR="00BD6209" w:rsidRPr="00316C01" w14:paraId="6B135769" w14:textId="77777777">
        <w:trPr>
          <w:trHeight w:val="105"/>
        </w:trPr>
        <w:tc>
          <w:tcPr>
            <w:tcW w:w="14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F9D53" w14:textId="53A055D6" w:rsidR="00BD6209" w:rsidRPr="00316C01" w:rsidRDefault="00BD6209">
            <w:pPr>
              <w:jc w:val="both"/>
              <w:rPr>
                <w:rFonts w:ascii="Arial" w:hAnsi="Arial" w:cs="Arial"/>
                <w:szCs w:val="22"/>
                <w:lang w:val="sq-AL"/>
              </w:rPr>
            </w:pPr>
          </w:p>
        </w:tc>
      </w:tr>
      <w:tr w:rsidR="00BD6209" w:rsidRPr="00316C01" w14:paraId="02986668" w14:textId="77777777">
        <w:trPr>
          <w:trHeight w:val="105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D33E1DB" w14:textId="77777777" w:rsidR="00BD6209" w:rsidRPr="00316C01" w:rsidRDefault="00FB1050">
            <w:pPr>
              <w:pStyle w:val="P68B1DB1-Heading22"/>
              <w:rPr>
                <w:rFonts w:ascii="Arial" w:eastAsiaTheme="minorHAnsi" w:hAnsi="Arial" w:cs="Arial"/>
                <w:sz w:val="22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 w:val="22"/>
                <w:szCs w:val="22"/>
                <w:lang w:val="sq-AL"/>
              </w:rPr>
              <w:t>Radoni dhe mbrojtja nga radoni në mjedisin shkollor</w:t>
            </w:r>
          </w:p>
          <w:p w14:paraId="4E433015" w14:textId="031CF36E" w:rsidR="00BD6209" w:rsidRPr="00316C01" w:rsidRDefault="00FB1050">
            <w:pPr>
              <w:rPr>
                <w:rFonts w:ascii="Arial" w:hAnsi="Arial" w:cs="Arial"/>
                <w:szCs w:val="22"/>
                <w:lang w:val="sq-AL"/>
              </w:rPr>
            </w:pPr>
            <w:r w:rsidRPr="00316C01">
              <w:rPr>
                <w:rFonts w:ascii="Arial" w:hAnsi="Arial" w:cs="Arial"/>
                <w:szCs w:val="22"/>
                <w:lang w:val="sq-AL"/>
              </w:rPr>
              <w:t xml:space="preserve">Radoni është gaz radioaktiv natyror i pranishëm në tokë, pa erë dhe pa ngjyrë, i cili në ekspozimin afatgjatë mund të shkaktojë kancer të mushkërive. Sa radon do të "dalë" nga toka varet nga poroziteti i tokës, kushtet </w:t>
            </w:r>
            <w:r w:rsidR="00941DF0" w:rsidRPr="00316C01">
              <w:rPr>
                <w:rFonts w:ascii="Arial" w:hAnsi="Arial" w:cs="Arial"/>
                <w:szCs w:val="22"/>
                <w:lang w:val="sq-MK"/>
              </w:rPr>
              <w:t>metereologjike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etj. Duke kaluar nëpër të çarat në pllakën ose dyshemetë e ndërtesave, për shkak të peshës së saj, 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>akumulohet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në katet e poshtme ose në hapësirat e bodrumeve. Përqendrimi në hapësirat e mbyllura varet kryesisht nga vjetërsia e ndërtesave, 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>shprehitë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dhe sjelljet e njerëzve që qëndrojnë në to, veçanërisht nga frekuenca e ventilimit. Ventilimi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 xml:space="preserve"> i hapsirave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është një mënyrë e thjeshtë dhe efektive për të zvogëluar përqendrimet e radonit 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>në hapsirat e mbyllura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(nëse lirohet) dhe mund të praktikohet kur ajri i ambientit është 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 xml:space="preserve">me </w:t>
            </w:r>
            <w:r w:rsidRPr="00316C01">
              <w:rPr>
                <w:rFonts w:ascii="Arial" w:hAnsi="Arial" w:cs="Arial"/>
                <w:szCs w:val="22"/>
                <w:lang w:val="sq-AL"/>
              </w:rPr>
              <w:t>cilësi të mirë. Matja e përqendrimeve të radonit është mënyra e vetme për të përcaktuar nive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>lin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e ekspozimit 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>në hapsirat e mbyllura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. Që nga viti 2019, Instituti i Shëndetit Publik ka futur monitorimin e përqendrimit të radonit në shkolla dhe kopshte dhe </w:t>
            </w:r>
            <w:r w:rsidR="00D5294E" w:rsidRPr="00316C01">
              <w:rPr>
                <w:rFonts w:ascii="Arial" w:hAnsi="Arial" w:cs="Arial"/>
                <w:szCs w:val="22"/>
                <w:lang w:val="sq-MK"/>
              </w:rPr>
              <w:t>realizon</w:t>
            </w:r>
            <w:r w:rsidR="006932EE" w:rsidRPr="00316C01">
              <w:rPr>
                <w:rFonts w:ascii="Arial" w:hAnsi="Arial" w:cs="Arial"/>
                <w:szCs w:val="22"/>
                <w:lang w:val="sq-MK"/>
              </w:rPr>
              <w:t xml:space="preserve"> </w:t>
            </w:r>
            <w:r w:rsidRPr="00316C01">
              <w:rPr>
                <w:rFonts w:ascii="Arial" w:hAnsi="Arial" w:cs="Arial"/>
                <w:szCs w:val="22"/>
                <w:lang w:val="sq-AL"/>
              </w:rPr>
              <w:t xml:space="preserve"> komunikim të vazhdueshëm me të gjithë palët e interesuara, ofron këshilla dhe edukon për rreziqet e këtij ndotësi "të padukshëm" të rrezikshëm për shëndetin tonë.</w:t>
            </w:r>
          </w:p>
        </w:tc>
      </w:tr>
    </w:tbl>
    <w:p w14:paraId="33904C2F" w14:textId="77777777" w:rsidR="00BD6209" w:rsidRPr="00FB1050" w:rsidRDefault="00BD6209">
      <w:pPr>
        <w:rPr>
          <w:lang w:val="sq-AL"/>
        </w:rPr>
      </w:pPr>
    </w:p>
    <w:sectPr w:rsidR="00BD6209" w:rsidRPr="00FB1050">
      <w:head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CC1DD" w14:textId="77777777" w:rsidR="00AB65BF" w:rsidRDefault="00AB65BF">
      <w:pPr>
        <w:spacing w:after="0" w:line="240" w:lineRule="auto"/>
      </w:pPr>
      <w:r>
        <w:separator/>
      </w:r>
    </w:p>
  </w:endnote>
  <w:endnote w:type="continuationSeparator" w:id="0">
    <w:p w14:paraId="7EB8D69B" w14:textId="77777777" w:rsidR="00AB65BF" w:rsidRDefault="00AB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AD011" w14:textId="77777777" w:rsidR="00AB65BF" w:rsidRDefault="00AB65BF">
      <w:pPr>
        <w:spacing w:after="0" w:line="240" w:lineRule="auto"/>
      </w:pPr>
      <w:r>
        <w:separator/>
      </w:r>
    </w:p>
  </w:footnote>
  <w:footnote w:type="continuationSeparator" w:id="0">
    <w:p w14:paraId="21070B58" w14:textId="77777777" w:rsidR="00AB65BF" w:rsidRDefault="00AB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03D7" w14:textId="6C6A6DCE" w:rsidR="00BD6209" w:rsidRDefault="00FB10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3059E5" wp14:editId="5E04C916">
          <wp:simplePos x="0" y="0"/>
          <wp:positionH relativeFrom="margin">
            <wp:align>center</wp:align>
          </wp:positionH>
          <wp:positionV relativeFrom="paragraph">
            <wp:posOffset>-333324</wp:posOffset>
          </wp:positionV>
          <wp:extent cx="3182112" cy="576095"/>
          <wp:effectExtent l="0" t="0" r="0" b="0"/>
          <wp:wrapNone/>
          <wp:docPr id="257214632" name="Picture 1" descr="A logo with text below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14632" name="Picture 1" descr="A logo with text below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112" cy="5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03FB"/>
    <w:multiLevelType w:val="hybridMultilevel"/>
    <w:tmpl w:val="C93CB85E"/>
    <w:lvl w:ilvl="0" w:tplc="535EBD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95343"/>
    <w:multiLevelType w:val="hybridMultilevel"/>
    <w:tmpl w:val="F7C8488A"/>
    <w:lvl w:ilvl="0" w:tplc="3FACF4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7D52"/>
    <w:multiLevelType w:val="hybridMultilevel"/>
    <w:tmpl w:val="D1181776"/>
    <w:lvl w:ilvl="0" w:tplc="7B4230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93068"/>
    <w:multiLevelType w:val="hybridMultilevel"/>
    <w:tmpl w:val="BA0E2C08"/>
    <w:lvl w:ilvl="0" w:tplc="79E4B482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81680"/>
    <w:multiLevelType w:val="hybridMultilevel"/>
    <w:tmpl w:val="CEECF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436A1"/>
    <w:multiLevelType w:val="hybridMultilevel"/>
    <w:tmpl w:val="DD70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17B07"/>
    <w:multiLevelType w:val="hybridMultilevel"/>
    <w:tmpl w:val="2C9A6004"/>
    <w:lvl w:ilvl="0" w:tplc="3FACF4E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E1482"/>
    <w:multiLevelType w:val="multilevel"/>
    <w:tmpl w:val="FC0AB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EC5B9C"/>
    <w:multiLevelType w:val="hybridMultilevel"/>
    <w:tmpl w:val="803AA0EC"/>
    <w:lvl w:ilvl="0" w:tplc="7B4230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B0AF0"/>
    <w:multiLevelType w:val="hybridMultilevel"/>
    <w:tmpl w:val="391C6B88"/>
    <w:lvl w:ilvl="0" w:tplc="535EBDF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36B31"/>
    <w:multiLevelType w:val="hybridMultilevel"/>
    <w:tmpl w:val="0D782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97"/>
    <w:rsid w:val="000408AC"/>
    <w:rsid w:val="00057D1D"/>
    <w:rsid w:val="000614FC"/>
    <w:rsid w:val="0006765E"/>
    <w:rsid w:val="00071C36"/>
    <w:rsid w:val="00080230"/>
    <w:rsid w:val="00087A63"/>
    <w:rsid w:val="000A422A"/>
    <w:rsid w:val="000B1FBF"/>
    <w:rsid w:val="000B2564"/>
    <w:rsid w:val="000C573E"/>
    <w:rsid w:val="000D6251"/>
    <w:rsid w:val="00102BD9"/>
    <w:rsid w:val="00141625"/>
    <w:rsid w:val="00145B68"/>
    <w:rsid w:val="001549DF"/>
    <w:rsid w:val="001769E8"/>
    <w:rsid w:val="00191D7E"/>
    <w:rsid w:val="001C6AD7"/>
    <w:rsid w:val="0020212A"/>
    <w:rsid w:val="00210948"/>
    <w:rsid w:val="002221F4"/>
    <w:rsid w:val="002228F5"/>
    <w:rsid w:val="00260DA8"/>
    <w:rsid w:val="00291670"/>
    <w:rsid w:val="002A5EE9"/>
    <w:rsid w:val="002C092F"/>
    <w:rsid w:val="002F4F10"/>
    <w:rsid w:val="0031244F"/>
    <w:rsid w:val="00316C01"/>
    <w:rsid w:val="00333AAC"/>
    <w:rsid w:val="003633FD"/>
    <w:rsid w:val="003B29F5"/>
    <w:rsid w:val="003C083C"/>
    <w:rsid w:val="003C1E00"/>
    <w:rsid w:val="003E0BA7"/>
    <w:rsid w:val="003E32DF"/>
    <w:rsid w:val="003E723A"/>
    <w:rsid w:val="003F3B78"/>
    <w:rsid w:val="00400967"/>
    <w:rsid w:val="00425C50"/>
    <w:rsid w:val="00427111"/>
    <w:rsid w:val="00456B74"/>
    <w:rsid w:val="004B029E"/>
    <w:rsid w:val="004B5E6E"/>
    <w:rsid w:val="004C12F1"/>
    <w:rsid w:val="004C19DA"/>
    <w:rsid w:val="004D7116"/>
    <w:rsid w:val="004F1B1B"/>
    <w:rsid w:val="004F1BB7"/>
    <w:rsid w:val="004F5398"/>
    <w:rsid w:val="005129A8"/>
    <w:rsid w:val="00512EBC"/>
    <w:rsid w:val="00522BFB"/>
    <w:rsid w:val="005367E9"/>
    <w:rsid w:val="00553336"/>
    <w:rsid w:val="00561F29"/>
    <w:rsid w:val="00582B5E"/>
    <w:rsid w:val="00591F30"/>
    <w:rsid w:val="00592C26"/>
    <w:rsid w:val="005B23FB"/>
    <w:rsid w:val="005E0F25"/>
    <w:rsid w:val="005E26C2"/>
    <w:rsid w:val="005E4B3B"/>
    <w:rsid w:val="005F6AED"/>
    <w:rsid w:val="00602C35"/>
    <w:rsid w:val="00632131"/>
    <w:rsid w:val="00651FF8"/>
    <w:rsid w:val="00657219"/>
    <w:rsid w:val="00661295"/>
    <w:rsid w:val="00665746"/>
    <w:rsid w:val="006672C1"/>
    <w:rsid w:val="006932EE"/>
    <w:rsid w:val="006A2CF6"/>
    <w:rsid w:val="006A4CC4"/>
    <w:rsid w:val="006B78CB"/>
    <w:rsid w:val="006E5133"/>
    <w:rsid w:val="006F25E3"/>
    <w:rsid w:val="006F5190"/>
    <w:rsid w:val="0071265D"/>
    <w:rsid w:val="00730CDC"/>
    <w:rsid w:val="00734053"/>
    <w:rsid w:val="00754564"/>
    <w:rsid w:val="00754A01"/>
    <w:rsid w:val="00756026"/>
    <w:rsid w:val="00772693"/>
    <w:rsid w:val="0079051E"/>
    <w:rsid w:val="0080602E"/>
    <w:rsid w:val="0084355C"/>
    <w:rsid w:val="00872996"/>
    <w:rsid w:val="00890BFB"/>
    <w:rsid w:val="008B5482"/>
    <w:rsid w:val="008C68B9"/>
    <w:rsid w:val="008D7B33"/>
    <w:rsid w:val="008E389D"/>
    <w:rsid w:val="0091069D"/>
    <w:rsid w:val="0092745A"/>
    <w:rsid w:val="00930CBD"/>
    <w:rsid w:val="00941DF0"/>
    <w:rsid w:val="00956FF5"/>
    <w:rsid w:val="009741B0"/>
    <w:rsid w:val="00976B8E"/>
    <w:rsid w:val="0098056B"/>
    <w:rsid w:val="00984C31"/>
    <w:rsid w:val="009974B7"/>
    <w:rsid w:val="009C4B1C"/>
    <w:rsid w:val="009F1B0A"/>
    <w:rsid w:val="00A84254"/>
    <w:rsid w:val="00A9067A"/>
    <w:rsid w:val="00AA7081"/>
    <w:rsid w:val="00AB0819"/>
    <w:rsid w:val="00AB65BF"/>
    <w:rsid w:val="00AC1927"/>
    <w:rsid w:val="00AD3C11"/>
    <w:rsid w:val="00B01C92"/>
    <w:rsid w:val="00B02780"/>
    <w:rsid w:val="00B82C38"/>
    <w:rsid w:val="00BA5B4F"/>
    <w:rsid w:val="00BB046D"/>
    <w:rsid w:val="00BB5018"/>
    <w:rsid w:val="00BB7586"/>
    <w:rsid w:val="00BC367A"/>
    <w:rsid w:val="00BC3F47"/>
    <w:rsid w:val="00BC40DB"/>
    <w:rsid w:val="00BD4BB1"/>
    <w:rsid w:val="00BD6209"/>
    <w:rsid w:val="00BF7008"/>
    <w:rsid w:val="00C356B4"/>
    <w:rsid w:val="00C41130"/>
    <w:rsid w:val="00C4121D"/>
    <w:rsid w:val="00C42130"/>
    <w:rsid w:val="00C52100"/>
    <w:rsid w:val="00C57F0C"/>
    <w:rsid w:val="00C678E6"/>
    <w:rsid w:val="00C92AFC"/>
    <w:rsid w:val="00CB0F90"/>
    <w:rsid w:val="00CC6297"/>
    <w:rsid w:val="00CC7AB0"/>
    <w:rsid w:val="00CE3716"/>
    <w:rsid w:val="00CF0D22"/>
    <w:rsid w:val="00CF3BEC"/>
    <w:rsid w:val="00CF7732"/>
    <w:rsid w:val="00D258F1"/>
    <w:rsid w:val="00D471E7"/>
    <w:rsid w:val="00D475E9"/>
    <w:rsid w:val="00D5294E"/>
    <w:rsid w:val="00D718A7"/>
    <w:rsid w:val="00D77F96"/>
    <w:rsid w:val="00D831C2"/>
    <w:rsid w:val="00DD5212"/>
    <w:rsid w:val="00DD72DA"/>
    <w:rsid w:val="00DE0C88"/>
    <w:rsid w:val="00E06636"/>
    <w:rsid w:val="00E556E7"/>
    <w:rsid w:val="00EC0C9C"/>
    <w:rsid w:val="00EC275B"/>
    <w:rsid w:val="00EC4FA8"/>
    <w:rsid w:val="00ED539F"/>
    <w:rsid w:val="00EE1EEB"/>
    <w:rsid w:val="00EE4FB3"/>
    <w:rsid w:val="00F107BB"/>
    <w:rsid w:val="00F139ED"/>
    <w:rsid w:val="00F333D6"/>
    <w:rsid w:val="00F65B2A"/>
    <w:rsid w:val="00F65D99"/>
    <w:rsid w:val="00F77CB7"/>
    <w:rsid w:val="00F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D929"/>
  <w15:chartTrackingRefBased/>
  <w15:docId w15:val="{AEB23E7C-9A61-4148-AEC0-FAEA73DC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297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297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297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297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29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297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297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297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297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29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CC6297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297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297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297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297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297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297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297"/>
    <w:rPr>
      <w:b/>
      <w:smallCaps/>
      <w:color w:val="0F4761" w:themeColor="accent1" w:themeShade="BF"/>
    </w:rPr>
  </w:style>
  <w:style w:type="table" w:styleId="TableGrid">
    <w:name w:val="Table Grid"/>
    <w:basedOn w:val="TableNormal"/>
    <w:uiPriority w:val="39"/>
    <w:rsid w:val="00CC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97"/>
  </w:style>
  <w:style w:type="paragraph" w:styleId="Footer">
    <w:name w:val="footer"/>
    <w:basedOn w:val="Normal"/>
    <w:link w:val="FooterChar"/>
    <w:uiPriority w:val="99"/>
    <w:unhideWhenUsed/>
    <w:rsid w:val="00CC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97"/>
  </w:style>
  <w:style w:type="character" w:styleId="Hyperlink">
    <w:name w:val="Hyperlink"/>
    <w:basedOn w:val="DefaultParagraphFont"/>
    <w:uiPriority w:val="99"/>
    <w:unhideWhenUsed/>
    <w:rsid w:val="00191D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D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4B3B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3B"/>
    <w:pPr>
      <w:spacing w:line="240" w:lineRule="auto"/>
    </w:pPr>
    <w:rPr>
      <w:rFonts w:ascii="Calibri" w:eastAsia="Calibri" w:hAnsi="Calibri" w:cs="Calibri"/>
      <w:kern w:val="0"/>
      <w:sz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3B"/>
    <w:rPr>
      <w:rFonts w:ascii="Calibri" w:eastAsia="Calibri" w:hAnsi="Calibri" w:cs="Calibri"/>
      <w:kern w:val="0"/>
      <w:sz w:val="20"/>
      <w14:ligatures w14:val="none"/>
    </w:rPr>
  </w:style>
  <w:style w:type="paragraph" w:customStyle="1" w:styleId="Default">
    <w:name w:val="Default"/>
    <w:rsid w:val="000A422A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kern w:val="0"/>
      <w:sz w:val="24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Heading22">
    <w:name w:val="P68B1DB1-Heading22"/>
    <w:basedOn w:val="Heading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CB7BE3F8A9B54B85DA28799491BE66" ma:contentTypeVersion="19" ma:contentTypeDescription="Создадете нов документ." ma:contentTypeScope="" ma:versionID="20f0fd5ed14d7df36b6573a99eb49f10">
  <xsd:schema xmlns:xsd="http://www.w3.org/2001/XMLSchema" xmlns:xs="http://www.w3.org/2001/XMLSchema" xmlns:p="http://schemas.microsoft.com/office/2006/metadata/properties" xmlns:ns2="3be21822-585e-40dd-959c-3d9b4b9581f8" xmlns:ns3="911f9c8c-cbe6-4f2d-8501-6c6016eea48b" xmlns:ns4="ca283e0b-db31-4043-a2ef-b80661bf084a" targetNamespace="http://schemas.microsoft.com/office/2006/metadata/properties" ma:root="true" ma:fieldsID="575422703b4e4f5cf976f487d205be57" ns2:_="" ns3:_="" ns4:_="">
    <xsd:import namespace="3be21822-585e-40dd-959c-3d9b4b9581f8"/>
    <xsd:import namespace="911f9c8c-cbe6-4f2d-8501-6c6016eea48b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1822-585e-40dd-959c-3d9b4b958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о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о со Детал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9c8c-cbe6-4f2d-8501-6c6016ee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2ed319-bfc7-48f5-9844-e938e7e9504d}" ma:internalName="TaxCatchAll" ma:showField="CatchAllData" ma:web="3be21822-585e-40dd-959c-3d9b4b958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911f9c8c-cbe6-4f2d-8501-6c6016eea4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AA5F-442C-412E-9A65-470340BC77C8}"/>
</file>

<file path=customXml/itemProps2.xml><?xml version="1.0" encoding="utf-8"?>
<ds:datastoreItem xmlns:ds="http://schemas.openxmlformats.org/officeDocument/2006/customXml" ds:itemID="{AA79020C-5BFC-430D-A4E5-14AA83AA12EF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911f9c8c-cbe6-4f2d-8501-6c6016eea48b"/>
  </ds:schemaRefs>
</ds:datastoreItem>
</file>

<file path=customXml/itemProps3.xml><?xml version="1.0" encoding="utf-8"?>
<ds:datastoreItem xmlns:ds="http://schemas.openxmlformats.org/officeDocument/2006/customXml" ds:itemID="{90F09624-CC7F-460F-B89D-3D083F1B8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FCFE8-D5B4-4A4F-A69F-1D7EA1FC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 Pucoski</dc:creator>
  <cp:keywords/>
  <dc:description/>
  <cp:lastModifiedBy>Emine Dehari</cp:lastModifiedBy>
  <cp:revision>3</cp:revision>
  <dcterms:created xsi:type="dcterms:W3CDTF">2025-12-18T10:51:00Z</dcterms:created>
  <dcterms:modified xsi:type="dcterms:W3CDTF">2025-12-18T10:52:00Z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0x010100D3CB7BE3F8A9B54B85DA28799491BE66</vt:lpwstr>
  </property>
  <property fmtid="{D5CDD505-2E9C-101B-9397-08002B2CF9AE}" pid="3" name="docLang">
    <vt:lpwstr>sq</vt:lpwstr>
  </property>
  <property fmtid="{D5CDD505-2E9C-101B-9397-08002B2CF9AE}" pid="4" name="MediaServiceImageTags">
    <vt:lpwstr/>
  </property>
</Properties>
</file>