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02"/>
        <w:gridCol w:w="7655"/>
        <w:gridCol w:w="3333"/>
      </w:tblGrid>
      <w:tr w:rsidR="00102BD9" w:rsidRPr="00651FF8" w14:paraId="6D172FAF" w14:textId="2401F667" w:rsidTr="0084355C">
        <w:tc>
          <w:tcPr>
            <w:tcW w:w="14390" w:type="dxa"/>
            <w:gridSpan w:val="3"/>
            <w:tcBorders>
              <w:top w:val="nil"/>
              <w:left w:val="nil"/>
              <w:bottom w:val="single" w:sz="4" w:space="0" w:color="auto"/>
              <w:right w:val="nil"/>
            </w:tcBorders>
          </w:tcPr>
          <w:p w14:paraId="7A568F94" w14:textId="62D4F878" w:rsidR="00102BD9" w:rsidRPr="00651FF8" w:rsidRDefault="003633FD" w:rsidP="003C083C">
            <w:pPr>
              <w:pStyle w:val="Heading1"/>
              <w:spacing w:before="0"/>
              <w:jc w:val="center"/>
              <w:rPr>
                <w:lang w:val="mk-MK"/>
              </w:rPr>
            </w:pPr>
            <w:r w:rsidRPr="00651FF8">
              <w:rPr>
                <w:lang w:val="mk-MK"/>
              </w:rPr>
              <w:t>Добри практики за подобрување на</w:t>
            </w:r>
            <w:r w:rsidR="00102BD9" w:rsidRPr="00651FF8">
              <w:rPr>
                <w:lang w:val="mk-MK"/>
              </w:rPr>
              <w:t xml:space="preserve"> возду</w:t>
            </w:r>
            <w:r w:rsidR="006E5133" w:rsidRPr="00651FF8">
              <w:rPr>
                <w:lang w:val="mk-MK"/>
              </w:rPr>
              <w:t>х</w:t>
            </w:r>
            <w:r w:rsidRPr="00651FF8">
              <w:rPr>
                <w:lang w:val="mk-MK"/>
              </w:rPr>
              <w:t>от внатре во училиштето</w:t>
            </w:r>
          </w:p>
        </w:tc>
      </w:tr>
      <w:tr w:rsidR="00CC7AB0" w:rsidRPr="00651FF8" w14:paraId="259AC845" w14:textId="65CF0983" w:rsidTr="0084355C">
        <w:tc>
          <w:tcPr>
            <w:tcW w:w="14390" w:type="dxa"/>
            <w:gridSpan w:val="3"/>
            <w:tcBorders>
              <w:top w:val="single" w:sz="4" w:space="0" w:color="auto"/>
              <w:left w:val="single" w:sz="4" w:space="0" w:color="auto"/>
              <w:bottom w:val="single" w:sz="4" w:space="0" w:color="auto"/>
              <w:right w:val="single" w:sz="4" w:space="0" w:color="auto"/>
            </w:tcBorders>
            <w:shd w:val="clear" w:color="auto" w:fill="EEF7FC"/>
            <w:vAlign w:val="center"/>
          </w:tcPr>
          <w:p w14:paraId="4B807191" w14:textId="2F384C6B" w:rsidR="006F25E3" w:rsidRPr="00651FF8" w:rsidRDefault="00CC7AB0" w:rsidP="0084355C">
            <w:pPr>
              <w:jc w:val="center"/>
              <w:rPr>
                <w:b/>
                <w:bCs/>
                <w:lang w:val="mk-MK"/>
              </w:rPr>
            </w:pPr>
            <w:r w:rsidRPr="00651FF8">
              <w:rPr>
                <w:b/>
                <w:bCs/>
                <w:lang w:val="mk-MK"/>
              </w:rPr>
              <w:t>Загадувањето на воздухот во затворени простории понекогаш може да биде полошо од надворешното ако не преземеме мерки.</w:t>
            </w:r>
          </w:p>
          <w:p w14:paraId="52ACE465" w14:textId="1A1FA818" w:rsidR="00CC7AB0" w:rsidRPr="00651FF8" w:rsidRDefault="00CC7AB0" w:rsidP="006F25E3">
            <w:pPr>
              <w:jc w:val="both"/>
              <w:rPr>
                <w:lang w:val="mk-MK"/>
              </w:rPr>
            </w:pPr>
            <w:r w:rsidRPr="00651FF8">
              <w:rPr>
                <w:lang w:val="mk-MK"/>
              </w:rPr>
              <w:t>Покрај загадувањето што може да дојде однадвор, воздухот во затворени простории може да биде загаден од извори како хемикалии, испарувања, нечистотија и прашина, пушење (</w:t>
            </w:r>
            <w:r w:rsidRPr="00651FF8">
              <w:rPr>
                <w:u w:val="single"/>
                <w:lang w:val="mk-MK"/>
              </w:rPr>
              <w:t>вклучително и електронски цигари</w:t>
            </w:r>
            <w:r w:rsidRPr="00651FF8">
              <w:rPr>
                <w:lang w:val="mk-MK"/>
              </w:rPr>
              <w:t>), радон и биолошки загадувачи како што се мувла, штетници, бактерии и вируси. Овие загадувачи можат да го влошат квалитетот на воздухот во затворени простории во услови на слаба вентилација/филтрација и несоодветна температура и влажност а со тоа, да имаат директни последици по здравјето на луѓето кои престојуваат во тие простории.</w:t>
            </w:r>
          </w:p>
        </w:tc>
      </w:tr>
      <w:tr w:rsidR="006A4CC4" w:rsidRPr="00651FF8" w14:paraId="554CF2E9" w14:textId="77777777" w:rsidTr="0084355C">
        <w:tc>
          <w:tcPr>
            <w:tcW w:w="14390" w:type="dxa"/>
            <w:gridSpan w:val="3"/>
            <w:tcBorders>
              <w:top w:val="single" w:sz="4" w:space="0" w:color="auto"/>
              <w:left w:val="nil"/>
              <w:bottom w:val="nil"/>
              <w:right w:val="nil"/>
            </w:tcBorders>
            <w:vAlign w:val="center"/>
          </w:tcPr>
          <w:p w14:paraId="15861E81" w14:textId="77777777" w:rsidR="006A4CC4" w:rsidRPr="00651FF8" w:rsidRDefault="006A4CC4" w:rsidP="006F25E3">
            <w:pPr>
              <w:jc w:val="both"/>
              <w:rPr>
                <w:b/>
                <w:bCs/>
                <w:lang w:val="mk-MK"/>
              </w:rPr>
            </w:pPr>
          </w:p>
        </w:tc>
      </w:tr>
      <w:tr w:rsidR="006A4CC4" w:rsidRPr="00651FF8" w14:paraId="244ABE0A" w14:textId="77777777" w:rsidTr="00427111">
        <w:trPr>
          <w:trHeight w:val="3288"/>
        </w:trPr>
        <w:tc>
          <w:tcPr>
            <w:tcW w:w="11057" w:type="dxa"/>
            <w:gridSpan w:val="2"/>
            <w:tcBorders>
              <w:top w:val="single" w:sz="4" w:space="0" w:color="auto"/>
              <w:left w:val="single" w:sz="4" w:space="0" w:color="auto"/>
              <w:bottom w:val="single" w:sz="4" w:space="0" w:color="auto"/>
              <w:right w:val="single" w:sz="4" w:space="0" w:color="auto"/>
            </w:tcBorders>
            <w:shd w:val="clear" w:color="auto" w:fill="FFFFF3"/>
            <w:vAlign w:val="center"/>
          </w:tcPr>
          <w:p w14:paraId="299847EF" w14:textId="7A234463" w:rsidR="006A4CC4" w:rsidRPr="00BC40DB" w:rsidRDefault="00CE3716" w:rsidP="00BC40DB">
            <w:pPr>
              <w:pStyle w:val="ListParagraph"/>
              <w:numPr>
                <w:ilvl w:val="0"/>
                <w:numId w:val="10"/>
              </w:numPr>
              <w:jc w:val="both"/>
              <w:rPr>
                <w:lang w:val="mk-MK"/>
              </w:rPr>
            </w:pPr>
            <w:r>
              <w:rPr>
                <w:noProof/>
                <w:lang w:val="mk-MK"/>
              </w:rPr>
              <w:drawing>
                <wp:anchor distT="0" distB="0" distL="114300" distR="114300" simplePos="0" relativeHeight="251664384" behindDoc="0" locked="0" layoutInCell="1" allowOverlap="1" wp14:anchorId="3509C174" wp14:editId="2054AEE3">
                  <wp:simplePos x="0" y="0"/>
                  <wp:positionH relativeFrom="column">
                    <wp:posOffset>6395720</wp:posOffset>
                  </wp:positionH>
                  <wp:positionV relativeFrom="paragraph">
                    <wp:posOffset>534670</wp:posOffset>
                  </wp:positionV>
                  <wp:extent cx="359410" cy="359410"/>
                  <wp:effectExtent l="0" t="0" r="2540" b="2540"/>
                  <wp:wrapNone/>
                  <wp:docPr id="3307394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mk-MK"/>
              </w:rPr>
              <w:drawing>
                <wp:anchor distT="0" distB="0" distL="114300" distR="114300" simplePos="0" relativeHeight="251663360" behindDoc="0" locked="0" layoutInCell="1" allowOverlap="1" wp14:anchorId="39828F65" wp14:editId="50222201">
                  <wp:simplePos x="0" y="0"/>
                  <wp:positionH relativeFrom="column">
                    <wp:posOffset>5870575</wp:posOffset>
                  </wp:positionH>
                  <wp:positionV relativeFrom="paragraph">
                    <wp:posOffset>521335</wp:posOffset>
                  </wp:positionV>
                  <wp:extent cx="359410" cy="359410"/>
                  <wp:effectExtent l="0" t="0" r="2540" b="2540"/>
                  <wp:wrapNone/>
                  <wp:docPr id="1947330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mk-MK"/>
              </w:rPr>
              <w:drawing>
                <wp:anchor distT="0" distB="0" distL="114300" distR="114300" simplePos="0" relativeHeight="251662336" behindDoc="0" locked="0" layoutInCell="1" allowOverlap="1" wp14:anchorId="7E26D595" wp14:editId="5976909D">
                  <wp:simplePos x="0" y="0"/>
                  <wp:positionH relativeFrom="column">
                    <wp:posOffset>5363845</wp:posOffset>
                  </wp:positionH>
                  <wp:positionV relativeFrom="paragraph">
                    <wp:posOffset>523875</wp:posOffset>
                  </wp:positionV>
                  <wp:extent cx="359410" cy="359410"/>
                  <wp:effectExtent l="0" t="0" r="2540" b="2540"/>
                  <wp:wrapNone/>
                  <wp:docPr id="2071950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6A4CC4" w:rsidRPr="00BC40DB">
              <w:rPr>
                <w:lang w:val="mk-MK"/>
              </w:rPr>
              <w:t xml:space="preserve">Безбедно складирајте хемикалии, надвор од дофат на деца, следејќи ги правилата за заштита од истекување, соодветна температура и вентилација. Доколку имате услови складирајте ги средствата за чистење и опремата надвор или во добро проветрена просторија. </w:t>
            </w:r>
          </w:p>
          <w:p w14:paraId="4BFB1445" w14:textId="2C0FEDD1" w:rsidR="00456B74" w:rsidRPr="008C68B9" w:rsidRDefault="006A4CC4" w:rsidP="005B23FB">
            <w:pPr>
              <w:pStyle w:val="ListParagraph"/>
              <w:numPr>
                <w:ilvl w:val="0"/>
                <w:numId w:val="10"/>
              </w:numPr>
              <w:rPr>
                <w:lang w:val="mk-MK"/>
              </w:rPr>
            </w:pPr>
            <w:r w:rsidRPr="008C68B9">
              <w:rPr>
                <w:lang w:val="mk-MK"/>
              </w:rPr>
              <w:t>При набавка на средства за чистење бирајте некои со ниска токсичност</w:t>
            </w:r>
            <w:r w:rsidR="00734053" w:rsidRPr="008C68B9">
              <w:rPr>
                <w:lang w:val="mk-MK"/>
              </w:rPr>
              <w:t xml:space="preserve">. </w:t>
            </w:r>
            <w:r w:rsidR="00CE3716">
              <w:rPr>
                <w:lang w:val="mk-MK"/>
              </w:rPr>
              <w:br/>
            </w:r>
            <w:r w:rsidR="00734053" w:rsidRPr="008C68B9">
              <w:rPr>
                <w:lang w:val="mk-MK"/>
              </w:rPr>
              <w:t xml:space="preserve">Доколку е возможно </w:t>
            </w:r>
            <w:r w:rsidR="00D718A7" w:rsidRPr="008C68B9">
              <w:rPr>
                <w:lang w:val="mk-MK"/>
              </w:rPr>
              <w:t xml:space="preserve">избегнувајте ги средствата на кои </w:t>
            </w:r>
            <w:r w:rsidR="00456B74" w:rsidRPr="008C68B9">
              <w:rPr>
                <w:lang w:val="mk-MK"/>
              </w:rPr>
              <w:t>ги има овие симболи</w:t>
            </w:r>
            <w:r w:rsidR="00734053" w:rsidRPr="008C68B9">
              <w:rPr>
                <w:lang w:val="mk-MK"/>
              </w:rPr>
              <w:t>:</w:t>
            </w:r>
            <w:r w:rsidR="000D6251" w:rsidRPr="008C68B9">
              <w:rPr>
                <w:lang w:val="mk-MK"/>
              </w:rPr>
              <w:t xml:space="preserve">                    </w:t>
            </w:r>
          </w:p>
          <w:p w14:paraId="44CC144F" w14:textId="77777777" w:rsidR="004F5398" w:rsidRPr="00BC40DB" w:rsidRDefault="004F5398" w:rsidP="004F5398">
            <w:pPr>
              <w:pStyle w:val="ListParagraph"/>
              <w:numPr>
                <w:ilvl w:val="0"/>
                <w:numId w:val="10"/>
              </w:numPr>
              <w:jc w:val="both"/>
              <w:rPr>
                <w:lang w:val="mk-MK"/>
              </w:rPr>
            </w:pPr>
            <w:r w:rsidRPr="00BC40DB">
              <w:rPr>
                <w:lang w:val="mk-MK"/>
              </w:rPr>
              <w:t xml:space="preserve">Сите хемикалии </w:t>
            </w:r>
            <w:r>
              <w:rPr>
                <w:lang w:val="mk-MK"/>
              </w:rPr>
              <w:t>кои ги содржат симболите прикажани погоре</w:t>
            </w:r>
            <w:r w:rsidRPr="00BC40DB">
              <w:rPr>
                <w:lang w:val="mk-MK"/>
              </w:rPr>
              <w:t xml:space="preserve"> не треба да се користат кога децата се присутни, а просторијата треба добро да се проветри пред повторно влегување.</w:t>
            </w:r>
          </w:p>
          <w:p w14:paraId="408CA924" w14:textId="4E40693B" w:rsidR="006A4CC4" w:rsidRPr="000D6251" w:rsidRDefault="000D6251" w:rsidP="00BC40DB">
            <w:pPr>
              <w:pStyle w:val="ListParagraph"/>
              <w:numPr>
                <w:ilvl w:val="0"/>
                <w:numId w:val="10"/>
              </w:numPr>
              <w:jc w:val="both"/>
              <w:rPr>
                <w:lang w:val="mk-MK"/>
              </w:rPr>
            </w:pPr>
            <w:r w:rsidRPr="000D6251">
              <w:rPr>
                <w:lang w:val="mk-MK"/>
              </w:rPr>
              <w:t>К</w:t>
            </w:r>
            <w:r w:rsidR="006A4CC4" w:rsidRPr="000D6251">
              <w:rPr>
                <w:lang w:val="mk-MK"/>
              </w:rPr>
              <w:t xml:space="preserve">упувајте </w:t>
            </w:r>
            <w:r w:rsidRPr="000D6251">
              <w:rPr>
                <w:lang w:val="mk-MK"/>
              </w:rPr>
              <w:t xml:space="preserve">средства за чистење </w:t>
            </w:r>
            <w:r w:rsidR="006A4CC4" w:rsidRPr="000D6251">
              <w:rPr>
                <w:lang w:val="mk-MK"/>
              </w:rPr>
              <w:t>во помали количини за да избегнете складирање на големи количини долго време</w:t>
            </w:r>
            <w:r w:rsidRPr="000D6251">
              <w:rPr>
                <w:lang w:val="mk-MK"/>
              </w:rPr>
              <w:t xml:space="preserve"> и </w:t>
            </w:r>
            <w:r>
              <w:rPr>
                <w:lang w:val="mk-MK"/>
              </w:rPr>
              <w:t>и</w:t>
            </w:r>
            <w:r w:rsidR="006A4CC4" w:rsidRPr="000D6251">
              <w:rPr>
                <w:lang w:val="mk-MK"/>
              </w:rPr>
              <w:t>збегнувајте да користите висока концентрација од средствата при чистењето за да го намалите изложувањето на штетни испарувања.</w:t>
            </w:r>
            <w:r w:rsidR="004B5E6E" w:rsidRPr="000D6251">
              <w:rPr>
                <w:lang w:val="mk-MK"/>
              </w:rPr>
              <w:t xml:space="preserve"> </w:t>
            </w:r>
            <w:r w:rsidR="006A4CC4" w:rsidRPr="000D6251">
              <w:rPr>
                <w:lang w:val="mk-MK"/>
              </w:rPr>
              <w:t>Никогаш не мешајте хемикалии освен ако не е специјално дозволено на етикетата.</w:t>
            </w:r>
          </w:p>
          <w:p w14:paraId="4AA8B896" w14:textId="6ABCEAA8" w:rsidR="006A4CC4" w:rsidRPr="00BC40DB" w:rsidRDefault="006A4CC4" w:rsidP="00BC40DB">
            <w:pPr>
              <w:pStyle w:val="ListParagraph"/>
              <w:numPr>
                <w:ilvl w:val="0"/>
                <w:numId w:val="10"/>
              </w:numPr>
              <w:jc w:val="both"/>
              <w:rPr>
                <w:b/>
                <w:bCs/>
                <w:lang w:val="mk-MK"/>
              </w:rPr>
            </w:pPr>
            <w:r w:rsidRPr="00BC40DB">
              <w:rPr>
                <w:lang w:val="mk-MK"/>
              </w:rPr>
              <w:t xml:space="preserve">Кога нарачувате </w:t>
            </w:r>
            <w:r w:rsidR="000408AC">
              <w:rPr>
                <w:lang w:val="mk-MK"/>
              </w:rPr>
              <w:t>средства за чистење</w:t>
            </w:r>
            <w:r w:rsidRPr="00BC40DB">
              <w:rPr>
                <w:lang w:val="mk-MK"/>
              </w:rPr>
              <w:t xml:space="preserve">, разгледајте опции без </w:t>
            </w:r>
            <w:r w:rsidR="002A5EE9">
              <w:rPr>
                <w:lang w:val="mk-MK"/>
              </w:rPr>
              <w:t xml:space="preserve">вештачки </w:t>
            </w:r>
            <w:r w:rsidRPr="00BC40DB">
              <w:rPr>
                <w:lang w:val="mk-MK"/>
              </w:rPr>
              <w:t>мирис</w:t>
            </w:r>
            <w:r w:rsidR="002A5EE9">
              <w:rPr>
                <w:lang w:val="mk-MK"/>
              </w:rPr>
              <w:t>и</w:t>
            </w:r>
            <w:r w:rsidR="00C42130">
              <w:rPr>
                <w:lang w:val="mk-MK"/>
              </w:rPr>
              <w:t>, и не користете про</w:t>
            </w:r>
            <w:r w:rsidR="009C4B1C">
              <w:rPr>
                <w:lang w:val="mk-MK"/>
              </w:rPr>
              <w:t>изводи</w:t>
            </w:r>
            <w:r w:rsidR="002A5EE9">
              <w:rPr>
                <w:lang w:val="mk-MK"/>
              </w:rPr>
              <w:t xml:space="preserve"> кои</w:t>
            </w:r>
            <w:r w:rsidRPr="00BC40DB">
              <w:rPr>
                <w:lang w:val="mk-MK"/>
              </w:rPr>
              <w:t xml:space="preserve"> можат да бидат предизвикувачи на астма </w:t>
            </w:r>
            <w:r w:rsidR="000408AC">
              <w:rPr>
                <w:lang w:val="mk-MK"/>
              </w:rPr>
              <w:t>или респираторни иритации</w:t>
            </w:r>
            <w:r w:rsidRPr="00BC40DB">
              <w:rPr>
                <w:lang w:val="mk-MK"/>
              </w:rPr>
              <w:t>. Не користете освежувачи на воздух или миризливи свеќи.</w:t>
            </w:r>
          </w:p>
        </w:tc>
        <w:tc>
          <w:tcPr>
            <w:tcW w:w="3333" w:type="dxa"/>
            <w:tcBorders>
              <w:top w:val="single" w:sz="4" w:space="0" w:color="auto"/>
              <w:left w:val="single" w:sz="4" w:space="0" w:color="auto"/>
              <w:bottom w:val="single" w:sz="4" w:space="0" w:color="auto"/>
              <w:right w:val="single" w:sz="4" w:space="0" w:color="auto"/>
            </w:tcBorders>
            <w:shd w:val="clear" w:color="auto" w:fill="FFFFF3"/>
            <w:vAlign w:val="center"/>
          </w:tcPr>
          <w:p w14:paraId="1CB69A50" w14:textId="48B596C9" w:rsidR="006A4CC4" w:rsidRPr="00651FF8" w:rsidRDefault="006A4CC4" w:rsidP="006F25E3">
            <w:pPr>
              <w:jc w:val="both"/>
              <w:rPr>
                <w:b/>
                <w:bCs/>
                <w:lang w:val="mk-MK"/>
              </w:rPr>
            </w:pPr>
            <w:r>
              <w:rPr>
                <w:noProof/>
              </w:rPr>
              <w:drawing>
                <wp:anchor distT="0" distB="0" distL="114300" distR="114300" simplePos="0" relativeHeight="251658240" behindDoc="0" locked="0" layoutInCell="1" allowOverlap="1" wp14:anchorId="04871861" wp14:editId="548C31EE">
                  <wp:simplePos x="0" y="0"/>
                  <wp:positionH relativeFrom="column">
                    <wp:posOffset>73660</wp:posOffset>
                  </wp:positionH>
                  <wp:positionV relativeFrom="paragraph">
                    <wp:posOffset>14605</wp:posOffset>
                  </wp:positionV>
                  <wp:extent cx="1799590" cy="1799590"/>
                  <wp:effectExtent l="0" t="0" r="0" b="0"/>
                  <wp:wrapNone/>
                  <wp:docPr id="1059427155" name="Picture 5" descr="Thumbnail Image a minimalistic janitor storage with simplified shapes and more color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nail Image a minimalistic janitor storage with simplified shapes and more colorfu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A4CC4" w:rsidRPr="00651FF8" w14:paraId="04C332B7" w14:textId="77777777" w:rsidTr="0084355C">
        <w:tc>
          <w:tcPr>
            <w:tcW w:w="14390" w:type="dxa"/>
            <w:gridSpan w:val="3"/>
            <w:tcBorders>
              <w:top w:val="single" w:sz="4" w:space="0" w:color="auto"/>
              <w:left w:val="nil"/>
              <w:bottom w:val="nil"/>
              <w:right w:val="nil"/>
            </w:tcBorders>
            <w:vAlign w:val="center"/>
          </w:tcPr>
          <w:p w14:paraId="7C55DB18" w14:textId="77777777" w:rsidR="006A4CC4" w:rsidRPr="00651FF8" w:rsidRDefault="006A4CC4" w:rsidP="006F25E3">
            <w:pPr>
              <w:jc w:val="both"/>
              <w:rPr>
                <w:b/>
                <w:bCs/>
                <w:lang w:val="mk-MK"/>
              </w:rPr>
            </w:pPr>
          </w:p>
        </w:tc>
      </w:tr>
      <w:tr w:rsidR="006A4CC4" w:rsidRPr="00651FF8" w14:paraId="25E4EA4D" w14:textId="77777777" w:rsidTr="00F333D6">
        <w:trPr>
          <w:trHeight w:val="3288"/>
        </w:trPr>
        <w:tc>
          <w:tcPr>
            <w:tcW w:w="3402" w:type="dxa"/>
            <w:tcBorders>
              <w:top w:val="single" w:sz="4" w:space="0" w:color="auto"/>
              <w:left w:val="single" w:sz="4" w:space="0" w:color="auto"/>
              <w:bottom w:val="single" w:sz="4" w:space="0" w:color="auto"/>
              <w:right w:val="single" w:sz="4" w:space="0" w:color="auto"/>
            </w:tcBorders>
            <w:shd w:val="clear" w:color="auto" w:fill="E9F5DB"/>
            <w:vAlign w:val="center"/>
          </w:tcPr>
          <w:p w14:paraId="1408C7DB" w14:textId="3A5B099A" w:rsidR="006A4CC4" w:rsidRPr="00651FF8" w:rsidRDefault="006A4CC4" w:rsidP="006F25E3">
            <w:pPr>
              <w:jc w:val="both"/>
              <w:rPr>
                <w:b/>
                <w:bCs/>
                <w:lang w:val="mk-MK"/>
              </w:rPr>
            </w:pPr>
            <w:r>
              <w:rPr>
                <w:noProof/>
              </w:rPr>
              <w:drawing>
                <wp:anchor distT="0" distB="0" distL="114300" distR="114300" simplePos="0" relativeHeight="251659264" behindDoc="0" locked="0" layoutInCell="1" allowOverlap="1" wp14:anchorId="715DB066" wp14:editId="04D583DD">
                  <wp:simplePos x="0" y="0"/>
                  <wp:positionH relativeFrom="column">
                    <wp:posOffset>123190</wp:posOffset>
                  </wp:positionH>
                  <wp:positionV relativeFrom="paragraph">
                    <wp:posOffset>89535</wp:posOffset>
                  </wp:positionV>
                  <wp:extent cx="1799590" cy="1799590"/>
                  <wp:effectExtent l="0" t="0" r="0" b="0"/>
                  <wp:wrapNone/>
                  <wp:docPr id="1409562947" name="Picture 6" descr="Thumbnail Image a clipart of wiping a bigger desk without a person, only a hand, in pastel col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Thumbnail Image a clipart of wiping a bigger desk without a person, only a hand, in pastel colo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988" w:type="dxa"/>
            <w:gridSpan w:val="2"/>
            <w:tcBorders>
              <w:top w:val="single" w:sz="4" w:space="0" w:color="auto"/>
              <w:left w:val="single" w:sz="4" w:space="0" w:color="auto"/>
              <w:bottom w:val="single" w:sz="4" w:space="0" w:color="auto"/>
              <w:right w:val="single" w:sz="4" w:space="0" w:color="auto"/>
            </w:tcBorders>
            <w:shd w:val="clear" w:color="auto" w:fill="E9F5DB"/>
            <w:vAlign w:val="center"/>
          </w:tcPr>
          <w:p w14:paraId="0D705E23" w14:textId="0FFF1288" w:rsidR="006A4CC4" w:rsidRPr="00BC40DB" w:rsidRDefault="006A4CC4" w:rsidP="00BC40DB">
            <w:pPr>
              <w:pStyle w:val="ListParagraph"/>
              <w:numPr>
                <w:ilvl w:val="0"/>
                <w:numId w:val="9"/>
              </w:numPr>
              <w:jc w:val="both"/>
              <w:rPr>
                <w:lang w:val="mk-MK"/>
              </w:rPr>
            </w:pPr>
            <w:r w:rsidRPr="00BC40DB">
              <w:rPr>
                <w:lang w:val="mk-MK"/>
              </w:rPr>
              <w:t>Избегнувајте суво метење на подови и површини и спроведете влажно чистење. По влажното чистење, исушете и проветрете за да избегнете висока влажност во просториите.</w:t>
            </w:r>
          </w:p>
          <w:p w14:paraId="2AD8156B" w14:textId="55185AFD" w:rsidR="006A4CC4" w:rsidRPr="00BC40DB" w:rsidRDefault="006A4CC4" w:rsidP="00BC40DB">
            <w:pPr>
              <w:pStyle w:val="ListParagraph"/>
              <w:numPr>
                <w:ilvl w:val="0"/>
                <w:numId w:val="9"/>
              </w:numPr>
              <w:jc w:val="both"/>
              <w:rPr>
                <w:lang w:val="mk-MK"/>
              </w:rPr>
            </w:pPr>
            <w:r w:rsidRPr="00BC40DB">
              <w:rPr>
                <w:lang w:val="mk-MK"/>
              </w:rPr>
              <w:t xml:space="preserve">Практикувајте влажно чистење на бироата/клупите и друг мебел и внимавајте да не користите иста крпа/сунѓер за бироата и подот за да избегнете пренос на нечистотии. Користете хемикалии </w:t>
            </w:r>
            <w:r w:rsidR="003E32DF">
              <w:rPr>
                <w:lang w:val="mk-MK"/>
              </w:rPr>
              <w:t>исклучиво</w:t>
            </w:r>
            <w:r w:rsidRPr="00BC40DB">
              <w:rPr>
                <w:lang w:val="mk-MK"/>
              </w:rPr>
              <w:t xml:space="preserve"> за намената за која се направени</w:t>
            </w:r>
            <w:r w:rsidR="00C52100">
              <w:rPr>
                <w:lang w:val="mk-MK"/>
              </w:rPr>
              <w:t xml:space="preserve"> - </w:t>
            </w:r>
            <w:r w:rsidRPr="00BC40DB">
              <w:rPr>
                <w:lang w:val="mk-MK"/>
              </w:rPr>
              <w:t>никогаш не користете средство за чистење на под на биро/клупа.</w:t>
            </w:r>
          </w:p>
          <w:p w14:paraId="76EEAD2B" w14:textId="77777777" w:rsidR="006A4CC4" w:rsidRPr="0084355C" w:rsidRDefault="006A4CC4" w:rsidP="00BC40DB">
            <w:pPr>
              <w:pStyle w:val="ListParagraph"/>
              <w:numPr>
                <w:ilvl w:val="0"/>
                <w:numId w:val="9"/>
              </w:numPr>
              <w:jc w:val="both"/>
              <w:rPr>
                <w:b/>
                <w:bCs/>
                <w:lang w:val="mk-MK"/>
              </w:rPr>
            </w:pPr>
            <w:r w:rsidRPr="00BC40DB">
              <w:rPr>
                <w:lang w:val="mk-MK"/>
              </w:rPr>
              <w:t>Не користете растворувачи, како што е разредувач за боја, или спреј, лепак во просториите каде учат децата. Ако е потребно, користете ги само откако учениците ќе заминат дома и проветрете ги просториите потоа.</w:t>
            </w:r>
          </w:p>
          <w:p w14:paraId="143A914D" w14:textId="3D764A60" w:rsidR="0084355C" w:rsidRPr="00BC40DB" w:rsidRDefault="0084355C" w:rsidP="00BC40DB">
            <w:pPr>
              <w:pStyle w:val="ListParagraph"/>
              <w:numPr>
                <w:ilvl w:val="0"/>
                <w:numId w:val="9"/>
              </w:numPr>
              <w:jc w:val="both"/>
              <w:rPr>
                <w:b/>
                <w:bCs/>
                <w:lang w:val="mk-MK"/>
              </w:rPr>
            </w:pPr>
            <w:r w:rsidRPr="0084355C">
              <w:rPr>
                <w:lang w:val="mk-MK"/>
              </w:rPr>
              <w:t xml:space="preserve">Училиштата кои користат печки на дрва или грејни елементи треба да се придржуваат до препораките  издадени од Министерството за животна средина и просторно планирање: </w:t>
            </w:r>
            <w:hyperlink r:id="rId16" w:history="1">
              <w:r w:rsidRPr="0084355C">
                <w:rPr>
                  <w:rStyle w:val="Hyperlink"/>
                  <w:lang w:val="mk-MK"/>
                </w:rPr>
                <w:t>Good-practices-for-residential-wood-burning-МК.pdf</w:t>
              </w:r>
            </w:hyperlink>
          </w:p>
        </w:tc>
      </w:tr>
    </w:tbl>
    <w:p w14:paraId="491DBD02" w14:textId="77777777" w:rsidR="00756026" w:rsidRDefault="00756026"/>
    <w:tbl>
      <w:tblPr>
        <w:tblStyle w:val="TableGrid"/>
        <w:tblW w:w="0" w:type="auto"/>
        <w:tblInd w:w="-5" w:type="dxa"/>
        <w:tblLook w:val="04A0" w:firstRow="1" w:lastRow="0" w:firstColumn="1" w:lastColumn="0" w:noHBand="0" w:noVBand="1"/>
      </w:tblPr>
      <w:tblGrid>
        <w:gridCol w:w="3261"/>
        <w:gridCol w:w="7796"/>
        <w:gridCol w:w="3333"/>
      </w:tblGrid>
      <w:tr w:rsidR="00756026" w:rsidRPr="00651FF8" w14:paraId="7525E060" w14:textId="77777777" w:rsidTr="00071C36">
        <w:trPr>
          <w:trHeight w:val="3288"/>
        </w:trPr>
        <w:tc>
          <w:tcPr>
            <w:tcW w:w="11057" w:type="dxa"/>
            <w:gridSpan w:val="2"/>
            <w:tcBorders>
              <w:top w:val="single" w:sz="4" w:space="0" w:color="auto"/>
              <w:left w:val="single" w:sz="4" w:space="0" w:color="auto"/>
              <w:bottom w:val="single" w:sz="4" w:space="0" w:color="auto"/>
              <w:right w:val="single" w:sz="4" w:space="0" w:color="auto"/>
            </w:tcBorders>
            <w:shd w:val="clear" w:color="auto" w:fill="FFFFF3"/>
            <w:vAlign w:val="center"/>
          </w:tcPr>
          <w:p w14:paraId="70153824" w14:textId="0EA7F176" w:rsidR="00D471E7" w:rsidRPr="00D471E7" w:rsidRDefault="00D471E7" w:rsidP="00D471E7">
            <w:pPr>
              <w:pStyle w:val="ListParagraph"/>
              <w:numPr>
                <w:ilvl w:val="0"/>
                <w:numId w:val="10"/>
              </w:numPr>
              <w:jc w:val="both"/>
              <w:rPr>
                <w:lang w:val="mk-MK"/>
              </w:rPr>
            </w:pPr>
            <w:r w:rsidRPr="00D471E7">
              <w:rPr>
                <w:lang w:val="mk-MK"/>
              </w:rPr>
              <w:lastRenderedPageBreak/>
              <w:t>Ако се достапни прочистувачи на воздух, проверете ја функционалноста, вклучувајте ги редовно и заменувајте ги филтрите согласно упатството.</w:t>
            </w:r>
          </w:p>
          <w:p w14:paraId="7917C36C" w14:textId="6EECA3B5" w:rsidR="00D471E7" w:rsidRPr="00D471E7" w:rsidRDefault="00D471E7" w:rsidP="00D471E7">
            <w:pPr>
              <w:pStyle w:val="ListParagraph"/>
              <w:numPr>
                <w:ilvl w:val="0"/>
                <w:numId w:val="10"/>
              </w:numPr>
              <w:jc w:val="both"/>
              <w:rPr>
                <w:lang w:val="mk-MK"/>
              </w:rPr>
            </w:pPr>
            <w:r w:rsidRPr="00D471E7">
              <w:rPr>
                <w:lang w:val="mk-MK"/>
              </w:rPr>
              <w:t>После реновирање (бојадисување на ѕидовите, поправки) или купување нов мебел, подни облоги и сл., добро проветрете ги просториите кога учениците не се на настава.</w:t>
            </w:r>
            <w:r w:rsidR="00B02780">
              <w:rPr>
                <w:lang w:val="mk-MK"/>
              </w:rPr>
              <w:t xml:space="preserve"> Доколку можете, ваквите активности планирајте ги за време на </w:t>
            </w:r>
            <w:r w:rsidR="00582B5E">
              <w:rPr>
                <w:lang w:val="mk-MK"/>
              </w:rPr>
              <w:t>летен или зимски распуст.</w:t>
            </w:r>
          </w:p>
          <w:p w14:paraId="1FB1113B" w14:textId="559B0DA5" w:rsidR="00D471E7" w:rsidRPr="00D471E7" w:rsidRDefault="00D471E7" w:rsidP="00D471E7">
            <w:pPr>
              <w:pStyle w:val="ListParagraph"/>
              <w:numPr>
                <w:ilvl w:val="0"/>
                <w:numId w:val="10"/>
              </w:numPr>
              <w:jc w:val="both"/>
              <w:rPr>
                <w:lang w:val="mk-MK"/>
              </w:rPr>
            </w:pPr>
            <w:r w:rsidRPr="00D471E7">
              <w:rPr>
                <w:lang w:val="mk-MK"/>
              </w:rPr>
              <w:t>Поставете бариерни подлоги (чергички) на сите влезови на училишната зграда. Овие подлоги ги фаќаат поголемите честички и спречуваат нивно влегување во зградата.</w:t>
            </w:r>
          </w:p>
          <w:p w14:paraId="66EEB5CF" w14:textId="70CAE5DD" w:rsidR="00D471E7" w:rsidRPr="00D471E7" w:rsidRDefault="00D471E7" w:rsidP="00D471E7">
            <w:pPr>
              <w:pStyle w:val="ListParagraph"/>
              <w:numPr>
                <w:ilvl w:val="0"/>
                <w:numId w:val="10"/>
              </w:numPr>
              <w:jc w:val="both"/>
              <w:rPr>
                <w:lang w:val="mk-MK"/>
              </w:rPr>
            </w:pPr>
            <w:r w:rsidRPr="00D471E7">
              <w:rPr>
                <w:lang w:val="mk-MK"/>
              </w:rPr>
              <w:t>Заменете ги таблите со креда со бели табли ако е можно.</w:t>
            </w:r>
          </w:p>
          <w:p w14:paraId="72225737" w14:textId="08D89E68" w:rsidR="00756026" w:rsidRDefault="00D471E7" w:rsidP="00D471E7">
            <w:pPr>
              <w:pStyle w:val="ListParagraph"/>
              <w:numPr>
                <w:ilvl w:val="0"/>
                <w:numId w:val="10"/>
              </w:numPr>
              <w:jc w:val="both"/>
              <w:rPr>
                <w:noProof/>
              </w:rPr>
            </w:pPr>
            <w:r w:rsidRPr="00D471E7">
              <w:rPr>
                <w:lang w:val="mk-MK"/>
              </w:rPr>
              <w:t>Забранете пушење (вклучително и на електронски цигари) во училишните дворови и други училишни простории каде што се движат децата.</w:t>
            </w:r>
          </w:p>
        </w:tc>
        <w:tc>
          <w:tcPr>
            <w:tcW w:w="3333" w:type="dxa"/>
            <w:tcBorders>
              <w:top w:val="single" w:sz="4" w:space="0" w:color="auto"/>
              <w:left w:val="single" w:sz="4" w:space="0" w:color="auto"/>
              <w:bottom w:val="single" w:sz="4" w:space="0" w:color="auto"/>
              <w:right w:val="single" w:sz="4" w:space="0" w:color="auto"/>
            </w:tcBorders>
            <w:shd w:val="clear" w:color="auto" w:fill="FFFFF3"/>
            <w:vAlign w:val="center"/>
          </w:tcPr>
          <w:p w14:paraId="2A78BE36" w14:textId="2453AE50" w:rsidR="00756026" w:rsidRPr="00D471E7" w:rsidRDefault="00D471E7" w:rsidP="00D471E7">
            <w:pPr>
              <w:jc w:val="both"/>
              <w:rPr>
                <w:lang w:val="mk-MK"/>
              </w:rPr>
            </w:pPr>
            <w:r>
              <w:rPr>
                <w:noProof/>
              </w:rPr>
              <w:drawing>
                <wp:anchor distT="0" distB="0" distL="114300" distR="114300" simplePos="0" relativeHeight="251660288" behindDoc="0" locked="0" layoutInCell="1" allowOverlap="1" wp14:anchorId="781C5591" wp14:editId="3E57243A">
                  <wp:simplePos x="0" y="0"/>
                  <wp:positionH relativeFrom="column">
                    <wp:posOffset>108585</wp:posOffset>
                  </wp:positionH>
                  <wp:positionV relativeFrom="paragraph">
                    <wp:posOffset>25400</wp:posOffset>
                  </wp:positionV>
                  <wp:extent cx="1800860" cy="1800860"/>
                  <wp:effectExtent l="0" t="0" r="8890" b="8890"/>
                  <wp:wrapNone/>
                  <wp:docPr id="1161838650" name="Picture 8" descr="Thumbnail Image a clipart of air purifier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umbnail Image a clipart of air purifier work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860" cy="18008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471E7" w:rsidRPr="00651FF8" w14:paraId="7302EFB2" w14:textId="77777777" w:rsidTr="00D471E7">
        <w:trPr>
          <w:trHeight w:val="105"/>
        </w:trPr>
        <w:tc>
          <w:tcPr>
            <w:tcW w:w="14390" w:type="dxa"/>
            <w:gridSpan w:val="3"/>
            <w:tcBorders>
              <w:top w:val="single" w:sz="4" w:space="0" w:color="auto"/>
              <w:left w:val="nil"/>
              <w:bottom w:val="single" w:sz="4" w:space="0" w:color="auto"/>
              <w:right w:val="nil"/>
            </w:tcBorders>
            <w:vAlign w:val="center"/>
          </w:tcPr>
          <w:p w14:paraId="69336051" w14:textId="77777777" w:rsidR="00D471E7" w:rsidRPr="00D471E7" w:rsidRDefault="00D471E7" w:rsidP="00D471E7">
            <w:pPr>
              <w:jc w:val="both"/>
              <w:rPr>
                <w:lang w:val="mk-MK"/>
              </w:rPr>
            </w:pPr>
          </w:p>
        </w:tc>
      </w:tr>
      <w:tr w:rsidR="00D471E7" w:rsidRPr="00651FF8" w14:paraId="1857A666" w14:textId="77777777" w:rsidTr="00071C36">
        <w:trPr>
          <w:trHeight w:val="105"/>
        </w:trPr>
        <w:tc>
          <w:tcPr>
            <w:tcW w:w="3261" w:type="dxa"/>
            <w:tcBorders>
              <w:top w:val="single" w:sz="4" w:space="0" w:color="auto"/>
              <w:left w:val="single" w:sz="4" w:space="0" w:color="auto"/>
              <w:bottom w:val="single" w:sz="4" w:space="0" w:color="auto"/>
              <w:right w:val="single" w:sz="4" w:space="0" w:color="auto"/>
            </w:tcBorders>
            <w:shd w:val="clear" w:color="auto" w:fill="E9F5DB"/>
            <w:vAlign w:val="center"/>
          </w:tcPr>
          <w:p w14:paraId="269B86EB" w14:textId="7D3249E7" w:rsidR="00D471E7" w:rsidRPr="00D471E7" w:rsidRDefault="00D471E7" w:rsidP="00D471E7">
            <w:pPr>
              <w:jc w:val="both"/>
              <w:rPr>
                <w:lang w:val="mk-MK"/>
              </w:rPr>
            </w:pPr>
            <w:r>
              <w:rPr>
                <w:noProof/>
              </w:rPr>
              <w:drawing>
                <wp:anchor distT="0" distB="0" distL="114300" distR="114300" simplePos="0" relativeHeight="251661312" behindDoc="0" locked="0" layoutInCell="1" allowOverlap="1" wp14:anchorId="452F6402" wp14:editId="11B5F8AF">
                  <wp:simplePos x="0" y="0"/>
                  <wp:positionH relativeFrom="column">
                    <wp:posOffset>52070</wp:posOffset>
                  </wp:positionH>
                  <wp:positionV relativeFrom="paragraph">
                    <wp:posOffset>33655</wp:posOffset>
                  </wp:positionV>
                  <wp:extent cx="1799590" cy="1799590"/>
                  <wp:effectExtent l="0" t="0" r="0" b="0"/>
                  <wp:wrapNone/>
                  <wp:docPr id="465214556" name="Picture 9" descr="Thumbnail Image a simple clipart of a bush barrier between street an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umbnail Image a simple clipart of a bush barrier between street and scho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129" w:type="dxa"/>
            <w:gridSpan w:val="2"/>
            <w:tcBorders>
              <w:top w:val="single" w:sz="4" w:space="0" w:color="auto"/>
              <w:left w:val="single" w:sz="4" w:space="0" w:color="auto"/>
              <w:bottom w:val="single" w:sz="4" w:space="0" w:color="auto"/>
              <w:right w:val="single" w:sz="4" w:space="0" w:color="auto"/>
            </w:tcBorders>
            <w:shd w:val="clear" w:color="auto" w:fill="E9F5DB"/>
            <w:vAlign w:val="center"/>
          </w:tcPr>
          <w:p w14:paraId="5461B075" w14:textId="4B5E3743" w:rsidR="00D471E7" w:rsidRPr="00D471E7" w:rsidRDefault="00D471E7" w:rsidP="00D471E7">
            <w:pPr>
              <w:pStyle w:val="ListParagraph"/>
              <w:numPr>
                <w:ilvl w:val="0"/>
                <w:numId w:val="10"/>
              </w:numPr>
              <w:jc w:val="both"/>
              <w:rPr>
                <w:lang w:val="mk-MK"/>
              </w:rPr>
            </w:pPr>
            <w:r w:rsidRPr="00D471E7">
              <w:rPr>
                <w:lang w:val="mk-MK"/>
              </w:rPr>
              <w:t>Воведете физичка бариера од растенија (зелена бариера) помеѓу училиштето и улицата. Зелените бариери можат да бидат во форма на живи огради, качувачки растенија или линија на дрвја. Зелените бариери не го подобруваат вкупниот квалитет на воздухот, но можат да го намалат преносот од изворот на загадување на воздухот (на пр. улица) до одреден простор (на пр. училишен двор).</w:t>
            </w:r>
          </w:p>
          <w:p w14:paraId="42BB50B2" w14:textId="1AF0AEFC" w:rsidR="00D471E7" w:rsidRPr="00D471E7" w:rsidRDefault="00D471E7" w:rsidP="00D471E7">
            <w:pPr>
              <w:pStyle w:val="ListParagraph"/>
              <w:numPr>
                <w:ilvl w:val="0"/>
                <w:numId w:val="10"/>
              </w:numPr>
              <w:jc w:val="both"/>
              <w:rPr>
                <w:lang w:val="mk-MK"/>
              </w:rPr>
            </w:pPr>
            <w:r w:rsidRPr="00D471E7">
              <w:rPr>
                <w:lang w:val="mk-MK"/>
              </w:rPr>
              <w:t>Засадувајте и одгледувајте растенија внатре, во училиштето, кои се покажале како добри прочистувачи на воздухот (замија, спатифилум, сансеверија, фикус, драцена и др.)</w:t>
            </w:r>
          </w:p>
          <w:p w14:paraId="7802A3ED" w14:textId="23141582" w:rsidR="00D471E7" w:rsidRPr="00D471E7" w:rsidRDefault="00D471E7" w:rsidP="00D471E7">
            <w:pPr>
              <w:pStyle w:val="ListParagraph"/>
              <w:numPr>
                <w:ilvl w:val="0"/>
                <w:numId w:val="10"/>
              </w:numPr>
              <w:jc w:val="both"/>
              <w:rPr>
                <w:lang w:val="mk-MK"/>
              </w:rPr>
            </w:pPr>
            <w:r w:rsidRPr="00D471E7">
              <w:rPr>
                <w:lang w:val="mk-MK"/>
              </w:rPr>
              <w:t>Употребата на возила во или многу блиску до училишните простории треба да се сведе на неопходен минимум. Ова може да се направи со преместување на точките за оставување/преземање на децата подалеку од влезот на училиштето. Потсетете ги сите возачи/доставувачи (преку знаци или други известувања) да не го оставаат моторот да работи (без да се движат) во близина на училишните простории или точките за оставување/преземање.</w:t>
            </w:r>
          </w:p>
        </w:tc>
      </w:tr>
      <w:tr w:rsidR="00D471E7" w:rsidRPr="00651FF8" w14:paraId="6B135769" w14:textId="77777777" w:rsidTr="00D471E7">
        <w:trPr>
          <w:trHeight w:val="105"/>
        </w:trPr>
        <w:tc>
          <w:tcPr>
            <w:tcW w:w="14390" w:type="dxa"/>
            <w:gridSpan w:val="3"/>
            <w:tcBorders>
              <w:top w:val="single" w:sz="4" w:space="0" w:color="auto"/>
              <w:left w:val="nil"/>
              <w:bottom w:val="single" w:sz="4" w:space="0" w:color="auto"/>
              <w:right w:val="nil"/>
            </w:tcBorders>
            <w:vAlign w:val="center"/>
          </w:tcPr>
          <w:p w14:paraId="4D0F9D53" w14:textId="53A055D6" w:rsidR="00D471E7" w:rsidRPr="00D471E7" w:rsidRDefault="00D471E7" w:rsidP="00D471E7">
            <w:pPr>
              <w:jc w:val="both"/>
              <w:rPr>
                <w:lang w:val="mk-MK"/>
              </w:rPr>
            </w:pPr>
          </w:p>
        </w:tc>
      </w:tr>
      <w:tr w:rsidR="00D471E7" w:rsidRPr="00651FF8" w14:paraId="02986668" w14:textId="77777777" w:rsidTr="00F333D6">
        <w:trPr>
          <w:trHeight w:val="105"/>
        </w:trPr>
        <w:tc>
          <w:tcPr>
            <w:tcW w:w="14390" w:type="dxa"/>
            <w:gridSpan w:val="3"/>
            <w:tcBorders>
              <w:top w:val="single" w:sz="4" w:space="0" w:color="auto"/>
              <w:left w:val="single" w:sz="4" w:space="0" w:color="auto"/>
              <w:bottom w:val="single" w:sz="4" w:space="0" w:color="auto"/>
              <w:right w:val="single" w:sz="4" w:space="0" w:color="auto"/>
            </w:tcBorders>
            <w:shd w:val="clear" w:color="auto" w:fill="FCF0EA"/>
            <w:vAlign w:val="center"/>
          </w:tcPr>
          <w:p w14:paraId="6D33E1DB" w14:textId="77777777" w:rsidR="00D471E7" w:rsidRPr="00D471E7" w:rsidRDefault="00D471E7" w:rsidP="00D471E7">
            <w:pPr>
              <w:pStyle w:val="Heading2"/>
              <w:rPr>
                <w:rFonts w:eastAsiaTheme="minorHAnsi"/>
                <w:sz w:val="28"/>
                <w:szCs w:val="28"/>
              </w:rPr>
            </w:pPr>
            <w:r w:rsidRPr="00D471E7">
              <w:rPr>
                <w:sz w:val="28"/>
                <w:szCs w:val="28"/>
                <w:lang w:val="mk-MK"/>
              </w:rPr>
              <w:t>Радон и заштита од радон во училишна средина</w:t>
            </w:r>
          </w:p>
          <w:p w14:paraId="4E433015" w14:textId="4849D8FB" w:rsidR="00D471E7" w:rsidRPr="00D471E7" w:rsidRDefault="00D471E7" w:rsidP="00984C31">
            <w:pPr>
              <w:rPr>
                <w:lang w:val="mk-MK"/>
              </w:rPr>
            </w:pPr>
            <w:r w:rsidRPr="00651FF8">
              <w:rPr>
                <w:lang w:val="mk-MK"/>
              </w:rPr>
              <w:t>Радонот е природен радиоактивен гас присутен во почвата, без мирис и боја кој при долгорочна изложеност може да предизвика рак на белите дробови. Колку радон ќе „излезе“ од почвата зависи од порозноста на почвата, метеоролошките услови и др. Поминувајќи низ пукнатините на плочата или подовите на објектите, заради својата тежина, се акумулира во подолните спратови или подрумските простории. Концентрацијата во затворените простори најмногу зависи од староста на објектите, навиките и однесувањата на луѓето кои престојуваат во нив, особено од честотата на проветрување.</w:t>
            </w:r>
            <w:r w:rsidR="00984C31" w:rsidRPr="00984C31">
              <w:rPr>
                <w:lang w:val="mk-MK"/>
              </w:rPr>
              <w:t xml:space="preserve"> Проветрувањето на просториите е едноставен и ефикасен начин за намалување на концентрациите на радон во затворени простории (доколку се ослободил), и може да се практикува кога амбиентниот воздух е со добар квалитет.</w:t>
            </w:r>
            <w:r w:rsidR="00984C31">
              <w:t xml:space="preserve"> </w:t>
            </w:r>
            <w:r w:rsidR="00522BFB">
              <w:t>M</w:t>
            </w:r>
            <w:r w:rsidRPr="00651FF8">
              <w:rPr>
                <w:lang w:val="mk-MK"/>
              </w:rPr>
              <w:t xml:space="preserve">ерењето на концентрациите на радон е единствениот начин да се одреди нивото на изложеност во затворени простории. Од 2019 година, Институтот за јавно здравје воведе мониторинг на концентрацијата на радон во училиштата и градинките и спроведува континуирана комуникација со </w:t>
            </w:r>
            <w:r w:rsidR="000614FC">
              <w:rPr>
                <w:lang w:val="mk-MK"/>
              </w:rPr>
              <w:t>с</w:t>
            </w:r>
            <w:r w:rsidRPr="00651FF8">
              <w:rPr>
                <w:lang w:val="mk-MK"/>
              </w:rPr>
              <w:t xml:space="preserve">ите чинители, дава совети и едуцира за опасностите на овој </w:t>
            </w:r>
            <w:r w:rsidR="00EE1EEB">
              <w:rPr>
                <w:lang w:val="mk-MK"/>
              </w:rPr>
              <w:t>„</w:t>
            </w:r>
            <w:r w:rsidRPr="00651FF8">
              <w:rPr>
                <w:lang w:val="mk-MK"/>
              </w:rPr>
              <w:t>невидлив</w:t>
            </w:r>
            <w:r w:rsidR="00EE1EEB">
              <w:rPr>
                <w:lang w:val="mk-MK"/>
              </w:rPr>
              <w:t xml:space="preserve">“ </w:t>
            </w:r>
            <w:r w:rsidRPr="00651FF8">
              <w:rPr>
                <w:lang w:val="mk-MK"/>
              </w:rPr>
              <w:t>загадувач опасен по нашето здравје.</w:t>
            </w:r>
          </w:p>
        </w:tc>
      </w:tr>
    </w:tbl>
    <w:p w14:paraId="33904C2F" w14:textId="77777777" w:rsidR="00425C50" w:rsidRDefault="00425C50" w:rsidP="00D471E7"/>
    <w:sectPr w:rsidR="00425C50" w:rsidSect="00CC6297">
      <w:head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7FF0" w14:textId="77777777" w:rsidR="008F0637" w:rsidRDefault="008F0637" w:rsidP="00CC6297">
      <w:pPr>
        <w:spacing w:after="0" w:line="240" w:lineRule="auto"/>
      </w:pPr>
      <w:r>
        <w:separator/>
      </w:r>
    </w:p>
  </w:endnote>
  <w:endnote w:type="continuationSeparator" w:id="0">
    <w:p w14:paraId="480CAFBD" w14:textId="77777777" w:rsidR="008F0637" w:rsidRDefault="008F0637" w:rsidP="00CC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24B2" w14:textId="77777777" w:rsidR="008F0637" w:rsidRDefault="008F0637" w:rsidP="00CC6297">
      <w:pPr>
        <w:spacing w:after="0" w:line="240" w:lineRule="auto"/>
      </w:pPr>
      <w:r>
        <w:separator/>
      </w:r>
    </w:p>
  </w:footnote>
  <w:footnote w:type="continuationSeparator" w:id="0">
    <w:p w14:paraId="4BC6C693" w14:textId="77777777" w:rsidR="008F0637" w:rsidRDefault="008F0637" w:rsidP="00CC6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03D7" w14:textId="6C6A6DCE" w:rsidR="00CC6297" w:rsidRDefault="00CC6297">
    <w:pPr>
      <w:pStyle w:val="Header"/>
    </w:pPr>
    <w:r>
      <w:rPr>
        <w:noProof/>
      </w:rPr>
      <w:drawing>
        <wp:anchor distT="0" distB="0" distL="114300" distR="114300" simplePos="0" relativeHeight="251658240" behindDoc="0" locked="0" layoutInCell="1" allowOverlap="1" wp14:anchorId="6E3059E5" wp14:editId="5E04C916">
          <wp:simplePos x="0" y="0"/>
          <wp:positionH relativeFrom="margin">
            <wp:align>center</wp:align>
          </wp:positionH>
          <wp:positionV relativeFrom="paragraph">
            <wp:posOffset>-333324</wp:posOffset>
          </wp:positionV>
          <wp:extent cx="3182112" cy="576095"/>
          <wp:effectExtent l="0" t="0" r="0" b="0"/>
          <wp:wrapNone/>
          <wp:docPr id="257214632" name="Picture 1" descr="A logo with text be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14632" name="Picture 1" descr="A logo with text bel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2112" cy="5760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3FB"/>
    <w:multiLevelType w:val="hybridMultilevel"/>
    <w:tmpl w:val="C93CB85E"/>
    <w:lvl w:ilvl="0" w:tplc="535EBD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C95343"/>
    <w:multiLevelType w:val="hybridMultilevel"/>
    <w:tmpl w:val="F7C8488A"/>
    <w:lvl w:ilvl="0" w:tplc="3FACF4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17D52"/>
    <w:multiLevelType w:val="hybridMultilevel"/>
    <w:tmpl w:val="D1181776"/>
    <w:lvl w:ilvl="0" w:tplc="7B4230F4">
      <w:start w:val="1"/>
      <w:numFmt w:val="bullet"/>
      <w:lvlText w:val=""/>
      <w:lvlJc w:val="left"/>
      <w:pPr>
        <w:ind w:left="360" w:hanging="360"/>
      </w:pPr>
      <w:rPr>
        <w:rFonts w:ascii="Symbol" w:hAnsi="Symbol" w:hint="default"/>
        <w:b/>
        <w:bCs/>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D93068"/>
    <w:multiLevelType w:val="hybridMultilevel"/>
    <w:tmpl w:val="BA0E2C08"/>
    <w:lvl w:ilvl="0" w:tplc="79E4B482">
      <w:start w:val="1"/>
      <w:numFmt w:val="bullet"/>
      <w:lvlText w:val=""/>
      <w:lvlJc w:val="left"/>
      <w:pPr>
        <w:ind w:left="360" w:hanging="360"/>
      </w:pPr>
      <w:rPr>
        <w:rFonts w:ascii="Symbol" w:hAnsi="Symbol" w:hint="default"/>
        <w:b/>
        <w:bCs/>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F981680"/>
    <w:multiLevelType w:val="hybridMultilevel"/>
    <w:tmpl w:val="CEECF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C436A1"/>
    <w:multiLevelType w:val="hybridMultilevel"/>
    <w:tmpl w:val="DD70C4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2917B07"/>
    <w:multiLevelType w:val="hybridMultilevel"/>
    <w:tmpl w:val="2C9A6004"/>
    <w:lvl w:ilvl="0" w:tplc="3FACF4E8">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3E1482"/>
    <w:multiLevelType w:val="multilevel"/>
    <w:tmpl w:val="FC0AB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EC5B9C"/>
    <w:multiLevelType w:val="hybridMultilevel"/>
    <w:tmpl w:val="803AA0EC"/>
    <w:lvl w:ilvl="0" w:tplc="7B4230F4">
      <w:start w:val="1"/>
      <w:numFmt w:val="bullet"/>
      <w:lvlText w:val=""/>
      <w:lvlJc w:val="left"/>
      <w:pPr>
        <w:ind w:left="360" w:hanging="360"/>
      </w:pPr>
      <w:rPr>
        <w:rFonts w:ascii="Symbol" w:hAnsi="Symbol"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B0AF0"/>
    <w:multiLevelType w:val="hybridMultilevel"/>
    <w:tmpl w:val="391C6B88"/>
    <w:lvl w:ilvl="0" w:tplc="535EBDF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6836B31"/>
    <w:multiLevelType w:val="hybridMultilevel"/>
    <w:tmpl w:val="0D78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6956736">
    <w:abstractNumId w:val="1"/>
  </w:num>
  <w:num w:numId="2" w16cid:durableId="1237083359">
    <w:abstractNumId w:val="7"/>
  </w:num>
  <w:num w:numId="3" w16cid:durableId="1014457839">
    <w:abstractNumId w:val="6"/>
  </w:num>
  <w:num w:numId="4" w16cid:durableId="85541935">
    <w:abstractNumId w:val="5"/>
  </w:num>
  <w:num w:numId="5" w16cid:durableId="1598175629">
    <w:abstractNumId w:val="0"/>
  </w:num>
  <w:num w:numId="6" w16cid:durableId="1048649515">
    <w:abstractNumId w:val="10"/>
  </w:num>
  <w:num w:numId="7" w16cid:durableId="1231427949">
    <w:abstractNumId w:val="9"/>
  </w:num>
  <w:num w:numId="8" w16cid:durableId="1931238120">
    <w:abstractNumId w:val="4"/>
  </w:num>
  <w:num w:numId="9" w16cid:durableId="1412390696">
    <w:abstractNumId w:val="3"/>
  </w:num>
  <w:num w:numId="10" w16cid:durableId="1637178487">
    <w:abstractNumId w:val="2"/>
  </w:num>
  <w:num w:numId="11" w16cid:durableId="1335457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97"/>
    <w:rsid w:val="000408AC"/>
    <w:rsid w:val="00057D1D"/>
    <w:rsid w:val="000614FC"/>
    <w:rsid w:val="0006765E"/>
    <w:rsid w:val="00071C36"/>
    <w:rsid w:val="00080230"/>
    <w:rsid w:val="000A422A"/>
    <w:rsid w:val="000B1FBF"/>
    <w:rsid w:val="000B2564"/>
    <w:rsid w:val="000D6251"/>
    <w:rsid w:val="00102BD9"/>
    <w:rsid w:val="00141625"/>
    <w:rsid w:val="00145B68"/>
    <w:rsid w:val="001549DF"/>
    <w:rsid w:val="001769E8"/>
    <w:rsid w:val="00191D7E"/>
    <w:rsid w:val="001C6AD7"/>
    <w:rsid w:val="0020212A"/>
    <w:rsid w:val="00210948"/>
    <w:rsid w:val="002221F4"/>
    <w:rsid w:val="002228F5"/>
    <w:rsid w:val="00260DA8"/>
    <w:rsid w:val="00291670"/>
    <w:rsid w:val="002A5EE9"/>
    <w:rsid w:val="002C092F"/>
    <w:rsid w:val="002F4F10"/>
    <w:rsid w:val="0031244F"/>
    <w:rsid w:val="00333AAC"/>
    <w:rsid w:val="003633FD"/>
    <w:rsid w:val="003B29F5"/>
    <w:rsid w:val="003C083C"/>
    <w:rsid w:val="003C1E00"/>
    <w:rsid w:val="003E0BA7"/>
    <w:rsid w:val="003E32DF"/>
    <w:rsid w:val="003E723A"/>
    <w:rsid w:val="003F3B78"/>
    <w:rsid w:val="00400967"/>
    <w:rsid w:val="00425C50"/>
    <w:rsid w:val="00427111"/>
    <w:rsid w:val="00456B74"/>
    <w:rsid w:val="004B029E"/>
    <w:rsid w:val="004B5E6E"/>
    <w:rsid w:val="004C12F1"/>
    <w:rsid w:val="004C19DA"/>
    <w:rsid w:val="004F1B1B"/>
    <w:rsid w:val="004F1BB7"/>
    <w:rsid w:val="004F5398"/>
    <w:rsid w:val="00512EBC"/>
    <w:rsid w:val="00522BFB"/>
    <w:rsid w:val="005367E9"/>
    <w:rsid w:val="00553336"/>
    <w:rsid w:val="00561F29"/>
    <w:rsid w:val="00582B5E"/>
    <w:rsid w:val="00591F30"/>
    <w:rsid w:val="00592C26"/>
    <w:rsid w:val="005A27AD"/>
    <w:rsid w:val="005B23FB"/>
    <w:rsid w:val="005E0F25"/>
    <w:rsid w:val="005E4B3B"/>
    <w:rsid w:val="005F6AED"/>
    <w:rsid w:val="00602C35"/>
    <w:rsid w:val="00632131"/>
    <w:rsid w:val="00651FF8"/>
    <w:rsid w:val="00657219"/>
    <w:rsid w:val="00661295"/>
    <w:rsid w:val="00665746"/>
    <w:rsid w:val="006672C1"/>
    <w:rsid w:val="006A2CF6"/>
    <w:rsid w:val="006A4CC4"/>
    <w:rsid w:val="006E5133"/>
    <w:rsid w:val="006F25E3"/>
    <w:rsid w:val="006F5190"/>
    <w:rsid w:val="0071265D"/>
    <w:rsid w:val="00730CDC"/>
    <w:rsid w:val="00734053"/>
    <w:rsid w:val="00754A01"/>
    <w:rsid w:val="00756026"/>
    <w:rsid w:val="00772693"/>
    <w:rsid w:val="0080602E"/>
    <w:rsid w:val="0084355C"/>
    <w:rsid w:val="00890BFB"/>
    <w:rsid w:val="008B5482"/>
    <w:rsid w:val="008C68B9"/>
    <w:rsid w:val="008D7B33"/>
    <w:rsid w:val="008E389D"/>
    <w:rsid w:val="008F0637"/>
    <w:rsid w:val="0091069D"/>
    <w:rsid w:val="0092745A"/>
    <w:rsid w:val="00930CBD"/>
    <w:rsid w:val="00956FF5"/>
    <w:rsid w:val="00976B8E"/>
    <w:rsid w:val="0098056B"/>
    <w:rsid w:val="00984C31"/>
    <w:rsid w:val="009974B7"/>
    <w:rsid w:val="009B682B"/>
    <w:rsid w:val="009C4B1C"/>
    <w:rsid w:val="009F1B0A"/>
    <w:rsid w:val="00A84254"/>
    <w:rsid w:val="00AA7081"/>
    <w:rsid w:val="00AB0819"/>
    <w:rsid w:val="00AC1927"/>
    <w:rsid w:val="00B01C92"/>
    <w:rsid w:val="00B02780"/>
    <w:rsid w:val="00B82C38"/>
    <w:rsid w:val="00BA5B4F"/>
    <w:rsid w:val="00BB5018"/>
    <w:rsid w:val="00BB7586"/>
    <w:rsid w:val="00BC40DB"/>
    <w:rsid w:val="00BD4BB1"/>
    <w:rsid w:val="00BF7008"/>
    <w:rsid w:val="00C356B4"/>
    <w:rsid w:val="00C41130"/>
    <w:rsid w:val="00C4121D"/>
    <w:rsid w:val="00C42130"/>
    <w:rsid w:val="00C52100"/>
    <w:rsid w:val="00C57F0C"/>
    <w:rsid w:val="00C678E6"/>
    <w:rsid w:val="00C92AFC"/>
    <w:rsid w:val="00CB0F90"/>
    <w:rsid w:val="00CC6297"/>
    <w:rsid w:val="00CC7AB0"/>
    <w:rsid w:val="00CE3716"/>
    <w:rsid w:val="00CF0D22"/>
    <w:rsid w:val="00CF3BEC"/>
    <w:rsid w:val="00CF7732"/>
    <w:rsid w:val="00D258F1"/>
    <w:rsid w:val="00D471E7"/>
    <w:rsid w:val="00D475E9"/>
    <w:rsid w:val="00D718A7"/>
    <w:rsid w:val="00D77F96"/>
    <w:rsid w:val="00D831C2"/>
    <w:rsid w:val="00DD5212"/>
    <w:rsid w:val="00E06636"/>
    <w:rsid w:val="00E556E7"/>
    <w:rsid w:val="00EC0C9C"/>
    <w:rsid w:val="00EC275B"/>
    <w:rsid w:val="00EC4FA8"/>
    <w:rsid w:val="00EE1EEB"/>
    <w:rsid w:val="00EE4FB3"/>
    <w:rsid w:val="00F107BB"/>
    <w:rsid w:val="00F139ED"/>
    <w:rsid w:val="00F333D6"/>
    <w:rsid w:val="00F65B2A"/>
    <w:rsid w:val="00F65D99"/>
    <w:rsid w:val="00F7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D929"/>
  <w15:chartTrackingRefBased/>
  <w15:docId w15:val="{AEB23E7C-9A61-4148-AEC0-FAEA73DC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97"/>
    <w:rPr>
      <w:rFonts w:eastAsiaTheme="majorEastAsia" w:cstheme="majorBidi"/>
      <w:color w:val="272727" w:themeColor="text1" w:themeTint="D8"/>
    </w:rPr>
  </w:style>
  <w:style w:type="paragraph" w:styleId="Title">
    <w:name w:val="Title"/>
    <w:basedOn w:val="Normal"/>
    <w:next w:val="Normal"/>
    <w:link w:val="TitleChar"/>
    <w:uiPriority w:val="10"/>
    <w:qFormat/>
    <w:rsid w:val="00CC6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97"/>
    <w:pPr>
      <w:spacing w:before="160"/>
      <w:jc w:val="center"/>
    </w:pPr>
    <w:rPr>
      <w:i/>
      <w:iCs/>
      <w:color w:val="404040" w:themeColor="text1" w:themeTint="BF"/>
    </w:rPr>
  </w:style>
  <w:style w:type="character" w:customStyle="1" w:styleId="QuoteChar">
    <w:name w:val="Quote Char"/>
    <w:basedOn w:val="DefaultParagraphFont"/>
    <w:link w:val="Quote"/>
    <w:uiPriority w:val="29"/>
    <w:rsid w:val="00CC6297"/>
    <w:rPr>
      <w:i/>
      <w:iCs/>
      <w:color w:val="404040" w:themeColor="text1" w:themeTint="BF"/>
    </w:rPr>
  </w:style>
  <w:style w:type="paragraph" w:styleId="ListParagraph">
    <w:name w:val="List Paragraph"/>
    <w:basedOn w:val="Normal"/>
    <w:uiPriority w:val="34"/>
    <w:qFormat/>
    <w:rsid w:val="00CC6297"/>
    <w:pPr>
      <w:ind w:left="720"/>
      <w:contextualSpacing/>
    </w:pPr>
  </w:style>
  <w:style w:type="character" w:styleId="IntenseEmphasis">
    <w:name w:val="Intense Emphasis"/>
    <w:basedOn w:val="DefaultParagraphFont"/>
    <w:uiPriority w:val="21"/>
    <w:qFormat/>
    <w:rsid w:val="00CC6297"/>
    <w:rPr>
      <w:i/>
      <w:iCs/>
      <w:color w:val="0F4761" w:themeColor="accent1" w:themeShade="BF"/>
    </w:rPr>
  </w:style>
  <w:style w:type="paragraph" w:styleId="IntenseQuote">
    <w:name w:val="Intense Quote"/>
    <w:basedOn w:val="Normal"/>
    <w:next w:val="Normal"/>
    <w:link w:val="IntenseQuoteChar"/>
    <w:uiPriority w:val="30"/>
    <w:qFormat/>
    <w:rsid w:val="00CC6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97"/>
    <w:rPr>
      <w:i/>
      <w:iCs/>
      <w:color w:val="0F4761" w:themeColor="accent1" w:themeShade="BF"/>
    </w:rPr>
  </w:style>
  <w:style w:type="character" w:styleId="IntenseReference">
    <w:name w:val="Intense Reference"/>
    <w:basedOn w:val="DefaultParagraphFont"/>
    <w:uiPriority w:val="32"/>
    <w:qFormat/>
    <w:rsid w:val="00CC6297"/>
    <w:rPr>
      <w:b/>
      <w:bCs/>
      <w:smallCaps/>
      <w:color w:val="0F4761" w:themeColor="accent1" w:themeShade="BF"/>
      <w:spacing w:val="5"/>
    </w:rPr>
  </w:style>
  <w:style w:type="table" w:styleId="TableGrid">
    <w:name w:val="Table Grid"/>
    <w:basedOn w:val="TableNormal"/>
    <w:uiPriority w:val="39"/>
    <w:rsid w:val="00CC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297"/>
  </w:style>
  <w:style w:type="paragraph" w:styleId="Footer">
    <w:name w:val="footer"/>
    <w:basedOn w:val="Normal"/>
    <w:link w:val="FooterChar"/>
    <w:uiPriority w:val="99"/>
    <w:unhideWhenUsed/>
    <w:rsid w:val="00CC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97"/>
  </w:style>
  <w:style w:type="character" w:styleId="Hyperlink">
    <w:name w:val="Hyperlink"/>
    <w:basedOn w:val="DefaultParagraphFont"/>
    <w:uiPriority w:val="99"/>
    <w:unhideWhenUsed/>
    <w:rsid w:val="00191D7E"/>
    <w:rPr>
      <w:color w:val="467886" w:themeColor="hyperlink"/>
      <w:u w:val="single"/>
    </w:rPr>
  </w:style>
  <w:style w:type="character" w:styleId="UnresolvedMention">
    <w:name w:val="Unresolved Mention"/>
    <w:basedOn w:val="DefaultParagraphFont"/>
    <w:uiPriority w:val="99"/>
    <w:semiHidden/>
    <w:unhideWhenUsed/>
    <w:rsid w:val="00191D7E"/>
    <w:rPr>
      <w:color w:val="605E5C"/>
      <w:shd w:val="clear" w:color="auto" w:fill="E1DFDD"/>
    </w:rPr>
  </w:style>
  <w:style w:type="character" w:styleId="CommentReference">
    <w:name w:val="annotation reference"/>
    <w:basedOn w:val="DefaultParagraphFont"/>
    <w:uiPriority w:val="99"/>
    <w:semiHidden/>
    <w:unhideWhenUsed/>
    <w:rsid w:val="005E4B3B"/>
    <w:rPr>
      <w:sz w:val="16"/>
      <w:szCs w:val="16"/>
    </w:rPr>
  </w:style>
  <w:style w:type="paragraph" w:styleId="CommentText">
    <w:name w:val="annotation text"/>
    <w:basedOn w:val="Normal"/>
    <w:link w:val="CommentTextChar"/>
    <w:uiPriority w:val="99"/>
    <w:unhideWhenUsed/>
    <w:rsid w:val="005E4B3B"/>
    <w:pPr>
      <w:spacing w:line="240" w:lineRule="auto"/>
    </w:pPr>
    <w:rPr>
      <w:rFonts w:ascii="Calibri" w:eastAsia="Calibri" w:hAnsi="Calibri" w:cs="Calibri"/>
      <w:kern w:val="0"/>
      <w:sz w:val="20"/>
      <w:szCs w:val="20"/>
      <w:lang w:val="mk-MK"/>
      <w14:ligatures w14:val="none"/>
    </w:rPr>
  </w:style>
  <w:style w:type="character" w:customStyle="1" w:styleId="CommentTextChar">
    <w:name w:val="Comment Text Char"/>
    <w:basedOn w:val="DefaultParagraphFont"/>
    <w:link w:val="CommentText"/>
    <w:uiPriority w:val="99"/>
    <w:rsid w:val="005E4B3B"/>
    <w:rPr>
      <w:rFonts w:ascii="Calibri" w:eastAsia="Calibri" w:hAnsi="Calibri" w:cs="Calibri"/>
      <w:kern w:val="0"/>
      <w:sz w:val="20"/>
      <w:szCs w:val="20"/>
      <w:lang w:val="mk-MK"/>
      <w14:ligatures w14:val="none"/>
    </w:rPr>
  </w:style>
  <w:style w:type="paragraph" w:customStyle="1" w:styleId="Default">
    <w:name w:val="Default"/>
    <w:rsid w:val="000A422A"/>
    <w:pPr>
      <w:autoSpaceDE w:val="0"/>
      <w:autoSpaceDN w:val="0"/>
      <w:adjustRightInd w:val="0"/>
      <w:spacing w:after="0" w:line="240" w:lineRule="auto"/>
    </w:pPr>
    <w:rPr>
      <w:rFonts w:ascii="Corbel" w:eastAsia="Calibri" w:hAnsi="Corbel" w:cs="Corbe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moepp.gov.mk/wp-content/uploads/2015/01/Good-practices-for-residential-wood-burning-%D0%9C%D0%9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911f9c8c-cbe6-4f2d-8501-6c6016eea4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CB7BE3F8A9B54B85DA28799491BE66" ma:contentTypeVersion="19" ma:contentTypeDescription="Create a new document." ma:contentTypeScope="" ma:versionID="c65ed6574de9db09cc46b8caeb310d0b">
  <xsd:schema xmlns:xsd="http://www.w3.org/2001/XMLSchema" xmlns:xs="http://www.w3.org/2001/XMLSchema" xmlns:p="http://schemas.microsoft.com/office/2006/metadata/properties" xmlns:ns2="3be21822-585e-40dd-959c-3d9b4b9581f8" xmlns:ns3="911f9c8c-cbe6-4f2d-8501-6c6016eea48b" xmlns:ns4="ca283e0b-db31-4043-a2ef-b80661bf084a" targetNamespace="http://schemas.microsoft.com/office/2006/metadata/properties" ma:root="true" ma:fieldsID="c6143036a9f1d0cffedfd16e9cfb335f" ns2:_="" ns3:_="" ns4:_="">
    <xsd:import namespace="3be21822-585e-40dd-959c-3d9b4b9581f8"/>
    <xsd:import namespace="911f9c8c-cbe6-4f2d-8501-6c6016eea48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1822-585e-40dd-959c-3d9b4b958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f9c8c-cbe6-4f2d-8501-6c6016eea4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2ed319-bfc7-48f5-9844-e938e7e9504d}" ma:internalName="TaxCatchAll" ma:showField="CatchAllData" ma:web="3be21822-585e-40dd-959c-3d9b4b958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9020C-5BFC-430D-A4E5-14AA83AA12EF}">
  <ds:schemaRefs>
    <ds:schemaRef ds:uri="http://schemas.microsoft.com/office/2006/metadata/properties"/>
    <ds:schemaRef ds:uri="http://schemas.microsoft.com/office/infopath/2007/PartnerControls"/>
    <ds:schemaRef ds:uri="ca283e0b-db31-4043-a2ef-b80661bf084a"/>
    <ds:schemaRef ds:uri="911f9c8c-cbe6-4f2d-8501-6c6016eea48b"/>
  </ds:schemaRefs>
</ds:datastoreItem>
</file>

<file path=customXml/itemProps2.xml><?xml version="1.0" encoding="utf-8"?>
<ds:datastoreItem xmlns:ds="http://schemas.openxmlformats.org/officeDocument/2006/customXml" ds:itemID="{90F09624-CC7F-460F-B89D-3D083F1B8A42}">
  <ds:schemaRefs>
    <ds:schemaRef ds:uri="http://schemas.microsoft.com/sharepoint/v3/contenttype/forms"/>
  </ds:schemaRefs>
</ds:datastoreItem>
</file>

<file path=customXml/itemProps3.xml><?xml version="1.0" encoding="utf-8"?>
<ds:datastoreItem xmlns:ds="http://schemas.openxmlformats.org/officeDocument/2006/customXml" ds:itemID="{D59DE95A-B3D5-46CC-A169-A90C364A2862}">
  <ds:schemaRefs>
    <ds:schemaRef ds:uri="http://schemas.openxmlformats.org/officeDocument/2006/bibliography"/>
  </ds:schemaRefs>
</ds:datastoreItem>
</file>

<file path=customXml/itemProps4.xml><?xml version="1.0" encoding="utf-8"?>
<ds:datastoreItem xmlns:ds="http://schemas.openxmlformats.org/officeDocument/2006/customXml" ds:itemID="{03C4245C-099C-4BA4-A94F-94867FED9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21822-585e-40dd-959c-3d9b4b9581f8"/>
    <ds:schemaRef ds:uri="911f9c8c-cbe6-4f2d-8501-6c6016eea48b"/>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839</Words>
  <Characters>4829</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 Pucoski</dc:creator>
  <cp:keywords/>
  <dc:description/>
  <cp:lastModifiedBy>Bore Pucoski</cp:lastModifiedBy>
  <cp:revision>18</cp:revision>
  <dcterms:created xsi:type="dcterms:W3CDTF">2025-12-01T09:02:00Z</dcterms:created>
  <dcterms:modified xsi:type="dcterms:W3CDTF">2025-12-10T11:54:00Z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0x010100D3CB7BE3F8A9B54B85DA28799491BE66</vt:lpwstr>
  </property>
  <property fmtid="{D5CDD505-2E9C-101B-9397-08002B2CF9AE}" pid="3" name="docLang">
    <vt:lpwstr>mk</vt:lpwstr>
  </property>
  <property fmtid="{D5CDD505-2E9C-101B-9397-08002B2CF9AE}" pid="4" name="MediaServiceImageTags">
    <vt:lpwstr/>
  </property>
</Properties>
</file>