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Layout w:type="fixed"/>
        <w:tblLook w:val="04A0" w:firstRow="1" w:lastRow="0" w:firstColumn="1" w:lastColumn="0" w:noHBand="0" w:noVBand="1"/>
      </w:tblPr>
      <w:tblGrid>
        <w:gridCol w:w="2385"/>
        <w:gridCol w:w="14"/>
        <w:gridCol w:w="2399"/>
        <w:gridCol w:w="2399"/>
        <w:gridCol w:w="2399"/>
        <w:gridCol w:w="2399"/>
        <w:gridCol w:w="2405"/>
      </w:tblGrid>
      <w:tr w:rsidR="00525387" w14:paraId="6D172FAF" w14:textId="2401F667" w:rsidTr="00F70AEA">
        <w:tc>
          <w:tcPr>
            <w:tcW w:w="5000" w:type="pct"/>
            <w:gridSpan w:val="7"/>
            <w:tcBorders>
              <w:top w:val="nil"/>
              <w:left w:val="nil"/>
              <w:right w:val="nil"/>
            </w:tcBorders>
          </w:tcPr>
          <w:p w14:paraId="7A568F94" w14:textId="29C4C32F" w:rsidR="00DD38AD" w:rsidRPr="003C1E00" w:rsidRDefault="008D4020" w:rsidP="003C083C">
            <w:pPr>
              <w:pStyle w:val="Heading1"/>
              <w:spacing w:before="0"/>
              <w:jc w:val="center"/>
              <w:rPr>
                <w:lang w:val="mk-MK"/>
              </w:rPr>
            </w:pPr>
            <w:r w:rsidRPr="003C1E00">
              <w:t>Preporuke za rješavanje problema zagađenja ambijentalnog zraka</w:t>
            </w:r>
          </w:p>
        </w:tc>
      </w:tr>
      <w:tr w:rsidR="00525387" w:rsidRPr="009471AC" w14:paraId="259AC845" w14:textId="65CF0983" w:rsidTr="00F70AEA">
        <w:trPr>
          <w:trHeight w:val="718"/>
        </w:trPr>
        <w:tc>
          <w:tcPr>
            <w:tcW w:w="828" w:type="pct"/>
            <w:tcBorders>
              <w:top w:val="single" w:sz="4" w:space="0" w:color="auto"/>
              <w:left w:val="single" w:sz="4" w:space="0" w:color="auto"/>
              <w:bottom w:val="single" w:sz="4" w:space="0" w:color="auto"/>
              <w:right w:val="nil"/>
            </w:tcBorders>
            <w:shd w:val="clear" w:color="auto" w:fill="EEF7FC"/>
            <w:vAlign w:val="center"/>
          </w:tcPr>
          <w:p w14:paraId="2D8D3A1F" w14:textId="5B0F6043" w:rsidR="00DD38AD" w:rsidRPr="007C1EFC" w:rsidRDefault="008D4020" w:rsidP="00730A31">
            <w:pPr>
              <w:rPr>
                <w:b/>
                <w:bCs/>
                <w:sz w:val="20"/>
                <w:szCs w:val="20"/>
                <w:lang w:val="mk-MK"/>
              </w:rPr>
            </w:pPr>
            <w:r w:rsidRPr="009471AC">
              <w:rPr>
                <w:b/>
                <w:bCs/>
                <w:sz w:val="20"/>
                <w:szCs w:val="20"/>
                <w:lang w:val="de-DE"/>
              </w:rPr>
              <w:t>Šta je zagađenje zraka i zašto je štetno?</w:t>
            </w:r>
          </w:p>
        </w:tc>
        <w:tc>
          <w:tcPr>
            <w:tcW w:w="4172" w:type="pct"/>
            <w:gridSpan w:val="6"/>
            <w:tcBorders>
              <w:bottom w:val="single" w:sz="4" w:space="0" w:color="auto"/>
              <w:right w:val="single" w:sz="4" w:space="0" w:color="auto"/>
            </w:tcBorders>
          </w:tcPr>
          <w:p w14:paraId="52ACE465" w14:textId="287B5F95" w:rsidR="00DD38AD" w:rsidRPr="007C1EFC" w:rsidRDefault="008D4020" w:rsidP="00730A31">
            <w:pPr>
              <w:jc w:val="both"/>
              <w:rPr>
                <w:sz w:val="20"/>
                <w:szCs w:val="20"/>
                <w:lang w:val="mk-MK"/>
              </w:rPr>
            </w:pPr>
            <w:r w:rsidRPr="009471AC">
              <w:rPr>
                <w:sz w:val="20"/>
                <w:szCs w:val="20"/>
                <w:lang w:val="mk-MK"/>
              </w:rPr>
              <w:t>Zrak koji udišemo ponekad može biti zagađen visokim koncentracijama čestica koje su premale da bi se vidjele golim okom. Kada udišemo ove čestice, one mogu da dospiju duboko u pluća, pređu u krvotok i prenesu se kroz sva tkiva i organe našeg tijela. Zagađenje zraka ovim česticama predstavlja najveći ekološki i zdravstveni rizik za djecu u našoj državi.</w:t>
            </w:r>
          </w:p>
        </w:tc>
      </w:tr>
      <w:tr w:rsidR="00525387" w14:paraId="343C92CD" w14:textId="5BA34F13" w:rsidTr="006139B2">
        <w:trPr>
          <w:trHeight w:val="1142"/>
        </w:trPr>
        <w:tc>
          <w:tcPr>
            <w:tcW w:w="5000" w:type="pct"/>
            <w:gridSpan w:val="7"/>
            <w:tcBorders>
              <w:left w:val="nil"/>
              <w:bottom w:val="nil"/>
              <w:right w:val="nil"/>
            </w:tcBorders>
          </w:tcPr>
          <w:p w14:paraId="08BC675E" w14:textId="77777777" w:rsidR="00DD38AD" w:rsidRPr="006139B2" w:rsidRDefault="008D4020" w:rsidP="00DD38AD">
            <w:pPr>
              <w:pStyle w:val="Heading2"/>
              <w:spacing w:before="0"/>
              <w:jc w:val="center"/>
              <w:rPr>
                <w:lang w:val="mk-MK"/>
              </w:rPr>
            </w:pPr>
            <w:r w:rsidRPr="009471AC">
              <w:rPr>
                <w:sz w:val="28"/>
                <w:szCs w:val="28"/>
                <w:lang w:val="mk-MK"/>
              </w:rPr>
              <w:t>Kako mjerimo kvalitet zraka?</w:t>
            </w:r>
          </w:p>
          <w:p w14:paraId="231D7B9F" w14:textId="63EDC058" w:rsidR="00DD38AD" w:rsidRPr="00DD38AD" w:rsidRDefault="008D4020" w:rsidP="00257374">
            <w:pPr>
              <w:jc w:val="both"/>
              <w:rPr>
                <w:lang w:val="mk-MK"/>
              </w:rPr>
            </w:pPr>
            <w:r w:rsidRPr="009471AC">
              <w:rPr>
                <w:sz w:val="20"/>
                <w:szCs w:val="20"/>
                <w:lang w:val="mk-MK"/>
              </w:rPr>
              <w:t xml:space="preserve">Ministarstvo za zaštitu životne sredine i prostornog planiranja postavilo je 22 mjerne stanice širom zemlje, koje se pridržavaju strogih standarda za lokaciju, tačnost i održavanje. Ove stanice se redovno održavaju i kalibriraju kako bi se obezbjedili precizni i pouzdani podaci. </w:t>
            </w:r>
            <w:proofErr w:type="spellStart"/>
            <w:r w:rsidRPr="007C1EFC">
              <w:rPr>
                <w:sz w:val="20"/>
                <w:szCs w:val="20"/>
              </w:rPr>
              <w:t>Poda</w:t>
            </w:r>
            <w:r w:rsidR="009471AC">
              <w:rPr>
                <w:sz w:val="20"/>
                <w:szCs w:val="20"/>
              </w:rPr>
              <w:t>t</w:t>
            </w:r>
            <w:r w:rsidRPr="007C1EFC">
              <w:rPr>
                <w:sz w:val="20"/>
                <w:szCs w:val="20"/>
              </w:rPr>
              <w:t>ci</w:t>
            </w:r>
            <w:proofErr w:type="spellEnd"/>
            <w:r w:rsidRPr="007C1EFC">
              <w:rPr>
                <w:sz w:val="20"/>
                <w:szCs w:val="20"/>
              </w:rPr>
              <w:t xml:space="preserve"> </w:t>
            </w:r>
            <w:proofErr w:type="spellStart"/>
            <w:r w:rsidRPr="007C1EFC">
              <w:rPr>
                <w:sz w:val="20"/>
                <w:szCs w:val="20"/>
              </w:rPr>
              <w:t>sa</w:t>
            </w:r>
            <w:proofErr w:type="spellEnd"/>
            <w:r w:rsidRPr="007C1EFC">
              <w:rPr>
                <w:sz w:val="20"/>
                <w:szCs w:val="20"/>
              </w:rPr>
              <w:t xml:space="preserve"> </w:t>
            </w:r>
            <w:proofErr w:type="spellStart"/>
            <w:r w:rsidRPr="007C1EFC">
              <w:rPr>
                <w:sz w:val="20"/>
                <w:szCs w:val="20"/>
              </w:rPr>
              <w:t>mjernih</w:t>
            </w:r>
            <w:proofErr w:type="spellEnd"/>
            <w:r w:rsidRPr="007C1EFC">
              <w:rPr>
                <w:sz w:val="20"/>
                <w:szCs w:val="20"/>
              </w:rPr>
              <w:t xml:space="preserve"> </w:t>
            </w:r>
            <w:proofErr w:type="spellStart"/>
            <w:r w:rsidRPr="007C1EFC">
              <w:rPr>
                <w:sz w:val="20"/>
                <w:szCs w:val="20"/>
              </w:rPr>
              <w:t>stanica</w:t>
            </w:r>
            <w:proofErr w:type="spellEnd"/>
            <w:r w:rsidRPr="007C1EFC">
              <w:rPr>
                <w:sz w:val="20"/>
                <w:szCs w:val="20"/>
              </w:rPr>
              <w:t xml:space="preserve"> dostupni su na internet stranici ministarstva: </w:t>
            </w:r>
            <w:hyperlink r:id="rId10" w:history="1">
              <w:r w:rsidRPr="008D4020">
                <w:rPr>
                  <w:rStyle w:val="Hyperlink"/>
                  <w:sz w:val="20"/>
                  <w:szCs w:val="20"/>
                </w:rPr>
                <w:t>https://air.moepp.gov.mk/</w:t>
              </w:r>
            </w:hyperlink>
            <w:r w:rsidRPr="008D4020">
              <w:rPr>
                <w:sz w:val="20"/>
                <w:szCs w:val="20"/>
              </w:rPr>
              <w:t xml:space="preserve"> </w:t>
            </w:r>
          </w:p>
        </w:tc>
      </w:tr>
      <w:tr w:rsidR="00525387" w14:paraId="3AEFE710" w14:textId="77777777" w:rsidTr="006139B2">
        <w:trPr>
          <w:trHeight w:val="839"/>
        </w:trPr>
        <w:tc>
          <w:tcPr>
            <w:tcW w:w="5000" w:type="pct"/>
            <w:gridSpan w:val="7"/>
            <w:tcBorders>
              <w:top w:val="nil"/>
              <w:left w:val="nil"/>
              <w:right w:val="nil"/>
            </w:tcBorders>
          </w:tcPr>
          <w:p w14:paraId="2EBA44D8" w14:textId="478F6A4C" w:rsidR="00DD048A" w:rsidRPr="003C1E00" w:rsidRDefault="008D4020" w:rsidP="007C1EFC">
            <w:pPr>
              <w:pStyle w:val="Heading2"/>
              <w:spacing w:before="0"/>
              <w:jc w:val="both"/>
              <w:rPr>
                <w:sz w:val="28"/>
                <w:szCs w:val="28"/>
                <w:lang w:val="mk-MK"/>
              </w:rPr>
            </w:pPr>
            <w:r w:rsidRPr="007C1EFC">
              <w:rPr>
                <w:rFonts w:asciiTheme="minorHAnsi" w:eastAsiaTheme="minorHAnsi" w:hAnsiTheme="minorHAnsi" w:cstheme="minorBidi"/>
                <w:color w:val="auto"/>
                <w:sz w:val="20"/>
                <w:szCs w:val="20"/>
              </w:rPr>
              <w:t xml:space="preserve">Ove preporuke imaju za cilj pomoći školama u postupcima zaštite djece (kao ranjive kategorije) i odraslih od zagađenog ambijentalnog zraka – ali škole trebaju istražiti dodatne mjere i koristiti vlastitu procjenu u situacijama nesigurnosti. Ponekad zagađenje zraka može nastati iznenada (kao što je slučaj s požarom ili intenzivnim građevinskim radovima u </w:t>
            </w:r>
            <w:proofErr w:type="spellStart"/>
            <w:r w:rsidRPr="007C1EFC">
              <w:rPr>
                <w:rFonts w:asciiTheme="minorHAnsi" w:eastAsiaTheme="minorHAnsi" w:hAnsiTheme="minorHAnsi" w:cstheme="minorBidi"/>
                <w:color w:val="auto"/>
                <w:sz w:val="20"/>
                <w:szCs w:val="20"/>
              </w:rPr>
              <w:t>blizini</w:t>
            </w:r>
            <w:proofErr w:type="spellEnd"/>
            <w:r w:rsidRPr="007C1EFC">
              <w:rPr>
                <w:rFonts w:asciiTheme="minorHAnsi" w:eastAsiaTheme="minorHAnsi" w:hAnsiTheme="minorHAnsi" w:cstheme="minorBidi"/>
                <w:color w:val="auto"/>
                <w:sz w:val="20"/>
                <w:szCs w:val="20"/>
              </w:rPr>
              <w:t xml:space="preserve">), a </w:t>
            </w:r>
            <w:proofErr w:type="spellStart"/>
            <w:r w:rsidRPr="007C1EFC">
              <w:rPr>
                <w:rFonts w:asciiTheme="minorHAnsi" w:eastAsiaTheme="minorHAnsi" w:hAnsiTheme="minorHAnsi" w:cstheme="minorBidi"/>
                <w:color w:val="auto"/>
                <w:sz w:val="20"/>
                <w:szCs w:val="20"/>
              </w:rPr>
              <w:t>poda</w:t>
            </w:r>
            <w:r w:rsidR="009471AC">
              <w:rPr>
                <w:rFonts w:asciiTheme="minorHAnsi" w:eastAsiaTheme="minorHAnsi" w:hAnsiTheme="minorHAnsi" w:cstheme="minorBidi"/>
                <w:color w:val="auto"/>
                <w:sz w:val="20"/>
                <w:szCs w:val="20"/>
              </w:rPr>
              <w:t>t</w:t>
            </w:r>
            <w:r w:rsidRPr="007C1EFC">
              <w:rPr>
                <w:rFonts w:asciiTheme="minorHAnsi" w:eastAsiaTheme="minorHAnsi" w:hAnsiTheme="minorHAnsi" w:cstheme="minorBidi"/>
                <w:color w:val="auto"/>
                <w:sz w:val="20"/>
                <w:szCs w:val="20"/>
              </w:rPr>
              <w:t>ci</w:t>
            </w:r>
            <w:proofErr w:type="spellEnd"/>
            <w:r w:rsidRPr="007C1EFC">
              <w:rPr>
                <w:rFonts w:asciiTheme="minorHAnsi" w:eastAsiaTheme="minorHAnsi" w:hAnsiTheme="minorHAnsi" w:cstheme="minorBidi"/>
                <w:color w:val="auto"/>
                <w:sz w:val="20"/>
                <w:szCs w:val="20"/>
              </w:rPr>
              <w:t xml:space="preserve"> s </w:t>
            </w:r>
            <w:proofErr w:type="spellStart"/>
            <w:r w:rsidRPr="007C1EFC">
              <w:rPr>
                <w:rFonts w:asciiTheme="minorHAnsi" w:eastAsiaTheme="minorHAnsi" w:hAnsiTheme="minorHAnsi" w:cstheme="minorBidi"/>
                <w:color w:val="auto"/>
                <w:sz w:val="20"/>
                <w:szCs w:val="20"/>
              </w:rPr>
              <w:t>mjernih</w:t>
            </w:r>
            <w:proofErr w:type="spellEnd"/>
            <w:r w:rsidRPr="007C1EFC">
              <w:rPr>
                <w:rFonts w:asciiTheme="minorHAnsi" w:eastAsiaTheme="minorHAnsi" w:hAnsiTheme="minorHAnsi" w:cstheme="minorBidi"/>
                <w:color w:val="auto"/>
                <w:sz w:val="20"/>
                <w:szCs w:val="20"/>
              </w:rPr>
              <w:t xml:space="preserve"> </w:t>
            </w:r>
            <w:proofErr w:type="spellStart"/>
            <w:r w:rsidRPr="007C1EFC">
              <w:rPr>
                <w:rFonts w:asciiTheme="minorHAnsi" w:eastAsiaTheme="minorHAnsi" w:hAnsiTheme="minorHAnsi" w:cstheme="minorBidi"/>
                <w:color w:val="auto"/>
                <w:sz w:val="20"/>
                <w:szCs w:val="20"/>
              </w:rPr>
              <w:t>stanica</w:t>
            </w:r>
            <w:proofErr w:type="spellEnd"/>
            <w:r w:rsidRPr="007C1EFC">
              <w:rPr>
                <w:rFonts w:asciiTheme="minorHAnsi" w:eastAsiaTheme="minorHAnsi" w:hAnsiTheme="minorHAnsi" w:cstheme="minorBidi"/>
                <w:color w:val="auto"/>
                <w:sz w:val="20"/>
                <w:szCs w:val="20"/>
              </w:rPr>
              <w:t xml:space="preserve"> </w:t>
            </w:r>
            <w:proofErr w:type="spellStart"/>
            <w:r w:rsidR="009471AC">
              <w:rPr>
                <w:rFonts w:asciiTheme="minorHAnsi" w:eastAsiaTheme="minorHAnsi" w:hAnsiTheme="minorHAnsi" w:cstheme="minorBidi"/>
                <w:color w:val="auto"/>
                <w:sz w:val="20"/>
                <w:szCs w:val="20"/>
              </w:rPr>
              <w:t>mogu</w:t>
            </w:r>
            <w:proofErr w:type="spellEnd"/>
            <w:r w:rsidR="009471AC">
              <w:rPr>
                <w:rFonts w:asciiTheme="minorHAnsi" w:eastAsiaTheme="minorHAnsi" w:hAnsiTheme="minorHAnsi" w:cstheme="minorBidi"/>
                <w:color w:val="auto"/>
                <w:sz w:val="20"/>
                <w:szCs w:val="20"/>
              </w:rPr>
              <w:t xml:space="preserve"> </w:t>
            </w:r>
            <w:proofErr w:type="spellStart"/>
            <w:r w:rsidR="009471AC">
              <w:rPr>
                <w:rFonts w:asciiTheme="minorHAnsi" w:eastAsiaTheme="minorHAnsi" w:hAnsiTheme="minorHAnsi" w:cstheme="minorBidi"/>
                <w:color w:val="auto"/>
                <w:sz w:val="20"/>
                <w:szCs w:val="20"/>
              </w:rPr>
              <w:t>kasniti</w:t>
            </w:r>
            <w:proofErr w:type="spellEnd"/>
            <w:r w:rsidR="009471AC">
              <w:rPr>
                <w:rFonts w:asciiTheme="minorHAnsi" w:eastAsiaTheme="minorHAnsi" w:hAnsiTheme="minorHAnsi" w:cstheme="minorBidi"/>
                <w:color w:val="auto"/>
                <w:sz w:val="20"/>
                <w:szCs w:val="20"/>
              </w:rPr>
              <w:t xml:space="preserve"> </w:t>
            </w:r>
            <w:proofErr w:type="spellStart"/>
            <w:r w:rsidR="009471AC">
              <w:rPr>
                <w:rFonts w:asciiTheme="minorHAnsi" w:eastAsiaTheme="minorHAnsi" w:hAnsiTheme="minorHAnsi" w:cstheme="minorBidi"/>
                <w:color w:val="auto"/>
                <w:sz w:val="20"/>
                <w:szCs w:val="20"/>
              </w:rPr>
              <w:t>ili</w:t>
            </w:r>
            <w:proofErr w:type="spellEnd"/>
            <w:r w:rsidR="009471AC">
              <w:rPr>
                <w:rFonts w:asciiTheme="minorHAnsi" w:eastAsiaTheme="minorHAnsi" w:hAnsiTheme="minorHAnsi" w:cstheme="minorBidi"/>
                <w:color w:val="auto"/>
                <w:sz w:val="20"/>
                <w:szCs w:val="20"/>
              </w:rPr>
              <w:t xml:space="preserve"> </w:t>
            </w:r>
            <w:proofErr w:type="spellStart"/>
            <w:r w:rsidR="009471AC">
              <w:rPr>
                <w:rFonts w:asciiTheme="minorHAnsi" w:eastAsiaTheme="minorHAnsi" w:hAnsiTheme="minorHAnsi" w:cstheme="minorBidi"/>
                <w:color w:val="auto"/>
                <w:sz w:val="20"/>
                <w:szCs w:val="20"/>
              </w:rPr>
              <w:t>uopšte</w:t>
            </w:r>
            <w:proofErr w:type="spellEnd"/>
            <w:r w:rsidR="009471AC">
              <w:rPr>
                <w:rFonts w:asciiTheme="minorHAnsi" w:eastAsiaTheme="minorHAnsi" w:hAnsiTheme="minorHAnsi" w:cstheme="minorBidi"/>
                <w:color w:val="auto"/>
                <w:sz w:val="20"/>
                <w:szCs w:val="20"/>
              </w:rPr>
              <w:t xml:space="preserve"> </w:t>
            </w:r>
            <w:proofErr w:type="spellStart"/>
            <w:r w:rsidR="009471AC">
              <w:rPr>
                <w:rFonts w:asciiTheme="minorHAnsi" w:eastAsiaTheme="minorHAnsi" w:hAnsiTheme="minorHAnsi" w:cstheme="minorBidi"/>
                <w:color w:val="auto"/>
                <w:sz w:val="20"/>
                <w:szCs w:val="20"/>
              </w:rPr>
              <w:t>nisu</w:t>
            </w:r>
            <w:proofErr w:type="spellEnd"/>
            <w:r w:rsidR="009471AC">
              <w:rPr>
                <w:rFonts w:asciiTheme="minorHAnsi" w:eastAsiaTheme="minorHAnsi" w:hAnsiTheme="minorHAnsi" w:cstheme="minorBidi"/>
                <w:color w:val="auto"/>
                <w:sz w:val="20"/>
                <w:szCs w:val="20"/>
              </w:rPr>
              <w:t xml:space="preserve"> </w:t>
            </w:r>
            <w:proofErr w:type="spellStart"/>
            <w:r w:rsidRPr="007C1EFC">
              <w:rPr>
                <w:rFonts w:asciiTheme="minorHAnsi" w:eastAsiaTheme="minorHAnsi" w:hAnsiTheme="minorHAnsi" w:cstheme="minorBidi"/>
                <w:color w:val="auto"/>
                <w:sz w:val="20"/>
                <w:szCs w:val="20"/>
              </w:rPr>
              <w:t>dostupni</w:t>
            </w:r>
            <w:proofErr w:type="spellEnd"/>
            <w:r w:rsidRPr="007C1EFC">
              <w:rPr>
                <w:rFonts w:asciiTheme="minorHAnsi" w:eastAsiaTheme="minorHAnsi" w:hAnsiTheme="minorHAnsi" w:cstheme="minorBidi"/>
                <w:color w:val="auto"/>
                <w:sz w:val="20"/>
                <w:szCs w:val="20"/>
              </w:rPr>
              <w:t>. U takvim slučajevima, škole trebaju biti proaktivne, izbjegavati ili smanjiti izloženost zagađenju i poduzeti mjere zaštite.</w:t>
            </w:r>
          </w:p>
        </w:tc>
      </w:tr>
      <w:tr w:rsidR="00525387" w14:paraId="2BCBFEC4" w14:textId="03E22386" w:rsidTr="00B20ACE">
        <w:tc>
          <w:tcPr>
            <w:tcW w:w="833" w:type="pct"/>
            <w:gridSpan w:val="2"/>
            <w:tcBorders>
              <w:top w:val="single" w:sz="4" w:space="0" w:color="auto"/>
            </w:tcBorders>
            <w:shd w:val="clear" w:color="auto" w:fill="50F0E6"/>
          </w:tcPr>
          <w:p w14:paraId="76C8A154" w14:textId="07EDCCA3" w:rsidR="00DD048A" w:rsidRPr="00843FB8" w:rsidRDefault="008D4020" w:rsidP="00B20ACE">
            <w:pPr>
              <w:jc w:val="center"/>
              <w:rPr>
                <w:lang w:val="mk-MK"/>
              </w:rPr>
            </w:pPr>
            <w:r>
              <w:t>Dobro</w:t>
            </w:r>
          </w:p>
          <w:p w14:paraId="01C97664" w14:textId="0E3D5A8F" w:rsidR="00DD048A" w:rsidRPr="003C1E00" w:rsidRDefault="008D4020" w:rsidP="00B20ACE">
            <w:pPr>
              <w:jc w:val="center"/>
            </w:pPr>
            <w:r w:rsidRPr="003C1E00">
              <w:rPr>
                <w:sz w:val="18"/>
                <w:szCs w:val="18"/>
              </w:rPr>
              <w:t>(PM</w:t>
            </w:r>
            <w:r w:rsidRPr="003C1E00">
              <w:rPr>
                <w:sz w:val="18"/>
                <w:szCs w:val="18"/>
                <w:vertAlign w:val="subscript"/>
              </w:rPr>
              <w:t>2,5</w:t>
            </w:r>
            <w:r w:rsidRPr="003C1E00">
              <w:rPr>
                <w:sz w:val="18"/>
                <w:szCs w:val="18"/>
              </w:rPr>
              <w:t xml:space="preserve"> 0-5; PM</w:t>
            </w:r>
            <w:r w:rsidRPr="003C1E00">
              <w:rPr>
                <w:sz w:val="18"/>
                <w:szCs w:val="18"/>
                <w:vertAlign w:val="subscript"/>
              </w:rPr>
              <w:t>10</w:t>
            </w:r>
            <w:r w:rsidRPr="003C1E00">
              <w:rPr>
                <w:sz w:val="18"/>
                <w:szCs w:val="18"/>
              </w:rPr>
              <w:t xml:space="preserve"> 0-15)</w:t>
            </w:r>
          </w:p>
        </w:tc>
        <w:tc>
          <w:tcPr>
            <w:tcW w:w="833" w:type="pct"/>
            <w:shd w:val="clear" w:color="auto" w:fill="50CCAA"/>
          </w:tcPr>
          <w:p w14:paraId="50BD30E8" w14:textId="44F7AECE" w:rsidR="00DD048A" w:rsidRPr="00843FB8" w:rsidRDefault="008D4020" w:rsidP="001F13A7">
            <w:pPr>
              <w:jc w:val="center"/>
              <w:rPr>
                <w:lang w:val="mk-MK"/>
              </w:rPr>
            </w:pPr>
            <w:r>
              <w:t>Prihvatljivo</w:t>
            </w:r>
          </w:p>
          <w:p w14:paraId="7D854CDD" w14:textId="324797D1" w:rsidR="00DD048A" w:rsidRPr="003C1E00" w:rsidRDefault="008D4020" w:rsidP="001F13A7">
            <w:pPr>
              <w:jc w:val="center"/>
              <w:rPr>
                <w:lang w:val="mk-MK"/>
              </w:rPr>
            </w:pPr>
            <w:r w:rsidRPr="003C1E00">
              <w:rPr>
                <w:sz w:val="18"/>
                <w:szCs w:val="18"/>
              </w:rPr>
              <w:t>(PM</w:t>
            </w:r>
            <w:r w:rsidRPr="003C1E00">
              <w:rPr>
                <w:sz w:val="18"/>
                <w:szCs w:val="18"/>
                <w:vertAlign w:val="subscript"/>
              </w:rPr>
              <w:t>2,5</w:t>
            </w:r>
            <w:r w:rsidRPr="003C1E00">
              <w:rPr>
                <w:sz w:val="18"/>
                <w:szCs w:val="18"/>
              </w:rPr>
              <w:t xml:space="preserve"> 6-15; PM</w:t>
            </w:r>
            <w:r w:rsidRPr="003C1E00">
              <w:rPr>
                <w:sz w:val="18"/>
                <w:szCs w:val="18"/>
                <w:vertAlign w:val="subscript"/>
              </w:rPr>
              <w:t>10</w:t>
            </w:r>
            <w:r w:rsidRPr="003C1E00">
              <w:rPr>
                <w:sz w:val="18"/>
                <w:szCs w:val="18"/>
              </w:rPr>
              <w:t xml:space="preserve"> 16-45)</w:t>
            </w:r>
          </w:p>
        </w:tc>
        <w:tc>
          <w:tcPr>
            <w:tcW w:w="833" w:type="pct"/>
            <w:tcBorders>
              <w:top w:val="single" w:sz="4" w:space="0" w:color="auto"/>
            </w:tcBorders>
            <w:shd w:val="clear" w:color="auto" w:fill="F0E641"/>
          </w:tcPr>
          <w:p w14:paraId="719D2114" w14:textId="4F776CCD" w:rsidR="00DD048A" w:rsidRPr="00843FB8" w:rsidRDefault="008D4020" w:rsidP="001F13A7">
            <w:pPr>
              <w:jc w:val="center"/>
              <w:rPr>
                <w:lang w:val="mk-MK"/>
              </w:rPr>
            </w:pPr>
            <w:r>
              <w:t>Umjereno</w:t>
            </w:r>
          </w:p>
          <w:p w14:paraId="28CF8424" w14:textId="0BAA9170" w:rsidR="00DD048A" w:rsidRPr="003C1E00" w:rsidRDefault="008D4020" w:rsidP="001F13A7">
            <w:pPr>
              <w:jc w:val="center"/>
            </w:pPr>
            <w:r w:rsidRPr="003C1E00">
              <w:rPr>
                <w:sz w:val="18"/>
                <w:szCs w:val="18"/>
              </w:rPr>
              <w:t>(PM</w:t>
            </w:r>
            <w:r w:rsidRPr="003C1E00">
              <w:rPr>
                <w:sz w:val="18"/>
                <w:szCs w:val="18"/>
                <w:vertAlign w:val="subscript"/>
              </w:rPr>
              <w:t>2,5</w:t>
            </w:r>
            <w:r w:rsidRPr="003C1E00">
              <w:rPr>
                <w:sz w:val="18"/>
                <w:szCs w:val="18"/>
              </w:rPr>
              <w:t xml:space="preserve"> 16-50; PM</w:t>
            </w:r>
            <w:r w:rsidRPr="003C1E00">
              <w:rPr>
                <w:sz w:val="18"/>
                <w:szCs w:val="18"/>
                <w:vertAlign w:val="subscript"/>
              </w:rPr>
              <w:t>10</w:t>
            </w:r>
            <w:r w:rsidRPr="003C1E00">
              <w:rPr>
                <w:sz w:val="18"/>
                <w:szCs w:val="18"/>
              </w:rPr>
              <w:t xml:space="preserve"> 46-120)</w:t>
            </w:r>
          </w:p>
        </w:tc>
        <w:tc>
          <w:tcPr>
            <w:tcW w:w="833" w:type="pct"/>
            <w:tcBorders>
              <w:top w:val="single" w:sz="4" w:space="0" w:color="auto"/>
            </w:tcBorders>
            <w:shd w:val="clear" w:color="auto" w:fill="FF5050"/>
          </w:tcPr>
          <w:p w14:paraId="29FC8976" w14:textId="5DB4D48B" w:rsidR="00DD048A" w:rsidRPr="00843FB8" w:rsidRDefault="008D4020" w:rsidP="001F13A7">
            <w:pPr>
              <w:jc w:val="center"/>
              <w:rPr>
                <w:lang w:val="mk-MK"/>
              </w:rPr>
            </w:pPr>
            <w:r>
              <w:t>Loše</w:t>
            </w:r>
          </w:p>
          <w:p w14:paraId="3C0D1A32" w14:textId="5115DE08" w:rsidR="00DD048A" w:rsidRPr="003C1E00" w:rsidRDefault="008D4020" w:rsidP="001F13A7">
            <w:pPr>
              <w:jc w:val="center"/>
            </w:pPr>
            <w:r w:rsidRPr="003C1E00">
              <w:rPr>
                <w:sz w:val="18"/>
                <w:szCs w:val="18"/>
              </w:rPr>
              <w:t>(PM</w:t>
            </w:r>
            <w:r w:rsidRPr="003C1E00">
              <w:rPr>
                <w:sz w:val="18"/>
                <w:szCs w:val="18"/>
                <w:vertAlign w:val="subscript"/>
              </w:rPr>
              <w:t>2,5</w:t>
            </w:r>
            <w:r w:rsidRPr="003C1E00">
              <w:rPr>
                <w:sz w:val="18"/>
                <w:szCs w:val="18"/>
              </w:rPr>
              <w:t xml:space="preserve"> 51-90; PM</w:t>
            </w:r>
            <w:r w:rsidRPr="003C1E00">
              <w:rPr>
                <w:sz w:val="18"/>
                <w:szCs w:val="18"/>
                <w:vertAlign w:val="subscript"/>
              </w:rPr>
              <w:t>10</w:t>
            </w:r>
            <w:r w:rsidRPr="003C1E00">
              <w:rPr>
                <w:sz w:val="18"/>
                <w:szCs w:val="18"/>
              </w:rPr>
              <w:t xml:space="preserve"> 121-195)</w:t>
            </w:r>
          </w:p>
        </w:tc>
        <w:tc>
          <w:tcPr>
            <w:tcW w:w="833" w:type="pct"/>
            <w:tcBorders>
              <w:top w:val="single" w:sz="4" w:space="0" w:color="auto"/>
            </w:tcBorders>
            <w:shd w:val="clear" w:color="auto" w:fill="960032"/>
          </w:tcPr>
          <w:p w14:paraId="0EC79074" w14:textId="48C7C788" w:rsidR="00DD048A" w:rsidRPr="00843FB8" w:rsidRDefault="008D4020" w:rsidP="001F13A7">
            <w:pPr>
              <w:jc w:val="center"/>
              <w:rPr>
                <w:lang w:val="mk-MK"/>
              </w:rPr>
            </w:pPr>
            <w:r>
              <w:t>Vrlo loše</w:t>
            </w:r>
          </w:p>
          <w:p w14:paraId="5DB2B4B9" w14:textId="66B4ACED" w:rsidR="00DD048A" w:rsidRPr="003C1E00" w:rsidRDefault="008D4020" w:rsidP="001F13A7">
            <w:pPr>
              <w:jc w:val="center"/>
            </w:pPr>
            <w:r w:rsidRPr="003C1E00">
              <w:rPr>
                <w:sz w:val="18"/>
                <w:szCs w:val="18"/>
              </w:rPr>
              <w:t>(PM</w:t>
            </w:r>
            <w:r w:rsidRPr="003C1E00">
              <w:rPr>
                <w:sz w:val="18"/>
                <w:szCs w:val="18"/>
                <w:vertAlign w:val="subscript"/>
              </w:rPr>
              <w:t>2,5</w:t>
            </w:r>
            <w:r w:rsidRPr="003C1E00">
              <w:rPr>
                <w:sz w:val="18"/>
                <w:szCs w:val="18"/>
              </w:rPr>
              <w:t xml:space="preserve"> 91-140; PM</w:t>
            </w:r>
            <w:r w:rsidRPr="003C1E00">
              <w:rPr>
                <w:sz w:val="18"/>
                <w:szCs w:val="18"/>
                <w:vertAlign w:val="subscript"/>
              </w:rPr>
              <w:t>10</w:t>
            </w:r>
            <w:r w:rsidRPr="003C1E00">
              <w:rPr>
                <w:sz w:val="18"/>
                <w:szCs w:val="18"/>
              </w:rPr>
              <w:t xml:space="preserve"> 196-270)</w:t>
            </w:r>
          </w:p>
        </w:tc>
        <w:tc>
          <w:tcPr>
            <w:tcW w:w="833" w:type="pct"/>
            <w:tcBorders>
              <w:top w:val="single" w:sz="4" w:space="0" w:color="auto"/>
            </w:tcBorders>
            <w:shd w:val="clear" w:color="auto" w:fill="7D2181"/>
          </w:tcPr>
          <w:p w14:paraId="63EA4C39" w14:textId="15503806" w:rsidR="00DD048A" w:rsidRPr="00E55A5F" w:rsidRDefault="008D4020" w:rsidP="001F13A7">
            <w:pPr>
              <w:jc w:val="center"/>
              <w:rPr>
                <w:color w:val="FFFFFF" w:themeColor="background1"/>
                <w:lang w:val="mk-MK"/>
              </w:rPr>
            </w:pPr>
            <w:proofErr w:type="spellStart"/>
            <w:r w:rsidRPr="00E55A5F">
              <w:rPr>
                <w:color w:val="FFFFFF" w:themeColor="background1"/>
              </w:rPr>
              <w:t>Ekstremno</w:t>
            </w:r>
            <w:proofErr w:type="spellEnd"/>
            <w:r w:rsidRPr="00E55A5F">
              <w:rPr>
                <w:color w:val="FFFFFF" w:themeColor="background1"/>
              </w:rPr>
              <w:t xml:space="preserve"> </w:t>
            </w:r>
            <w:r w:rsidR="009471AC">
              <w:rPr>
                <w:color w:val="FFFFFF" w:themeColor="background1"/>
              </w:rPr>
              <w:t>lose</w:t>
            </w:r>
          </w:p>
          <w:p w14:paraId="15797891" w14:textId="37578756" w:rsidR="00DD048A" w:rsidRPr="00E55A5F" w:rsidRDefault="008D4020" w:rsidP="001F13A7">
            <w:pPr>
              <w:jc w:val="center"/>
              <w:rPr>
                <w:color w:val="FFFFFF" w:themeColor="background1"/>
              </w:rPr>
            </w:pPr>
            <w:r w:rsidRPr="00E55A5F">
              <w:rPr>
                <w:color w:val="FFFFFF" w:themeColor="background1"/>
                <w:sz w:val="18"/>
                <w:szCs w:val="18"/>
              </w:rPr>
              <w:t>(PM</w:t>
            </w:r>
            <w:r w:rsidRPr="00E55A5F">
              <w:rPr>
                <w:color w:val="FFFFFF" w:themeColor="background1"/>
                <w:sz w:val="18"/>
                <w:szCs w:val="18"/>
                <w:vertAlign w:val="subscript"/>
              </w:rPr>
              <w:t>2,5</w:t>
            </w:r>
            <w:r w:rsidRPr="00E55A5F">
              <w:rPr>
                <w:color w:val="FFFFFF" w:themeColor="background1"/>
                <w:sz w:val="18"/>
                <w:szCs w:val="18"/>
              </w:rPr>
              <w:t xml:space="preserve"> &gt;140; PM</w:t>
            </w:r>
            <w:r w:rsidRPr="00E55A5F">
              <w:rPr>
                <w:color w:val="FFFFFF" w:themeColor="background1"/>
                <w:sz w:val="18"/>
                <w:szCs w:val="18"/>
                <w:vertAlign w:val="subscript"/>
              </w:rPr>
              <w:t>10</w:t>
            </w:r>
            <w:r w:rsidRPr="00E55A5F">
              <w:rPr>
                <w:color w:val="FFFFFF" w:themeColor="background1"/>
                <w:sz w:val="18"/>
                <w:szCs w:val="18"/>
              </w:rPr>
              <w:t xml:space="preserve"> &gt;270)</w:t>
            </w:r>
          </w:p>
        </w:tc>
      </w:tr>
      <w:tr w:rsidR="00525387" w:rsidRPr="009471AC" w14:paraId="2388E29C" w14:textId="70131593" w:rsidTr="00B20ACE">
        <w:trPr>
          <w:trHeight w:val="5399"/>
        </w:trPr>
        <w:tc>
          <w:tcPr>
            <w:tcW w:w="833" w:type="pct"/>
            <w:gridSpan w:val="2"/>
            <w:shd w:val="clear" w:color="auto" w:fill="B5F9F4"/>
            <w:vAlign w:val="center"/>
          </w:tcPr>
          <w:p w14:paraId="0B71C8D5" w14:textId="77777777" w:rsidR="00DD048A" w:rsidRDefault="008D4020" w:rsidP="00B20ACE">
            <w:pPr>
              <w:rPr>
                <w:sz w:val="18"/>
                <w:szCs w:val="18"/>
                <w:lang w:val="mk-MK"/>
              </w:rPr>
            </w:pPr>
            <w:r w:rsidRPr="009471AC">
              <w:rPr>
                <w:sz w:val="18"/>
                <w:szCs w:val="18"/>
                <w:lang w:val="de-DE"/>
              </w:rPr>
              <w:t>Kvalitet zraka je dobar.</w:t>
            </w:r>
          </w:p>
          <w:p w14:paraId="515054A6" w14:textId="77777777" w:rsidR="00DD048A" w:rsidRDefault="00DD048A" w:rsidP="00B20ACE">
            <w:pPr>
              <w:rPr>
                <w:sz w:val="18"/>
                <w:szCs w:val="18"/>
                <w:lang w:val="mk-MK"/>
              </w:rPr>
            </w:pPr>
          </w:p>
          <w:p w14:paraId="7E4DC473" w14:textId="7211161E" w:rsidR="00DD048A" w:rsidRPr="00D50723" w:rsidRDefault="008D4020" w:rsidP="00B20ACE">
            <w:pPr>
              <w:rPr>
                <w:sz w:val="18"/>
                <w:szCs w:val="18"/>
                <w:lang w:val="mk-MK"/>
              </w:rPr>
            </w:pPr>
            <w:r w:rsidRPr="009471AC">
              <w:rPr>
                <w:sz w:val="18"/>
                <w:szCs w:val="18"/>
                <w:lang w:val="de-DE"/>
              </w:rPr>
              <w:t>Odličan dan za aktivnosti na otvorenom, sport, igra, rekreacija.</w:t>
            </w:r>
          </w:p>
          <w:p w14:paraId="08767394" w14:textId="285D1A0C" w:rsidR="00DD048A" w:rsidRPr="00D50723" w:rsidRDefault="008D4020" w:rsidP="00B20ACE">
            <w:pPr>
              <w:rPr>
                <w:sz w:val="18"/>
                <w:szCs w:val="18"/>
                <w:lang w:val="mk-MK"/>
              </w:rPr>
            </w:pPr>
            <w:r w:rsidRPr="009471AC">
              <w:rPr>
                <w:sz w:val="18"/>
                <w:szCs w:val="18"/>
                <w:lang w:val="mk-MK"/>
              </w:rPr>
              <w:t>Može se koristiti prirodna ventilacija u učionicama, a preporučuje se češće otvaranje prozora.</w:t>
            </w:r>
          </w:p>
          <w:p w14:paraId="5D0447E9" w14:textId="37B9C6CA" w:rsidR="00DD048A" w:rsidRPr="009471AC" w:rsidRDefault="00DD048A" w:rsidP="00B20ACE">
            <w:pPr>
              <w:rPr>
                <w:sz w:val="18"/>
                <w:szCs w:val="18"/>
                <w:lang w:val="mk-MK"/>
              </w:rPr>
            </w:pPr>
          </w:p>
        </w:tc>
        <w:tc>
          <w:tcPr>
            <w:tcW w:w="833" w:type="pct"/>
            <w:shd w:val="clear" w:color="auto" w:fill="B8EADC"/>
            <w:vAlign w:val="center"/>
          </w:tcPr>
          <w:p w14:paraId="5D138F50" w14:textId="2E268FD4" w:rsidR="00DD048A" w:rsidRDefault="008D4020" w:rsidP="001F13A7">
            <w:pPr>
              <w:rPr>
                <w:sz w:val="18"/>
                <w:szCs w:val="18"/>
                <w:lang w:val="mk-MK"/>
              </w:rPr>
            </w:pPr>
            <w:r w:rsidRPr="009471AC">
              <w:rPr>
                <w:sz w:val="18"/>
                <w:szCs w:val="18"/>
                <w:lang w:val="de-DE"/>
              </w:rPr>
              <w:t>Kvalitet zraka je prihvatljiv za aktivnosti na otvorenom.</w:t>
            </w:r>
          </w:p>
          <w:p w14:paraId="18F88016" w14:textId="77777777" w:rsidR="00DD048A" w:rsidRPr="006A0323" w:rsidRDefault="00DD048A" w:rsidP="001F13A7">
            <w:pPr>
              <w:rPr>
                <w:sz w:val="12"/>
                <w:szCs w:val="12"/>
                <w:lang w:val="mk-MK"/>
              </w:rPr>
            </w:pPr>
          </w:p>
          <w:p w14:paraId="65F9BB80" w14:textId="31E3EAD9" w:rsidR="00DD048A" w:rsidRPr="003C1E00" w:rsidRDefault="008D4020" w:rsidP="001F13A7">
            <w:pPr>
              <w:rPr>
                <w:sz w:val="18"/>
                <w:szCs w:val="18"/>
                <w:lang w:val="mk-MK"/>
              </w:rPr>
            </w:pPr>
            <w:r w:rsidRPr="009471AC">
              <w:rPr>
                <w:sz w:val="18"/>
                <w:szCs w:val="18"/>
                <w:lang w:val="mk-MK"/>
              </w:rPr>
              <w:t>Identifikujte i pratite učenike sa medicinski potvrđenim respiratornim bolestima ili drugim hroničnim bolestima (astma, bronhitis, bolesti srca), koje se mogu pogoršati zagađenjem zraka. Provjerite da li ovi učenici imaju pristup odgovarajućoj terapiji (npr. inhalatori ako ih je propisao ljekar).</w:t>
            </w:r>
          </w:p>
          <w:p w14:paraId="526DDECF" w14:textId="77777777" w:rsidR="00DD048A" w:rsidRPr="006A0323" w:rsidRDefault="00DD048A" w:rsidP="001F13A7">
            <w:pPr>
              <w:rPr>
                <w:sz w:val="12"/>
                <w:szCs w:val="12"/>
                <w:lang w:val="mk-MK"/>
              </w:rPr>
            </w:pPr>
          </w:p>
          <w:p w14:paraId="3029F714" w14:textId="5BA4585B" w:rsidR="00DD048A" w:rsidRPr="003C1E00" w:rsidRDefault="009471AC" w:rsidP="001F13A7">
            <w:pPr>
              <w:rPr>
                <w:sz w:val="18"/>
                <w:szCs w:val="18"/>
                <w:lang w:val="mk-MK"/>
              </w:rPr>
            </w:pPr>
            <w:r>
              <w:rPr>
                <w:sz w:val="18"/>
                <w:szCs w:val="18"/>
                <w:lang w:val="bs-Latn-BA"/>
              </w:rPr>
              <w:t>č</w:t>
            </w:r>
            <w:proofErr w:type="spellStart"/>
            <w:r w:rsidR="008D4020" w:rsidRPr="003C1E00">
              <w:rPr>
                <w:sz w:val="18"/>
                <w:szCs w:val="18"/>
              </w:rPr>
              <w:t>esto</w:t>
            </w:r>
            <w:proofErr w:type="spellEnd"/>
            <w:r w:rsidR="008D4020" w:rsidRPr="003C1E00">
              <w:rPr>
                <w:sz w:val="18"/>
                <w:szCs w:val="18"/>
              </w:rPr>
              <w:t xml:space="preserve"> </w:t>
            </w:r>
            <w:proofErr w:type="spellStart"/>
            <w:r w:rsidR="008D4020" w:rsidRPr="003C1E00">
              <w:rPr>
                <w:sz w:val="18"/>
                <w:szCs w:val="18"/>
              </w:rPr>
              <w:t>provjetravajte</w:t>
            </w:r>
            <w:proofErr w:type="spellEnd"/>
            <w:r w:rsidR="008D4020" w:rsidRPr="003C1E00">
              <w:rPr>
                <w:sz w:val="18"/>
                <w:szCs w:val="18"/>
              </w:rPr>
              <w:t xml:space="preserve"> </w:t>
            </w:r>
            <w:proofErr w:type="spellStart"/>
            <w:r w:rsidR="008D4020" w:rsidRPr="003C1E00">
              <w:rPr>
                <w:sz w:val="18"/>
                <w:szCs w:val="18"/>
              </w:rPr>
              <w:t>prostorije</w:t>
            </w:r>
            <w:proofErr w:type="spellEnd"/>
            <w:r w:rsidR="008D4020" w:rsidRPr="003C1E00">
              <w:rPr>
                <w:sz w:val="18"/>
                <w:szCs w:val="18"/>
              </w:rPr>
              <w:t xml:space="preserve">, </w:t>
            </w:r>
            <w:proofErr w:type="spellStart"/>
            <w:r w:rsidR="008D4020" w:rsidRPr="003C1E00">
              <w:rPr>
                <w:sz w:val="18"/>
                <w:szCs w:val="18"/>
              </w:rPr>
              <w:t>pogotovo</w:t>
            </w:r>
            <w:proofErr w:type="spellEnd"/>
            <w:r w:rsidR="008D4020" w:rsidRPr="003C1E00">
              <w:rPr>
                <w:sz w:val="18"/>
                <w:szCs w:val="18"/>
              </w:rPr>
              <w:t xml:space="preserve"> tokom velikog odmora.</w:t>
            </w:r>
          </w:p>
        </w:tc>
        <w:tc>
          <w:tcPr>
            <w:tcW w:w="833" w:type="pct"/>
            <w:shd w:val="clear" w:color="auto" w:fill="F9F6B5"/>
            <w:vAlign w:val="center"/>
          </w:tcPr>
          <w:p w14:paraId="168D9846" w14:textId="3AB0DDE8" w:rsidR="00DD048A" w:rsidRPr="003C1E00" w:rsidRDefault="008D4020" w:rsidP="00E745C4">
            <w:pPr>
              <w:rPr>
                <w:sz w:val="18"/>
                <w:szCs w:val="18"/>
                <w:lang w:val="mk-MK"/>
              </w:rPr>
            </w:pPr>
            <w:r w:rsidRPr="009471AC">
              <w:rPr>
                <w:sz w:val="18"/>
                <w:szCs w:val="18"/>
                <w:lang w:val="mk-MK"/>
              </w:rPr>
              <w:t>Kratke aktivnosti na otvorenom (s niskim intenzitetom), poput velikog odmora, i dalje se mogu izvoditi.</w:t>
            </w:r>
          </w:p>
          <w:p w14:paraId="52365A84" w14:textId="77777777" w:rsidR="00DD048A" w:rsidRPr="006A0323" w:rsidRDefault="00DD048A" w:rsidP="00F05A8C">
            <w:pPr>
              <w:rPr>
                <w:sz w:val="12"/>
                <w:szCs w:val="12"/>
                <w:lang w:val="mk-MK"/>
              </w:rPr>
            </w:pPr>
          </w:p>
          <w:p w14:paraId="0AB08F41" w14:textId="0ED66C5F" w:rsidR="00DD048A" w:rsidRDefault="008D4020" w:rsidP="001F13A7">
            <w:pPr>
              <w:rPr>
                <w:sz w:val="18"/>
                <w:szCs w:val="18"/>
                <w:lang w:val="mk-MK"/>
              </w:rPr>
            </w:pPr>
            <w:r w:rsidRPr="009471AC">
              <w:rPr>
                <w:sz w:val="18"/>
                <w:szCs w:val="18"/>
                <w:lang w:val="mk-MK"/>
              </w:rPr>
              <w:t>Izbjegavajte intenzivne aktivnosti za učenike s respiratornim oboljenjima ili drugim hroničnim bolestima (astma, bronhitis, srčane bolesti) i pratite simptome. Obavijestite roditelje ako se simptomi pogoršaju.</w:t>
            </w:r>
          </w:p>
          <w:p w14:paraId="78476377" w14:textId="77777777" w:rsidR="00DD048A" w:rsidRPr="006A0323" w:rsidRDefault="00DD048A" w:rsidP="001F13A7">
            <w:pPr>
              <w:rPr>
                <w:sz w:val="12"/>
                <w:szCs w:val="12"/>
                <w:lang w:val="mk-MK"/>
              </w:rPr>
            </w:pPr>
          </w:p>
          <w:p w14:paraId="0847A4C4" w14:textId="4B5E0153" w:rsidR="00DD048A" w:rsidRPr="003C1E00" w:rsidRDefault="008D4020" w:rsidP="001F13A7">
            <w:pPr>
              <w:rPr>
                <w:sz w:val="18"/>
                <w:szCs w:val="18"/>
                <w:lang w:val="mk-MK"/>
              </w:rPr>
            </w:pPr>
            <w:r w:rsidRPr="009471AC">
              <w:rPr>
                <w:sz w:val="18"/>
                <w:szCs w:val="18"/>
                <w:lang w:val="mk-MK"/>
              </w:rPr>
              <w:t>Pročišćivači zraka (ako ih ima) trebaju biti uključeni barem jedan sat prije početka nastave.</w:t>
            </w:r>
          </w:p>
        </w:tc>
        <w:tc>
          <w:tcPr>
            <w:tcW w:w="833" w:type="pct"/>
            <w:shd w:val="clear" w:color="auto" w:fill="FFD5D5"/>
            <w:vAlign w:val="center"/>
          </w:tcPr>
          <w:p w14:paraId="249FA42E" w14:textId="0B1E10DC" w:rsidR="00DD048A" w:rsidRPr="00C30C21" w:rsidRDefault="008D4020" w:rsidP="00C30C21">
            <w:pPr>
              <w:rPr>
                <w:sz w:val="18"/>
                <w:szCs w:val="18"/>
                <w:lang w:val="mk-MK"/>
              </w:rPr>
            </w:pPr>
            <w:r w:rsidRPr="009471AC">
              <w:rPr>
                <w:sz w:val="18"/>
                <w:szCs w:val="18"/>
                <w:lang w:val="mk-MK"/>
              </w:rPr>
              <w:t>Izbjegavajte aktivnosti na otvorenom (fizičko vaspitanje, sport, trčanje, igranje u školskom dvorištu).</w:t>
            </w:r>
          </w:p>
          <w:p w14:paraId="620A361E" w14:textId="3A65F4C0" w:rsidR="00DD048A" w:rsidRPr="003C1E00" w:rsidRDefault="008D4020" w:rsidP="00F05A8C">
            <w:pPr>
              <w:rPr>
                <w:sz w:val="18"/>
                <w:szCs w:val="18"/>
                <w:lang w:val="mk-MK"/>
              </w:rPr>
            </w:pPr>
            <w:r w:rsidRPr="009471AC">
              <w:rPr>
                <w:sz w:val="18"/>
                <w:szCs w:val="18"/>
                <w:lang w:val="mk-MK"/>
              </w:rPr>
              <w:t>Aktivnosti se trebaju odvijati u zatvorenom prostoru, a duge ili intenzivne fizičke aktivnosti odložiti.</w:t>
            </w:r>
          </w:p>
          <w:p w14:paraId="3CCB0952" w14:textId="77777777" w:rsidR="00DD048A" w:rsidRPr="006A0323" w:rsidRDefault="00DD048A" w:rsidP="00F05A8C">
            <w:pPr>
              <w:rPr>
                <w:sz w:val="12"/>
                <w:szCs w:val="12"/>
                <w:lang w:val="mk-MK"/>
              </w:rPr>
            </w:pPr>
          </w:p>
          <w:p w14:paraId="54316242" w14:textId="357B159D" w:rsidR="00DD048A" w:rsidRDefault="008D4020" w:rsidP="00F05A8C">
            <w:pPr>
              <w:rPr>
                <w:sz w:val="18"/>
                <w:szCs w:val="18"/>
                <w:lang w:val="mk-MK"/>
              </w:rPr>
            </w:pPr>
            <w:r w:rsidRPr="009471AC">
              <w:rPr>
                <w:sz w:val="18"/>
                <w:szCs w:val="18"/>
                <w:lang w:val="mk-MK"/>
              </w:rPr>
              <w:t>Pratite sve učenike na pojavu simptoma povezanih sa zagađenjem zraka, kao što su glavobolja, otežano disanje, kašalj, mučnina, te iritacija očiju, nosa i grla.</w:t>
            </w:r>
          </w:p>
          <w:p w14:paraId="3316BDD7" w14:textId="77777777" w:rsidR="00DD048A" w:rsidRPr="006A0323" w:rsidRDefault="00DD048A" w:rsidP="00F05A8C">
            <w:pPr>
              <w:rPr>
                <w:sz w:val="12"/>
                <w:szCs w:val="12"/>
                <w:lang w:val="mk-MK"/>
              </w:rPr>
            </w:pPr>
          </w:p>
          <w:p w14:paraId="3F88B4FE" w14:textId="5AD9BE42" w:rsidR="00DD048A" w:rsidRPr="003C1E00" w:rsidRDefault="008D4020" w:rsidP="00F05A8C">
            <w:pPr>
              <w:rPr>
                <w:sz w:val="18"/>
                <w:szCs w:val="18"/>
                <w:lang w:val="mk-MK"/>
              </w:rPr>
            </w:pPr>
            <w:r w:rsidRPr="009471AC">
              <w:rPr>
                <w:sz w:val="18"/>
                <w:szCs w:val="18"/>
                <w:lang w:val="mk-MK"/>
              </w:rPr>
              <w:t>Pročišćivači zraka trebaju raditi snažnim intenzitetom.</w:t>
            </w:r>
          </w:p>
        </w:tc>
        <w:tc>
          <w:tcPr>
            <w:tcW w:w="833" w:type="pct"/>
            <w:shd w:val="clear" w:color="auto" w:fill="FF97BA"/>
            <w:vAlign w:val="center"/>
          </w:tcPr>
          <w:p w14:paraId="1348BCE0" w14:textId="73A1D908" w:rsidR="00DD048A" w:rsidRPr="00257374" w:rsidRDefault="008D4020" w:rsidP="00F05A8C">
            <w:pPr>
              <w:rPr>
                <w:sz w:val="18"/>
                <w:szCs w:val="18"/>
                <w:lang w:val="mk-MK"/>
              </w:rPr>
            </w:pPr>
            <w:r w:rsidRPr="009471AC">
              <w:rPr>
                <w:sz w:val="18"/>
                <w:szCs w:val="18"/>
                <w:lang w:val="de-DE"/>
              </w:rPr>
              <w:t>Sve aktivnosti na otvorenom treba premjestiti unutra ili otkazati.</w:t>
            </w:r>
          </w:p>
          <w:p w14:paraId="68C2FCC7" w14:textId="0D68469E" w:rsidR="000321ED" w:rsidRDefault="008D4020" w:rsidP="00F05A8C">
            <w:pPr>
              <w:rPr>
                <w:sz w:val="18"/>
                <w:szCs w:val="18"/>
                <w:lang w:val="mk-MK"/>
              </w:rPr>
            </w:pPr>
            <w:r w:rsidRPr="009471AC">
              <w:rPr>
                <w:sz w:val="18"/>
                <w:szCs w:val="18"/>
                <w:lang w:val="mk-MK"/>
              </w:rPr>
              <w:t>Izbjegavajte fizički napor tokom časova fizičkog vaspitanja i sličnih aktivnosti.</w:t>
            </w:r>
          </w:p>
          <w:p w14:paraId="0C9F4F97" w14:textId="77777777" w:rsidR="000321ED" w:rsidRPr="000321ED" w:rsidRDefault="000321ED" w:rsidP="00F05A8C">
            <w:pPr>
              <w:rPr>
                <w:sz w:val="12"/>
                <w:szCs w:val="12"/>
                <w:lang w:val="mk-MK"/>
              </w:rPr>
            </w:pPr>
          </w:p>
          <w:p w14:paraId="6882A395" w14:textId="6FB3B0C7" w:rsidR="00DD048A" w:rsidRPr="003C1E00" w:rsidRDefault="008D4020" w:rsidP="00F05A8C">
            <w:pPr>
              <w:rPr>
                <w:sz w:val="18"/>
                <w:szCs w:val="18"/>
                <w:lang w:val="mk-MK"/>
              </w:rPr>
            </w:pPr>
            <w:r w:rsidRPr="009471AC">
              <w:rPr>
                <w:sz w:val="18"/>
                <w:szCs w:val="18"/>
                <w:lang w:val="mk-MK"/>
              </w:rPr>
              <w:t xml:space="preserve">Zatvorite sva vanjska vrata i prozore škole i otvorite unutrašnja vrata – npr. vrata učionica koje vode ka unutrašnjim hodnicima. </w:t>
            </w:r>
          </w:p>
          <w:p w14:paraId="76CA6C88" w14:textId="77777777" w:rsidR="00DD048A" w:rsidRPr="006A0323" w:rsidRDefault="00DD048A" w:rsidP="00F05A8C">
            <w:pPr>
              <w:rPr>
                <w:sz w:val="12"/>
                <w:szCs w:val="12"/>
                <w:lang w:val="mk-MK"/>
              </w:rPr>
            </w:pPr>
          </w:p>
          <w:p w14:paraId="7A943A2E" w14:textId="42D54B2E" w:rsidR="00DD048A" w:rsidRPr="003C1E00" w:rsidRDefault="008D4020" w:rsidP="009056E7">
            <w:pPr>
              <w:rPr>
                <w:sz w:val="18"/>
                <w:szCs w:val="18"/>
                <w:lang w:val="mk-MK"/>
              </w:rPr>
            </w:pPr>
            <w:r w:rsidRPr="009471AC">
              <w:rPr>
                <w:sz w:val="18"/>
                <w:szCs w:val="18"/>
                <w:lang w:val="mk-MK"/>
              </w:rPr>
              <w:t xml:space="preserve">Obavijestite roditelje o uslovima pod kojima će se održavati nastava i aktivnosti. </w:t>
            </w:r>
            <w:proofErr w:type="spellStart"/>
            <w:r>
              <w:rPr>
                <w:sz w:val="18"/>
                <w:szCs w:val="18"/>
              </w:rPr>
              <w:t>Pročišćivači</w:t>
            </w:r>
            <w:proofErr w:type="spellEnd"/>
            <w:r>
              <w:rPr>
                <w:sz w:val="18"/>
                <w:szCs w:val="18"/>
              </w:rPr>
              <w:t xml:space="preserve"> </w:t>
            </w:r>
            <w:proofErr w:type="spellStart"/>
            <w:r>
              <w:rPr>
                <w:sz w:val="18"/>
                <w:szCs w:val="18"/>
              </w:rPr>
              <w:t>zraka</w:t>
            </w:r>
            <w:proofErr w:type="spellEnd"/>
            <w:r>
              <w:rPr>
                <w:sz w:val="18"/>
                <w:szCs w:val="18"/>
              </w:rPr>
              <w:t xml:space="preserve"> </w:t>
            </w:r>
            <w:proofErr w:type="spellStart"/>
            <w:r>
              <w:rPr>
                <w:sz w:val="18"/>
                <w:szCs w:val="18"/>
              </w:rPr>
              <w:t>trebaju</w:t>
            </w:r>
            <w:proofErr w:type="spellEnd"/>
            <w:r>
              <w:rPr>
                <w:sz w:val="18"/>
                <w:szCs w:val="18"/>
              </w:rPr>
              <w:t xml:space="preserve"> </w:t>
            </w:r>
            <w:proofErr w:type="spellStart"/>
            <w:r>
              <w:rPr>
                <w:sz w:val="18"/>
                <w:szCs w:val="18"/>
              </w:rPr>
              <w:t>raditi</w:t>
            </w:r>
            <w:proofErr w:type="spellEnd"/>
            <w:r>
              <w:rPr>
                <w:sz w:val="18"/>
                <w:szCs w:val="18"/>
              </w:rPr>
              <w:t xml:space="preserve"> maksimalnim intenzitetom.</w:t>
            </w:r>
          </w:p>
        </w:tc>
        <w:tc>
          <w:tcPr>
            <w:tcW w:w="833" w:type="pct"/>
            <w:shd w:val="clear" w:color="auto" w:fill="EBB9ED"/>
            <w:vAlign w:val="center"/>
          </w:tcPr>
          <w:p w14:paraId="120A2BEB" w14:textId="76851222" w:rsidR="00DD048A" w:rsidRDefault="008D4020" w:rsidP="001F13A7">
            <w:pPr>
              <w:rPr>
                <w:sz w:val="18"/>
                <w:szCs w:val="18"/>
                <w:lang w:val="mk-MK"/>
              </w:rPr>
            </w:pPr>
            <w:r w:rsidRPr="009471AC">
              <w:rPr>
                <w:sz w:val="18"/>
                <w:szCs w:val="18"/>
                <w:lang w:val="mk-MK"/>
              </w:rPr>
              <w:t>Sve aktivnosti koje su fizički intenzivne ili su na otvorenom se otkazuju.</w:t>
            </w:r>
          </w:p>
          <w:p w14:paraId="1FB0B635" w14:textId="77777777" w:rsidR="000321ED" w:rsidRPr="000321ED" w:rsidRDefault="000321ED" w:rsidP="001F13A7">
            <w:pPr>
              <w:rPr>
                <w:sz w:val="12"/>
                <w:szCs w:val="12"/>
                <w:lang w:val="mk-MK"/>
              </w:rPr>
            </w:pPr>
          </w:p>
          <w:p w14:paraId="601B20C5" w14:textId="1A7245BE" w:rsidR="00DD048A" w:rsidRDefault="008D4020" w:rsidP="001F13A7">
            <w:pPr>
              <w:rPr>
                <w:sz w:val="18"/>
                <w:szCs w:val="18"/>
                <w:lang w:val="mk-MK"/>
              </w:rPr>
            </w:pPr>
            <w:r w:rsidRPr="009471AC">
              <w:rPr>
                <w:sz w:val="18"/>
                <w:szCs w:val="18"/>
                <w:lang w:val="mk-MK"/>
              </w:rPr>
              <w:t>Zatvorite sva vanjska vrata i prozore škole i otvorite unutrašnja vrata – npr. vrata učionica koje vode ka unutrašnjim hodnicima.</w:t>
            </w:r>
          </w:p>
          <w:p w14:paraId="15D1F983" w14:textId="77777777" w:rsidR="000321ED" w:rsidRPr="006A0323" w:rsidRDefault="000321ED" w:rsidP="001F13A7">
            <w:pPr>
              <w:rPr>
                <w:sz w:val="12"/>
                <w:szCs w:val="12"/>
                <w:lang w:val="mk-MK"/>
              </w:rPr>
            </w:pPr>
          </w:p>
          <w:p w14:paraId="71CB23F1" w14:textId="06A574EE" w:rsidR="00DD048A" w:rsidRDefault="008D4020" w:rsidP="001F13A7">
            <w:pPr>
              <w:rPr>
                <w:sz w:val="18"/>
                <w:szCs w:val="18"/>
                <w:lang w:val="mk-MK"/>
              </w:rPr>
            </w:pPr>
            <w:r w:rsidRPr="009471AC">
              <w:rPr>
                <w:sz w:val="18"/>
                <w:szCs w:val="18"/>
                <w:lang w:val="mk-MK"/>
              </w:rPr>
              <w:t xml:space="preserve">Pratite smjernice Vlade i </w:t>
            </w:r>
            <w:r w:rsidR="009471AC">
              <w:rPr>
                <w:sz w:val="18"/>
                <w:szCs w:val="18"/>
                <w:lang w:val="mk-MK"/>
              </w:rPr>
              <w:t>Ministarstva obrazovanja</w:t>
            </w:r>
            <w:r w:rsidRPr="009471AC">
              <w:rPr>
                <w:sz w:val="18"/>
                <w:szCs w:val="18"/>
                <w:lang w:val="mk-MK"/>
              </w:rPr>
              <w:t xml:space="preserve"> i nauke i informišite roditelje o uslovima pod kojima će se održavati nastava i aktivnosti.</w:t>
            </w:r>
          </w:p>
          <w:p w14:paraId="31D62231" w14:textId="77777777" w:rsidR="00DD048A" w:rsidRPr="006A0323" w:rsidRDefault="00DD048A" w:rsidP="001F13A7">
            <w:pPr>
              <w:rPr>
                <w:sz w:val="12"/>
                <w:szCs w:val="12"/>
                <w:lang w:val="mk-MK"/>
              </w:rPr>
            </w:pPr>
          </w:p>
          <w:p w14:paraId="272FA13A" w14:textId="62E04A60" w:rsidR="00DD048A" w:rsidRPr="003C1E00" w:rsidRDefault="008D4020" w:rsidP="001F13A7">
            <w:pPr>
              <w:rPr>
                <w:sz w:val="18"/>
                <w:szCs w:val="18"/>
                <w:lang w:val="mk-MK"/>
              </w:rPr>
            </w:pPr>
            <w:r w:rsidRPr="009471AC">
              <w:rPr>
                <w:sz w:val="18"/>
                <w:szCs w:val="18"/>
                <w:lang w:val="mk-MK"/>
              </w:rPr>
              <w:t>Pročišćivači zraka trebaju raditi maksimalnim intenzitetom.</w:t>
            </w:r>
          </w:p>
        </w:tc>
      </w:tr>
    </w:tbl>
    <w:p w14:paraId="1898A36D" w14:textId="00B010B5" w:rsidR="00C33D1C" w:rsidRPr="00252166" w:rsidRDefault="00C33D1C" w:rsidP="002228F5">
      <w:pPr>
        <w:rPr>
          <w:lang w:val="mk-MK"/>
        </w:rPr>
      </w:pPr>
    </w:p>
    <w:sectPr w:rsidR="00C33D1C" w:rsidRPr="00252166" w:rsidSect="00CC6297">
      <w:headerReference w:type="default" r:id="rId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AFFF4" w14:textId="77777777" w:rsidR="00684AB4" w:rsidRDefault="00684AB4">
      <w:pPr>
        <w:spacing w:after="0" w:line="240" w:lineRule="auto"/>
      </w:pPr>
      <w:r>
        <w:separator/>
      </w:r>
    </w:p>
  </w:endnote>
  <w:endnote w:type="continuationSeparator" w:id="0">
    <w:p w14:paraId="39CE73DB" w14:textId="77777777" w:rsidR="00684AB4" w:rsidRDefault="00684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EAD98" w14:textId="77777777" w:rsidR="00684AB4" w:rsidRDefault="00684AB4">
      <w:pPr>
        <w:spacing w:after="0" w:line="240" w:lineRule="auto"/>
      </w:pPr>
      <w:r>
        <w:separator/>
      </w:r>
    </w:p>
  </w:footnote>
  <w:footnote w:type="continuationSeparator" w:id="0">
    <w:p w14:paraId="5468C585" w14:textId="77777777" w:rsidR="00684AB4" w:rsidRDefault="00684A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803D7" w14:textId="6C6A6DCE" w:rsidR="00CC6297" w:rsidRDefault="008D4020">
    <w:pPr>
      <w:pStyle w:val="Header"/>
    </w:pPr>
    <w:r>
      <w:rPr>
        <w:noProof/>
      </w:rPr>
      <w:drawing>
        <wp:anchor distT="0" distB="0" distL="114300" distR="114300" simplePos="0" relativeHeight="251658240" behindDoc="0" locked="0" layoutInCell="1" allowOverlap="1" wp14:anchorId="5147580C" wp14:editId="3909A684">
          <wp:simplePos x="0" y="0"/>
          <wp:positionH relativeFrom="margin">
            <wp:align>center</wp:align>
          </wp:positionH>
          <wp:positionV relativeFrom="paragraph">
            <wp:posOffset>-333324</wp:posOffset>
          </wp:positionV>
          <wp:extent cx="3182112" cy="576095"/>
          <wp:effectExtent l="0" t="0" r="0" b="0"/>
          <wp:wrapNone/>
          <wp:docPr id="257214632" name="Picture 1" descr="A logo with text be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214632" name="Picture 1" descr="A logo with text below&#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182112" cy="57609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297"/>
    <w:rsid w:val="00016984"/>
    <w:rsid w:val="000321ED"/>
    <w:rsid w:val="00050975"/>
    <w:rsid w:val="00057D1D"/>
    <w:rsid w:val="00085D83"/>
    <w:rsid w:val="000B1FBF"/>
    <w:rsid w:val="000B7588"/>
    <w:rsid w:val="000C2614"/>
    <w:rsid w:val="000C4015"/>
    <w:rsid w:val="00101283"/>
    <w:rsid w:val="00102BD9"/>
    <w:rsid w:val="00105F19"/>
    <w:rsid w:val="0014439D"/>
    <w:rsid w:val="001515AB"/>
    <w:rsid w:val="00156F01"/>
    <w:rsid w:val="001842CE"/>
    <w:rsid w:val="00187D4C"/>
    <w:rsid w:val="00191D7E"/>
    <w:rsid w:val="001A1FB2"/>
    <w:rsid w:val="001A5568"/>
    <w:rsid w:val="001D53F0"/>
    <w:rsid w:val="001D65BC"/>
    <w:rsid w:val="001F13A7"/>
    <w:rsid w:val="001F6DB8"/>
    <w:rsid w:val="002148B8"/>
    <w:rsid w:val="002228F5"/>
    <w:rsid w:val="00251AF6"/>
    <w:rsid w:val="00252166"/>
    <w:rsid w:val="00255144"/>
    <w:rsid w:val="00257374"/>
    <w:rsid w:val="00281916"/>
    <w:rsid w:val="00285DD9"/>
    <w:rsid w:val="0029662E"/>
    <w:rsid w:val="002A2CB7"/>
    <w:rsid w:val="002A3530"/>
    <w:rsid w:val="002B3DF0"/>
    <w:rsid w:val="002F337D"/>
    <w:rsid w:val="00304C16"/>
    <w:rsid w:val="00344918"/>
    <w:rsid w:val="00350E54"/>
    <w:rsid w:val="00355511"/>
    <w:rsid w:val="00371FFE"/>
    <w:rsid w:val="00394DE0"/>
    <w:rsid w:val="003B29F5"/>
    <w:rsid w:val="003C083C"/>
    <w:rsid w:val="003C1E00"/>
    <w:rsid w:val="003E0F2D"/>
    <w:rsid w:val="003E5D89"/>
    <w:rsid w:val="004050EA"/>
    <w:rsid w:val="004061B9"/>
    <w:rsid w:val="004672A8"/>
    <w:rsid w:val="004A0D0E"/>
    <w:rsid w:val="004B4BEF"/>
    <w:rsid w:val="004B77C6"/>
    <w:rsid w:val="004E45C6"/>
    <w:rsid w:val="00525387"/>
    <w:rsid w:val="005367E9"/>
    <w:rsid w:val="0059052D"/>
    <w:rsid w:val="00591F30"/>
    <w:rsid w:val="005D151B"/>
    <w:rsid w:val="005D40C0"/>
    <w:rsid w:val="005E0F25"/>
    <w:rsid w:val="005E6812"/>
    <w:rsid w:val="005F51B5"/>
    <w:rsid w:val="006139B2"/>
    <w:rsid w:val="00615596"/>
    <w:rsid w:val="00642EF1"/>
    <w:rsid w:val="006442D4"/>
    <w:rsid w:val="006458CA"/>
    <w:rsid w:val="00662848"/>
    <w:rsid w:val="00670455"/>
    <w:rsid w:val="006712D6"/>
    <w:rsid w:val="00684AB4"/>
    <w:rsid w:val="006A0323"/>
    <w:rsid w:val="006C5EDD"/>
    <w:rsid w:val="006C5F0C"/>
    <w:rsid w:val="006D1BC1"/>
    <w:rsid w:val="006F061A"/>
    <w:rsid w:val="006F7AD2"/>
    <w:rsid w:val="007006E2"/>
    <w:rsid w:val="00707AF5"/>
    <w:rsid w:val="0071265D"/>
    <w:rsid w:val="00721479"/>
    <w:rsid w:val="00722E39"/>
    <w:rsid w:val="00730A31"/>
    <w:rsid w:val="00742F87"/>
    <w:rsid w:val="00745EE1"/>
    <w:rsid w:val="00756635"/>
    <w:rsid w:val="00772693"/>
    <w:rsid w:val="0077281B"/>
    <w:rsid w:val="0077342C"/>
    <w:rsid w:val="00780931"/>
    <w:rsid w:val="00781555"/>
    <w:rsid w:val="00786B29"/>
    <w:rsid w:val="007932C5"/>
    <w:rsid w:val="007A27E3"/>
    <w:rsid w:val="007B748E"/>
    <w:rsid w:val="007C1EFC"/>
    <w:rsid w:val="007C5767"/>
    <w:rsid w:val="007C64DE"/>
    <w:rsid w:val="00805232"/>
    <w:rsid w:val="0081277E"/>
    <w:rsid w:val="0081757C"/>
    <w:rsid w:val="0082309B"/>
    <w:rsid w:val="0083043D"/>
    <w:rsid w:val="00842657"/>
    <w:rsid w:val="0084301B"/>
    <w:rsid w:val="00843FB8"/>
    <w:rsid w:val="0085000D"/>
    <w:rsid w:val="0088753C"/>
    <w:rsid w:val="00890BFB"/>
    <w:rsid w:val="008B4BC9"/>
    <w:rsid w:val="008D4020"/>
    <w:rsid w:val="008D7F02"/>
    <w:rsid w:val="009056E7"/>
    <w:rsid w:val="00937662"/>
    <w:rsid w:val="009471AC"/>
    <w:rsid w:val="009562DD"/>
    <w:rsid w:val="00976B8E"/>
    <w:rsid w:val="0099655F"/>
    <w:rsid w:val="009A6487"/>
    <w:rsid w:val="009B6C69"/>
    <w:rsid w:val="009C25F2"/>
    <w:rsid w:val="009D391D"/>
    <w:rsid w:val="00A10A05"/>
    <w:rsid w:val="00A730E5"/>
    <w:rsid w:val="00A807E6"/>
    <w:rsid w:val="00A84955"/>
    <w:rsid w:val="00A85A5F"/>
    <w:rsid w:val="00A93C48"/>
    <w:rsid w:val="00AD5229"/>
    <w:rsid w:val="00AF447F"/>
    <w:rsid w:val="00B20ACE"/>
    <w:rsid w:val="00B31C8D"/>
    <w:rsid w:val="00B54EF8"/>
    <w:rsid w:val="00B81B1C"/>
    <w:rsid w:val="00B95DB0"/>
    <w:rsid w:val="00BB5018"/>
    <w:rsid w:val="00BC32CF"/>
    <w:rsid w:val="00BD4BB1"/>
    <w:rsid w:val="00C20C85"/>
    <w:rsid w:val="00C250C3"/>
    <w:rsid w:val="00C30C21"/>
    <w:rsid w:val="00C33D1C"/>
    <w:rsid w:val="00C57F0C"/>
    <w:rsid w:val="00C6305A"/>
    <w:rsid w:val="00C64669"/>
    <w:rsid w:val="00C64AA7"/>
    <w:rsid w:val="00C678E6"/>
    <w:rsid w:val="00C87EFE"/>
    <w:rsid w:val="00C9009D"/>
    <w:rsid w:val="00C92AFC"/>
    <w:rsid w:val="00C96EF2"/>
    <w:rsid w:val="00CC6297"/>
    <w:rsid w:val="00CD3593"/>
    <w:rsid w:val="00CF0061"/>
    <w:rsid w:val="00CF0D22"/>
    <w:rsid w:val="00CF647E"/>
    <w:rsid w:val="00D373E8"/>
    <w:rsid w:val="00D50723"/>
    <w:rsid w:val="00D906B7"/>
    <w:rsid w:val="00DA4424"/>
    <w:rsid w:val="00DA539F"/>
    <w:rsid w:val="00DA617C"/>
    <w:rsid w:val="00DC5C40"/>
    <w:rsid w:val="00DD048A"/>
    <w:rsid w:val="00DD2C8C"/>
    <w:rsid w:val="00DD38AD"/>
    <w:rsid w:val="00E14A5B"/>
    <w:rsid w:val="00E25ADF"/>
    <w:rsid w:val="00E27754"/>
    <w:rsid w:val="00E4228D"/>
    <w:rsid w:val="00E55A5F"/>
    <w:rsid w:val="00E66B8B"/>
    <w:rsid w:val="00E6751D"/>
    <w:rsid w:val="00E745C4"/>
    <w:rsid w:val="00E906C7"/>
    <w:rsid w:val="00E93C94"/>
    <w:rsid w:val="00E95D88"/>
    <w:rsid w:val="00E979C4"/>
    <w:rsid w:val="00EA4437"/>
    <w:rsid w:val="00EC275B"/>
    <w:rsid w:val="00EC2962"/>
    <w:rsid w:val="00EE7999"/>
    <w:rsid w:val="00F05A8C"/>
    <w:rsid w:val="00F25650"/>
    <w:rsid w:val="00F421D1"/>
    <w:rsid w:val="00F57754"/>
    <w:rsid w:val="00F65B2A"/>
    <w:rsid w:val="00F665AE"/>
    <w:rsid w:val="00F70AEA"/>
    <w:rsid w:val="00F90177"/>
    <w:rsid w:val="00F90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CD929"/>
  <w15:chartTrackingRefBased/>
  <w15:docId w15:val="{AEB23E7C-9A61-4148-AEC0-FAEA73DCA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62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C62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62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62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62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62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62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62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62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2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C62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62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62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62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62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62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62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6297"/>
    <w:rPr>
      <w:rFonts w:eastAsiaTheme="majorEastAsia" w:cstheme="majorBidi"/>
      <w:color w:val="272727" w:themeColor="text1" w:themeTint="D8"/>
    </w:rPr>
  </w:style>
  <w:style w:type="paragraph" w:styleId="Title">
    <w:name w:val="Title"/>
    <w:basedOn w:val="Normal"/>
    <w:next w:val="Normal"/>
    <w:link w:val="TitleChar"/>
    <w:uiPriority w:val="10"/>
    <w:qFormat/>
    <w:rsid w:val="00CC62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2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2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62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297"/>
    <w:pPr>
      <w:spacing w:before="160"/>
      <w:jc w:val="center"/>
    </w:pPr>
    <w:rPr>
      <w:i/>
      <w:iCs/>
      <w:color w:val="404040" w:themeColor="text1" w:themeTint="BF"/>
    </w:rPr>
  </w:style>
  <w:style w:type="character" w:customStyle="1" w:styleId="QuoteChar">
    <w:name w:val="Quote Char"/>
    <w:basedOn w:val="DefaultParagraphFont"/>
    <w:link w:val="Quote"/>
    <w:uiPriority w:val="29"/>
    <w:rsid w:val="00CC6297"/>
    <w:rPr>
      <w:i/>
      <w:iCs/>
      <w:color w:val="404040" w:themeColor="text1" w:themeTint="BF"/>
    </w:rPr>
  </w:style>
  <w:style w:type="paragraph" w:styleId="ListParagraph">
    <w:name w:val="List Paragraph"/>
    <w:basedOn w:val="Normal"/>
    <w:uiPriority w:val="34"/>
    <w:qFormat/>
    <w:rsid w:val="00CC6297"/>
    <w:pPr>
      <w:ind w:left="720"/>
      <w:contextualSpacing/>
    </w:pPr>
  </w:style>
  <w:style w:type="character" w:styleId="IntenseEmphasis">
    <w:name w:val="Intense Emphasis"/>
    <w:basedOn w:val="DefaultParagraphFont"/>
    <w:uiPriority w:val="21"/>
    <w:qFormat/>
    <w:rsid w:val="00CC6297"/>
    <w:rPr>
      <w:i/>
      <w:iCs/>
      <w:color w:val="0F4761" w:themeColor="accent1" w:themeShade="BF"/>
    </w:rPr>
  </w:style>
  <w:style w:type="paragraph" w:styleId="IntenseQuote">
    <w:name w:val="Intense Quote"/>
    <w:basedOn w:val="Normal"/>
    <w:next w:val="Normal"/>
    <w:link w:val="IntenseQuoteChar"/>
    <w:uiPriority w:val="30"/>
    <w:qFormat/>
    <w:rsid w:val="00CC62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6297"/>
    <w:rPr>
      <w:i/>
      <w:iCs/>
      <w:color w:val="0F4761" w:themeColor="accent1" w:themeShade="BF"/>
    </w:rPr>
  </w:style>
  <w:style w:type="character" w:styleId="IntenseReference">
    <w:name w:val="Intense Reference"/>
    <w:basedOn w:val="DefaultParagraphFont"/>
    <w:uiPriority w:val="32"/>
    <w:qFormat/>
    <w:rsid w:val="00CC6297"/>
    <w:rPr>
      <w:b/>
      <w:bCs/>
      <w:smallCaps/>
      <w:color w:val="0F4761" w:themeColor="accent1" w:themeShade="BF"/>
      <w:spacing w:val="5"/>
    </w:rPr>
  </w:style>
  <w:style w:type="table" w:styleId="TableGrid">
    <w:name w:val="Table Grid"/>
    <w:basedOn w:val="TableNormal"/>
    <w:uiPriority w:val="39"/>
    <w:rsid w:val="00CC6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62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297"/>
  </w:style>
  <w:style w:type="paragraph" w:styleId="Footer">
    <w:name w:val="footer"/>
    <w:basedOn w:val="Normal"/>
    <w:link w:val="FooterChar"/>
    <w:uiPriority w:val="99"/>
    <w:unhideWhenUsed/>
    <w:rsid w:val="00CC62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297"/>
  </w:style>
  <w:style w:type="character" w:styleId="Hyperlink">
    <w:name w:val="Hyperlink"/>
    <w:basedOn w:val="DefaultParagraphFont"/>
    <w:uiPriority w:val="99"/>
    <w:unhideWhenUsed/>
    <w:rsid w:val="00191D7E"/>
    <w:rPr>
      <w:color w:val="467886" w:themeColor="hyperlink"/>
      <w:u w:val="single"/>
    </w:rPr>
  </w:style>
  <w:style w:type="character" w:customStyle="1" w:styleId="UnresolvedMention1">
    <w:name w:val="Unresolved Mention1"/>
    <w:basedOn w:val="DefaultParagraphFont"/>
    <w:uiPriority w:val="99"/>
    <w:semiHidden/>
    <w:unhideWhenUsed/>
    <w:rsid w:val="00191D7E"/>
    <w:rPr>
      <w:color w:val="605E5C"/>
      <w:shd w:val="clear" w:color="auto" w:fill="E1DFDD"/>
    </w:rPr>
  </w:style>
  <w:style w:type="character" w:styleId="FollowedHyperlink">
    <w:name w:val="FollowedHyperlink"/>
    <w:basedOn w:val="DefaultParagraphFont"/>
    <w:uiPriority w:val="99"/>
    <w:semiHidden/>
    <w:unhideWhenUsed/>
    <w:rsid w:val="00F9068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air.moepp.gov.mk/" TargetMode="Externa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a283e0b-db31-4043-a2ef-b80661bf084a" xsi:nil="true"/>
    <lcf76f155ced4ddcb4097134ff3c332f xmlns="911f9c8c-cbe6-4f2d-8501-6c6016eea48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CB7BE3F8A9B54B85DA28799491BE66" ma:contentTypeVersion="19" ma:contentTypeDescription="Create a new document." ma:contentTypeScope="" ma:versionID="c65ed6574de9db09cc46b8caeb310d0b">
  <xsd:schema xmlns:xsd="http://www.w3.org/2001/XMLSchema" xmlns:xs="http://www.w3.org/2001/XMLSchema" xmlns:p="http://schemas.microsoft.com/office/2006/metadata/properties" xmlns:ns2="3be21822-585e-40dd-959c-3d9b4b9581f8" xmlns:ns3="911f9c8c-cbe6-4f2d-8501-6c6016eea48b" xmlns:ns4="ca283e0b-db31-4043-a2ef-b80661bf084a" targetNamespace="http://schemas.microsoft.com/office/2006/metadata/properties" ma:root="true" ma:fieldsID="c6143036a9f1d0cffedfd16e9cfb335f" ns2:_="" ns3:_="" ns4:_="">
    <xsd:import namespace="3be21822-585e-40dd-959c-3d9b4b9581f8"/>
    <xsd:import namespace="911f9c8c-cbe6-4f2d-8501-6c6016eea48b"/>
    <xsd:import namespace="ca283e0b-db31-4043-a2ef-b80661bf08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21822-585e-40dd-959c-3d9b4b9581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1f9c8c-cbe6-4f2d-8501-6c6016eea48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12ed319-bfc7-48f5-9844-e938e7e9504d}" ma:internalName="TaxCatchAll" ma:showField="CatchAllData" ma:web="3be21822-585e-40dd-959c-3d9b4b9581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0F3A19-E469-4C71-B1EF-97F645D7D64E}">
  <ds:schemaRefs>
    <ds:schemaRef ds:uri="http://schemas.openxmlformats.org/officeDocument/2006/bibliography"/>
  </ds:schemaRefs>
</ds:datastoreItem>
</file>

<file path=customXml/itemProps2.xml><?xml version="1.0" encoding="utf-8"?>
<ds:datastoreItem xmlns:ds="http://schemas.openxmlformats.org/officeDocument/2006/customXml" ds:itemID="{A1A51F4E-DC6F-4134-B3B2-6048BC2B325A}">
  <ds:schemaRefs>
    <ds:schemaRef ds:uri="http://schemas.microsoft.com/office/2006/metadata/properties"/>
    <ds:schemaRef ds:uri="http://schemas.microsoft.com/office/infopath/2007/PartnerControls"/>
    <ds:schemaRef ds:uri="ca283e0b-db31-4043-a2ef-b80661bf084a"/>
    <ds:schemaRef ds:uri="911f9c8c-cbe6-4f2d-8501-6c6016eea48b"/>
  </ds:schemaRefs>
</ds:datastoreItem>
</file>

<file path=customXml/itemProps3.xml><?xml version="1.0" encoding="utf-8"?>
<ds:datastoreItem xmlns:ds="http://schemas.openxmlformats.org/officeDocument/2006/customXml" ds:itemID="{E3CFF543-325F-4AAD-AD96-A3D48C97A37F}"/>
</file>

<file path=customXml/itemProps4.xml><?xml version="1.0" encoding="utf-8"?>
<ds:datastoreItem xmlns:ds="http://schemas.openxmlformats.org/officeDocument/2006/customXml" ds:itemID="{BB38817D-CAB3-45AA-81AB-FA3A7F5E67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542</Words>
  <Characters>3364</Characters>
  <Application>Microsoft Office Word</Application>
  <DocSecurity>0</DocSecurity>
  <Lines>136</Lines>
  <Paragraphs>39</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Bore Pucoski</dc:creator>
  <cp:lastModifiedBy>Bore Pucoski</cp:lastModifiedBy>
  <cp:revision>3</cp:revision>
  <dcterms:created xsi:type="dcterms:W3CDTF">2025-12-16T01:51:00Z</dcterms:created>
  <dcterms:modified xsi:type="dcterms:W3CDTF">2025-12-16T11:57:00Z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0x010100D3CB7BE3F8A9B54B85DA28799491BE66</vt:lpwstr>
  </property>
  <property fmtid="{D5CDD505-2E9C-101B-9397-08002B2CF9AE}" pid="3" name="docLang">
    <vt:lpwstr>hr</vt:lpwstr>
  </property>
  <property fmtid="{D5CDD505-2E9C-101B-9397-08002B2CF9AE}" pid="4" name="MediaServiceImageTags">
    <vt:lpwstr/>
  </property>
</Properties>
</file>