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2385"/>
        <w:gridCol w:w="14"/>
        <w:gridCol w:w="2399"/>
        <w:gridCol w:w="2399"/>
        <w:gridCol w:w="2399"/>
        <w:gridCol w:w="2399"/>
        <w:gridCol w:w="2405"/>
      </w:tblGrid>
      <w:tr w:rsidR="008178C9" w:rsidRPr="00A344AF" w14:paraId="289ADFFC" w14:textId="77777777" w:rsidTr="00F70AEA">
        <w:tc>
          <w:tcPr>
            <w:tcW w:w="5000" w:type="pct"/>
            <w:gridSpan w:val="7"/>
            <w:tcBorders>
              <w:top w:val="nil"/>
              <w:left w:val="nil"/>
              <w:right w:val="nil"/>
            </w:tcBorders>
          </w:tcPr>
          <w:p w14:paraId="4070207B" w14:textId="6E09F843" w:rsidR="00DD38AD" w:rsidRPr="00A344AF" w:rsidRDefault="003E14FB" w:rsidP="003C083C">
            <w:pPr>
              <w:pStyle w:val="Heading1"/>
              <w:spacing w:before="0"/>
              <w:jc w:val="center"/>
              <w:rPr>
                <w:lang w:val="sr-Cyrl-RS"/>
              </w:rPr>
            </w:pPr>
            <w:r w:rsidRPr="00A344AF">
              <w:rPr>
                <w:lang w:val="sr-Cyrl-RS"/>
              </w:rPr>
              <w:t>Препоруке за решавање проблема загађења амбијенталног зрака</w:t>
            </w:r>
          </w:p>
        </w:tc>
      </w:tr>
      <w:tr w:rsidR="008178C9" w:rsidRPr="00A344AF" w14:paraId="1D52BF1B" w14:textId="77777777" w:rsidTr="00F70AEA">
        <w:trPr>
          <w:trHeight w:val="718"/>
        </w:trPr>
        <w:tc>
          <w:tcPr>
            <w:tcW w:w="828" w:type="pct"/>
            <w:tcBorders>
              <w:top w:val="single" w:sz="4" w:space="0" w:color="auto"/>
              <w:left w:val="single" w:sz="4" w:space="0" w:color="auto"/>
              <w:bottom w:val="single" w:sz="4" w:space="0" w:color="auto"/>
              <w:right w:val="nil"/>
            </w:tcBorders>
            <w:shd w:val="clear" w:color="auto" w:fill="EEF7FC"/>
            <w:vAlign w:val="center"/>
          </w:tcPr>
          <w:p w14:paraId="588F7D18" w14:textId="77777777" w:rsidR="00DD38AD" w:rsidRPr="00A344AF" w:rsidRDefault="003E14FB" w:rsidP="00730A31">
            <w:pPr>
              <w:rPr>
                <w:b/>
                <w:bCs/>
                <w:sz w:val="20"/>
                <w:szCs w:val="20"/>
                <w:lang w:val="sr-Cyrl-RS"/>
              </w:rPr>
            </w:pPr>
            <w:r w:rsidRPr="00A344AF">
              <w:rPr>
                <w:b/>
                <w:bCs/>
                <w:sz w:val="20"/>
                <w:szCs w:val="20"/>
                <w:lang w:val="sr-Cyrl-RS"/>
              </w:rPr>
              <w:t>Шта је загађење зрака и зашто је штетно?</w:t>
            </w:r>
          </w:p>
        </w:tc>
        <w:tc>
          <w:tcPr>
            <w:tcW w:w="4172" w:type="pct"/>
            <w:gridSpan w:val="6"/>
            <w:tcBorders>
              <w:bottom w:val="single" w:sz="4" w:space="0" w:color="auto"/>
              <w:right w:val="single" w:sz="4" w:space="0" w:color="auto"/>
            </w:tcBorders>
          </w:tcPr>
          <w:p w14:paraId="13BEE48D" w14:textId="66CCC04B" w:rsidR="00DD38AD" w:rsidRPr="00A344AF" w:rsidRDefault="003E14FB" w:rsidP="00730A31">
            <w:pPr>
              <w:jc w:val="both"/>
              <w:rPr>
                <w:sz w:val="20"/>
                <w:szCs w:val="20"/>
                <w:lang w:val="sr-Cyrl-RS"/>
              </w:rPr>
            </w:pPr>
            <w:r w:rsidRPr="00A344AF">
              <w:rPr>
                <w:sz w:val="20"/>
                <w:szCs w:val="20"/>
                <w:lang w:val="sr-Cyrl-RS"/>
              </w:rPr>
              <w:t>Зрак који удишемо понекад може бити загађен високим концентрацијама честица које су премале да би се виделе голим оком. Када удишемо ове честице, оне могу да доспију дубоко у плућа, пређу у крвоток и пренесу се кроз сва ткива и органе нашег тела. Загађење зрака овим честицама представља највећи еколошки и здравствени ризик за децу у нашој држави.</w:t>
            </w:r>
          </w:p>
        </w:tc>
      </w:tr>
      <w:tr w:rsidR="008178C9" w:rsidRPr="00A344AF" w14:paraId="46410BB9" w14:textId="77777777" w:rsidTr="006139B2">
        <w:trPr>
          <w:trHeight w:val="1142"/>
        </w:trPr>
        <w:tc>
          <w:tcPr>
            <w:tcW w:w="5000" w:type="pct"/>
            <w:gridSpan w:val="7"/>
            <w:tcBorders>
              <w:left w:val="nil"/>
              <w:bottom w:val="nil"/>
              <w:right w:val="nil"/>
            </w:tcBorders>
          </w:tcPr>
          <w:p w14:paraId="0A7A2609" w14:textId="26C32BA4" w:rsidR="00DD38AD" w:rsidRPr="00A344AF" w:rsidRDefault="003E14FB" w:rsidP="00DD38AD">
            <w:pPr>
              <w:pStyle w:val="Heading2"/>
              <w:spacing w:before="0"/>
              <w:jc w:val="center"/>
              <w:rPr>
                <w:lang w:val="sr-Cyrl-RS"/>
              </w:rPr>
            </w:pPr>
            <w:r w:rsidRPr="00A344AF">
              <w:rPr>
                <w:sz w:val="28"/>
                <w:szCs w:val="28"/>
                <w:lang w:val="sr-Cyrl-RS"/>
              </w:rPr>
              <w:t>Како меримо квалитет зрака?</w:t>
            </w:r>
          </w:p>
          <w:p w14:paraId="0B11D5BB" w14:textId="56593266" w:rsidR="00DD38AD" w:rsidRPr="00A344AF" w:rsidRDefault="003E14FB" w:rsidP="00257374">
            <w:pPr>
              <w:jc w:val="both"/>
              <w:rPr>
                <w:lang w:val="sr-Cyrl-RS"/>
              </w:rPr>
            </w:pPr>
            <w:r w:rsidRPr="00A344AF">
              <w:rPr>
                <w:sz w:val="20"/>
                <w:szCs w:val="20"/>
                <w:lang w:val="sr-Cyrl-RS"/>
              </w:rPr>
              <w:t xml:space="preserve"> Министарство за заштиту животне средине и просторног планирања поставило је 22 мерне станице широм земље, које се придржавају строгих стандарда за локацију, тачност и одржавање. Ове станице се редовно одржавају и калибрирају како би се обезбедили прецизни и поуздани подаци. Подаци са мерних станица доступни су на интернет страници министарства:  </w:t>
            </w:r>
            <w:hyperlink r:id="rId10" w:history="1">
              <w:r w:rsidR="000E4E35" w:rsidRPr="007C1EFC">
                <w:rPr>
                  <w:rStyle w:val="Hyperlink"/>
                  <w:sz w:val="20"/>
                  <w:szCs w:val="20"/>
                </w:rPr>
                <w:t>https://air.moepp.gov.mk/?page_id=1351</w:t>
              </w:r>
            </w:hyperlink>
          </w:p>
        </w:tc>
      </w:tr>
      <w:tr w:rsidR="008178C9" w:rsidRPr="00A344AF" w14:paraId="62DFBBBE" w14:textId="77777777" w:rsidTr="006139B2">
        <w:trPr>
          <w:trHeight w:val="839"/>
        </w:trPr>
        <w:tc>
          <w:tcPr>
            <w:tcW w:w="5000" w:type="pct"/>
            <w:gridSpan w:val="7"/>
            <w:tcBorders>
              <w:top w:val="nil"/>
              <w:left w:val="nil"/>
              <w:right w:val="nil"/>
            </w:tcBorders>
          </w:tcPr>
          <w:p w14:paraId="486B992A" w14:textId="56A4A1A8" w:rsidR="00DD048A" w:rsidRPr="00A344AF" w:rsidRDefault="003E14FB" w:rsidP="007C1EFC">
            <w:pPr>
              <w:pStyle w:val="Heading2"/>
              <w:spacing w:before="0"/>
              <w:jc w:val="both"/>
              <w:rPr>
                <w:sz w:val="28"/>
                <w:szCs w:val="28"/>
                <w:lang w:val="sr-Cyrl-RS"/>
              </w:rPr>
            </w:pPr>
            <w:r w:rsidRPr="00A344AF">
              <w:rPr>
                <w:rFonts w:asciiTheme="minorHAnsi" w:eastAsiaTheme="minorHAnsi" w:hAnsiTheme="minorHAnsi" w:cstheme="minorBidi"/>
                <w:color w:val="auto"/>
                <w:sz w:val="20"/>
                <w:szCs w:val="20"/>
                <w:lang w:val="sr-Cyrl-RS"/>
              </w:rPr>
              <w:t xml:space="preserve">Ове препоруке имају за циљ помоћи школама у поступцима заштите </w:t>
            </w:r>
            <w:r w:rsidR="009960D6">
              <w:rPr>
                <w:rFonts w:asciiTheme="minorHAnsi" w:eastAsiaTheme="minorHAnsi" w:hAnsiTheme="minorHAnsi" w:cstheme="minorBidi"/>
                <w:color w:val="auto"/>
                <w:sz w:val="20"/>
                <w:szCs w:val="20"/>
                <w:lang w:val="sr-Cyrl-RS"/>
              </w:rPr>
              <w:t>деце</w:t>
            </w:r>
            <w:r w:rsidRPr="00A344AF">
              <w:rPr>
                <w:rFonts w:asciiTheme="minorHAnsi" w:eastAsiaTheme="minorHAnsi" w:hAnsiTheme="minorHAnsi" w:cstheme="minorBidi"/>
                <w:color w:val="auto"/>
                <w:sz w:val="20"/>
                <w:szCs w:val="20"/>
                <w:lang w:val="sr-Cyrl-RS"/>
              </w:rPr>
              <w:t xml:space="preserve"> (као рањиве категорије) и одраслих од загађеног амбијенталног зрака – али школе требају истражити додатне мјере и користити властиту процену у ситуацијама несигурности. Понекад загађење зрака може настати изненада (као што је случај с пожаром или интензивним грађевинским радовима у близини), а подаци с мерних станица могу каснити или уопште не бити доступни. У таквим случајевима, школе требају бити проактивне, избегавати или смањити изложеност загађењу и подузети мере заштите.</w:t>
            </w:r>
          </w:p>
        </w:tc>
      </w:tr>
      <w:tr w:rsidR="008178C9" w:rsidRPr="00A344AF" w14:paraId="34CC384F" w14:textId="77777777" w:rsidTr="00B20ACE">
        <w:tc>
          <w:tcPr>
            <w:tcW w:w="833" w:type="pct"/>
            <w:gridSpan w:val="2"/>
            <w:tcBorders>
              <w:top w:val="single" w:sz="4" w:space="0" w:color="auto"/>
            </w:tcBorders>
            <w:shd w:val="clear" w:color="auto" w:fill="50F0E6"/>
          </w:tcPr>
          <w:p w14:paraId="3C325FE9" w14:textId="77777777" w:rsidR="00DD048A" w:rsidRPr="00A344AF" w:rsidRDefault="003E14FB" w:rsidP="00B20ACE">
            <w:pPr>
              <w:jc w:val="center"/>
              <w:rPr>
                <w:lang w:val="sr-Cyrl-RS"/>
              </w:rPr>
            </w:pPr>
            <w:r w:rsidRPr="00A344AF">
              <w:rPr>
                <w:lang w:val="sr-Cyrl-RS"/>
              </w:rPr>
              <w:t>Добро</w:t>
            </w:r>
          </w:p>
          <w:p w14:paraId="73963918" w14:textId="0C9BF685" w:rsidR="00DD048A" w:rsidRPr="00A344AF" w:rsidRDefault="003E14FB" w:rsidP="00B20ACE">
            <w:pPr>
              <w:jc w:val="center"/>
              <w:rPr>
                <w:lang w:val="sr-Cyrl-RS"/>
              </w:rPr>
            </w:pPr>
            <w:r w:rsidRPr="00A344AF">
              <w:rPr>
                <w:sz w:val="18"/>
                <w:szCs w:val="18"/>
                <w:lang w:val="sr-Cyrl-RS"/>
              </w:rPr>
              <w:t>(PM</w:t>
            </w:r>
            <w:r w:rsidRPr="003C39D3">
              <w:rPr>
                <w:sz w:val="18"/>
                <w:szCs w:val="18"/>
                <w:vertAlign w:val="subscript"/>
                <w:lang w:val="sr-Cyrl-RS"/>
              </w:rPr>
              <w:t>2,5</w:t>
            </w:r>
            <w:r w:rsidRPr="00A344AF">
              <w:rPr>
                <w:sz w:val="18"/>
                <w:szCs w:val="18"/>
                <w:lang w:val="sr-Cyrl-RS"/>
              </w:rPr>
              <w:t xml:space="preserve"> 0-5; PM</w:t>
            </w:r>
            <w:r w:rsidRPr="003C39D3">
              <w:rPr>
                <w:sz w:val="18"/>
                <w:szCs w:val="18"/>
                <w:vertAlign w:val="subscript"/>
                <w:lang w:val="sr-Cyrl-RS"/>
              </w:rPr>
              <w:t>10</w:t>
            </w:r>
            <w:r w:rsidRPr="00A344AF">
              <w:rPr>
                <w:sz w:val="18"/>
                <w:szCs w:val="18"/>
                <w:lang w:val="sr-Cyrl-RS"/>
              </w:rPr>
              <w:t xml:space="preserve"> 0-15)</w:t>
            </w:r>
          </w:p>
        </w:tc>
        <w:tc>
          <w:tcPr>
            <w:tcW w:w="833" w:type="pct"/>
            <w:shd w:val="clear" w:color="auto" w:fill="50CCAA"/>
          </w:tcPr>
          <w:p w14:paraId="65194A8C" w14:textId="77777777" w:rsidR="00DD048A" w:rsidRPr="00A344AF" w:rsidRDefault="003E14FB" w:rsidP="001F13A7">
            <w:pPr>
              <w:jc w:val="center"/>
              <w:rPr>
                <w:lang w:val="sr-Cyrl-RS"/>
              </w:rPr>
            </w:pPr>
            <w:r w:rsidRPr="00A344AF">
              <w:rPr>
                <w:lang w:val="sr-Cyrl-RS"/>
              </w:rPr>
              <w:t>Прихватљиво</w:t>
            </w:r>
          </w:p>
          <w:p w14:paraId="164DCE61" w14:textId="63AB4840" w:rsidR="00DD048A" w:rsidRPr="00A344AF" w:rsidRDefault="003E14FB" w:rsidP="001F13A7">
            <w:pPr>
              <w:jc w:val="center"/>
              <w:rPr>
                <w:lang w:val="sr-Cyrl-RS"/>
              </w:rPr>
            </w:pPr>
            <w:r w:rsidRPr="00A344AF">
              <w:rPr>
                <w:sz w:val="18"/>
                <w:szCs w:val="18"/>
                <w:lang w:val="sr-Cyrl-RS"/>
              </w:rPr>
              <w:t>(PM</w:t>
            </w:r>
            <w:r w:rsidR="003C39D3" w:rsidRPr="003C39D3">
              <w:rPr>
                <w:sz w:val="18"/>
                <w:szCs w:val="18"/>
                <w:vertAlign w:val="subscript"/>
                <w:lang w:val="sr-Cyrl-RS"/>
              </w:rPr>
              <w:t>2,5</w:t>
            </w:r>
            <w:r w:rsidRPr="00A344AF">
              <w:rPr>
                <w:sz w:val="18"/>
                <w:szCs w:val="18"/>
                <w:lang w:val="sr-Cyrl-RS"/>
              </w:rPr>
              <w:t xml:space="preserve"> 6-15; PM</w:t>
            </w:r>
            <w:r w:rsidR="00292C20" w:rsidRPr="003C39D3">
              <w:rPr>
                <w:sz w:val="18"/>
                <w:szCs w:val="18"/>
                <w:vertAlign w:val="subscript"/>
                <w:lang w:val="sr-Cyrl-RS"/>
              </w:rPr>
              <w:t>10</w:t>
            </w:r>
            <w:r w:rsidRPr="00A344AF">
              <w:rPr>
                <w:sz w:val="18"/>
                <w:szCs w:val="18"/>
                <w:lang w:val="sr-Cyrl-RS"/>
              </w:rPr>
              <w:t xml:space="preserve"> 16-45)</w:t>
            </w:r>
          </w:p>
        </w:tc>
        <w:tc>
          <w:tcPr>
            <w:tcW w:w="833" w:type="pct"/>
            <w:tcBorders>
              <w:top w:val="single" w:sz="4" w:space="0" w:color="auto"/>
            </w:tcBorders>
            <w:shd w:val="clear" w:color="auto" w:fill="F0E641"/>
          </w:tcPr>
          <w:p w14:paraId="41F319D5" w14:textId="77777777" w:rsidR="00DD048A" w:rsidRPr="00A344AF" w:rsidRDefault="003E14FB" w:rsidP="001F13A7">
            <w:pPr>
              <w:jc w:val="center"/>
              <w:rPr>
                <w:lang w:val="sr-Cyrl-RS"/>
              </w:rPr>
            </w:pPr>
            <w:r w:rsidRPr="00A344AF">
              <w:rPr>
                <w:lang w:val="sr-Cyrl-RS"/>
              </w:rPr>
              <w:t>Умјерено</w:t>
            </w:r>
          </w:p>
          <w:p w14:paraId="2632DBDE" w14:textId="35CBCB94" w:rsidR="00DD048A" w:rsidRPr="00A344AF" w:rsidRDefault="003E14FB" w:rsidP="001F13A7">
            <w:pPr>
              <w:jc w:val="center"/>
              <w:rPr>
                <w:lang w:val="sr-Cyrl-RS"/>
              </w:rPr>
            </w:pPr>
            <w:r w:rsidRPr="00A344AF">
              <w:rPr>
                <w:sz w:val="18"/>
                <w:szCs w:val="18"/>
                <w:lang w:val="sr-Cyrl-RS"/>
              </w:rPr>
              <w:t>(PM</w:t>
            </w:r>
            <w:r w:rsidR="003C39D3" w:rsidRPr="003C39D3">
              <w:rPr>
                <w:sz w:val="18"/>
                <w:szCs w:val="18"/>
                <w:vertAlign w:val="subscript"/>
                <w:lang w:val="sr-Cyrl-RS"/>
              </w:rPr>
              <w:t>2,5</w:t>
            </w:r>
            <w:r w:rsidRPr="00A344AF">
              <w:rPr>
                <w:sz w:val="18"/>
                <w:szCs w:val="18"/>
                <w:lang w:val="sr-Cyrl-RS"/>
              </w:rPr>
              <w:t xml:space="preserve"> 16-50; PM</w:t>
            </w:r>
            <w:r w:rsidR="00292C20" w:rsidRPr="003C39D3">
              <w:rPr>
                <w:sz w:val="18"/>
                <w:szCs w:val="18"/>
                <w:vertAlign w:val="subscript"/>
                <w:lang w:val="sr-Cyrl-RS"/>
              </w:rPr>
              <w:t>10</w:t>
            </w:r>
            <w:r w:rsidRPr="00A344AF">
              <w:rPr>
                <w:sz w:val="18"/>
                <w:szCs w:val="18"/>
                <w:lang w:val="sr-Cyrl-RS"/>
              </w:rPr>
              <w:t xml:space="preserve"> 46-120)</w:t>
            </w:r>
          </w:p>
        </w:tc>
        <w:tc>
          <w:tcPr>
            <w:tcW w:w="833" w:type="pct"/>
            <w:tcBorders>
              <w:top w:val="single" w:sz="4" w:space="0" w:color="auto"/>
            </w:tcBorders>
            <w:shd w:val="clear" w:color="auto" w:fill="FF5050"/>
          </w:tcPr>
          <w:p w14:paraId="0829A52D" w14:textId="77777777" w:rsidR="00DD048A" w:rsidRPr="00A344AF" w:rsidRDefault="003E14FB" w:rsidP="001F13A7">
            <w:pPr>
              <w:jc w:val="center"/>
              <w:rPr>
                <w:lang w:val="sr-Cyrl-RS"/>
              </w:rPr>
            </w:pPr>
            <w:r w:rsidRPr="00A344AF">
              <w:rPr>
                <w:lang w:val="sr-Cyrl-RS"/>
              </w:rPr>
              <w:t>Лоше</w:t>
            </w:r>
          </w:p>
          <w:p w14:paraId="40B25470" w14:textId="4FBAC623" w:rsidR="00DD048A" w:rsidRPr="00A344AF" w:rsidRDefault="003E14FB" w:rsidP="001F13A7">
            <w:pPr>
              <w:jc w:val="center"/>
              <w:rPr>
                <w:lang w:val="sr-Cyrl-RS"/>
              </w:rPr>
            </w:pPr>
            <w:r w:rsidRPr="00A344AF">
              <w:rPr>
                <w:sz w:val="18"/>
                <w:szCs w:val="18"/>
                <w:lang w:val="sr-Cyrl-RS"/>
              </w:rPr>
              <w:t>(PM</w:t>
            </w:r>
            <w:r w:rsidR="003C39D3" w:rsidRPr="003C39D3">
              <w:rPr>
                <w:sz w:val="18"/>
                <w:szCs w:val="18"/>
                <w:vertAlign w:val="subscript"/>
                <w:lang w:val="sr-Cyrl-RS"/>
              </w:rPr>
              <w:t>2,5</w:t>
            </w:r>
            <w:r w:rsidRPr="00A344AF">
              <w:rPr>
                <w:sz w:val="18"/>
                <w:szCs w:val="18"/>
                <w:lang w:val="sr-Cyrl-RS"/>
              </w:rPr>
              <w:t xml:space="preserve"> 51-90; PM</w:t>
            </w:r>
            <w:r w:rsidR="00292C20" w:rsidRPr="003C39D3">
              <w:rPr>
                <w:sz w:val="18"/>
                <w:szCs w:val="18"/>
                <w:vertAlign w:val="subscript"/>
                <w:lang w:val="sr-Cyrl-RS"/>
              </w:rPr>
              <w:t>10</w:t>
            </w:r>
            <w:r w:rsidRPr="00A344AF">
              <w:rPr>
                <w:sz w:val="18"/>
                <w:szCs w:val="18"/>
                <w:lang w:val="sr-Cyrl-RS"/>
              </w:rPr>
              <w:t xml:space="preserve"> 121-195)</w:t>
            </w:r>
          </w:p>
        </w:tc>
        <w:tc>
          <w:tcPr>
            <w:tcW w:w="833" w:type="pct"/>
            <w:tcBorders>
              <w:top w:val="single" w:sz="4" w:space="0" w:color="auto"/>
            </w:tcBorders>
            <w:shd w:val="clear" w:color="auto" w:fill="960032"/>
          </w:tcPr>
          <w:p w14:paraId="145E2328" w14:textId="77777777" w:rsidR="00DD048A" w:rsidRPr="00A344AF" w:rsidRDefault="003E14FB" w:rsidP="001F13A7">
            <w:pPr>
              <w:jc w:val="center"/>
              <w:rPr>
                <w:lang w:val="sr-Cyrl-RS"/>
              </w:rPr>
            </w:pPr>
            <w:r w:rsidRPr="00A344AF">
              <w:rPr>
                <w:lang w:val="sr-Cyrl-RS"/>
              </w:rPr>
              <w:t>Врло лоше</w:t>
            </w:r>
          </w:p>
          <w:p w14:paraId="7A778088" w14:textId="5896C191" w:rsidR="00DD048A" w:rsidRPr="00A344AF" w:rsidRDefault="003E14FB" w:rsidP="001F13A7">
            <w:pPr>
              <w:jc w:val="center"/>
              <w:rPr>
                <w:lang w:val="sr-Cyrl-RS"/>
              </w:rPr>
            </w:pPr>
            <w:r w:rsidRPr="00A344AF">
              <w:rPr>
                <w:sz w:val="18"/>
                <w:szCs w:val="18"/>
                <w:lang w:val="sr-Cyrl-RS"/>
              </w:rPr>
              <w:t>(PM</w:t>
            </w:r>
            <w:r w:rsidR="003C39D3" w:rsidRPr="003C39D3">
              <w:rPr>
                <w:sz w:val="18"/>
                <w:szCs w:val="18"/>
                <w:vertAlign w:val="subscript"/>
                <w:lang w:val="sr-Cyrl-RS"/>
              </w:rPr>
              <w:t>2,5</w:t>
            </w:r>
            <w:r w:rsidRPr="00A344AF">
              <w:rPr>
                <w:sz w:val="18"/>
                <w:szCs w:val="18"/>
                <w:lang w:val="sr-Cyrl-RS"/>
              </w:rPr>
              <w:t xml:space="preserve"> 91-140; PM</w:t>
            </w:r>
            <w:r w:rsidR="00292C20" w:rsidRPr="003C39D3">
              <w:rPr>
                <w:sz w:val="18"/>
                <w:szCs w:val="18"/>
                <w:vertAlign w:val="subscript"/>
                <w:lang w:val="sr-Cyrl-RS"/>
              </w:rPr>
              <w:t>10</w:t>
            </w:r>
            <w:r w:rsidRPr="00A344AF">
              <w:rPr>
                <w:sz w:val="18"/>
                <w:szCs w:val="18"/>
                <w:lang w:val="sr-Cyrl-RS"/>
              </w:rPr>
              <w:t xml:space="preserve"> 196-270)</w:t>
            </w:r>
          </w:p>
        </w:tc>
        <w:tc>
          <w:tcPr>
            <w:tcW w:w="833" w:type="pct"/>
            <w:tcBorders>
              <w:top w:val="single" w:sz="4" w:space="0" w:color="auto"/>
            </w:tcBorders>
            <w:shd w:val="clear" w:color="auto" w:fill="7D2181"/>
          </w:tcPr>
          <w:p w14:paraId="558ADACA" w14:textId="77777777" w:rsidR="00DD048A" w:rsidRPr="00A344AF" w:rsidRDefault="003E14FB" w:rsidP="001F13A7">
            <w:pPr>
              <w:jc w:val="center"/>
              <w:rPr>
                <w:color w:val="FFFFFF" w:themeColor="background1"/>
                <w:lang w:val="sr-Cyrl-RS"/>
              </w:rPr>
            </w:pPr>
            <w:r w:rsidRPr="00A344AF">
              <w:rPr>
                <w:color w:val="FFFFFF" w:themeColor="background1"/>
                <w:lang w:val="sr-Cyrl-RS"/>
              </w:rPr>
              <w:t>Екстремно лоше</w:t>
            </w:r>
          </w:p>
          <w:p w14:paraId="4AF85B1D" w14:textId="7796B7D5" w:rsidR="00DD048A" w:rsidRPr="00A344AF" w:rsidRDefault="003E14FB" w:rsidP="001F13A7">
            <w:pPr>
              <w:jc w:val="center"/>
              <w:rPr>
                <w:color w:val="FFFFFF" w:themeColor="background1"/>
                <w:lang w:val="sr-Cyrl-RS"/>
              </w:rPr>
            </w:pPr>
            <w:r w:rsidRPr="00A344AF">
              <w:rPr>
                <w:color w:val="FFFFFF" w:themeColor="background1"/>
                <w:sz w:val="18"/>
                <w:szCs w:val="18"/>
                <w:lang w:val="sr-Cyrl-RS"/>
              </w:rPr>
              <w:t>(</w:t>
            </w:r>
            <w:r w:rsidRPr="00292C20">
              <w:rPr>
                <w:color w:val="FFFFFF" w:themeColor="background1"/>
                <w:sz w:val="18"/>
                <w:szCs w:val="18"/>
                <w:lang w:val="sr-Cyrl-RS"/>
              </w:rPr>
              <w:t>PM</w:t>
            </w:r>
            <w:r w:rsidR="003C39D3" w:rsidRPr="00292C20">
              <w:rPr>
                <w:color w:val="FFFFFF" w:themeColor="background1"/>
                <w:sz w:val="18"/>
                <w:szCs w:val="18"/>
                <w:vertAlign w:val="subscript"/>
                <w:lang w:val="sr-Cyrl-RS"/>
              </w:rPr>
              <w:t>2,5</w:t>
            </w:r>
            <w:r w:rsidRPr="00292C20">
              <w:rPr>
                <w:color w:val="FFFFFF" w:themeColor="background1"/>
                <w:sz w:val="18"/>
                <w:szCs w:val="18"/>
                <w:lang w:val="sr-Cyrl-RS"/>
              </w:rPr>
              <w:t xml:space="preserve"> </w:t>
            </w:r>
            <w:r w:rsidR="00292C20">
              <w:rPr>
                <w:color w:val="FFFFFF" w:themeColor="background1"/>
                <w:sz w:val="18"/>
                <w:szCs w:val="18"/>
              </w:rPr>
              <w:t>&gt;</w:t>
            </w:r>
            <w:r w:rsidRPr="00A344AF">
              <w:rPr>
                <w:color w:val="FFFFFF" w:themeColor="background1"/>
                <w:sz w:val="18"/>
                <w:szCs w:val="18"/>
                <w:lang w:val="sr-Cyrl-RS"/>
              </w:rPr>
              <w:t xml:space="preserve">140; </w:t>
            </w:r>
            <w:r w:rsidRPr="00292C20">
              <w:rPr>
                <w:color w:val="FFFFFF" w:themeColor="background1"/>
                <w:sz w:val="18"/>
                <w:szCs w:val="18"/>
                <w:lang w:val="sr-Cyrl-RS"/>
              </w:rPr>
              <w:t>PM</w:t>
            </w:r>
            <w:r w:rsidR="00292C20" w:rsidRPr="00292C20">
              <w:rPr>
                <w:color w:val="FFFFFF" w:themeColor="background1"/>
                <w:sz w:val="18"/>
                <w:szCs w:val="18"/>
                <w:vertAlign w:val="subscript"/>
                <w:lang w:val="sr-Cyrl-RS"/>
              </w:rPr>
              <w:t>10</w:t>
            </w:r>
            <w:r w:rsidRPr="00292C20">
              <w:rPr>
                <w:color w:val="FFFFFF" w:themeColor="background1"/>
                <w:sz w:val="18"/>
                <w:szCs w:val="18"/>
                <w:lang w:val="sr-Cyrl-RS"/>
              </w:rPr>
              <w:t xml:space="preserve"> </w:t>
            </w:r>
            <w:r w:rsidR="00292C20" w:rsidRPr="00292C20">
              <w:rPr>
                <w:color w:val="FFFFFF" w:themeColor="background1"/>
                <w:sz w:val="18"/>
                <w:szCs w:val="18"/>
              </w:rPr>
              <w:t>&gt;</w:t>
            </w:r>
            <w:r w:rsidRPr="00A344AF">
              <w:rPr>
                <w:color w:val="FFFFFF" w:themeColor="background1"/>
                <w:sz w:val="18"/>
                <w:szCs w:val="18"/>
                <w:lang w:val="sr-Cyrl-RS"/>
              </w:rPr>
              <w:t>270)</w:t>
            </w:r>
          </w:p>
        </w:tc>
      </w:tr>
      <w:tr w:rsidR="008178C9" w:rsidRPr="00A344AF" w14:paraId="34DF7ED3" w14:textId="77777777" w:rsidTr="00B20ACE">
        <w:trPr>
          <w:trHeight w:val="5399"/>
        </w:trPr>
        <w:tc>
          <w:tcPr>
            <w:tcW w:w="833" w:type="pct"/>
            <w:gridSpan w:val="2"/>
            <w:shd w:val="clear" w:color="auto" w:fill="B5F9F4"/>
            <w:vAlign w:val="center"/>
          </w:tcPr>
          <w:p w14:paraId="19990133" w14:textId="77777777" w:rsidR="00DD048A" w:rsidRPr="00A344AF" w:rsidRDefault="003E14FB" w:rsidP="00B20ACE">
            <w:pPr>
              <w:rPr>
                <w:sz w:val="18"/>
                <w:szCs w:val="18"/>
                <w:lang w:val="sr-Cyrl-RS"/>
              </w:rPr>
            </w:pPr>
            <w:r w:rsidRPr="00A344AF">
              <w:rPr>
                <w:sz w:val="18"/>
                <w:szCs w:val="18"/>
                <w:lang w:val="sr-Cyrl-RS"/>
              </w:rPr>
              <w:t>Квалитет зрака је добар.</w:t>
            </w:r>
          </w:p>
          <w:p w14:paraId="1DCFB47B" w14:textId="77777777" w:rsidR="00DD048A" w:rsidRPr="00A344AF" w:rsidRDefault="00DD048A" w:rsidP="00B20ACE">
            <w:pPr>
              <w:rPr>
                <w:sz w:val="18"/>
                <w:szCs w:val="18"/>
                <w:lang w:val="sr-Cyrl-RS"/>
              </w:rPr>
            </w:pPr>
          </w:p>
          <w:p w14:paraId="444B99F1" w14:textId="77777777" w:rsidR="00DD048A" w:rsidRPr="00A344AF" w:rsidRDefault="003E14FB" w:rsidP="00B20ACE">
            <w:pPr>
              <w:rPr>
                <w:sz w:val="18"/>
                <w:szCs w:val="18"/>
                <w:lang w:val="sr-Cyrl-RS"/>
              </w:rPr>
            </w:pPr>
            <w:r w:rsidRPr="00A344AF">
              <w:rPr>
                <w:sz w:val="18"/>
                <w:szCs w:val="18"/>
                <w:lang w:val="sr-Cyrl-RS"/>
              </w:rPr>
              <w:t>Одличан дан за активности на отвореном, спорт, игра, рекреација.</w:t>
            </w:r>
          </w:p>
          <w:p w14:paraId="235D826D" w14:textId="77777777" w:rsidR="00DD048A" w:rsidRPr="00A344AF" w:rsidRDefault="003E14FB" w:rsidP="00B20ACE">
            <w:pPr>
              <w:rPr>
                <w:sz w:val="18"/>
                <w:szCs w:val="18"/>
                <w:lang w:val="sr-Cyrl-RS"/>
              </w:rPr>
            </w:pPr>
            <w:r w:rsidRPr="00A344AF">
              <w:rPr>
                <w:sz w:val="18"/>
                <w:szCs w:val="18"/>
                <w:lang w:val="sr-Cyrl-RS"/>
              </w:rPr>
              <w:t>Може се користити природна вентилација у учионицама, а препоручује се чешће отварање прозора.</w:t>
            </w:r>
          </w:p>
          <w:p w14:paraId="55615B33" w14:textId="77777777" w:rsidR="00DD048A" w:rsidRPr="00A344AF" w:rsidRDefault="00DD048A" w:rsidP="00B20ACE">
            <w:pPr>
              <w:rPr>
                <w:sz w:val="18"/>
                <w:szCs w:val="18"/>
                <w:lang w:val="sr-Cyrl-RS"/>
              </w:rPr>
            </w:pPr>
          </w:p>
        </w:tc>
        <w:tc>
          <w:tcPr>
            <w:tcW w:w="833" w:type="pct"/>
            <w:shd w:val="clear" w:color="auto" w:fill="B8EADC"/>
            <w:vAlign w:val="center"/>
          </w:tcPr>
          <w:p w14:paraId="12F497EF" w14:textId="77777777" w:rsidR="00DD048A" w:rsidRPr="00A344AF" w:rsidRDefault="003E14FB" w:rsidP="001F13A7">
            <w:pPr>
              <w:rPr>
                <w:sz w:val="18"/>
                <w:szCs w:val="18"/>
                <w:lang w:val="sr-Cyrl-RS"/>
              </w:rPr>
            </w:pPr>
            <w:r w:rsidRPr="00A344AF">
              <w:rPr>
                <w:sz w:val="18"/>
                <w:szCs w:val="18"/>
                <w:lang w:val="sr-Cyrl-RS"/>
              </w:rPr>
              <w:t>Квалитет зрака је прихватљив за активности на отвореном.</w:t>
            </w:r>
          </w:p>
          <w:p w14:paraId="4C756E96" w14:textId="77777777" w:rsidR="00DD048A" w:rsidRPr="00A344AF" w:rsidRDefault="00DD048A" w:rsidP="001F13A7">
            <w:pPr>
              <w:rPr>
                <w:sz w:val="12"/>
                <w:szCs w:val="12"/>
                <w:lang w:val="sr-Cyrl-RS"/>
              </w:rPr>
            </w:pPr>
          </w:p>
          <w:p w14:paraId="50204443" w14:textId="04DA9662" w:rsidR="00DD048A" w:rsidRPr="00A344AF" w:rsidRDefault="003E14FB" w:rsidP="001F13A7">
            <w:pPr>
              <w:rPr>
                <w:sz w:val="18"/>
                <w:szCs w:val="18"/>
                <w:lang w:val="sr-Cyrl-RS"/>
              </w:rPr>
            </w:pPr>
            <w:r w:rsidRPr="00A344AF">
              <w:rPr>
                <w:sz w:val="18"/>
                <w:szCs w:val="18"/>
                <w:lang w:val="sr-Cyrl-RS"/>
              </w:rPr>
              <w:t>Идентификујте и пратите ученике са медицински потврђеним респираторним болестима или другим хроничним болестима (астма, бронхитис, болести срца), које се могу погоршати загађењем зрака. Проверите да ли ови ученици имају приступ одговарајућој терапији (нпр. инхалатори ако их је прописао љекар).</w:t>
            </w:r>
          </w:p>
          <w:p w14:paraId="00E79B08" w14:textId="77777777" w:rsidR="00DD048A" w:rsidRPr="00A344AF" w:rsidRDefault="00DD048A" w:rsidP="001F13A7">
            <w:pPr>
              <w:rPr>
                <w:sz w:val="12"/>
                <w:szCs w:val="12"/>
                <w:lang w:val="sr-Cyrl-RS"/>
              </w:rPr>
            </w:pPr>
          </w:p>
          <w:p w14:paraId="50332978" w14:textId="50C7D3BD" w:rsidR="00DD048A" w:rsidRPr="00A344AF" w:rsidRDefault="003E14FB" w:rsidP="001F13A7">
            <w:pPr>
              <w:rPr>
                <w:sz w:val="18"/>
                <w:szCs w:val="18"/>
                <w:lang w:val="sr-Cyrl-RS"/>
              </w:rPr>
            </w:pPr>
            <w:r w:rsidRPr="00A344AF">
              <w:rPr>
                <w:sz w:val="18"/>
                <w:szCs w:val="18"/>
                <w:lang w:val="sr-Cyrl-RS"/>
              </w:rPr>
              <w:t>Често проветравајте просторије, поготово током великог одмора.</w:t>
            </w:r>
          </w:p>
        </w:tc>
        <w:tc>
          <w:tcPr>
            <w:tcW w:w="833" w:type="pct"/>
            <w:shd w:val="clear" w:color="auto" w:fill="F9F6B5"/>
            <w:vAlign w:val="center"/>
          </w:tcPr>
          <w:p w14:paraId="55CAB6D6" w14:textId="77777777" w:rsidR="00DD048A" w:rsidRPr="00A344AF" w:rsidRDefault="003E14FB" w:rsidP="00E745C4">
            <w:pPr>
              <w:rPr>
                <w:sz w:val="18"/>
                <w:szCs w:val="18"/>
                <w:lang w:val="sr-Cyrl-RS"/>
              </w:rPr>
            </w:pPr>
            <w:r w:rsidRPr="00A344AF">
              <w:rPr>
                <w:sz w:val="18"/>
                <w:szCs w:val="18"/>
                <w:lang w:val="sr-Cyrl-RS"/>
              </w:rPr>
              <w:t>Кратке активности на отвореном (с ниским интензитетом), попут великог одмора, и даље се могу изводити.</w:t>
            </w:r>
          </w:p>
          <w:p w14:paraId="5CD517AB" w14:textId="77777777" w:rsidR="00DD048A" w:rsidRPr="00A344AF" w:rsidRDefault="00DD048A" w:rsidP="00F05A8C">
            <w:pPr>
              <w:rPr>
                <w:sz w:val="12"/>
                <w:szCs w:val="12"/>
                <w:lang w:val="sr-Cyrl-RS"/>
              </w:rPr>
            </w:pPr>
          </w:p>
          <w:p w14:paraId="75F9D27C" w14:textId="3A587CE6" w:rsidR="00DD048A" w:rsidRPr="00A344AF" w:rsidRDefault="003E14FB" w:rsidP="001F13A7">
            <w:pPr>
              <w:rPr>
                <w:sz w:val="18"/>
                <w:szCs w:val="18"/>
                <w:lang w:val="sr-Cyrl-RS"/>
              </w:rPr>
            </w:pPr>
            <w:r w:rsidRPr="00A344AF">
              <w:rPr>
                <w:sz w:val="18"/>
                <w:szCs w:val="18"/>
                <w:lang w:val="sr-Cyrl-RS"/>
              </w:rPr>
              <w:t>Избегавајте интензивне активности за ученике с респираторним обољењима или другим хроничним болестима (астма, бронхитис, срчане болести) и пратите симптоме. Обавестите родитеље ако се симптоми погоршају.</w:t>
            </w:r>
          </w:p>
          <w:p w14:paraId="0C0CD74F" w14:textId="77777777" w:rsidR="00DD048A" w:rsidRPr="00A344AF" w:rsidRDefault="00DD048A" w:rsidP="001F13A7">
            <w:pPr>
              <w:rPr>
                <w:sz w:val="12"/>
                <w:szCs w:val="12"/>
                <w:lang w:val="sr-Cyrl-RS"/>
              </w:rPr>
            </w:pPr>
          </w:p>
          <w:p w14:paraId="63ACB9B4" w14:textId="77777777" w:rsidR="00DD048A" w:rsidRPr="00A344AF" w:rsidRDefault="003E14FB" w:rsidP="001F13A7">
            <w:pPr>
              <w:rPr>
                <w:sz w:val="18"/>
                <w:szCs w:val="18"/>
                <w:lang w:val="sr-Cyrl-RS"/>
              </w:rPr>
            </w:pPr>
            <w:r w:rsidRPr="00A344AF">
              <w:rPr>
                <w:sz w:val="18"/>
                <w:szCs w:val="18"/>
                <w:lang w:val="sr-Cyrl-RS"/>
              </w:rPr>
              <w:t>Прочишћивачи зрака (ако их има) требају бити укључени барем један сат прије почетка наставе.</w:t>
            </w:r>
          </w:p>
        </w:tc>
        <w:tc>
          <w:tcPr>
            <w:tcW w:w="833" w:type="pct"/>
            <w:shd w:val="clear" w:color="auto" w:fill="FFD5D5"/>
            <w:vAlign w:val="center"/>
          </w:tcPr>
          <w:p w14:paraId="745D1D95" w14:textId="6FBC5C7E" w:rsidR="00DD048A" w:rsidRPr="00A344AF" w:rsidRDefault="003E14FB" w:rsidP="00C30C21">
            <w:pPr>
              <w:rPr>
                <w:sz w:val="18"/>
                <w:szCs w:val="18"/>
                <w:lang w:val="sr-Cyrl-RS"/>
              </w:rPr>
            </w:pPr>
            <w:r w:rsidRPr="00A344AF">
              <w:rPr>
                <w:sz w:val="18"/>
                <w:szCs w:val="18"/>
                <w:lang w:val="sr-Cyrl-RS"/>
              </w:rPr>
              <w:t>Избегавајте активности на отвореном (физичко васпитање, спорт, трчање, играње у школском дворишту).</w:t>
            </w:r>
          </w:p>
          <w:p w14:paraId="3344CC40" w14:textId="77777777" w:rsidR="00DD048A" w:rsidRPr="00A344AF" w:rsidRDefault="003E14FB" w:rsidP="00F05A8C">
            <w:pPr>
              <w:rPr>
                <w:sz w:val="18"/>
                <w:szCs w:val="18"/>
                <w:lang w:val="sr-Cyrl-RS"/>
              </w:rPr>
            </w:pPr>
            <w:r w:rsidRPr="00A344AF">
              <w:rPr>
                <w:sz w:val="18"/>
                <w:szCs w:val="18"/>
                <w:lang w:val="sr-Cyrl-RS"/>
              </w:rPr>
              <w:t>Активности се требају одвијати у затвореном простору, а дуге или интензивне физичке активности одложити.</w:t>
            </w:r>
          </w:p>
          <w:p w14:paraId="715C751C" w14:textId="77777777" w:rsidR="00DD048A" w:rsidRPr="00A344AF" w:rsidRDefault="00DD048A" w:rsidP="00F05A8C">
            <w:pPr>
              <w:rPr>
                <w:sz w:val="12"/>
                <w:szCs w:val="12"/>
                <w:lang w:val="sr-Cyrl-RS"/>
              </w:rPr>
            </w:pPr>
          </w:p>
          <w:p w14:paraId="0305A66A" w14:textId="77777777" w:rsidR="00DD048A" w:rsidRPr="00A344AF" w:rsidRDefault="003E14FB" w:rsidP="00F05A8C">
            <w:pPr>
              <w:rPr>
                <w:sz w:val="18"/>
                <w:szCs w:val="18"/>
                <w:lang w:val="sr-Cyrl-RS"/>
              </w:rPr>
            </w:pPr>
            <w:r w:rsidRPr="00A344AF">
              <w:rPr>
                <w:sz w:val="18"/>
                <w:szCs w:val="18"/>
                <w:lang w:val="sr-Cyrl-RS"/>
              </w:rPr>
              <w:t>Пратите све ученике на појаву симптома повезаних са загађењем зрака, као што су главобоља, отежано дисање, кашаљ, мучнина, те иритација очију, носа и грла.</w:t>
            </w:r>
          </w:p>
          <w:p w14:paraId="0ACDF213" w14:textId="77777777" w:rsidR="00DD048A" w:rsidRPr="00A344AF" w:rsidRDefault="00DD048A" w:rsidP="00F05A8C">
            <w:pPr>
              <w:rPr>
                <w:sz w:val="12"/>
                <w:szCs w:val="12"/>
                <w:lang w:val="sr-Cyrl-RS"/>
              </w:rPr>
            </w:pPr>
          </w:p>
          <w:p w14:paraId="19CC73E9" w14:textId="77777777" w:rsidR="00DD048A" w:rsidRPr="00A344AF" w:rsidRDefault="003E14FB" w:rsidP="00F05A8C">
            <w:pPr>
              <w:rPr>
                <w:sz w:val="18"/>
                <w:szCs w:val="18"/>
                <w:lang w:val="sr-Cyrl-RS"/>
              </w:rPr>
            </w:pPr>
            <w:r w:rsidRPr="00A344AF">
              <w:rPr>
                <w:sz w:val="18"/>
                <w:szCs w:val="18"/>
                <w:lang w:val="sr-Cyrl-RS"/>
              </w:rPr>
              <w:t>Прочишћивачи зрака требају радити снажним интензитетом.</w:t>
            </w:r>
          </w:p>
        </w:tc>
        <w:tc>
          <w:tcPr>
            <w:tcW w:w="833" w:type="pct"/>
            <w:shd w:val="clear" w:color="auto" w:fill="FF97BA"/>
            <w:vAlign w:val="center"/>
          </w:tcPr>
          <w:p w14:paraId="5387742C" w14:textId="28353EEB" w:rsidR="00DD048A" w:rsidRPr="00A344AF" w:rsidRDefault="003E14FB" w:rsidP="00F05A8C">
            <w:pPr>
              <w:rPr>
                <w:sz w:val="18"/>
                <w:szCs w:val="18"/>
                <w:lang w:val="sr-Cyrl-RS"/>
              </w:rPr>
            </w:pPr>
            <w:r w:rsidRPr="00A344AF">
              <w:rPr>
                <w:sz w:val="18"/>
                <w:szCs w:val="18"/>
                <w:lang w:val="sr-Cyrl-RS"/>
              </w:rPr>
              <w:t>Све активности на отвореном треба преместити унутра или отказати.</w:t>
            </w:r>
          </w:p>
          <w:p w14:paraId="0E8091F8" w14:textId="1DBB7BA4" w:rsidR="000321ED" w:rsidRPr="00A344AF" w:rsidRDefault="003E14FB" w:rsidP="00F05A8C">
            <w:pPr>
              <w:rPr>
                <w:sz w:val="18"/>
                <w:szCs w:val="18"/>
                <w:lang w:val="sr-Cyrl-RS"/>
              </w:rPr>
            </w:pPr>
            <w:r w:rsidRPr="00A344AF">
              <w:rPr>
                <w:sz w:val="18"/>
                <w:szCs w:val="18"/>
                <w:lang w:val="sr-Cyrl-RS"/>
              </w:rPr>
              <w:t>Избегавајте физички напор током часова физичког васпитања и сличних активности.</w:t>
            </w:r>
          </w:p>
          <w:p w14:paraId="756C87F2" w14:textId="77777777" w:rsidR="000321ED" w:rsidRPr="00A344AF" w:rsidRDefault="000321ED" w:rsidP="00F05A8C">
            <w:pPr>
              <w:rPr>
                <w:sz w:val="12"/>
                <w:szCs w:val="12"/>
                <w:lang w:val="sr-Cyrl-RS"/>
              </w:rPr>
            </w:pPr>
          </w:p>
          <w:p w14:paraId="5FA8393C" w14:textId="3E74C7FC" w:rsidR="00DD048A" w:rsidRPr="00A344AF" w:rsidRDefault="003E14FB" w:rsidP="00F05A8C">
            <w:pPr>
              <w:rPr>
                <w:sz w:val="18"/>
                <w:szCs w:val="18"/>
                <w:lang w:val="sr-Cyrl-RS"/>
              </w:rPr>
            </w:pPr>
            <w:r w:rsidRPr="00A344AF">
              <w:rPr>
                <w:sz w:val="18"/>
                <w:szCs w:val="18"/>
                <w:lang w:val="sr-Cyrl-RS"/>
              </w:rPr>
              <w:t xml:space="preserve">Затворите сва вањска врата и прозоре школе и отворите унутрашња врата – пр. врата учионица које воде ка унутрашњим ходницима. </w:t>
            </w:r>
          </w:p>
          <w:p w14:paraId="53A8A968" w14:textId="77777777" w:rsidR="00DD048A" w:rsidRPr="00A344AF" w:rsidRDefault="00DD048A" w:rsidP="00F05A8C">
            <w:pPr>
              <w:rPr>
                <w:sz w:val="12"/>
                <w:szCs w:val="12"/>
                <w:lang w:val="sr-Cyrl-RS"/>
              </w:rPr>
            </w:pPr>
          </w:p>
          <w:p w14:paraId="0877E93B" w14:textId="06D2EC83" w:rsidR="00DD048A" w:rsidRPr="00A344AF" w:rsidRDefault="003E14FB" w:rsidP="009056E7">
            <w:pPr>
              <w:rPr>
                <w:sz w:val="18"/>
                <w:szCs w:val="18"/>
                <w:lang w:val="sr-Cyrl-RS"/>
              </w:rPr>
            </w:pPr>
            <w:r w:rsidRPr="00A344AF">
              <w:rPr>
                <w:sz w:val="18"/>
                <w:szCs w:val="18"/>
                <w:lang w:val="sr-Cyrl-RS"/>
              </w:rPr>
              <w:t>Обавестите родитеље о условима под којима ће се одржавати настава и активности. Прочишћивачи зрака требају радити максималним интензитетом.</w:t>
            </w:r>
          </w:p>
        </w:tc>
        <w:tc>
          <w:tcPr>
            <w:tcW w:w="833" w:type="pct"/>
            <w:shd w:val="clear" w:color="auto" w:fill="EBB9ED"/>
            <w:vAlign w:val="center"/>
          </w:tcPr>
          <w:p w14:paraId="7B3B25DE" w14:textId="77777777" w:rsidR="00DD048A" w:rsidRPr="00A344AF" w:rsidRDefault="003E14FB" w:rsidP="001F13A7">
            <w:pPr>
              <w:rPr>
                <w:sz w:val="18"/>
                <w:szCs w:val="18"/>
                <w:lang w:val="sr-Cyrl-RS"/>
              </w:rPr>
            </w:pPr>
            <w:r w:rsidRPr="00A344AF">
              <w:rPr>
                <w:sz w:val="18"/>
                <w:szCs w:val="18"/>
                <w:lang w:val="sr-Cyrl-RS"/>
              </w:rPr>
              <w:t>Све активности које су физички интензивне или су на отвореном се отказују.</w:t>
            </w:r>
          </w:p>
          <w:p w14:paraId="2728A0A6" w14:textId="77777777" w:rsidR="000321ED" w:rsidRPr="00A344AF" w:rsidRDefault="000321ED" w:rsidP="001F13A7">
            <w:pPr>
              <w:rPr>
                <w:sz w:val="12"/>
                <w:szCs w:val="12"/>
                <w:lang w:val="sr-Cyrl-RS"/>
              </w:rPr>
            </w:pPr>
          </w:p>
          <w:p w14:paraId="5CA7C277" w14:textId="2128F234" w:rsidR="00DD048A" w:rsidRPr="00A344AF" w:rsidRDefault="003E14FB" w:rsidP="001F13A7">
            <w:pPr>
              <w:rPr>
                <w:sz w:val="18"/>
                <w:szCs w:val="18"/>
                <w:lang w:val="sr-Cyrl-RS"/>
              </w:rPr>
            </w:pPr>
            <w:r w:rsidRPr="00A344AF">
              <w:rPr>
                <w:sz w:val="18"/>
                <w:szCs w:val="18"/>
                <w:lang w:val="sr-Cyrl-RS"/>
              </w:rPr>
              <w:t>Затворите сва вањска врата и прозоре школе и отворите унутрашња врата – пр. врата учионица које воде ка унутрашњим ходницима.</w:t>
            </w:r>
          </w:p>
          <w:p w14:paraId="2ADC37FB" w14:textId="77777777" w:rsidR="000321ED" w:rsidRPr="00A344AF" w:rsidRDefault="000321ED" w:rsidP="001F13A7">
            <w:pPr>
              <w:rPr>
                <w:sz w:val="12"/>
                <w:szCs w:val="12"/>
                <w:lang w:val="sr-Cyrl-RS"/>
              </w:rPr>
            </w:pPr>
          </w:p>
          <w:p w14:paraId="5D5C6F79" w14:textId="6ADBE3FE" w:rsidR="00DD048A" w:rsidRPr="00A344AF" w:rsidRDefault="003E14FB" w:rsidP="001F13A7">
            <w:pPr>
              <w:rPr>
                <w:sz w:val="18"/>
                <w:szCs w:val="18"/>
                <w:lang w:val="sr-Cyrl-RS"/>
              </w:rPr>
            </w:pPr>
            <w:r w:rsidRPr="00A344AF">
              <w:rPr>
                <w:sz w:val="18"/>
                <w:szCs w:val="18"/>
                <w:lang w:val="sr-Cyrl-RS"/>
              </w:rPr>
              <w:t>Пратите смернице Владе и Министарства просвете и науке и информишите родитеље о условима под којима ће се одржавати настава и активности.</w:t>
            </w:r>
          </w:p>
          <w:p w14:paraId="3E2D6640" w14:textId="77777777" w:rsidR="00DD048A" w:rsidRPr="00A344AF" w:rsidRDefault="00DD048A" w:rsidP="001F13A7">
            <w:pPr>
              <w:rPr>
                <w:sz w:val="12"/>
                <w:szCs w:val="12"/>
                <w:lang w:val="sr-Cyrl-RS"/>
              </w:rPr>
            </w:pPr>
          </w:p>
          <w:p w14:paraId="6EB8714D" w14:textId="77777777" w:rsidR="00DD048A" w:rsidRPr="00A344AF" w:rsidRDefault="003E14FB" w:rsidP="001F13A7">
            <w:pPr>
              <w:rPr>
                <w:sz w:val="18"/>
                <w:szCs w:val="18"/>
                <w:lang w:val="sr-Cyrl-RS"/>
              </w:rPr>
            </w:pPr>
            <w:r w:rsidRPr="00A344AF">
              <w:rPr>
                <w:sz w:val="18"/>
                <w:szCs w:val="18"/>
                <w:lang w:val="sr-Cyrl-RS"/>
              </w:rPr>
              <w:t>Прочишћивачи зрака требају радити максималним интензитетом.</w:t>
            </w:r>
          </w:p>
        </w:tc>
      </w:tr>
    </w:tbl>
    <w:p w14:paraId="7D113532" w14:textId="165D9669" w:rsidR="00C33D1C" w:rsidRPr="00A344AF" w:rsidRDefault="00C33D1C" w:rsidP="002228F5">
      <w:pPr>
        <w:rPr>
          <w:lang w:val="sr-Cyrl-RS"/>
        </w:rPr>
      </w:pPr>
    </w:p>
    <w:sectPr w:rsidR="00C33D1C" w:rsidRPr="00A344AF" w:rsidSect="00CC6297">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11A0" w14:textId="77777777" w:rsidR="00CD3E8F" w:rsidRDefault="00CD3E8F">
      <w:pPr>
        <w:spacing w:after="0" w:line="240" w:lineRule="auto"/>
      </w:pPr>
      <w:r>
        <w:separator/>
      </w:r>
    </w:p>
  </w:endnote>
  <w:endnote w:type="continuationSeparator" w:id="0">
    <w:p w14:paraId="4B7FED63" w14:textId="77777777" w:rsidR="00CD3E8F" w:rsidRDefault="00CD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7FB3" w14:textId="77777777" w:rsidR="00CD3E8F" w:rsidRDefault="00CD3E8F">
      <w:pPr>
        <w:spacing w:after="0" w:line="240" w:lineRule="auto"/>
      </w:pPr>
      <w:r>
        <w:separator/>
      </w:r>
    </w:p>
  </w:footnote>
  <w:footnote w:type="continuationSeparator" w:id="0">
    <w:p w14:paraId="0989250E" w14:textId="77777777" w:rsidR="00CD3E8F" w:rsidRDefault="00CD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7CE8" w14:textId="77777777" w:rsidR="00CC6297" w:rsidRDefault="003E14FB">
    <w:pPr>
      <w:pStyle w:val="Header"/>
    </w:pPr>
    <w:r>
      <w:rPr>
        <w:noProof/>
      </w:rPr>
      <w:drawing>
        <wp:anchor distT="0" distB="0" distL="114300" distR="114300" simplePos="0" relativeHeight="251658240" behindDoc="0" locked="0" layoutInCell="1" allowOverlap="1" wp14:anchorId="1262B561" wp14:editId="6FD5056E">
          <wp:simplePos x="0" y="0"/>
          <wp:positionH relativeFrom="margin">
            <wp:align>center</wp:align>
          </wp:positionH>
          <wp:positionV relativeFrom="paragraph">
            <wp:posOffset>-333324</wp:posOffset>
          </wp:positionV>
          <wp:extent cx="3182112" cy="576095"/>
          <wp:effectExtent l="0" t="0" r="0" b="0"/>
          <wp:wrapNone/>
          <wp:docPr id="257214632" name="Picture 1" descr="А лого wитх теxт белоw&#10;&#10;Десцриптион аутоматицаллy генерат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2112" cy="5760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97"/>
    <w:rsid w:val="00016984"/>
    <w:rsid w:val="000321ED"/>
    <w:rsid w:val="00050975"/>
    <w:rsid w:val="00057D1D"/>
    <w:rsid w:val="00085D83"/>
    <w:rsid w:val="000B1FBF"/>
    <w:rsid w:val="000B7588"/>
    <w:rsid w:val="000C2614"/>
    <w:rsid w:val="000C4015"/>
    <w:rsid w:val="000E4E35"/>
    <w:rsid w:val="00101283"/>
    <w:rsid w:val="00102BD9"/>
    <w:rsid w:val="00105F19"/>
    <w:rsid w:val="0014439D"/>
    <w:rsid w:val="001515AB"/>
    <w:rsid w:val="001842CE"/>
    <w:rsid w:val="00187D4C"/>
    <w:rsid w:val="00191D7E"/>
    <w:rsid w:val="001A1FB2"/>
    <w:rsid w:val="001A5568"/>
    <w:rsid w:val="001D53F0"/>
    <w:rsid w:val="001D65BC"/>
    <w:rsid w:val="001F13A7"/>
    <w:rsid w:val="001F6DB8"/>
    <w:rsid w:val="002148B8"/>
    <w:rsid w:val="002228F5"/>
    <w:rsid w:val="00251AF6"/>
    <w:rsid w:val="00252166"/>
    <w:rsid w:val="00255144"/>
    <w:rsid w:val="00257374"/>
    <w:rsid w:val="00281916"/>
    <w:rsid w:val="00285DD9"/>
    <w:rsid w:val="00292C20"/>
    <w:rsid w:val="0029662E"/>
    <w:rsid w:val="002A2CB7"/>
    <w:rsid w:val="002A3530"/>
    <w:rsid w:val="002B3DF0"/>
    <w:rsid w:val="002F337D"/>
    <w:rsid w:val="00304C16"/>
    <w:rsid w:val="003366C7"/>
    <w:rsid w:val="00344918"/>
    <w:rsid w:val="00350E54"/>
    <w:rsid w:val="00371FFE"/>
    <w:rsid w:val="00394DE0"/>
    <w:rsid w:val="003B29F5"/>
    <w:rsid w:val="003C083C"/>
    <w:rsid w:val="003C1E00"/>
    <w:rsid w:val="003C39D3"/>
    <w:rsid w:val="003E0F2D"/>
    <w:rsid w:val="003E14FB"/>
    <w:rsid w:val="003E5D89"/>
    <w:rsid w:val="004050EA"/>
    <w:rsid w:val="004061B9"/>
    <w:rsid w:val="004672A8"/>
    <w:rsid w:val="004A0D0E"/>
    <w:rsid w:val="004B4BEF"/>
    <w:rsid w:val="004B77C6"/>
    <w:rsid w:val="004E45C6"/>
    <w:rsid w:val="005325DD"/>
    <w:rsid w:val="005367E9"/>
    <w:rsid w:val="0059052D"/>
    <w:rsid w:val="00591F30"/>
    <w:rsid w:val="005D151B"/>
    <w:rsid w:val="005D40C0"/>
    <w:rsid w:val="005E0F25"/>
    <w:rsid w:val="005E6812"/>
    <w:rsid w:val="005F51B5"/>
    <w:rsid w:val="006139B2"/>
    <w:rsid w:val="00615596"/>
    <w:rsid w:val="00642EF1"/>
    <w:rsid w:val="006442D4"/>
    <w:rsid w:val="006458CA"/>
    <w:rsid w:val="00662848"/>
    <w:rsid w:val="00670455"/>
    <w:rsid w:val="006712D6"/>
    <w:rsid w:val="00693627"/>
    <w:rsid w:val="006A0323"/>
    <w:rsid w:val="006C5EDD"/>
    <w:rsid w:val="006C5F0C"/>
    <w:rsid w:val="006D1BC1"/>
    <w:rsid w:val="006F061A"/>
    <w:rsid w:val="006F7AD2"/>
    <w:rsid w:val="007006E2"/>
    <w:rsid w:val="00707AF5"/>
    <w:rsid w:val="0071265D"/>
    <w:rsid w:val="00721479"/>
    <w:rsid w:val="00722E39"/>
    <w:rsid w:val="00730A31"/>
    <w:rsid w:val="00742F87"/>
    <w:rsid w:val="00745EE1"/>
    <w:rsid w:val="00756635"/>
    <w:rsid w:val="00772693"/>
    <w:rsid w:val="0077281B"/>
    <w:rsid w:val="0077342C"/>
    <w:rsid w:val="00780931"/>
    <w:rsid w:val="00781555"/>
    <w:rsid w:val="00786B29"/>
    <w:rsid w:val="007932C5"/>
    <w:rsid w:val="007A27E3"/>
    <w:rsid w:val="007B748E"/>
    <w:rsid w:val="007C1EFC"/>
    <w:rsid w:val="007C5767"/>
    <w:rsid w:val="007C64DE"/>
    <w:rsid w:val="00805232"/>
    <w:rsid w:val="0081277E"/>
    <w:rsid w:val="0081757C"/>
    <w:rsid w:val="008178C9"/>
    <w:rsid w:val="0082309B"/>
    <w:rsid w:val="0083043D"/>
    <w:rsid w:val="00842657"/>
    <w:rsid w:val="0084301B"/>
    <w:rsid w:val="00843FB8"/>
    <w:rsid w:val="0085000D"/>
    <w:rsid w:val="0088753C"/>
    <w:rsid w:val="008B4BC9"/>
    <w:rsid w:val="008D7F02"/>
    <w:rsid w:val="008E4FD6"/>
    <w:rsid w:val="009056E7"/>
    <w:rsid w:val="00937662"/>
    <w:rsid w:val="009562DD"/>
    <w:rsid w:val="00976B8E"/>
    <w:rsid w:val="009960D6"/>
    <w:rsid w:val="009A6487"/>
    <w:rsid w:val="009B6C69"/>
    <w:rsid w:val="009C25F2"/>
    <w:rsid w:val="009D391D"/>
    <w:rsid w:val="00A10A05"/>
    <w:rsid w:val="00A344AF"/>
    <w:rsid w:val="00A730E5"/>
    <w:rsid w:val="00A807E6"/>
    <w:rsid w:val="00A84955"/>
    <w:rsid w:val="00A85A5F"/>
    <w:rsid w:val="00A93C48"/>
    <w:rsid w:val="00A97460"/>
    <w:rsid w:val="00AD5229"/>
    <w:rsid w:val="00AF447F"/>
    <w:rsid w:val="00B20ACE"/>
    <w:rsid w:val="00B31C8D"/>
    <w:rsid w:val="00B54EF8"/>
    <w:rsid w:val="00B81B1C"/>
    <w:rsid w:val="00B95DB0"/>
    <w:rsid w:val="00BA6CE1"/>
    <w:rsid w:val="00BB5018"/>
    <w:rsid w:val="00BC32CF"/>
    <w:rsid w:val="00BD4BB1"/>
    <w:rsid w:val="00C20C85"/>
    <w:rsid w:val="00C20E82"/>
    <w:rsid w:val="00C250C3"/>
    <w:rsid w:val="00C30C21"/>
    <w:rsid w:val="00C33D1C"/>
    <w:rsid w:val="00C57F0C"/>
    <w:rsid w:val="00C6305A"/>
    <w:rsid w:val="00C64669"/>
    <w:rsid w:val="00C64AA7"/>
    <w:rsid w:val="00C678E6"/>
    <w:rsid w:val="00C87EFE"/>
    <w:rsid w:val="00C9009D"/>
    <w:rsid w:val="00C92AFC"/>
    <w:rsid w:val="00C96EF2"/>
    <w:rsid w:val="00CC6297"/>
    <w:rsid w:val="00CD3593"/>
    <w:rsid w:val="00CD3E8F"/>
    <w:rsid w:val="00CF0061"/>
    <w:rsid w:val="00CF0D22"/>
    <w:rsid w:val="00CF647E"/>
    <w:rsid w:val="00D373E8"/>
    <w:rsid w:val="00D50723"/>
    <w:rsid w:val="00D906B7"/>
    <w:rsid w:val="00DA4424"/>
    <w:rsid w:val="00DA539F"/>
    <w:rsid w:val="00DA617C"/>
    <w:rsid w:val="00DC5C40"/>
    <w:rsid w:val="00DD048A"/>
    <w:rsid w:val="00DD2C8C"/>
    <w:rsid w:val="00DD38AD"/>
    <w:rsid w:val="00DF6A46"/>
    <w:rsid w:val="00E14A5B"/>
    <w:rsid w:val="00E25ADF"/>
    <w:rsid w:val="00E27754"/>
    <w:rsid w:val="00E4228D"/>
    <w:rsid w:val="00E55A5F"/>
    <w:rsid w:val="00E66B8B"/>
    <w:rsid w:val="00E6751D"/>
    <w:rsid w:val="00E745C4"/>
    <w:rsid w:val="00E906C7"/>
    <w:rsid w:val="00E93C94"/>
    <w:rsid w:val="00E95D88"/>
    <w:rsid w:val="00E979C4"/>
    <w:rsid w:val="00EA4437"/>
    <w:rsid w:val="00EC275B"/>
    <w:rsid w:val="00EC2962"/>
    <w:rsid w:val="00EE7999"/>
    <w:rsid w:val="00F05A8C"/>
    <w:rsid w:val="00F25650"/>
    <w:rsid w:val="00F421D1"/>
    <w:rsid w:val="00F57754"/>
    <w:rsid w:val="00F65B2A"/>
    <w:rsid w:val="00F665AE"/>
    <w:rsid w:val="00F70AEA"/>
    <w:rsid w:val="00F90177"/>
    <w:rsid w:val="00F9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775F"/>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7"/>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7"/>
    <w:rPr>
      <w:i/>
      <w:iCs/>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iCs/>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7"/>
    <w:rPr>
      <w:i/>
      <w:iCs/>
      <w:color w:val="0F4761" w:themeColor="accent1" w:themeShade="BF"/>
    </w:rPr>
  </w:style>
  <w:style w:type="character" w:styleId="IntenseReference">
    <w:name w:val="Intense Reference"/>
    <w:basedOn w:val="DefaultParagraphFont"/>
    <w:uiPriority w:val="32"/>
    <w:qFormat/>
    <w:rsid w:val="00CC6297"/>
    <w:rPr>
      <w:b/>
      <w:bCs/>
      <w:smallCaps/>
      <w:color w:val="0F4761" w:themeColor="accent1" w:themeShade="BF"/>
      <w:spacing w:val="5"/>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styleId="UnresolvedMention">
    <w:name w:val="Unresolved Mention"/>
    <w:basedOn w:val="DefaultParagraphFont"/>
    <w:uiPriority w:val="99"/>
    <w:semiHidden/>
    <w:unhideWhenUsed/>
    <w:rsid w:val="00191D7E"/>
    <w:rPr>
      <w:color w:val="605E5C"/>
      <w:shd w:val="clear" w:color="auto" w:fill="E1DFDD"/>
    </w:rPr>
  </w:style>
  <w:style w:type="character" w:styleId="FollowedHyperlink">
    <w:name w:val="FollowedHyperlink"/>
    <w:basedOn w:val="DefaultParagraphFont"/>
    <w:uiPriority w:val="99"/>
    <w:semiHidden/>
    <w:unhideWhenUsed/>
    <w:rsid w:val="00F90683"/>
    <w:rPr>
      <w:color w:val="96607D" w:themeColor="followedHyperlink"/>
      <w:u w:val="single"/>
    </w:rPr>
  </w:style>
  <w:style w:type="character" w:styleId="PlaceholderText">
    <w:name w:val="Placeholder Text"/>
    <w:basedOn w:val="DefaultParagraphFont"/>
    <w:uiPriority w:val="99"/>
    <w:semiHidden/>
    <w:rsid w:val="00C20E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moepp.gov.mk/?page_id=1351"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CB7BE3F8A9B54B85DA28799491BE66" ma:contentTypeVersion="19" ma:contentTypeDescription="Create a new document." ma:contentTypeScope="" ma:versionID="c65ed6574de9db09cc46b8caeb310d0b">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c6143036a9f1d0cffedfd16e9cfb335f"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8817D-CAB3-45AA-81AB-FA3A7F5E67FC}">
  <ds:schemaRefs>
    <ds:schemaRef ds:uri="http://schemas.microsoft.com/sharepoint/v3/contenttype/forms"/>
  </ds:schemaRefs>
</ds:datastoreItem>
</file>

<file path=customXml/itemProps2.xml><?xml version="1.0" encoding="utf-8"?>
<ds:datastoreItem xmlns:ds="http://schemas.openxmlformats.org/officeDocument/2006/customXml" ds:itemID="{A1A51F4E-DC6F-4134-B3B2-6048BC2B325A}">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customXml/itemProps3.xml><?xml version="1.0" encoding="utf-8"?>
<ds:datastoreItem xmlns:ds="http://schemas.openxmlformats.org/officeDocument/2006/customXml" ds:itemID="{D59DE95A-B3D5-46CC-A169-A90C364A2862}">
  <ds:schemaRefs>
    <ds:schemaRef ds:uri="http://schemas.openxmlformats.org/officeDocument/2006/bibliography"/>
  </ds:schemaRefs>
</ds:datastoreItem>
</file>

<file path=customXml/itemProps4.xml><?xml version="1.0" encoding="utf-8"?>
<ds:datastoreItem xmlns:ds="http://schemas.openxmlformats.org/officeDocument/2006/customXml" ds:itemID="{DA1718AF-9BEC-4BF0-B6E5-2E4276E6A580}"/>
</file>

<file path=docProps/app.xml><?xml version="1.0" encoding="utf-8"?>
<Properties xmlns="http://schemas.openxmlformats.org/officeDocument/2006/extended-properties" xmlns:vt="http://schemas.openxmlformats.org/officeDocument/2006/docPropsVTypes">
  <Template>Normal</Template>
  <TotalTime>244</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 Pucoski</dc:creator>
  <cp:lastModifiedBy>Bore Pucoski</cp:lastModifiedBy>
  <cp:revision>9</cp:revision>
  <dcterms:created xsi:type="dcterms:W3CDTF">2025-12-01T09:02:00Z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docLang">
    <vt:lpwstr>mk</vt:lpwstr>
  </property>
  <property fmtid="{D5CDD505-2E9C-101B-9397-08002B2CF9AE}" pid="4" name="MediaServiceImageTags">
    <vt:lpwstr/>
  </property>
</Properties>
</file>